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17A51" w14:textId="77777777" w:rsidR="00D7028A" w:rsidRPr="00D15784" w:rsidRDefault="00DE45AD" w:rsidP="00E147FB">
      <w:pPr>
        <w:widowControl w:val="0"/>
        <w:pBdr>
          <w:top w:val="nil"/>
          <w:left w:val="nil"/>
          <w:bottom w:val="nil"/>
          <w:right w:val="nil"/>
          <w:between w:val="nil"/>
        </w:pBdr>
        <w:contextualSpacing/>
        <w:jc w:val="center"/>
        <w:rPr>
          <w:rFonts w:ascii="Arial" w:hAnsi="Arial" w:cs="Arial"/>
          <w:color w:val="1A1818" w:themeColor="text1"/>
          <w:sz w:val="22"/>
          <w:szCs w:val="22"/>
        </w:rPr>
      </w:pPr>
      <w:bookmarkStart w:id="0" w:name="_Hlk169774478"/>
      <w:bookmarkEnd w:id="0"/>
      <w:r>
        <w:rPr>
          <w:rFonts w:ascii="Arial" w:hAnsi="Arial" w:cs="Arial"/>
          <w:color w:val="1A1818" w:themeColor="text1"/>
          <w:sz w:val="22"/>
          <w:szCs w:val="22"/>
        </w:rPr>
        <w:pict w14:anchorId="06DF0C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alt="" style="position:absolute;left:0;text-align:left;margin-left:0;margin-top:0;width:50pt;height:50pt;z-index:251658240;visibility:hidden;mso-wrap-edited:f;mso-width-percent:0;mso-height-percent:0;mso-width-percent:0;mso-height-percent:0">
            <o:lock v:ext="edit" selection="t"/>
          </v:shape>
        </w:pict>
      </w:r>
      <w:r w:rsidR="00540E03" w:rsidRPr="00D15784">
        <w:rPr>
          <w:rFonts w:ascii="Arial" w:hAnsi="Arial" w:cs="Arial"/>
          <w:b/>
          <w:color w:val="1A1818" w:themeColor="text1"/>
          <w:sz w:val="22"/>
          <w:szCs w:val="22"/>
        </w:rPr>
        <w:t>ESTUDIO DEL SECTOR</w:t>
      </w:r>
    </w:p>
    <w:p w14:paraId="412E60F3" w14:textId="77777777" w:rsidR="00D7028A" w:rsidRPr="00D15784" w:rsidRDefault="00D7028A" w:rsidP="00E147FB">
      <w:pPr>
        <w:contextualSpacing/>
        <w:rPr>
          <w:rFonts w:ascii="Arial" w:hAnsi="Arial" w:cs="Arial"/>
          <w:color w:val="1A1818" w:themeColor="text1"/>
          <w:sz w:val="22"/>
          <w:szCs w:val="22"/>
        </w:rPr>
      </w:pPr>
    </w:p>
    <w:p w14:paraId="2B4A16EE" w14:textId="6ACFD40D" w:rsidR="00810DBB" w:rsidRPr="00D15784" w:rsidRDefault="00B93B59" w:rsidP="009F1F5E">
      <w:pPr>
        <w:pStyle w:val="Textoindependiente"/>
        <w:spacing w:after="0"/>
        <w:contextualSpacing/>
        <w:jc w:val="center"/>
        <w:rPr>
          <w:rFonts w:ascii="Arial" w:hAnsi="Arial" w:cs="Arial"/>
          <w:color w:val="1A1818" w:themeColor="text1"/>
          <w:sz w:val="22"/>
          <w:szCs w:val="22"/>
        </w:rPr>
      </w:pPr>
      <w:r w:rsidRPr="006545D0">
        <w:rPr>
          <w:rFonts w:ascii="Arial" w:hAnsi="Arial" w:cs="Arial"/>
          <w:bCs/>
          <w:i/>
          <w:iCs/>
          <w:color w:val="1A1818" w:themeColor="text1"/>
          <w:sz w:val="22"/>
          <w:szCs w:val="22"/>
          <w:lang w:eastAsia="es-CO"/>
        </w:rPr>
        <w:t>“</w:t>
      </w:r>
      <w:r w:rsidR="00CB219A" w:rsidRPr="00FC1542">
        <w:rPr>
          <w:rFonts w:ascii="Arial" w:hAnsi="Arial" w:cs="Arial"/>
          <w:sz w:val="22"/>
          <w:szCs w:val="22"/>
        </w:rPr>
        <w:t>PRESTAR EL SERVICIO DE MANTENIMIENTO PREVENTIVO Y CORRECTIVO, A MONTO AGOTABLE, PARA LOS SISTEMAS DE BOMBEO DE LAS SEDES A CARGO DE LA DIRECCIÓN SECCIONAL DE ADMINISTRACIÓN JUDICIAL DE CUNDINAMARCA - AMAZONAS, INCLUYENDO EL SUMINISTRO DE INSUMOS MEDIANTE BOLSA DE REPUESTOS</w:t>
      </w:r>
      <w:r w:rsidR="003F35CE" w:rsidRPr="001827CD">
        <w:rPr>
          <w:rFonts w:ascii="Arial" w:hAnsi="Arial" w:cs="Arial"/>
          <w:sz w:val="22"/>
          <w:szCs w:val="22"/>
        </w:rPr>
        <w:t>.</w:t>
      </w:r>
      <w:r w:rsidR="00810DBB" w:rsidRPr="005346D3">
        <w:rPr>
          <w:rFonts w:ascii="Arial" w:hAnsi="Arial" w:cs="Arial"/>
          <w:color w:val="1A1818" w:themeColor="text1"/>
          <w:sz w:val="22"/>
          <w:szCs w:val="22"/>
        </w:rPr>
        <w:t>”</w:t>
      </w:r>
    </w:p>
    <w:p w14:paraId="545E7B55" w14:textId="77777777" w:rsidR="00810DBB" w:rsidRPr="00D15784" w:rsidRDefault="00810DBB" w:rsidP="00E147FB">
      <w:pPr>
        <w:pStyle w:val="Textoindependiente"/>
        <w:spacing w:after="0"/>
        <w:contextualSpacing/>
        <w:jc w:val="center"/>
        <w:rPr>
          <w:rFonts w:ascii="Arial" w:hAnsi="Arial" w:cs="Arial"/>
          <w:b/>
          <w:color w:val="1A1818" w:themeColor="text1"/>
          <w:sz w:val="22"/>
          <w:szCs w:val="22"/>
        </w:rPr>
      </w:pPr>
    </w:p>
    <w:p w14:paraId="444DBAD6" w14:textId="77777777" w:rsidR="009A7C86" w:rsidRDefault="009A7C86" w:rsidP="009A7C86">
      <w:pPr>
        <w:pStyle w:val="Textoindependiente"/>
        <w:spacing w:after="0"/>
        <w:contextualSpacing/>
        <w:jc w:val="center"/>
        <w:rPr>
          <w:rFonts w:ascii="Arial" w:hAnsi="Arial" w:cs="Arial"/>
          <w:b/>
          <w:color w:val="1A1818" w:themeColor="text1"/>
          <w:sz w:val="22"/>
          <w:szCs w:val="22"/>
        </w:rPr>
      </w:pPr>
    </w:p>
    <w:p w14:paraId="6C53E9F5" w14:textId="77777777" w:rsidR="009A7C86" w:rsidRDefault="009A7C86" w:rsidP="009A7C86">
      <w:pPr>
        <w:pStyle w:val="Textoindependiente"/>
        <w:spacing w:after="0"/>
        <w:contextualSpacing/>
        <w:jc w:val="center"/>
        <w:rPr>
          <w:rFonts w:ascii="Arial" w:hAnsi="Arial" w:cs="Arial"/>
          <w:b/>
          <w:color w:val="1A1818" w:themeColor="text1"/>
          <w:sz w:val="22"/>
          <w:szCs w:val="22"/>
        </w:rPr>
      </w:pPr>
    </w:p>
    <w:p w14:paraId="329A4D01" w14:textId="77777777" w:rsidR="009A7C86" w:rsidRDefault="009A7C86" w:rsidP="009A7C86">
      <w:pPr>
        <w:pStyle w:val="Textoindependiente"/>
        <w:spacing w:after="0"/>
        <w:contextualSpacing/>
        <w:jc w:val="center"/>
        <w:rPr>
          <w:rFonts w:ascii="Arial" w:hAnsi="Arial" w:cs="Arial"/>
          <w:b/>
          <w:color w:val="1A1818" w:themeColor="text1"/>
          <w:sz w:val="22"/>
          <w:szCs w:val="22"/>
        </w:rPr>
      </w:pPr>
    </w:p>
    <w:p w14:paraId="47AE41AC" w14:textId="6A434AD2" w:rsidR="00D7028A" w:rsidRPr="00D15784" w:rsidRDefault="004D010E" w:rsidP="009A7C86">
      <w:pPr>
        <w:pStyle w:val="Textoindependiente"/>
        <w:spacing w:after="0"/>
        <w:contextualSpacing/>
        <w:jc w:val="center"/>
        <w:rPr>
          <w:rFonts w:ascii="Arial" w:hAnsi="Arial" w:cs="Arial"/>
          <w:b/>
          <w:color w:val="1A1818" w:themeColor="text1"/>
          <w:sz w:val="22"/>
          <w:szCs w:val="22"/>
        </w:rPr>
      </w:pPr>
      <w:r w:rsidRPr="00D15784">
        <w:rPr>
          <w:rFonts w:ascii="Arial" w:hAnsi="Arial" w:cs="Arial"/>
          <w:b/>
          <w:color w:val="1A1818" w:themeColor="text1"/>
          <w:sz w:val="22"/>
          <w:szCs w:val="22"/>
        </w:rPr>
        <w:t>CONTENIDO</w:t>
      </w:r>
    </w:p>
    <w:p w14:paraId="031A3C81" w14:textId="77777777" w:rsidR="00D7028A" w:rsidRPr="00D15784" w:rsidRDefault="00D7028A">
      <w:pPr>
        <w:rPr>
          <w:rFonts w:ascii="Arial" w:hAnsi="Arial" w:cs="Arial"/>
          <w:color w:val="1A1818" w:themeColor="text1"/>
          <w:sz w:val="22"/>
          <w:szCs w:val="22"/>
        </w:rPr>
      </w:pPr>
    </w:p>
    <w:sdt>
      <w:sdtPr>
        <w:rPr>
          <w:rFonts w:asciiTheme="minorHAnsi" w:eastAsia="Times New Roman" w:hAnsiTheme="minorHAnsi" w:cstheme="minorHAnsi"/>
          <w:b w:val="0"/>
          <w:bCs w:val="0"/>
          <w:noProof w:val="0"/>
          <w:color w:val="1A1818" w:themeColor="text1"/>
          <w:sz w:val="22"/>
          <w:szCs w:val="22"/>
        </w:rPr>
        <w:id w:val="64311872"/>
        <w:docPartObj>
          <w:docPartGallery w:val="Table of Contents"/>
          <w:docPartUnique/>
        </w:docPartObj>
      </w:sdtPr>
      <w:sdtEndPr>
        <w:rPr>
          <w:rFonts w:ascii="Arial" w:hAnsi="Arial" w:cs="Arial"/>
        </w:rPr>
      </w:sdtEndPr>
      <w:sdtContent>
        <w:p w14:paraId="7C59E35C" w14:textId="6C1AAF7F" w:rsidR="00A173C8" w:rsidRPr="00A173C8" w:rsidRDefault="004D010E">
          <w:pPr>
            <w:pStyle w:val="TDC1"/>
            <w:rPr>
              <w:rFonts w:ascii="Arial" w:eastAsiaTheme="minorEastAsia" w:hAnsi="Arial" w:cs="Arial"/>
              <w:b w:val="0"/>
              <w:bCs w:val="0"/>
              <w:kern w:val="2"/>
              <w:lang w:eastAsia="es-CO"/>
              <w14:ligatures w14:val="standardContextual"/>
            </w:rPr>
          </w:pPr>
          <w:r w:rsidRPr="009730C2">
            <w:rPr>
              <w:rFonts w:asciiTheme="minorHAnsi" w:eastAsiaTheme="minorEastAsia" w:hAnsiTheme="minorHAnsi" w:cstheme="minorHAnsi"/>
              <w:color w:val="1A1818" w:themeColor="text1"/>
              <w:sz w:val="22"/>
              <w:szCs w:val="22"/>
            </w:rPr>
            <w:fldChar w:fldCharType="begin"/>
          </w:r>
          <w:r w:rsidRPr="009730C2">
            <w:rPr>
              <w:rFonts w:asciiTheme="minorHAnsi" w:hAnsiTheme="minorHAnsi" w:cstheme="minorHAnsi"/>
              <w:color w:val="1A1818" w:themeColor="text1"/>
              <w:sz w:val="22"/>
              <w:szCs w:val="22"/>
            </w:rPr>
            <w:instrText xml:space="preserve"> TOC \h \u \z </w:instrText>
          </w:r>
          <w:r w:rsidRPr="009730C2">
            <w:rPr>
              <w:rFonts w:asciiTheme="minorHAnsi" w:eastAsiaTheme="minorEastAsia" w:hAnsiTheme="minorHAnsi" w:cstheme="minorHAnsi"/>
              <w:color w:val="1A1818" w:themeColor="text1"/>
              <w:sz w:val="22"/>
              <w:szCs w:val="22"/>
            </w:rPr>
            <w:fldChar w:fldCharType="separate"/>
          </w:r>
          <w:hyperlink w:anchor="_Toc228353029" w:history="1">
            <w:r w:rsidR="00A173C8" w:rsidRPr="00A173C8">
              <w:rPr>
                <w:rStyle w:val="Hipervnculo"/>
                <w:rFonts w:ascii="Arial" w:hAnsi="Arial" w:cs="Arial"/>
              </w:rPr>
              <w:t>I.</w:t>
            </w:r>
            <w:r w:rsidR="00A173C8" w:rsidRPr="00A173C8">
              <w:rPr>
                <w:rFonts w:ascii="Arial" w:eastAsiaTheme="minorEastAsia" w:hAnsi="Arial" w:cs="Arial"/>
                <w:b w:val="0"/>
                <w:bCs w:val="0"/>
                <w:kern w:val="2"/>
                <w:lang w:eastAsia="es-CO"/>
                <w14:ligatures w14:val="standardContextual"/>
              </w:rPr>
              <w:tab/>
            </w:r>
            <w:r w:rsidR="00A173C8" w:rsidRPr="00A173C8">
              <w:rPr>
                <w:rStyle w:val="Hipervnculo"/>
                <w:rFonts w:ascii="Arial" w:hAnsi="Arial" w:cs="Arial"/>
              </w:rPr>
              <w:t>Aspectos generales del mercado</w:t>
            </w:r>
            <w:r w:rsidR="00A173C8" w:rsidRPr="00A173C8">
              <w:rPr>
                <w:rFonts w:ascii="Arial" w:hAnsi="Arial" w:cs="Arial"/>
                <w:webHidden/>
              </w:rPr>
              <w:tab/>
            </w:r>
            <w:r w:rsidR="00A173C8" w:rsidRPr="00A173C8">
              <w:rPr>
                <w:rFonts w:ascii="Arial" w:hAnsi="Arial" w:cs="Arial"/>
                <w:webHidden/>
              </w:rPr>
              <w:fldChar w:fldCharType="begin"/>
            </w:r>
            <w:r w:rsidR="00A173C8" w:rsidRPr="00A173C8">
              <w:rPr>
                <w:rFonts w:ascii="Arial" w:hAnsi="Arial" w:cs="Arial"/>
                <w:webHidden/>
              </w:rPr>
              <w:instrText xml:space="preserve"> PAGEREF _Toc228353029 \h </w:instrText>
            </w:r>
            <w:r w:rsidR="00A173C8" w:rsidRPr="00A173C8">
              <w:rPr>
                <w:rFonts w:ascii="Arial" w:hAnsi="Arial" w:cs="Arial"/>
                <w:webHidden/>
              </w:rPr>
            </w:r>
            <w:r w:rsidR="00A173C8" w:rsidRPr="00A173C8">
              <w:rPr>
                <w:rFonts w:ascii="Arial" w:hAnsi="Arial" w:cs="Arial"/>
                <w:webHidden/>
              </w:rPr>
              <w:fldChar w:fldCharType="separate"/>
            </w:r>
            <w:r w:rsidR="000E556B">
              <w:rPr>
                <w:rFonts w:ascii="Arial" w:hAnsi="Arial" w:cs="Arial"/>
                <w:webHidden/>
              </w:rPr>
              <w:t>2</w:t>
            </w:r>
            <w:r w:rsidR="00A173C8" w:rsidRPr="00A173C8">
              <w:rPr>
                <w:rFonts w:ascii="Arial" w:hAnsi="Arial" w:cs="Arial"/>
                <w:webHidden/>
              </w:rPr>
              <w:fldChar w:fldCharType="end"/>
            </w:r>
          </w:hyperlink>
        </w:p>
        <w:p w14:paraId="1F743F0E" w14:textId="5BE24CA0" w:rsidR="00A173C8" w:rsidRPr="00A173C8" w:rsidRDefault="00DE45AD">
          <w:pPr>
            <w:pStyle w:val="TDC2"/>
            <w:tabs>
              <w:tab w:val="left" w:pos="720"/>
              <w:tab w:val="right" w:leader="dot" w:pos="8828"/>
            </w:tabs>
            <w:rPr>
              <w:rFonts w:ascii="Arial" w:hAnsi="Arial" w:cs="Arial"/>
              <w:noProof/>
              <w:kern w:val="2"/>
              <w:lang w:eastAsia="es-CO"/>
              <w14:ligatures w14:val="standardContextual"/>
            </w:rPr>
          </w:pPr>
          <w:hyperlink w:anchor="_Toc228353030" w:history="1">
            <w:r w:rsidR="00A173C8" w:rsidRPr="00A173C8">
              <w:rPr>
                <w:rStyle w:val="Hipervnculo"/>
                <w:rFonts w:ascii="Arial" w:hAnsi="Arial" w:cs="Arial"/>
                <w:noProof/>
              </w:rPr>
              <w:t>A.</w:t>
            </w:r>
            <w:r w:rsidR="00A173C8" w:rsidRPr="00A173C8">
              <w:rPr>
                <w:rFonts w:ascii="Arial" w:hAnsi="Arial" w:cs="Arial"/>
                <w:noProof/>
                <w:kern w:val="2"/>
                <w:lang w:eastAsia="es-CO"/>
                <w14:ligatures w14:val="standardContextual"/>
              </w:rPr>
              <w:tab/>
            </w:r>
            <w:r w:rsidR="00A173C8" w:rsidRPr="00A173C8">
              <w:rPr>
                <w:rStyle w:val="Hipervnculo"/>
                <w:rFonts w:ascii="Arial" w:hAnsi="Arial" w:cs="Arial"/>
                <w:noProof/>
              </w:rPr>
              <w:t>Entorno económico</w:t>
            </w:r>
            <w:r w:rsidR="00A173C8" w:rsidRPr="00A173C8">
              <w:rPr>
                <w:rFonts w:ascii="Arial" w:hAnsi="Arial" w:cs="Arial"/>
                <w:noProof/>
                <w:webHidden/>
              </w:rPr>
              <w:tab/>
            </w:r>
            <w:r w:rsidR="00A173C8" w:rsidRPr="00A173C8">
              <w:rPr>
                <w:rFonts w:ascii="Arial" w:hAnsi="Arial" w:cs="Arial"/>
                <w:noProof/>
                <w:webHidden/>
              </w:rPr>
              <w:fldChar w:fldCharType="begin"/>
            </w:r>
            <w:r w:rsidR="00A173C8" w:rsidRPr="00A173C8">
              <w:rPr>
                <w:rFonts w:ascii="Arial" w:hAnsi="Arial" w:cs="Arial"/>
                <w:noProof/>
                <w:webHidden/>
              </w:rPr>
              <w:instrText xml:space="preserve"> PAGEREF _Toc228353030 \h </w:instrText>
            </w:r>
            <w:r w:rsidR="00A173C8" w:rsidRPr="00A173C8">
              <w:rPr>
                <w:rFonts w:ascii="Arial" w:hAnsi="Arial" w:cs="Arial"/>
                <w:noProof/>
                <w:webHidden/>
              </w:rPr>
            </w:r>
            <w:r w:rsidR="00A173C8" w:rsidRPr="00A173C8">
              <w:rPr>
                <w:rFonts w:ascii="Arial" w:hAnsi="Arial" w:cs="Arial"/>
                <w:noProof/>
                <w:webHidden/>
              </w:rPr>
              <w:fldChar w:fldCharType="separate"/>
            </w:r>
            <w:r w:rsidR="000E556B">
              <w:rPr>
                <w:rFonts w:ascii="Arial" w:hAnsi="Arial" w:cs="Arial"/>
                <w:noProof/>
                <w:webHidden/>
              </w:rPr>
              <w:t>2</w:t>
            </w:r>
            <w:r w:rsidR="00A173C8" w:rsidRPr="00A173C8">
              <w:rPr>
                <w:rFonts w:ascii="Arial" w:hAnsi="Arial" w:cs="Arial"/>
                <w:noProof/>
                <w:webHidden/>
              </w:rPr>
              <w:fldChar w:fldCharType="end"/>
            </w:r>
          </w:hyperlink>
        </w:p>
        <w:p w14:paraId="49A3AEAA" w14:textId="5AB3BCA2" w:rsidR="00A173C8" w:rsidRPr="00A173C8" w:rsidRDefault="00DE45AD">
          <w:pPr>
            <w:pStyle w:val="TDC2"/>
            <w:tabs>
              <w:tab w:val="right" w:leader="dot" w:pos="8828"/>
            </w:tabs>
            <w:rPr>
              <w:rFonts w:ascii="Arial" w:hAnsi="Arial" w:cs="Arial"/>
              <w:noProof/>
              <w:kern w:val="2"/>
              <w:lang w:eastAsia="es-CO"/>
              <w14:ligatures w14:val="standardContextual"/>
            </w:rPr>
          </w:pPr>
          <w:hyperlink w:anchor="_Toc228353031" w:history="1">
            <w:r w:rsidR="00A173C8" w:rsidRPr="00A173C8">
              <w:rPr>
                <w:rStyle w:val="Hipervnculo"/>
                <w:rFonts w:ascii="Arial" w:hAnsi="Arial" w:cs="Arial"/>
                <w:noProof/>
              </w:rPr>
              <w:t>B. Aspectos técnicos</w:t>
            </w:r>
            <w:r w:rsidR="00A173C8" w:rsidRPr="00A173C8">
              <w:rPr>
                <w:rFonts w:ascii="Arial" w:hAnsi="Arial" w:cs="Arial"/>
                <w:noProof/>
                <w:webHidden/>
              </w:rPr>
              <w:tab/>
            </w:r>
            <w:r w:rsidR="00A173C8" w:rsidRPr="00A173C8">
              <w:rPr>
                <w:rFonts w:ascii="Arial" w:hAnsi="Arial" w:cs="Arial"/>
                <w:noProof/>
                <w:webHidden/>
              </w:rPr>
              <w:fldChar w:fldCharType="begin"/>
            </w:r>
            <w:r w:rsidR="00A173C8" w:rsidRPr="00A173C8">
              <w:rPr>
                <w:rFonts w:ascii="Arial" w:hAnsi="Arial" w:cs="Arial"/>
                <w:noProof/>
                <w:webHidden/>
              </w:rPr>
              <w:instrText xml:space="preserve"> PAGEREF _Toc228353031 \h </w:instrText>
            </w:r>
            <w:r w:rsidR="00A173C8" w:rsidRPr="00A173C8">
              <w:rPr>
                <w:rFonts w:ascii="Arial" w:hAnsi="Arial" w:cs="Arial"/>
                <w:noProof/>
                <w:webHidden/>
              </w:rPr>
            </w:r>
            <w:r w:rsidR="00A173C8" w:rsidRPr="00A173C8">
              <w:rPr>
                <w:rFonts w:ascii="Arial" w:hAnsi="Arial" w:cs="Arial"/>
                <w:noProof/>
                <w:webHidden/>
              </w:rPr>
              <w:fldChar w:fldCharType="separate"/>
            </w:r>
            <w:r w:rsidR="000E556B">
              <w:rPr>
                <w:rFonts w:ascii="Arial" w:hAnsi="Arial" w:cs="Arial"/>
                <w:noProof/>
                <w:webHidden/>
              </w:rPr>
              <w:t>4</w:t>
            </w:r>
            <w:r w:rsidR="00A173C8" w:rsidRPr="00A173C8">
              <w:rPr>
                <w:rFonts w:ascii="Arial" w:hAnsi="Arial" w:cs="Arial"/>
                <w:noProof/>
                <w:webHidden/>
              </w:rPr>
              <w:fldChar w:fldCharType="end"/>
            </w:r>
          </w:hyperlink>
        </w:p>
        <w:p w14:paraId="27707A8A" w14:textId="605F40A9" w:rsidR="00A173C8" w:rsidRPr="00A173C8" w:rsidRDefault="00DE45AD">
          <w:pPr>
            <w:pStyle w:val="TDC2"/>
            <w:tabs>
              <w:tab w:val="right" w:leader="dot" w:pos="8828"/>
            </w:tabs>
            <w:rPr>
              <w:rFonts w:ascii="Arial" w:hAnsi="Arial" w:cs="Arial"/>
              <w:noProof/>
              <w:kern w:val="2"/>
              <w:lang w:eastAsia="es-CO"/>
              <w14:ligatures w14:val="standardContextual"/>
            </w:rPr>
          </w:pPr>
          <w:hyperlink w:anchor="_Toc228353032" w:history="1">
            <w:r w:rsidR="00A173C8" w:rsidRPr="00A173C8">
              <w:rPr>
                <w:rStyle w:val="Hipervnculo"/>
                <w:rFonts w:ascii="Arial" w:hAnsi="Arial" w:cs="Arial"/>
                <w:noProof/>
              </w:rPr>
              <w:t>C. Marco regulatorio</w:t>
            </w:r>
            <w:r w:rsidR="00A173C8" w:rsidRPr="00A173C8">
              <w:rPr>
                <w:rFonts w:ascii="Arial" w:hAnsi="Arial" w:cs="Arial"/>
                <w:noProof/>
                <w:webHidden/>
              </w:rPr>
              <w:tab/>
            </w:r>
            <w:r w:rsidR="008A51C1">
              <w:rPr>
                <w:rFonts w:ascii="Arial" w:hAnsi="Arial" w:cs="Arial"/>
                <w:noProof/>
                <w:webHidden/>
              </w:rPr>
              <w:t>5</w:t>
            </w:r>
          </w:hyperlink>
        </w:p>
        <w:p w14:paraId="2119BE40" w14:textId="6232C928" w:rsidR="00A173C8" w:rsidRPr="00A173C8" w:rsidRDefault="00DE45AD">
          <w:pPr>
            <w:pStyle w:val="TDC1"/>
            <w:rPr>
              <w:rFonts w:ascii="Arial" w:eastAsiaTheme="minorEastAsia" w:hAnsi="Arial" w:cs="Arial"/>
              <w:b w:val="0"/>
              <w:bCs w:val="0"/>
              <w:kern w:val="2"/>
              <w:lang w:eastAsia="es-CO"/>
              <w14:ligatures w14:val="standardContextual"/>
            </w:rPr>
          </w:pPr>
          <w:hyperlink w:anchor="_Toc228353033" w:history="1">
            <w:r w:rsidR="00A173C8" w:rsidRPr="00A173C8">
              <w:rPr>
                <w:rStyle w:val="Hipervnculo"/>
                <w:rFonts w:ascii="Arial" w:hAnsi="Arial" w:cs="Arial"/>
              </w:rPr>
              <w:t>II.</w:t>
            </w:r>
            <w:r w:rsidR="00A173C8" w:rsidRPr="00A173C8">
              <w:rPr>
                <w:rFonts w:ascii="Arial" w:eastAsiaTheme="minorEastAsia" w:hAnsi="Arial" w:cs="Arial"/>
                <w:b w:val="0"/>
                <w:bCs w:val="0"/>
                <w:kern w:val="2"/>
                <w:lang w:eastAsia="es-CO"/>
                <w14:ligatures w14:val="standardContextual"/>
              </w:rPr>
              <w:tab/>
            </w:r>
            <w:r w:rsidR="00A173C8" w:rsidRPr="00A173C8">
              <w:rPr>
                <w:rStyle w:val="Hipervnculo"/>
                <w:rFonts w:ascii="Arial" w:hAnsi="Arial" w:cs="Arial"/>
              </w:rPr>
              <w:t>Análisis de la oferta y demanda</w:t>
            </w:r>
            <w:r w:rsidR="00A173C8" w:rsidRPr="00A173C8">
              <w:rPr>
                <w:rFonts w:ascii="Arial" w:hAnsi="Arial" w:cs="Arial"/>
                <w:webHidden/>
              </w:rPr>
              <w:tab/>
            </w:r>
            <w:r w:rsidR="00A173C8" w:rsidRPr="00A173C8">
              <w:rPr>
                <w:rFonts w:ascii="Arial" w:hAnsi="Arial" w:cs="Arial"/>
                <w:webHidden/>
              </w:rPr>
              <w:fldChar w:fldCharType="begin"/>
            </w:r>
            <w:r w:rsidR="00A173C8" w:rsidRPr="00A173C8">
              <w:rPr>
                <w:rFonts w:ascii="Arial" w:hAnsi="Arial" w:cs="Arial"/>
                <w:webHidden/>
              </w:rPr>
              <w:instrText xml:space="preserve"> PAGEREF _Toc228353033 \h </w:instrText>
            </w:r>
            <w:r w:rsidR="00A173C8" w:rsidRPr="00A173C8">
              <w:rPr>
                <w:rFonts w:ascii="Arial" w:hAnsi="Arial" w:cs="Arial"/>
                <w:webHidden/>
              </w:rPr>
            </w:r>
            <w:r w:rsidR="00A173C8" w:rsidRPr="00A173C8">
              <w:rPr>
                <w:rFonts w:ascii="Arial" w:hAnsi="Arial" w:cs="Arial"/>
                <w:webHidden/>
              </w:rPr>
              <w:fldChar w:fldCharType="separate"/>
            </w:r>
            <w:r w:rsidR="000E556B">
              <w:rPr>
                <w:rFonts w:ascii="Arial" w:hAnsi="Arial" w:cs="Arial"/>
                <w:webHidden/>
              </w:rPr>
              <w:t>7</w:t>
            </w:r>
            <w:r w:rsidR="00A173C8" w:rsidRPr="00A173C8">
              <w:rPr>
                <w:rFonts w:ascii="Arial" w:hAnsi="Arial" w:cs="Arial"/>
                <w:webHidden/>
              </w:rPr>
              <w:fldChar w:fldCharType="end"/>
            </w:r>
          </w:hyperlink>
        </w:p>
        <w:p w14:paraId="73A466FA" w14:textId="4FE31922" w:rsidR="00A173C8" w:rsidRPr="00A173C8" w:rsidRDefault="00DE45AD">
          <w:pPr>
            <w:pStyle w:val="TDC2"/>
            <w:tabs>
              <w:tab w:val="left" w:pos="720"/>
              <w:tab w:val="right" w:leader="dot" w:pos="8828"/>
            </w:tabs>
            <w:rPr>
              <w:rFonts w:ascii="Arial" w:hAnsi="Arial" w:cs="Arial"/>
              <w:noProof/>
              <w:kern w:val="2"/>
              <w:lang w:eastAsia="es-CO"/>
              <w14:ligatures w14:val="standardContextual"/>
            </w:rPr>
          </w:pPr>
          <w:hyperlink w:anchor="_Toc228353034" w:history="1">
            <w:r w:rsidR="00A173C8" w:rsidRPr="00A173C8">
              <w:rPr>
                <w:rStyle w:val="Hipervnculo"/>
                <w:rFonts w:ascii="Arial" w:hAnsi="Arial" w:cs="Arial"/>
                <w:noProof/>
              </w:rPr>
              <w:t>A.</w:t>
            </w:r>
            <w:r w:rsidR="00A173C8" w:rsidRPr="00A173C8">
              <w:rPr>
                <w:rFonts w:ascii="Arial" w:hAnsi="Arial" w:cs="Arial"/>
                <w:noProof/>
                <w:kern w:val="2"/>
                <w:lang w:eastAsia="es-CO"/>
                <w14:ligatures w14:val="standardContextual"/>
              </w:rPr>
              <w:tab/>
            </w:r>
            <w:r w:rsidR="00A173C8" w:rsidRPr="00A173C8">
              <w:rPr>
                <w:rStyle w:val="Hipervnculo"/>
                <w:rFonts w:ascii="Arial" w:hAnsi="Arial" w:cs="Arial"/>
                <w:noProof/>
              </w:rPr>
              <w:t>Análisis de la oferta</w:t>
            </w:r>
            <w:r w:rsidR="00A173C8" w:rsidRPr="00A173C8">
              <w:rPr>
                <w:rFonts w:ascii="Arial" w:hAnsi="Arial" w:cs="Arial"/>
                <w:noProof/>
                <w:webHidden/>
              </w:rPr>
              <w:tab/>
            </w:r>
            <w:r w:rsidR="00A173C8" w:rsidRPr="00A173C8">
              <w:rPr>
                <w:rFonts w:ascii="Arial" w:hAnsi="Arial" w:cs="Arial"/>
                <w:noProof/>
                <w:webHidden/>
              </w:rPr>
              <w:fldChar w:fldCharType="begin"/>
            </w:r>
            <w:r w:rsidR="00A173C8" w:rsidRPr="00A173C8">
              <w:rPr>
                <w:rFonts w:ascii="Arial" w:hAnsi="Arial" w:cs="Arial"/>
                <w:noProof/>
                <w:webHidden/>
              </w:rPr>
              <w:instrText xml:space="preserve"> PAGEREF _Toc228353034 \h </w:instrText>
            </w:r>
            <w:r w:rsidR="00A173C8" w:rsidRPr="00A173C8">
              <w:rPr>
                <w:rFonts w:ascii="Arial" w:hAnsi="Arial" w:cs="Arial"/>
                <w:noProof/>
                <w:webHidden/>
              </w:rPr>
            </w:r>
            <w:r w:rsidR="00A173C8" w:rsidRPr="00A173C8">
              <w:rPr>
                <w:rFonts w:ascii="Arial" w:hAnsi="Arial" w:cs="Arial"/>
                <w:noProof/>
                <w:webHidden/>
              </w:rPr>
              <w:fldChar w:fldCharType="separate"/>
            </w:r>
            <w:r w:rsidR="000E556B">
              <w:rPr>
                <w:rFonts w:ascii="Arial" w:hAnsi="Arial" w:cs="Arial"/>
                <w:noProof/>
                <w:webHidden/>
              </w:rPr>
              <w:t>7</w:t>
            </w:r>
            <w:r w:rsidR="00A173C8" w:rsidRPr="00A173C8">
              <w:rPr>
                <w:rFonts w:ascii="Arial" w:hAnsi="Arial" w:cs="Arial"/>
                <w:noProof/>
                <w:webHidden/>
              </w:rPr>
              <w:fldChar w:fldCharType="end"/>
            </w:r>
          </w:hyperlink>
        </w:p>
        <w:p w14:paraId="050F7AD6" w14:textId="25FDA0D1" w:rsidR="00A173C8" w:rsidRPr="00A173C8" w:rsidRDefault="00DE45AD">
          <w:pPr>
            <w:pStyle w:val="TDC2"/>
            <w:tabs>
              <w:tab w:val="right" w:leader="dot" w:pos="8828"/>
            </w:tabs>
            <w:rPr>
              <w:rFonts w:ascii="Arial" w:hAnsi="Arial" w:cs="Arial"/>
              <w:noProof/>
              <w:kern w:val="2"/>
              <w:lang w:eastAsia="es-CO"/>
              <w14:ligatures w14:val="standardContextual"/>
            </w:rPr>
          </w:pPr>
          <w:hyperlink w:anchor="_Toc228353035" w:history="1">
            <w:r w:rsidR="00A173C8" w:rsidRPr="00A173C8">
              <w:rPr>
                <w:rStyle w:val="Hipervnculo"/>
                <w:rFonts w:ascii="Arial" w:hAnsi="Arial" w:cs="Arial"/>
                <w:noProof/>
              </w:rPr>
              <w:t>B. Estudio de la demanda</w:t>
            </w:r>
            <w:r w:rsidR="00A173C8" w:rsidRPr="00A173C8">
              <w:rPr>
                <w:rFonts w:ascii="Arial" w:hAnsi="Arial" w:cs="Arial"/>
                <w:noProof/>
                <w:webHidden/>
              </w:rPr>
              <w:tab/>
            </w:r>
            <w:r w:rsidR="00A173C8" w:rsidRPr="00A173C8">
              <w:rPr>
                <w:rFonts w:ascii="Arial" w:hAnsi="Arial" w:cs="Arial"/>
                <w:noProof/>
                <w:webHidden/>
              </w:rPr>
              <w:fldChar w:fldCharType="begin"/>
            </w:r>
            <w:r w:rsidR="00A173C8" w:rsidRPr="00A173C8">
              <w:rPr>
                <w:rFonts w:ascii="Arial" w:hAnsi="Arial" w:cs="Arial"/>
                <w:noProof/>
                <w:webHidden/>
              </w:rPr>
              <w:instrText xml:space="preserve"> PAGEREF _Toc228353035 \h </w:instrText>
            </w:r>
            <w:r w:rsidR="00A173C8" w:rsidRPr="00A173C8">
              <w:rPr>
                <w:rFonts w:ascii="Arial" w:hAnsi="Arial" w:cs="Arial"/>
                <w:noProof/>
                <w:webHidden/>
              </w:rPr>
            </w:r>
            <w:r w:rsidR="00A173C8" w:rsidRPr="00A173C8">
              <w:rPr>
                <w:rFonts w:ascii="Arial" w:hAnsi="Arial" w:cs="Arial"/>
                <w:noProof/>
                <w:webHidden/>
              </w:rPr>
              <w:fldChar w:fldCharType="separate"/>
            </w:r>
            <w:r w:rsidR="000E556B">
              <w:rPr>
                <w:rFonts w:ascii="Arial" w:hAnsi="Arial" w:cs="Arial"/>
                <w:noProof/>
                <w:webHidden/>
              </w:rPr>
              <w:t>10</w:t>
            </w:r>
            <w:r w:rsidR="00A173C8" w:rsidRPr="00A173C8">
              <w:rPr>
                <w:rFonts w:ascii="Arial" w:hAnsi="Arial" w:cs="Arial"/>
                <w:noProof/>
                <w:webHidden/>
              </w:rPr>
              <w:fldChar w:fldCharType="end"/>
            </w:r>
          </w:hyperlink>
        </w:p>
        <w:p w14:paraId="3DE81A84" w14:textId="79E64660" w:rsidR="00A173C8" w:rsidRPr="00A173C8" w:rsidRDefault="00DE45AD">
          <w:pPr>
            <w:pStyle w:val="TDC2"/>
            <w:tabs>
              <w:tab w:val="right" w:leader="dot" w:pos="8828"/>
            </w:tabs>
            <w:rPr>
              <w:rFonts w:ascii="Arial" w:hAnsi="Arial" w:cs="Arial"/>
              <w:noProof/>
              <w:kern w:val="2"/>
              <w:lang w:eastAsia="es-CO"/>
              <w14:ligatures w14:val="standardContextual"/>
            </w:rPr>
          </w:pPr>
          <w:hyperlink w:anchor="_Toc228353036" w:history="1">
            <w:r w:rsidR="00A173C8" w:rsidRPr="00A173C8">
              <w:rPr>
                <w:rStyle w:val="Hipervnculo"/>
                <w:rFonts w:ascii="Arial" w:hAnsi="Arial" w:cs="Arial"/>
                <w:noProof/>
              </w:rPr>
              <w:t>C. Forma de calcular el presupuesto y el valor del presente proceso</w:t>
            </w:r>
            <w:r w:rsidR="00A173C8" w:rsidRPr="00A173C8">
              <w:rPr>
                <w:rFonts w:ascii="Arial" w:hAnsi="Arial" w:cs="Arial"/>
                <w:noProof/>
                <w:webHidden/>
              </w:rPr>
              <w:tab/>
            </w:r>
            <w:r w:rsidR="00A173C8" w:rsidRPr="00A173C8">
              <w:rPr>
                <w:rFonts w:ascii="Arial" w:hAnsi="Arial" w:cs="Arial"/>
                <w:noProof/>
                <w:webHidden/>
              </w:rPr>
              <w:fldChar w:fldCharType="begin"/>
            </w:r>
            <w:r w:rsidR="00A173C8" w:rsidRPr="00A173C8">
              <w:rPr>
                <w:rFonts w:ascii="Arial" w:hAnsi="Arial" w:cs="Arial"/>
                <w:noProof/>
                <w:webHidden/>
              </w:rPr>
              <w:instrText xml:space="preserve"> PAGEREF _Toc228353036 \h </w:instrText>
            </w:r>
            <w:r w:rsidR="00A173C8" w:rsidRPr="00A173C8">
              <w:rPr>
                <w:rFonts w:ascii="Arial" w:hAnsi="Arial" w:cs="Arial"/>
                <w:noProof/>
                <w:webHidden/>
              </w:rPr>
            </w:r>
            <w:r w:rsidR="00A173C8" w:rsidRPr="00A173C8">
              <w:rPr>
                <w:rFonts w:ascii="Arial" w:hAnsi="Arial" w:cs="Arial"/>
                <w:noProof/>
                <w:webHidden/>
              </w:rPr>
              <w:fldChar w:fldCharType="separate"/>
            </w:r>
            <w:r w:rsidR="000E556B">
              <w:rPr>
                <w:rFonts w:ascii="Arial" w:hAnsi="Arial" w:cs="Arial"/>
                <w:noProof/>
                <w:webHidden/>
              </w:rPr>
              <w:t>13</w:t>
            </w:r>
            <w:r w:rsidR="00A173C8" w:rsidRPr="00A173C8">
              <w:rPr>
                <w:rFonts w:ascii="Arial" w:hAnsi="Arial" w:cs="Arial"/>
                <w:noProof/>
                <w:webHidden/>
              </w:rPr>
              <w:fldChar w:fldCharType="end"/>
            </w:r>
          </w:hyperlink>
        </w:p>
        <w:p w14:paraId="0C4E0B54" w14:textId="18EEAFE7" w:rsidR="00A173C8" w:rsidRPr="00A173C8" w:rsidRDefault="00DE45AD">
          <w:pPr>
            <w:pStyle w:val="TDC1"/>
            <w:rPr>
              <w:rFonts w:ascii="Arial" w:eastAsiaTheme="minorEastAsia" w:hAnsi="Arial" w:cs="Arial"/>
              <w:b w:val="0"/>
              <w:bCs w:val="0"/>
              <w:kern w:val="2"/>
              <w:lang w:eastAsia="es-CO"/>
              <w14:ligatures w14:val="standardContextual"/>
            </w:rPr>
          </w:pPr>
          <w:hyperlink w:anchor="_Toc228353037" w:history="1">
            <w:r w:rsidR="00A173C8" w:rsidRPr="00A173C8">
              <w:rPr>
                <w:rStyle w:val="Hipervnculo"/>
                <w:rFonts w:ascii="Arial" w:hAnsi="Arial" w:cs="Arial"/>
              </w:rPr>
              <w:t>III.</w:t>
            </w:r>
            <w:r w:rsidR="00A173C8" w:rsidRPr="00A173C8">
              <w:rPr>
                <w:rFonts w:ascii="Arial" w:eastAsiaTheme="minorEastAsia" w:hAnsi="Arial" w:cs="Arial"/>
                <w:b w:val="0"/>
                <w:bCs w:val="0"/>
                <w:kern w:val="2"/>
                <w:lang w:eastAsia="es-CO"/>
                <w14:ligatures w14:val="standardContextual"/>
              </w:rPr>
              <w:tab/>
            </w:r>
            <w:r w:rsidR="00A173C8" w:rsidRPr="00A173C8">
              <w:rPr>
                <w:rStyle w:val="Hipervnculo"/>
                <w:rFonts w:ascii="Arial" w:hAnsi="Arial" w:cs="Arial"/>
              </w:rPr>
              <w:t>Conclusiones</w:t>
            </w:r>
            <w:r w:rsidR="00A173C8" w:rsidRPr="00A173C8">
              <w:rPr>
                <w:rFonts w:ascii="Arial" w:hAnsi="Arial" w:cs="Arial"/>
                <w:webHidden/>
              </w:rPr>
              <w:tab/>
            </w:r>
            <w:r w:rsidR="00A173C8" w:rsidRPr="00A173C8">
              <w:rPr>
                <w:rFonts w:ascii="Arial" w:hAnsi="Arial" w:cs="Arial"/>
                <w:webHidden/>
              </w:rPr>
              <w:fldChar w:fldCharType="begin"/>
            </w:r>
            <w:r w:rsidR="00A173C8" w:rsidRPr="00A173C8">
              <w:rPr>
                <w:rFonts w:ascii="Arial" w:hAnsi="Arial" w:cs="Arial"/>
                <w:webHidden/>
              </w:rPr>
              <w:instrText xml:space="preserve"> PAGEREF _Toc228353037 \h </w:instrText>
            </w:r>
            <w:r w:rsidR="00A173C8" w:rsidRPr="00A173C8">
              <w:rPr>
                <w:rFonts w:ascii="Arial" w:hAnsi="Arial" w:cs="Arial"/>
                <w:webHidden/>
              </w:rPr>
            </w:r>
            <w:r w:rsidR="00A173C8" w:rsidRPr="00A173C8">
              <w:rPr>
                <w:rFonts w:ascii="Arial" w:hAnsi="Arial" w:cs="Arial"/>
                <w:webHidden/>
              </w:rPr>
              <w:fldChar w:fldCharType="separate"/>
            </w:r>
            <w:r w:rsidR="000E556B">
              <w:rPr>
                <w:rFonts w:ascii="Arial" w:hAnsi="Arial" w:cs="Arial"/>
                <w:webHidden/>
              </w:rPr>
              <w:t>1</w:t>
            </w:r>
            <w:r w:rsidR="008A51C1">
              <w:rPr>
                <w:rFonts w:ascii="Arial" w:hAnsi="Arial" w:cs="Arial"/>
                <w:webHidden/>
              </w:rPr>
              <w:t>7</w:t>
            </w:r>
            <w:r w:rsidR="00A173C8" w:rsidRPr="00A173C8">
              <w:rPr>
                <w:rFonts w:ascii="Arial" w:hAnsi="Arial" w:cs="Arial"/>
                <w:webHidden/>
              </w:rPr>
              <w:fldChar w:fldCharType="end"/>
            </w:r>
          </w:hyperlink>
        </w:p>
        <w:p w14:paraId="34ECAFBB" w14:textId="29155309" w:rsidR="00D7028A" w:rsidRPr="00D15784" w:rsidRDefault="004D010E">
          <w:pPr>
            <w:rPr>
              <w:rFonts w:ascii="Arial" w:hAnsi="Arial" w:cs="Arial"/>
              <w:color w:val="1A1818" w:themeColor="text1"/>
              <w:sz w:val="22"/>
              <w:szCs w:val="22"/>
            </w:rPr>
          </w:pPr>
          <w:r w:rsidRPr="009730C2">
            <w:rPr>
              <w:rFonts w:asciiTheme="minorHAnsi" w:hAnsiTheme="minorHAnsi" w:cstheme="minorHAnsi"/>
              <w:color w:val="1A1818" w:themeColor="text1"/>
              <w:sz w:val="22"/>
              <w:szCs w:val="22"/>
            </w:rPr>
            <w:fldChar w:fldCharType="end"/>
          </w:r>
        </w:p>
      </w:sdtContent>
    </w:sdt>
    <w:p w14:paraId="616AC2BE" w14:textId="77777777" w:rsidR="000D55A6" w:rsidRPr="00D15784" w:rsidRDefault="000D55A6">
      <w:pPr>
        <w:rPr>
          <w:rFonts w:ascii="Arial" w:hAnsi="Arial" w:cs="Arial"/>
          <w:color w:val="1A1818" w:themeColor="text1"/>
          <w:sz w:val="22"/>
          <w:szCs w:val="22"/>
        </w:rPr>
      </w:pPr>
    </w:p>
    <w:p w14:paraId="57BDE6A3" w14:textId="77777777" w:rsidR="000D55A6" w:rsidRPr="00D15784" w:rsidRDefault="000D55A6">
      <w:pPr>
        <w:rPr>
          <w:rFonts w:ascii="Arial" w:hAnsi="Arial" w:cs="Arial"/>
          <w:color w:val="1A1818" w:themeColor="text1"/>
          <w:sz w:val="22"/>
          <w:szCs w:val="22"/>
        </w:rPr>
      </w:pPr>
    </w:p>
    <w:p w14:paraId="2B45DF78" w14:textId="77777777" w:rsidR="000D55A6" w:rsidRPr="00D15784" w:rsidRDefault="000D55A6">
      <w:pPr>
        <w:rPr>
          <w:rFonts w:ascii="Arial" w:hAnsi="Arial" w:cs="Arial"/>
          <w:color w:val="1A1818" w:themeColor="text1"/>
          <w:sz w:val="22"/>
          <w:szCs w:val="22"/>
        </w:rPr>
      </w:pPr>
    </w:p>
    <w:p w14:paraId="329AD9C8" w14:textId="77777777" w:rsidR="000D55A6" w:rsidRDefault="000D55A6">
      <w:pPr>
        <w:rPr>
          <w:rFonts w:ascii="Arial" w:hAnsi="Arial" w:cs="Arial"/>
          <w:color w:val="1A1818" w:themeColor="text1"/>
          <w:sz w:val="22"/>
          <w:szCs w:val="22"/>
        </w:rPr>
      </w:pPr>
    </w:p>
    <w:p w14:paraId="4D3ED344" w14:textId="77777777" w:rsidR="004F2AD1" w:rsidRDefault="004F2AD1">
      <w:pPr>
        <w:rPr>
          <w:rFonts w:ascii="Arial" w:hAnsi="Arial" w:cs="Arial"/>
          <w:color w:val="1A1818" w:themeColor="text1"/>
          <w:sz w:val="22"/>
          <w:szCs w:val="22"/>
        </w:rPr>
      </w:pPr>
    </w:p>
    <w:p w14:paraId="54F13DD4" w14:textId="77777777" w:rsidR="004F2AD1" w:rsidRDefault="004F2AD1">
      <w:pPr>
        <w:rPr>
          <w:rFonts w:ascii="Arial" w:hAnsi="Arial" w:cs="Arial"/>
          <w:color w:val="1A1818" w:themeColor="text1"/>
          <w:sz w:val="22"/>
          <w:szCs w:val="22"/>
        </w:rPr>
      </w:pPr>
    </w:p>
    <w:p w14:paraId="1C2046A5" w14:textId="77777777" w:rsidR="00625E44" w:rsidRDefault="00625E44">
      <w:pPr>
        <w:rPr>
          <w:rFonts w:ascii="Arial" w:hAnsi="Arial" w:cs="Arial"/>
          <w:color w:val="1A1818" w:themeColor="text1"/>
          <w:sz w:val="22"/>
          <w:szCs w:val="22"/>
        </w:rPr>
      </w:pPr>
    </w:p>
    <w:p w14:paraId="283BF14E" w14:textId="77777777" w:rsidR="00625E44" w:rsidRDefault="00625E44">
      <w:pPr>
        <w:rPr>
          <w:rFonts w:ascii="Arial" w:hAnsi="Arial" w:cs="Arial"/>
          <w:color w:val="1A1818" w:themeColor="text1"/>
          <w:sz w:val="22"/>
          <w:szCs w:val="22"/>
        </w:rPr>
      </w:pPr>
    </w:p>
    <w:p w14:paraId="3B355086" w14:textId="77777777" w:rsidR="00625E44" w:rsidRDefault="00625E44">
      <w:pPr>
        <w:rPr>
          <w:rFonts w:ascii="Arial" w:hAnsi="Arial" w:cs="Arial"/>
          <w:color w:val="1A1818" w:themeColor="text1"/>
          <w:sz w:val="22"/>
          <w:szCs w:val="22"/>
        </w:rPr>
      </w:pPr>
    </w:p>
    <w:p w14:paraId="6325FCAD" w14:textId="77777777" w:rsidR="00625E44" w:rsidRDefault="00625E44">
      <w:pPr>
        <w:rPr>
          <w:rFonts w:ascii="Arial" w:hAnsi="Arial" w:cs="Arial"/>
          <w:color w:val="1A1818" w:themeColor="text1"/>
          <w:sz w:val="22"/>
          <w:szCs w:val="22"/>
        </w:rPr>
      </w:pPr>
    </w:p>
    <w:p w14:paraId="22F5AACD" w14:textId="77777777" w:rsidR="00625E44" w:rsidRDefault="00625E44">
      <w:pPr>
        <w:rPr>
          <w:rFonts w:ascii="Arial" w:hAnsi="Arial" w:cs="Arial"/>
          <w:color w:val="1A1818" w:themeColor="text1"/>
          <w:sz w:val="22"/>
          <w:szCs w:val="22"/>
        </w:rPr>
      </w:pPr>
    </w:p>
    <w:p w14:paraId="13601366" w14:textId="77777777" w:rsidR="00625E44" w:rsidRDefault="00625E44">
      <w:pPr>
        <w:rPr>
          <w:rFonts w:ascii="Arial" w:hAnsi="Arial" w:cs="Arial"/>
          <w:color w:val="1A1818" w:themeColor="text1"/>
          <w:sz w:val="22"/>
          <w:szCs w:val="22"/>
        </w:rPr>
      </w:pPr>
    </w:p>
    <w:p w14:paraId="712EBBC7" w14:textId="77777777" w:rsidR="00625E44" w:rsidRDefault="00625E44">
      <w:pPr>
        <w:rPr>
          <w:rFonts w:ascii="Arial" w:hAnsi="Arial" w:cs="Arial"/>
          <w:color w:val="1A1818" w:themeColor="text1"/>
          <w:sz w:val="22"/>
          <w:szCs w:val="22"/>
        </w:rPr>
      </w:pPr>
    </w:p>
    <w:p w14:paraId="34E815EC" w14:textId="34865C40" w:rsidR="00625E44" w:rsidRDefault="009A7C86" w:rsidP="009A7C86">
      <w:pPr>
        <w:tabs>
          <w:tab w:val="left" w:pos="6000"/>
        </w:tabs>
        <w:rPr>
          <w:rFonts w:ascii="Arial" w:hAnsi="Arial" w:cs="Arial"/>
          <w:color w:val="1A1818" w:themeColor="text1"/>
          <w:sz w:val="22"/>
          <w:szCs w:val="22"/>
        </w:rPr>
      </w:pPr>
      <w:r>
        <w:rPr>
          <w:rFonts w:ascii="Arial" w:hAnsi="Arial" w:cs="Arial"/>
          <w:color w:val="1A1818" w:themeColor="text1"/>
          <w:sz w:val="22"/>
          <w:szCs w:val="22"/>
        </w:rPr>
        <w:tab/>
      </w:r>
    </w:p>
    <w:p w14:paraId="3042744F" w14:textId="0FE2D955" w:rsidR="00625E44" w:rsidRDefault="00625E44">
      <w:pPr>
        <w:rPr>
          <w:rFonts w:ascii="Arial" w:hAnsi="Arial" w:cs="Arial"/>
          <w:color w:val="1A1818" w:themeColor="text1"/>
          <w:sz w:val="22"/>
          <w:szCs w:val="22"/>
        </w:rPr>
      </w:pPr>
    </w:p>
    <w:p w14:paraId="0CB83F5D" w14:textId="13639014" w:rsidR="006C3172" w:rsidRDefault="006C3172">
      <w:pPr>
        <w:rPr>
          <w:rFonts w:ascii="Arial" w:hAnsi="Arial" w:cs="Arial"/>
          <w:color w:val="1A1818" w:themeColor="text1"/>
          <w:sz w:val="22"/>
          <w:szCs w:val="22"/>
        </w:rPr>
      </w:pPr>
    </w:p>
    <w:p w14:paraId="6D9B1911" w14:textId="721D9E27" w:rsidR="006C3172" w:rsidRDefault="006C3172">
      <w:pPr>
        <w:rPr>
          <w:rFonts w:ascii="Arial" w:hAnsi="Arial" w:cs="Arial"/>
          <w:color w:val="1A1818" w:themeColor="text1"/>
          <w:sz w:val="22"/>
          <w:szCs w:val="22"/>
        </w:rPr>
      </w:pPr>
    </w:p>
    <w:p w14:paraId="75493D78" w14:textId="15C815D0" w:rsidR="006C3172" w:rsidRDefault="006C3172">
      <w:pPr>
        <w:rPr>
          <w:rFonts w:ascii="Arial" w:hAnsi="Arial" w:cs="Arial"/>
          <w:color w:val="1A1818" w:themeColor="text1"/>
          <w:sz w:val="22"/>
          <w:szCs w:val="22"/>
        </w:rPr>
      </w:pPr>
    </w:p>
    <w:p w14:paraId="37F991B9" w14:textId="7C5832C8" w:rsidR="006C3172" w:rsidRDefault="006C3172">
      <w:pPr>
        <w:rPr>
          <w:rFonts w:ascii="Arial" w:hAnsi="Arial" w:cs="Arial"/>
          <w:color w:val="1A1818" w:themeColor="text1"/>
          <w:sz w:val="22"/>
          <w:szCs w:val="22"/>
        </w:rPr>
      </w:pPr>
    </w:p>
    <w:p w14:paraId="5EA114EC" w14:textId="64AC7BB9" w:rsidR="006C3172" w:rsidRDefault="006C3172">
      <w:pPr>
        <w:rPr>
          <w:rFonts w:ascii="Arial" w:hAnsi="Arial" w:cs="Arial"/>
          <w:color w:val="1A1818" w:themeColor="text1"/>
          <w:sz w:val="22"/>
          <w:szCs w:val="22"/>
        </w:rPr>
      </w:pPr>
    </w:p>
    <w:p w14:paraId="481347D1" w14:textId="77777777" w:rsidR="006C3172" w:rsidRDefault="006C3172">
      <w:pPr>
        <w:rPr>
          <w:rFonts w:ascii="Arial" w:hAnsi="Arial" w:cs="Arial"/>
          <w:color w:val="1A1818" w:themeColor="text1"/>
          <w:sz w:val="22"/>
          <w:szCs w:val="22"/>
        </w:rPr>
      </w:pPr>
    </w:p>
    <w:p w14:paraId="1B2A7968" w14:textId="47FF0573" w:rsidR="00625E44" w:rsidRDefault="00625E44">
      <w:pPr>
        <w:rPr>
          <w:rFonts w:ascii="Arial" w:hAnsi="Arial" w:cs="Arial"/>
          <w:color w:val="1A1818" w:themeColor="text1"/>
          <w:sz w:val="22"/>
          <w:szCs w:val="22"/>
        </w:rPr>
      </w:pPr>
    </w:p>
    <w:p w14:paraId="1D80D5E9" w14:textId="729B09E8" w:rsidR="006C3172" w:rsidRDefault="006C3172">
      <w:pPr>
        <w:rPr>
          <w:rFonts w:ascii="Arial" w:hAnsi="Arial" w:cs="Arial"/>
          <w:color w:val="1A1818" w:themeColor="text1"/>
          <w:sz w:val="22"/>
          <w:szCs w:val="22"/>
        </w:rPr>
      </w:pPr>
    </w:p>
    <w:p w14:paraId="40D80750" w14:textId="3A9D4F9F" w:rsidR="006C3172" w:rsidRDefault="006C3172">
      <w:pPr>
        <w:rPr>
          <w:rFonts w:ascii="Arial" w:hAnsi="Arial" w:cs="Arial"/>
          <w:color w:val="1A1818" w:themeColor="text1"/>
          <w:sz w:val="22"/>
          <w:szCs w:val="22"/>
        </w:rPr>
      </w:pPr>
    </w:p>
    <w:p w14:paraId="40044C25" w14:textId="7FEA08EB" w:rsidR="006C3172" w:rsidRDefault="006C3172">
      <w:pPr>
        <w:rPr>
          <w:rFonts w:ascii="Arial" w:hAnsi="Arial" w:cs="Arial"/>
          <w:color w:val="1A1818" w:themeColor="text1"/>
          <w:sz w:val="22"/>
          <w:szCs w:val="22"/>
        </w:rPr>
      </w:pPr>
    </w:p>
    <w:p w14:paraId="50652BA3" w14:textId="5447E740" w:rsidR="006C3172" w:rsidRDefault="006C3172">
      <w:pPr>
        <w:rPr>
          <w:rFonts w:ascii="Arial" w:hAnsi="Arial" w:cs="Arial"/>
          <w:color w:val="1A1818" w:themeColor="text1"/>
          <w:sz w:val="22"/>
          <w:szCs w:val="22"/>
        </w:rPr>
      </w:pPr>
    </w:p>
    <w:p w14:paraId="657F76B0" w14:textId="65F9221D" w:rsidR="006C3172" w:rsidRDefault="006C3172">
      <w:pPr>
        <w:rPr>
          <w:rFonts w:ascii="Arial" w:hAnsi="Arial" w:cs="Arial"/>
          <w:color w:val="1A1818" w:themeColor="text1"/>
          <w:sz w:val="22"/>
          <w:szCs w:val="22"/>
        </w:rPr>
      </w:pPr>
    </w:p>
    <w:p w14:paraId="219EAD1F" w14:textId="5F643808" w:rsidR="006C3172" w:rsidRDefault="006C3172">
      <w:pPr>
        <w:rPr>
          <w:rFonts w:ascii="Arial" w:hAnsi="Arial" w:cs="Arial"/>
          <w:color w:val="1A1818" w:themeColor="text1"/>
          <w:sz w:val="22"/>
          <w:szCs w:val="22"/>
        </w:rPr>
      </w:pPr>
    </w:p>
    <w:p w14:paraId="22C66679" w14:textId="3055E216" w:rsidR="006C3172" w:rsidRDefault="006C3172">
      <w:pPr>
        <w:rPr>
          <w:rFonts w:ascii="Arial" w:hAnsi="Arial" w:cs="Arial"/>
          <w:color w:val="1A1818" w:themeColor="text1"/>
          <w:sz w:val="22"/>
          <w:szCs w:val="22"/>
        </w:rPr>
      </w:pPr>
    </w:p>
    <w:p w14:paraId="69CF2D52" w14:textId="4C0A9FFE" w:rsidR="006C3172" w:rsidRDefault="006C3172">
      <w:pPr>
        <w:rPr>
          <w:rFonts w:ascii="Arial" w:hAnsi="Arial" w:cs="Arial"/>
          <w:color w:val="1A1818" w:themeColor="text1"/>
          <w:sz w:val="22"/>
          <w:szCs w:val="22"/>
        </w:rPr>
      </w:pPr>
    </w:p>
    <w:p w14:paraId="4EA8C11E" w14:textId="3B0580AD" w:rsidR="006C3172" w:rsidRDefault="006C3172">
      <w:pPr>
        <w:rPr>
          <w:rFonts w:ascii="Arial" w:hAnsi="Arial" w:cs="Arial"/>
          <w:color w:val="1A1818" w:themeColor="text1"/>
          <w:sz w:val="22"/>
          <w:szCs w:val="22"/>
        </w:rPr>
      </w:pPr>
    </w:p>
    <w:p w14:paraId="5D265273" w14:textId="2235EB4F" w:rsidR="006C3172" w:rsidRDefault="006C3172">
      <w:pPr>
        <w:rPr>
          <w:rFonts w:ascii="Arial" w:hAnsi="Arial" w:cs="Arial"/>
          <w:color w:val="1A1818" w:themeColor="text1"/>
          <w:sz w:val="22"/>
          <w:szCs w:val="22"/>
        </w:rPr>
      </w:pPr>
    </w:p>
    <w:p w14:paraId="0990EDE6" w14:textId="77777777" w:rsidR="006C3172" w:rsidRDefault="006C3172">
      <w:pPr>
        <w:rPr>
          <w:rFonts w:ascii="Arial" w:hAnsi="Arial" w:cs="Arial"/>
          <w:color w:val="1A1818" w:themeColor="text1"/>
          <w:sz w:val="22"/>
          <w:szCs w:val="22"/>
        </w:rPr>
      </w:pPr>
    </w:p>
    <w:p w14:paraId="13FC8FC2" w14:textId="77777777" w:rsidR="00625E44" w:rsidRPr="00D15784" w:rsidRDefault="00625E44">
      <w:pPr>
        <w:rPr>
          <w:rFonts w:ascii="Arial" w:hAnsi="Arial" w:cs="Arial"/>
          <w:color w:val="1A1818" w:themeColor="text1"/>
          <w:sz w:val="22"/>
          <w:szCs w:val="22"/>
        </w:rPr>
      </w:pPr>
    </w:p>
    <w:p w14:paraId="3D90F5F9" w14:textId="650E8398" w:rsidR="00660F9D" w:rsidRDefault="000D55A6" w:rsidP="00115A8C">
      <w:pPr>
        <w:pStyle w:val="Prrafodelista"/>
        <w:ind w:left="0"/>
        <w:jc w:val="both"/>
        <w:rPr>
          <w:rFonts w:ascii="Arial" w:hAnsi="Arial" w:cs="Arial"/>
          <w:color w:val="1A1818" w:themeColor="text1"/>
          <w:sz w:val="22"/>
          <w:szCs w:val="22"/>
        </w:rPr>
      </w:pPr>
      <w:r w:rsidRPr="00D15784">
        <w:rPr>
          <w:rFonts w:ascii="Arial" w:hAnsi="Arial" w:cs="Arial"/>
          <w:color w:val="1A1818" w:themeColor="text1"/>
          <w:sz w:val="22"/>
          <w:szCs w:val="22"/>
        </w:rPr>
        <w:t>El Consejo Superior de la Judicatura</w:t>
      </w:r>
      <w:r w:rsidR="00660F9D" w:rsidRPr="00D15784">
        <w:rPr>
          <w:rFonts w:ascii="Arial" w:hAnsi="Arial" w:cs="Arial"/>
          <w:color w:val="1A1818" w:themeColor="text1"/>
          <w:sz w:val="22"/>
          <w:szCs w:val="22"/>
        </w:rPr>
        <w:t>, de acuerdo con las disposiciones del artículo 2.2.1.1.1.6.1 del Decreto 1082 de 2015 y con base a la metodología descrita en la guía elaborada por Colombia Compra Eficiente, elabor</w:t>
      </w:r>
      <w:r w:rsidR="00903B97">
        <w:rPr>
          <w:rFonts w:ascii="Arial" w:hAnsi="Arial" w:cs="Arial"/>
          <w:color w:val="1A1818" w:themeColor="text1"/>
          <w:sz w:val="22"/>
          <w:szCs w:val="22"/>
        </w:rPr>
        <w:t>a el presente</w:t>
      </w:r>
      <w:r w:rsidR="00660F9D" w:rsidRPr="00D15784">
        <w:rPr>
          <w:rFonts w:ascii="Arial" w:hAnsi="Arial" w:cs="Arial"/>
          <w:color w:val="1A1818" w:themeColor="text1"/>
          <w:sz w:val="22"/>
          <w:szCs w:val="22"/>
        </w:rPr>
        <w:t xml:space="preserve"> estudio del sector relativo al objeto del proceso de contratación desde la perspectiva legal, comercial, financiera, organizacional, técnica, y de análisis de riesgo</w:t>
      </w:r>
      <w:r w:rsidR="006C3172" w:rsidRPr="00D15784">
        <w:rPr>
          <w:rStyle w:val="Refdenotaalpie"/>
          <w:rFonts w:ascii="Arial" w:hAnsi="Arial" w:cs="Arial"/>
          <w:color w:val="1A1818" w:themeColor="text1"/>
          <w:sz w:val="22"/>
          <w:szCs w:val="22"/>
        </w:rPr>
        <w:footnoteReference w:id="2"/>
      </w:r>
      <w:r w:rsidR="006C3172" w:rsidRPr="00D15784">
        <w:rPr>
          <w:rFonts w:ascii="Arial" w:hAnsi="Arial" w:cs="Arial"/>
          <w:color w:val="1A1818" w:themeColor="text1"/>
          <w:sz w:val="22"/>
          <w:szCs w:val="22"/>
        </w:rPr>
        <w:t>.</w:t>
      </w:r>
    </w:p>
    <w:p w14:paraId="78DB5C18" w14:textId="77777777" w:rsidR="00115A8C" w:rsidRDefault="00115A8C" w:rsidP="00115A8C">
      <w:pPr>
        <w:pStyle w:val="Prrafodelista"/>
        <w:ind w:left="0"/>
        <w:jc w:val="both"/>
        <w:rPr>
          <w:rFonts w:ascii="Arial" w:hAnsi="Arial" w:cs="Arial"/>
          <w:color w:val="1A1818" w:themeColor="text1"/>
          <w:sz w:val="22"/>
          <w:szCs w:val="22"/>
        </w:rPr>
      </w:pPr>
    </w:p>
    <w:p w14:paraId="1FBACD40" w14:textId="77777777" w:rsidR="00115A8C" w:rsidRPr="00D15784" w:rsidRDefault="00115A8C" w:rsidP="00115A8C">
      <w:pPr>
        <w:pStyle w:val="Prrafodelista"/>
        <w:ind w:left="0"/>
        <w:jc w:val="both"/>
        <w:rPr>
          <w:rFonts w:ascii="Arial" w:hAnsi="Arial" w:cs="Arial"/>
          <w:color w:val="1A1818" w:themeColor="text1"/>
          <w:sz w:val="22"/>
          <w:szCs w:val="22"/>
        </w:rPr>
      </w:pPr>
    </w:p>
    <w:p w14:paraId="7D392E11" w14:textId="77777777" w:rsidR="00D7028A" w:rsidRPr="00D15784" w:rsidRDefault="004D010E" w:rsidP="00115A8C">
      <w:pPr>
        <w:pStyle w:val="Ttulo1"/>
        <w:numPr>
          <w:ilvl w:val="0"/>
          <w:numId w:val="1"/>
        </w:numPr>
        <w:spacing w:before="0"/>
        <w:rPr>
          <w:rFonts w:ascii="Arial" w:hAnsi="Arial" w:cs="Arial"/>
          <w:color w:val="1A1818" w:themeColor="text1"/>
          <w:sz w:val="22"/>
          <w:szCs w:val="22"/>
        </w:rPr>
      </w:pPr>
      <w:bookmarkStart w:id="1" w:name="_Toc228353029"/>
      <w:r w:rsidRPr="00D15784">
        <w:rPr>
          <w:rFonts w:ascii="Arial" w:hAnsi="Arial" w:cs="Arial"/>
          <w:color w:val="1A1818" w:themeColor="text1"/>
          <w:sz w:val="22"/>
          <w:szCs w:val="22"/>
        </w:rPr>
        <w:t>Aspectos generales del mercado</w:t>
      </w:r>
      <w:bookmarkEnd w:id="1"/>
    </w:p>
    <w:p w14:paraId="2BCCEB76" w14:textId="5C60E571" w:rsidR="00B22940" w:rsidRDefault="00B22940" w:rsidP="00115A8C">
      <w:pPr>
        <w:jc w:val="both"/>
        <w:rPr>
          <w:rFonts w:ascii="Arial" w:hAnsi="Arial" w:cs="Arial"/>
          <w:color w:val="1A1818" w:themeColor="text1"/>
          <w:sz w:val="22"/>
          <w:szCs w:val="22"/>
        </w:rPr>
      </w:pPr>
      <w:r w:rsidRPr="00D15784">
        <w:rPr>
          <w:rFonts w:ascii="Arial" w:hAnsi="Arial" w:cs="Arial"/>
          <w:color w:val="1A1818" w:themeColor="text1"/>
          <w:sz w:val="22"/>
          <w:szCs w:val="22"/>
        </w:rPr>
        <w:t>El presente documento enmarca los actores y variables económicas a tener en cuenta dentro de</w:t>
      </w:r>
      <w:r w:rsidR="00903B97">
        <w:rPr>
          <w:rFonts w:ascii="Arial" w:hAnsi="Arial" w:cs="Arial"/>
          <w:color w:val="1A1818" w:themeColor="text1"/>
          <w:sz w:val="22"/>
          <w:szCs w:val="22"/>
        </w:rPr>
        <w:t xml:space="preserve">l proceso de contratación que tiene por objeto: </w:t>
      </w:r>
      <w:r w:rsidR="00CB219A" w:rsidRPr="00FC1542">
        <w:rPr>
          <w:rFonts w:ascii="Arial" w:hAnsi="Arial" w:cs="Arial"/>
          <w:sz w:val="22"/>
          <w:szCs w:val="22"/>
        </w:rPr>
        <w:t>PRESTAR EL SERVICIO DE MANTENIMIENTO PREVENTIVO Y CORRECTIVO, A MONTO AGOTABLE, PARA LOS SISTEMAS DE BOMBEO DE LAS SEDES A CARGO DE LA DIRECCIÓN SECCIONAL DE ADMINISTRACIÓN JUDICIAL DE CUNDINAMARCA - AMAZONAS, INCLUYENDO EL SUMINISTRO DE INSUMOS MEDIANTE BOLSA DE REPUESTOS</w:t>
      </w:r>
      <w:r w:rsidR="00903B97">
        <w:rPr>
          <w:rFonts w:ascii="Arial" w:hAnsi="Arial" w:cs="Arial"/>
          <w:color w:val="1A1818" w:themeColor="text1"/>
          <w:sz w:val="22"/>
          <w:szCs w:val="22"/>
        </w:rPr>
        <w:t>”</w:t>
      </w:r>
      <w:r w:rsidRPr="00D15784">
        <w:rPr>
          <w:rFonts w:ascii="Arial" w:hAnsi="Arial" w:cs="Arial"/>
          <w:color w:val="1A1818" w:themeColor="text1"/>
          <w:sz w:val="22"/>
          <w:szCs w:val="22"/>
        </w:rPr>
        <w:t>. En este sentido, la información presentada a continuación corresponde a la estructura sugerida por Colombia Compra Eficiente para los Análisis del Sector de los procesos de contratación.</w:t>
      </w:r>
    </w:p>
    <w:p w14:paraId="0C4F0E0D" w14:textId="77777777" w:rsidR="00115A8C" w:rsidRDefault="00115A8C" w:rsidP="00115A8C">
      <w:pPr>
        <w:jc w:val="both"/>
        <w:rPr>
          <w:rFonts w:ascii="Arial" w:hAnsi="Arial" w:cs="Arial"/>
          <w:color w:val="1A1818" w:themeColor="text1"/>
          <w:sz w:val="22"/>
          <w:szCs w:val="22"/>
        </w:rPr>
      </w:pPr>
    </w:p>
    <w:p w14:paraId="7AD0D61A" w14:textId="77777777" w:rsidR="008C725F" w:rsidRPr="00D15784" w:rsidRDefault="004D010E" w:rsidP="00115A8C">
      <w:pPr>
        <w:pStyle w:val="Ttulo2"/>
        <w:numPr>
          <w:ilvl w:val="0"/>
          <w:numId w:val="4"/>
        </w:numPr>
        <w:spacing w:before="0"/>
        <w:ind w:left="709" w:hanging="284"/>
        <w:jc w:val="both"/>
        <w:rPr>
          <w:rFonts w:ascii="Arial" w:hAnsi="Arial" w:cs="Arial"/>
          <w:color w:val="1A1818" w:themeColor="text1"/>
          <w:szCs w:val="22"/>
        </w:rPr>
      </w:pPr>
      <w:bookmarkStart w:id="2" w:name="_Toc228353030"/>
      <w:r w:rsidRPr="00D15784">
        <w:rPr>
          <w:rFonts w:ascii="Arial" w:hAnsi="Arial" w:cs="Arial"/>
          <w:color w:val="1A1818" w:themeColor="text1"/>
          <w:szCs w:val="22"/>
        </w:rPr>
        <w:t>Entorno económico</w:t>
      </w:r>
      <w:bookmarkEnd w:id="2"/>
    </w:p>
    <w:p w14:paraId="4ECD2289" w14:textId="77777777" w:rsidR="00EA4520" w:rsidRDefault="00EA4520" w:rsidP="00EA4520">
      <w:pPr>
        <w:jc w:val="both"/>
        <w:rPr>
          <w:rFonts w:ascii="Arial" w:hAnsi="Arial" w:cs="Arial"/>
          <w:color w:val="1A1818" w:themeColor="text1"/>
          <w:sz w:val="22"/>
          <w:szCs w:val="22"/>
        </w:rPr>
      </w:pPr>
      <w:r w:rsidRPr="00EA4520">
        <w:rPr>
          <w:rFonts w:ascii="Arial" w:hAnsi="Arial" w:cs="Arial"/>
          <w:color w:val="1A1818" w:themeColor="text1"/>
          <w:sz w:val="22"/>
          <w:szCs w:val="22"/>
        </w:rPr>
        <w:t>El comportamiento del mercado de mantenimiento electromecánico, hidrosanitario y suministro de repuestos está directamente influenciado por variables macroeconómicas que determinan y moldean la estructura de costos de los posibles oferentes. Para el presente proceso de selección, la Dirección Seccional ha evaluado el impacto de los siguientes indicadores económicos:</w:t>
      </w:r>
    </w:p>
    <w:p w14:paraId="3C47B20C" w14:textId="77777777" w:rsidR="00EA4520" w:rsidRPr="00EA4520" w:rsidRDefault="00EA4520" w:rsidP="00EA4520">
      <w:pPr>
        <w:jc w:val="both"/>
        <w:rPr>
          <w:rFonts w:ascii="Arial" w:hAnsi="Arial" w:cs="Arial"/>
          <w:color w:val="1A1818" w:themeColor="text1"/>
          <w:sz w:val="22"/>
          <w:szCs w:val="22"/>
        </w:rPr>
      </w:pPr>
    </w:p>
    <w:p w14:paraId="2EB2C4AD" w14:textId="77777777" w:rsidR="00EA4520" w:rsidRDefault="00EA4520" w:rsidP="00EA4520">
      <w:pPr>
        <w:numPr>
          <w:ilvl w:val="0"/>
          <w:numId w:val="35"/>
        </w:numPr>
        <w:jc w:val="both"/>
        <w:rPr>
          <w:rFonts w:ascii="Arial" w:hAnsi="Arial" w:cs="Arial"/>
          <w:color w:val="1A1818" w:themeColor="text1"/>
          <w:sz w:val="22"/>
          <w:szCs w:val="22"/>
        </w:rPr>
      </w:pPr>
      <w:r w:rsidRPr="00EA4520">
        <w:rPr>
          <w:rFonts w:ascii="Arial" w:hAnsi="Arial" w:cs="Arial"/>
          <w:b/>
          <w:bCs/>
          <w:color w:val="1A1818" w:themeColor="text1"/>
          <w:sz w:val="22"/>
          <w:szCs w:val="22"/>
        </w:rPr>
        <w:t>Índice de Precios al Consumidor (IPC) y Salario Mínimo (SMMLV):</w:t>
      </w:r>
      <w:r w:rsidRPr="00EA4520">
        <w:rPr>
          <w:rFonts w:ascii="Arial" w:hAnsi="Arial" w:cs="Arial"/>
          <w:color w:val="1A1818" w:themeColor="text1"/>
          <w:sz w:val="22"/>
          <w:szCs w:val="22"/>
        </w:rPr>
        <w:t xml:space="preserve"> La prestación de este servicio es altamente intensiva en mano de obra calificada (ingenieros, técnicos electricistas con matrícula CONTE/COPNIA, y personal certificado para trabajo en alturas y espacios confinados). Por lo tanto, los incrementos normativos del SMMLV y las presiones inflacionarias (IPC) afectan directamente el costo de nómina de las cuadrillas de mantenimiento, así como los rubros asociados a viáticos, transporte y logística operativa para el desplazamiento a las diferentes sedes judiciales (especialmente Leticia).</w:t>
      </w:r>
    </w:p>
    <w:p w14:paraId="2C552AFC" w14:textId="77777777" w:rsidR="00EA4520" w:rsidRPr="00EA4520" w:rsidRDefault="00EA4520" w:rsidP="00EA4520">
      <w:pPr>
        <w:ind w:left="720"/>
        <w:jc w:val="both"/>
        <w:rPr>
          <w:rFonts w:ascii="Arial" w:hAnsi="Arial" w:cs="Arial"/>
          <w:color w:val="1A1818" w:themeColor="text1"/>
          <w:sz w:val="22"/>
          <w:szCs w:val="22"/>
        </w:rPr>
      </w:pPr>
    </w:p>
    <w:p w14:paraId="1B2FF1B3" w14:textId="77777777" w:rsidR="00EA4520" w:rsidRDefault="00EA4520" w:rsidP="00EA4520">
      <w:pPr>
        <w:numPr>
          <w:ilvl w:val="0"/>
          <w:numId w:val="35"/>
        </w:numPr>
        <w:jc w:val="both"/>
        <w:rPr>
          <w:rFonts w:ascii="Arial" w:hAnsi="Arial" w:cs="Arial"/>
          <w:color w:val="1A1818" w:themeColor="text1"/>
          <w:sz w:val="22"/>
          <w:szCs w:val="22"/>
        </w:rPr>
      </w:pPr>
      <w:r w:rsidRPr="00EA4520">
        <w:rPr>
          <w:rFonts w:ascii="Arial" w:hAnsi="Arial" w:cs="Arial"/>
          <w:b/>
          <w:bCs/>
          <w:color w:val="1A1818" w:themeColor="text1"/>
          <w:sz w:val="22"/>
          <w:szCs w:val="22"/>
        </w:rPr>
        <w:t>Tasa Representativa del Mercado (TRM) y Cadena de Suministro:</w:t>
      </w:r>
      <w:r w:rsidRPr="00EA4520">
        <w:rPr>
          <w:rFonts w:ascii="Arial" w:hAnsi="Arial" w:cs="Arial"/>
          <w:color w:val="1A1818" w:themeColor="text1"/>
          <w:sz w:val="22"/>
          <w:szCs w:val="22"/>
        </w:rPr>
        <w:t xml:space="preserve"> El sector electromecánico es altamente dependiente de la importación. Gran parte de los repuestos críticos e insumos (tales como rodamientos NSK/SKF, sellos mecánicos, variadores de frecuencia, tableros de control y motobombas de marcas como Barnes, </w:t>
      </w:r>
      <w:proofErr w:type="spellStart"/>
      <w:r w:rsidRPr="00EA4520">
        <w:rPr>
          <w:rFonts w:ascii="Arial" w:hAnsi="Arial" w:cs="Arial"/>
          <w:color w:val="1A1818" w:themeColor="text1"/>
          <w:sz w:val="22"/>
          <w:szCs w:val="22"/>
        </w:rPr>
        <w:t>Goulds</w:t>
      </w:r>
      <w:proofErr w:type="spellEnd"/>
      <w:r w:rsidRPr="00EA4520">
        <w:rPr>
          <w:rFonts w:ascii="Arial" w:hAnsi="Arial" w:cs="Arial"/>
          <w:color w:val="1A1818" w:themeColor="text1"/>
          <w:sz w:val="22"/>
          <w:szCs w:val="22"/>
        </w:rPr>
        <w:t xml:space="preserve"> o Grundfos) son bienes importados o ensamblados con componentes extranjeros. En consecuencia, la volatilidad en la tasa de cambio del dólar (TRM) representa el principal factor de fluctuación en los precios de la bolsa de repuestos.</w:t>
      </w:r>
    </w:p>
    <w:p w14:paraId="790166EC" w14:textId="77777777" w:rsidR="00991024" w:rsidRPr="00EA4520" w:rsidRDefault="00991024" w:rsidP="00991024">
      <w:pPr>
        <w:jc w:val="both"/>
        <w:rPr>
          <w:rFonts w:ascii="Arial" w:hAnsi="Arial" w:cs="Arial"/>
          <w:color w:val="1A1818" w:themeColor="text1"/>
          <w:sz w:val="22"/>
          <w:szCs w:val="22"/>
        </w:rPr>
      </w:pPr>
    </w:p>
    <w:p w14:paraId="19581322" w14:textId="77777777" w:rsidR="00EA4520" w:rsidRDefault="00EA4520" w:rsidP="00EA4520">
      <w:pPr>
        <w:numPr>
          <w:ilvl w:val="0"/>
          <w:numId w:val="35"/>
        </w:numPr>
        <w:jc w:val="both"/>
        <w:rPr>
          <w:rFonts w:ascii="Arial" w:hAnsi="Arial" w:cs="Arial"/>
          <w:color w:val="1A1818" w:themeColor="text1"/>
          <w:sz w:val="22"/>
          <w:szCs w:val="22"/>
        </w:rPr>
      </w:pPr>
      <w:r w:rsidRPr="00EA4520">
        <w:rPr>
          <w:rFonts w:ascii="Arial" w:hAnsi="Arial" w:cs="Arial"/>
          <w:b/>
          <w:bCs/>
          <w:color w:val="1A1818" w:themeColor="text1"/>
          <w:sz w:val="22"/>
          <w:szCs w:val="22"/>
        </w:rPr>
        <w:t>Comportamiento Tributario y Cargas Impositivas:</w:t>
      </w:r>
      <w:r w:rsidRPr="00EA4520">
        <w:rPr>
          <w:rFonts w:ascii="Arial" w:hAnsi="Arial" w:cs="Arial"/>
          <w:color w:val="1A1818" w:themeColor="text1"/>
          <w:sz w:val="22"/>
          <w:szCs w:val="22"/>
        </w:rPr>
        <w:t xml:space="preserve"> Las empresas de este sector deben incorporar en sus modelos financieros los gravámenes vigentes, tales como el Impuesto al Valor Agregado (IVA) aplicable a servicios y repuestos, así como los descuentos por Retención en la Fuente, Impuesto de Industria y Comercio (ICA) y demás deducciones de ley aplicables a la facturación institucional.</w:t>
      </w:r>
    </w:p>
    <w:p w14:paraId="131510D1" w14:textId="77777777" w:rsidR="00991024" w:rsidRDefault="00991024" w:rsidP="00991024">
      <w:pPr>
        <w:pStyle w:val="Prrafodelista"/>
        <w:rPr>
          <w:rFonts w:ascii="Arial" w:hAnsi="Arial" w:cs="Arial"/>
          <w:color w:val="1A1818" w:themeColor="text1"/>
          <w:sz w:val="22"/>
          <w:szCs w:val="22"/>
        </w:rPr>
      </w:pPr>
    </w:p>
    <w:p w14:paraId="182308CB" w14:textId="77777777" w:rsidR="00991024" w:rsidRPr="00EA4520" w:rsidRDefault="00991024" w:rsidP="00991024">
      <w:pPr>
        <w:ind w:left="720"/>
        <w:jc w:val="both"/>
        <w:rPr>
          <w:rFonts w:ascii="Arial" w:hAnsi="Arial" w:cs="Arial"/>
          <w:color w:val="1A1818" w:themeColor="text1"/>
          <w:sz w:val="22"/>
          <w:szCs w:val="22"/>
        </w:rPr>
      </w:pPr>
    </w:p>
    <w:p w14:paraId="62E2AE2E" w14:textId="77777777" w:rsidR="00EA4520" w:rsidRPr="00EA4520" w:rsidRDefault="00EA4520" w:rsidP="00EA4520">
      <w:pPr>
        <w:jc w:val="both"/>
        <w:rPr>
          <w:rFonts w:ascii="Arial" w:hAnsi="Arial" w:cs="Arial"/>
          <w:color w:val="1A1818" w:themeColor="text1"/>
          <w:sz w:val="22"/>
          <w:szCs w:val="22"/>
        </w:rPr>
      </w:pPr>
      <w:r w:rsidRPr="00EA4520">
        <w:rPr>
          <w:rFonts w:ascii="Arial" w:hAnsi="Arial" w:cs="Arial"/>
          <w:b/>
          <w:bCs/>
          <w:color w:val="1A1818" w:themeColor="text1"/>
          <w:sz w:val="22"/>
          <w:szCs w:val="22"/>
        </w:rPr>
        <w:t>Conclusión sobre la Asignación del Riesgo Económico:</w:t>
      </w:r>
      <w:r w:rsidRPr="00EA4520">
        <w:rPr>
          <w:rFonts w:ascii="Arial" w:hAnsi="Arial" w:cs="Arial"/>
          <w:color w:val="1A1818" w:themeColor="text1"/>
          <w:sz w:val="22"/>
          <w:szCs w:val="22"/>
        </w:rPr>
        <w:t xml:space="preserve"> Considerando el análisis de estas variables macroeconómicas y la naturaleza del presente proceso, la Dirección Seccional ha determinado que el contrato se ejecutará bajo la modalidad de </w:t>
      </w:r>
      <w:r w:rsidRPr="00EA4520">
        <w:rPr>
          <w:rFonts w:ascii="Arial" w:hAnsi="Arial" w:cs="Arial"/>
          <w:b/>
          <w:bCs/>
          <w:color w:val="1A1818" w:themeColor="text1"/>
          <w:sz w:val="22"/>
          <w:szCs w:val="22"/>
        </w:rPr>
        <w:t>Precios Unitarios Fijos sin fórmula de reajuste</w:t>
      </w:r>
      <w:r w:rsidRPr="00EA4520">
        <w:rPr>
          <w:rFonts w:ascii="Arial" w:hAnsi="Arial" w:cs="Arial"/>
          <w:color w:val="1A1818" w:themeColor="text1"/>
          <w:sz w:val="22"/>
          <w:szCs w:val="22"/>
        </w:rPr>
        <w:t>. Esta condición transfiere el riesgo de fluctuación ordinaria del mercado (variaciones en IPC, TRM o salarios) al contratista. Por consiguiente, es obligación de los proponentes prospectar e interiorizar estas variables dentro de la estructuración de su Oferta Económica inicial, toda vez que la Entidad no reconocerá sobrecostos, ajustes tarifarios ni reclamaciones por desequilibrio económico derivadas del comportamiento previsible de estos indicadores económicos durante el plazo de ejecución del contrato.</w:t>
      </w:r>
    </w:p>
    <w:p w14:paraId="57288E8D" w14:textId="77777777" w:rsidR="00642261" w:rsidRPr="00D15784" w:rsidRDefault="00642261" w:rsidP="00E21822">
      <w:pPr>
        <w:jc w:val="both"/>
        <w:rPr>
          <w:rFonts w:ascii="Arial" w:hAnsi="Arial" w:cs="Arial"/>
          <w:color w:val="1A1818" w:themeColor="text1"/>
          <w:sz w:val="22"/>
          <w:szCs w:val="22"/>
        </w:rPr>
      </w:pPr>
    </w:p>
    <w:p w14:paraId="7C8A0313" w14:textId="77777777" w:rsidR="00093757" w:rsidRPr="00093757" w:rsidRDefault="00093757" w:rsidP="00093757">
      <w:pPr>
        <w:autoSpaceDE w:val="0"/>
        <w:autoSpaceDN w:val="0"/>
        <w:adjustRightInd w:val="0"/>
        <w:ind w:right="-340"/>
        <w:jc w:val="both"/>
        <w:rPr>
          <w:rFonts w:ascii="Arial" w:hAnsi="Arial" w:cs="Arial"/>
          <w:bCs/>
          <w:sz w:val="22"/>
          <w:szCs w:val="22"/>
        </w:rPr>
      </w:pPr>
      <w:r w:rsidRPr="00093757">
        <w:rPr>
          <w:rFonts w:ascii="Arial" w:hAnsi="Arial" w:cs="Arial"/>
          <w:b/>
          <w:bCs/>
          <w:sz w:val="22"/>
          <w:szCs w:val="22"/>
          <w:u w:val="single"/>
        </w:rPr>
        <w:t>PERSPECTIVA COMERCIAL Y FINANCIERA:</w:t>
      </w:r>
      <w:r w:rsidRPr="00093757">
        <w:rPr>
          <w:rFonts w:ascii="Arial" w:hAnsi="Arial" w:cs="Arial"/>
          <w:b/>
          <w:bCs/>
          <w:sz w:val="22"/>
          <w:szCs w:val="22"/>
        </w:rPr>
        <w:t xml:space="preserve"> </w:t>
      </w:r>
    </w:p>
    <w:p w14:paraId="55A4DA73" w14:textId="77777777" w:rsidR="00093757" w:rsidRDefault="00093757" w:rsidP="00093757">
      <w:pPr>
        <w:pStyle w:val="Prrafodelista"/>
        <w:autoSpaceDE w:val="0"/>
        <w:autoSpaceDN w:val="0"/>
        <w:adjustRightInd w:val="0"/>
        <w:ind w:right="-340"/>
        <w:rPr>
          <w:rFonts w:ascii="Arial" w:hAnsi="Arial" w:cs="Arial"/>
          <w:bCs/>
          <w:szCs w:val="22"/>
        </w:rPr>
      </w:pPr>
    </w:p>
    <w:p w14:paraId="305D5302" w14:textId="45D226F8" w:rsidR="00901001" w:rsidRDefault="004F2AD1" w:rsidP="004F2AD1">
      <w:pPr>
        <w:jc w:val="both"/>
        <w:rPr>
          <w:rFonts w:ascii="Arial" w:hAnsi="Arial" w:cs="Arial"/>
          <w:color w:val="1A1818" w:themeColor="text1"/>
          <w:sz w:val="22"/>
          <w:szCs w:val="22"/>
        </w:rPr>
      </w:pPr>
      <w:r w:rsidRPr="001317CF">
        <w:rPr>
          <w:rFonts w:ascii="Arial" w:hAnsi="Arial" w:cs="Arial"/>
          <w:color w:val="1A1818" w:themeColor="text1"/>
          <w:sz w:val="22"/>
          <w:szCs w:val="22"/>
        </w:rPr>
        <w:t>Para identificar el sector del servicio a contratar de acuerdo con el objeto del presente proceso, se toma como fuente de información, la calificación de bienes y servicios de Naciones Unidas</w:t>
      </w:r>
      <w:r w:rsidR="00043AEA">
        <w:rPr>
          <w:rFonts w:ascii="Arial" w:hAnsi="Arial" w:cs="Arial"/>
          <w:color w:val="1A1818" w:themeColor="text1"/>
          <w:sz w:val="22"/>
          <w:szCs w:val="22"/>
        </w:rPr>
        <w:t xml:space="preserve"> </w:t>
      </w:r>
      <w:r w:rsidRPr="001317CF">
        <w:rPr>
          <w:rFonts w:ascii="Arial" w:hAnsi="Arial" w:cs="Arial"/>
          <w:color w:val="1A1818" w:themeColor="text1"/>
          <w:sz w:val="22"/>
          <w:szCs w:val="22"/>
        </w:rPr>
        <w:t>-</w:t>
      </w:r>
      <w:r w:rsidR="00043AEA">
        <w:rPr>
          <w:rFonts w:ascii="Arial" w:hAnsi="Arial" w:cs="Arial"/>
          <w:color w:val="1A1818" w:themeColor="text1"/>
          <w:sz w:val="22"/>
          <w:szCs w:val="22"/>
        </w:rPr>
        <w:t xml:space="preserve"> </w:t>
      </w:r>
      <w:r w:rsidRPr="001317CF">
        <w:rPr>
          <w:rFonts w:ascii="Arial" w:hAnsi="Arial" w:cs="Arial"/>
          <w:color w:val="1A1818" w:themeColor="text1"/>
          <w:sz w:val="22"/>
          <w:szCs w:val="22"/>
        </w:rPr>
        <w:t>UNSPSC</w:t>
      </w:r>
      <w:r w:rsidR="00093757" w:rsidRPr="001317CF">
        <w:rPr>
          <w:rFonts w:ascii="Arial" w:hAnsi="Arial" w:cs="Arial"/>
          <w:color w:val="1A1818" w:themeColor="text1"/>
          <w:sz w:val="22"/>
          <w:szCs w:val="22"/>
        </w:rPr>
        <w:t>.</w:t>
      </w:r>
      <w:r w:rsidRPr="001317CF">
        <w:rPr>
          <w:rFonts w:ascii="Arial" w:hAnsi="Arial" w:cs="Arial"/>
          <w:color w:val="1A1818" w:themeColor="text1"/>
          <w:sz w:val="22"/>
          <w:szCs w:val="22"/>
        </w:rPr>
        <w:t xml:space="preserve"> </w:t>
      </w:r>
      <w:r w:rsidR="00093757" w:rsidRPr="001317CF">
        <w:rPr>
          <w:rFonts w:ascii="Arial" w:hAnsi="Arial" w:cs="Arial"/>
          <w:color w:val="1A1818" w:themeColor="text1"/>
          <w:sz w:val="22"/>
          <w:szCs w:val="22"/>
        </w:rPr>
        <w:t xml:space="preserve"> </w:t>
      </w:r>
      <w:r w:rsidRPr="001317CF">
        <w:rPr>
          <w:rFonts w:ascii="Arial" w:hAnsi="Arial" w:cs="Arial"/>
          <w:color w:val="1A1818" w:themeColor="text1"/>
          <w:sz w:val="22"/>
          <w:szCs w:val="22"/>
        </w:rPr>
        <w:t xml:space="preserve">De acuerdo con la Guía para la codificación de bienes y servicios del código estándar de productos y servicios de Naciones Unidas-UNSPSC, utilizada por Colombia Compra Eficiente como una metodología uniforme de codificación para clasificar productos y servicios, fundamentada en un arreglo jerárquico y en una estructura lógica en donde, la entidad compradora organiza sus adquisiciones requeridas bajo un esquema de orientación a la demanda se identifica que la necesidad de la entidad puede ser satisfecha a través de los siguientes segmentos de producto: </w:t>
      </w:r>
      <w:r w:rsidRPr="001317CF">
        <w:rPr>
          <w:rFonts w:ascii="Arial" w:hAnsi="Arial" w:cs="Arial"/>
          <w:color w:val="1A1818" w:themeColor="text1"/>
          <w:sz w:val="22"/>
          <w:szCs w:val="22"/>
        </w:rPr>
        <w:cr/>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0A0" w:firstRow="1" w:lastRow="0" w:firstColumn="1" w:lastColumn="0" w:noHBand="0" w:noVBand="0"/>
      </w:tblPr>
      <w:tblGrid>
        <w:gridCol w:w="793"/>
        <w:gridCol w:w="1731"/>
        <w:gridCol w:w="6222"/>
      </w:tblGrid>
      <w:tr w:rsidR="00DC26E4" w:rsidRPr="00DC26E4" w14:paraId="013995C2" w14:textId="77777777" w:rsidTr="00A70F72">
        <w:trPr>
          <w:trHeight w:val="300"/>
          <w:tblHeader/>
          <w:jc w:val="center"/>
        </w:trPr>
        <w:tc>
          <w:tcPr>
            <w:tcW w:w="793" w:type="dxa"/>
            <w:shd w:val="clear" w:color="auto" w:fill="D9D9D9" w:themeFill="background1" w:themeFillShade="D9"/>
            <w:vAlign w:val="center"/>
          </w:tcPr>
          <w:p w14:paraId="4BE562EC" w14:textId="77777777" w:rsidR="00DC26E4" w:rsidRPr="00DC26E4" w:rsidRDefault="00DC26E4" w:rsidP="00A70F72">
            <w:pPr>
              <w:jc w:val="center"/>
              <w:rPr>
                <w:rFonts w:ascii="Arial" w:hAnsi="Arial" w:cs="Arial"/>
                <w:b/>
                <w:color w:val="1A1818" w:themeColor="text1"/>
                <w:sz w:val="20"/>
                <w:szCs w:val="20"/>
                <w:lang w:eastAsia="es-CO"/>
              </w:rPr>
            </w:pPr>
            <w:r w:rsidRPr="00DC26E4">
              <w:rPr>
                <w:rFonts w:ascii="Arial" w:hAnsi="Arial" w:cs="Arial"/>
                <w:b/>
                <w:color w:val="1A1818" w:themeColor="text1"/>
                <w:sz w:val="20"/>
                <w:szCs w:val="20"/>
                <w:lang w:eastAsia="es-CO"/>
              </w:rPr>
              <w:t>ITEM</w:t>
            </w:r>
          </w:p>
        </w:tc>
        <w:tc>
          <w:tcPr>
            <w:tcW w:w="1731" w:type="dxa"/>
            <w:shd w:val="clear" w:color="auto" w:fill="D9D9D9" w:themeFill="background1" w:themeFillShade="D9"/>
            <w:vAlign w:val="center"/>
          </w:tcPr>
          <w:p w14:paraId="3A10E521" w14:textId="77777777" w:rsidR="00DC26E4" w:rsidRPr="00DC26E4" w:rsidRDefault="00DC26E4" w:rsidP="00A70F72">
            <w:pPr>
              <w:jc w:val="center"/>
              <w:rPr>
                <w:rFonts w:ascii="Arial" w:hAnsi="Arial" w:cs="Arial"/>
                <w:b/>
                <w:color w:val="1A1818" w:themeColor="text1"/>
                <w:sz w:val="20"/>
                <w:szCs w:val="20"/>
                <w:lang w:eastAsia="es-CO"/>
              </w:rPr>
            </w:pPr>
            <w:r w:rsidRPr="00DC26E4">
              <w:rPr>
                <w:rFonts w:ascii="Arial" w:hAnsi="Arial" w:cs="Arial"/>
                <w:b/>
                <w:color w:val="1A1818" w:themeColor="text1"/>
                <w:sz w:val="20"/>
                <w:szCs w:val="20"/>
                <w:lang w:eastAsia="es-CO"/>
              </w:rPr>
              <w:t>Código UNSPSC</w:t>
            </w:r>
          </w:p>
        </w:tc>
        <w:tc>
          <w:tcPr>
            <w:tcW w:w="6222" w:type="dxa"/>
            <w:shd w:val="clear" w:color="auto" w:fill="D9D9D9" w:themeFill="background1" w:themeFillShade="D9"/>
            <w:vAlign w:val="center"/>
          </w:tcPr>
          <w:p w14:paraId="35330452" w14:textId="77777777" w:rsidR="00DC26E4" w:rsidRPr="00DC26E4" w:rsidRDefault="00DC26E4" w:rsidP="00A70F72">
            <w:pPr>
              <w:jc w:val="center"/>
              <w:rPr>
                <w:rFonts w:ascii="Arial" w:hAnsi="Arial" w:cs="Arial"/>
                <w:b/>
                <w:color w:val="1A1818" w:themeColor="text1"/>
                <w:sz w:val="20"/>
                <w:szCs w:val="20"/>
                <w:lang w:eastAsia="es-CO"/>
              </w:rPr>
            </w:pPr>
            <w:r w:rsidRPr="00DC26E4">
              <w:rPr>
                <w:rFonts w:ascii="Arial" w:hAnsi="Arial" w:cs="Arial"/>
                <w:b/>
                <w:color w:val="1A1818" w:themeColor="text1"/>
                <w:sz w:val="20"/>
                <w:szCs w:val="20"/>
                <w:lang w:eastAsia="es-CO"/>
              </w:rPr>
              <w:t>Producto</w:t>
            </w:r>
          </w:p>
        </w:tc>
      </w:tr>
      <w:tr w:rsidR="00DC26E4" w:rsidRPr="00DC26E4" w14:paraId="04FF141B" w14:textId="77777777" w:rsidTr="00A70F72">
        <w:trPr>
          <w:trHeight w:val="300"/>
          <w:jc w:val="center"/>
        </w:trPr>
        <w:tc>
          <w:tcPr>
            <w:tcW w:w="793" w:type="dxa"/>
            <w:vAlign w:val="center"/>
          </w:tcPr>
          <w:p w14:paraId="1932F065" w14:textId="77777777" w:rsidR="00DC26E4" w:rsidRPr="00DC26E4" w:rsidRDefault="00DC26E4" w:rsidP="00A70F72">
            <w:pPr>
              <w:jc w:val="center"/>
              <w:rPr>
                <w:rFonts w:ascii="Arial" w:hAnsi="Arial" w:cs="Arial"/>
                <w:color w:val="1A1818" w:themeColor="text1"/>
                <w:sz w:val="20"/>
                <w:szCs w:val="20"/>
                <w:lang w:eastAsia="es-CO"/>
              </w:rPr>
            </w:pPr>
            <w:r w:rsidRPr="00DC26E4">
              <w:rPr>
                <w:rFonts w:ascii="Arial" w:hAnsi="Arial" w:cs="Arial"/>
                <w:color w:val="1A1818" w:themeColor="text1"/>
                <w:sz w:val="20"/>
                <w:szCs w:val="20"/>
                <w:lang w:eastAsia="es-CO"/>
              </w:rPr>
              <w:t>1</w:t>
            </w:r>
          </w:p>
        </w:tc>
        <w:tc>
          <w:tcPr>
            <w:tcW w:w="1731" w:type="dxa"/>
            <w:vAlign w:val="center"/>
          </w:tcPr>
          <w:p w14:paraId="523D2005" w14:textId="77777777" w:rsidR="00DC26E4" w:rsidRPr="00DC26E4" w:rsidRDefault="00DC26E4" w:rsidP="00A70F72">
            <w:pPr>
              <w:jc w:val="center"/>
              <w:rPr>
                <w:rFonts w:ascii="Arial" w:hAnsi="Arial" w:cs="Arial"/>
                <w:color w:val="1A1818" w:themeColor="text1"/>
                <w:sz w:val="20"/>
                <w:szCs w:val="20"/>
                <w:lang w:eastAsia="es-CO"/>
              </w:rPr>
            </w:pPr>
            <w:r w:rsidRPr="00DC26E4">
              <w:rPr>
                <w:rFonts w:ascii="Arial" w:hAnsi="Arial" w:cs="Arial"/>
                <w:sz w:val="20"/>
                <w:szCs w:val="20"/>
              </w:rPr>
              <w:t>72154109</w:t>
            </w:r>
          </w:p>
        </w:tc>
        <w:tc>
          <w:tcPr>
            <w:tcW w:w="6222" w:type="dxa"/>
            <w:vAlign w:val="center"/>
          </w:tcPr>
          <w:p w14:paraId="0E02302E" w14:textId="77777777" w:rsidR="00DC26E4" w:rsidRPr="00DC26E4" w:rsidRDefault="00DC26E4" w:rsidP="00A70F72">
            <w:pPr>
              <w:jc w:val="center"/>
              <w:rPr>
                <w:rFonts w:ascii="Arial" w:hAnsi="Arial" w:cs="Arial"/>
                <w:color w:val="1A1818" w:themeColor="text1"/>
                <w:sz w:val="20"/>
                <w:szCs w:val="20"/>
                <w:lang w:eastAsia="es-CO"/>
              </w:rPr>
            </w:pPr>
            <w:r w:rsidRPr="00DC26E4">
              <w:rPr>
                <w:rFonts w:ascii="Arial" w:hAnsi="Arial" w:cs="Arial"/>
                <w:sz w:val="20"/>
                <w:szCs w:val="20"/>
              </w:rPr>
              <w:t>Servicio de mantenimiento o reparación de bombas centrífugas</w:t>
            </w:r>
          </w:p>
        </w:tc>
      </w:tr>
      <w:tr w:rsidR="00DC26E4" w:rsidRPr="00DC26E4" w14:paraId="0CBB118F" w14:textId="77777777" w:rsidTr="00A70F72">
        <w:trPr>
          <w:trHeight w:val="300"/>
          <w:jc w:val="center"/>
        </w:trPr>
        <w:tc>
          <w:tcPr>
            <w:tcW w:w="793" w:type="dxa"/>
            <w:vAlign w:val="center"/>
          </w:tcPr>
          <w:p w14:paraId="48B2F68C" w14:textId="77777777" w:rsidR="00DC26E4" w:rsidRPr="00DC26E4" w:rsidRDefault="00DC26E4" w:rsidP="00A70F72">
            <w:pPr>
              <w:jc w:val="center"/>
              <w:rPr>
                <w:rFonts w:ascii="Arial" w:hAnsi="Arial" w:cs="Arial"/>
                <w:color w:val="1A1818" w:themeColor="text1"/>
                <w:sz w:val="20"/>
                <w:szCs w:val="20"/>
                <w:lang w:eastAsia="es-CO"/>
              </w:rPr>
            </w:pPr>
            <w:r w:rsidRPr="00DC26E4">
              <w:rPr>
                <w:rFonts w:ascii="Arial" w:hAnsi="Arial" w:cs="Arial"/>
                <w:color w:val="1A1818" w:themeColor="text1"/>
                <w:sz w:val="20"/>
                <w:szCs w:val="20"/>
                <w:lang w:eastAsia="es-CO"/>
              </w:rPr>
              <w:t>2</w:t>
            </w:r>
          </w:p>
        </w:tc>
        <w:tc>
          <w:tcPr>
            <w:tcW w:w="1731" w:type="dxa"/>
            <w:vAlign w:val="center"/>
          </w:tcPr>
          <w:p w14:paraId="14A92F2E" w14:textId="77777777" w:rsidR="00DC26E4" w:rsidRPr="00DC26E4" w:rsidRDefault="00DC26E4" w:rsidP="00A70F72">
            <w:pPr>
              <w:jc w:val="center"/>
              <w:rPr>
                <w:rFonts w:ascii="Arial" w:hAnsi="Arial" w:cs="Arial"/>
                <w:sz w:val="20"/>
                <w:szCs w:val="20"/>
              </w:rPr>
            </w:pPr>
            <w:r w:rsidRPr="00DC26E4">
              <w:rPr>
                <w:rFonts w:ascii="Arial" w:hAnsi="Arial" w:cs="Arial"/>
                <w:sz w:val="20"/>
                <w:szCs w:val="20"/>
              </w:rPr>
              <w:t>72101509</w:t>
            </w:r>
          </w:p>
        </w:tc>
        <w:tc>
          <w:tcPr>
            <w:tcW w:w="6222" w:type="dxa"/>
            <w:vAlign w:val="center"/>
          </w:tcPr>
          <w:p w14:paraId="3983B4C7" w14:textId="77777777" w:rsidR="00DC26E4" w:rsidRPr="00DC26E4" w:rsidRDefault="00DC26E4" w:rsidP="00A70F72">
            <w:pPr>
              <w:jc w:val="center"/>
              <w:rPr>
                <w:rFonts w:ascii="Arial" w:hAnsi="Arial" w:cs="Arial"/>
                <w:sz w:val="20"/>
                <w:szCs w:val="20"/>
              </w:rPr>
            </w:pPr>
            <w:r w:rsidRPr="00DC26E4">
              <w:rPr>
                <w:rFonts w:ascii="Arial" w:hAnsi="Arial" w:cs="Arial"/>
                <w:sz w:val="20"/>
                <w:szCs w:val="20"/>
              </w:rPr>
              <w:t>Servicio de mantenimiento o reparación de equipos y sistemas de protección contra incendios</w:t>
            </w:r>
          </w:p>
        </w:tc>
      </w:tr>
      <w:tr w:rsidR="00DC26E4" w:rsidRPr="00DC26E4" w14:paraId="0BBA2478" w14:textId="77777777" w:rsidTr="00A70F72">
        <w:trPr>
          <w:trHeight w:val="300"/>
          <w:jc w:val="center"/>
        </w:trPr>
        <w:tc>
          <w:tcPr>
            <w:tcW w:w="793" w:type="dxa"/>
            <w:vAlign w:val="center"/>
          </w:tcPr>
          <w:p w14:paraId="7F9D5790" w14:textId="77777777" w:rsidR="00DC26E4" w:rsidRPr="00DC26E4" w:rsidRDefault="00DC26E4" w:rsidP="00A70F72">
            <w:pPr>
              <w:jc w:val="center"/>
              <w:rPr>
                <w:rFonts w:ascii="Arial" w:hAnsi="Arial" w:cs="Arial"/>
                <w:color w:val="1A1818" w:themeColor="text1"/>
                <w:sz w:val="20"/>
                <w:szCs w:val="20"/>
                <w:lang w:eastAsia="es-CO"/>
              </w:rPr>
            </w:pPr>
            <w:r w:rsidRPr="00DC26E4">
              <w:rPr>
                <w:rFonts w:ascii="Arial" w:hAnsi="Arial" w:cs="Arial"/>
                <w:color w:val="1A1818" w:themeColor="text1"/>
                <w:sz w:val="20"/>
                <w:szCs w:val="20"/>
                <w:lang w:eastAsia="es-CO"/>
              </w:rPr>
              <w:t>3</w:t>
            </w:r>
          </w:p>
        </w:tc>
        <w:tc>
          <w:tcPr>
            <w:tcW w:w="1731" w:type="dxa"/>
            <w:vAlign w:val="center"/>
          </w:tcPr>
          <w:p w14:paraId="52352D7E" w14:textId="77777777" w:rsidR="00DC26E4" w:rsidRPr="00DC26E4" w:rsidRDefault="00DC26E4" w:rsidP="00A70F72">
            <w:pPr>
              <w:jc w:val="center"/>
              <w:rPr>
                <w:rFonts w:ascii="Arial" w:hAnsi="Arial" w:cs="Arial"/>
                <w:sz w:val="20"/>
                <w:szCs w:val="20"/>
              </w:rPr>
            </w:pPr>
            <w:r w:rsidRPr="00DC26E4">
              <w:rPr>
                <w:rFonts w:ascii="Arial" w:hAnsi="Arial" w:cs="Arial"/>
                <w:sz w:val="20"/>
                <w:szCs w:val="20"/>
              </w:rPr>
              <w:t>72154402</w:t>
            </w:r>
          </w:p>
        </w:tc>
        <w:tc>
          <w:tcPr>
            <w:tcW w:w="6222" w:type="dxa"/>
            <w:vAlign w:val="center"/>
          </w:tcPr>
          <w:p w14:paraId="5D1F101E" w14:textId="77777777" w:rsidR="00DC26E4" w:rsidRPr="00DC26E4" w:rsidRDefault="00DC26E4" w:rsidP="00A70F72">
            <w:pPr>
              <w:jc w:val="center"/>
              <w:rPr>
                <w:rFonts w:ascii="Arial" w:hAnsi="Arial" w:cs="Arial"/>
                <w:sz w:val="20"/>
                <w:szCs w:val="20"/>
              </w:rPr>
            </w:pPr>
            <w:r w:rsidRPr="00DC26E4">
              <w:rPr>
                <w:rFonts w:ascii="Arial" w:hAnsi="Arial" w:cs="Arial"/>
                <w:sz w:val="20"/>
                <w:szCs w:val="20"/>
              </w:rPr>
              <w:t>Servicio de mantenimiento o reparación de accesorios para tuberías</w:t>
            </w:r>
          </w:p>
        </w:tc>
      </w:tr>
      <w:tr w:rsidR="00DC26E4" w:rsidRPr="00DC26E4" w14:paraId="4E03A7F7" w14:textId="77777777" w:rsidTr="00A70F72">
        <w:trPr>
          <w:trHeight w:val="300"/>
          <w:jc w:val="center"/>
        </w:trPr>
        <w:tc>
          <w:tcPr>
            <w:tcW w:w="793" w:type="dxa"/>
            <w:vAlign w:val="center"/>
          </w:tcPr>
          <w:p w14:paraId="7F15D3B3" w14:textId="77777777" w:rsidR="00DC26E4" w:rsidRPr="00DC26E4" w:rsidRDefault="00DC26E4" w:rsidP="00A70F72">
            <w:pPr>
              <w:jc w:val="center"/>
              <w:rPr>
                <w:rFonts w:ascii="Arial" w:hAnsi="Arial" w:cs="Arial"/>
                <w:color w:val="1A1818" w:themeColor="text1"/>
                <w:sz w:val="20"/>
                <w:szCs w:val="20"/>
                <w:lang w:eastAsia="es-CO"/>
              </w:rPr>
            </w:pPr>
            <w:r w:rsidRPr="00DC26E4">
              <w:rPr>
                <w:rFonts w:ascii="Arial" w:hAnsi="Arial" w:cs="Arial"/>
                <w:color w:val="1A1818" w:themeColor="text1"/>
                <w:sz w:val="20"/>
                <w:szCs w:val="20"/>
                <w:lang w:eastAsia="es-CO"/>
              </w:rPr>
              <w:t>4</w:t>
            </w:r>
          </w:p>
        </w:tc>
        <w:tc>
          <w:tcPr>
            <w:tcW w:w="1731" w:type="dxa"/>
            <w:vAlign w:val="center"/>
          </w:tcPr>
          <w:p w14:paraId="03677E81" w14:textId="77777777" w:rsidR="00DC26E4" w:rsidRPr="00DC26E4" w:rsidRDefault="00DC26E4" w:rsidP="00A70F72">
            <w:pPr>
              <w:jc w:val="center"/>
              <w:rPr>
                <w:rFonts w:ascii="Arial" w:hAnsi="Arial" w:cs="Arial"/>
                <w:sz w:val="20"/>
                <w:szCs w:val="20"/>
              </w:rPr>
            </w:pPr>
            <w:r w:rsidRPr="00DC26E4">
              <w:rPr>
                <w:rFonts w:ascii="Arial" w:hAnsi="Arial" w:cs="Arial"/>
                <w:sz w:val="20"/>
                <w:szCs w:val="20"/>
              </w:rPr>
              <w:t>72154056</w:t>
            </w:r>
          </w:p>
        </w:tc>
        <w:tc>
          <w:tcPr>
            <w:tcW w:w="6222" w:type="dxa"/>
            <w:vAlign w:val="center"/>
          </w:tcPr>
          <w:p w14:paraId="346CD3BC" w14:textId="77777777" w:rsidR="00DC26E4" w:rsidRPr="00DC26E4" w:rsidRDefault="00DC26E4" w:rsidP="00A70F72">
            <w:pPr>
              <w:jc w:val="center"/>
              <w:rPr>
                <w:rFonts w:ascii="Arial" w:hAnsi="Arial" w:cs="Arial"/>
                <w:sz w:val="20"/>
                <w:szCs w:val="20"/>
              </w:rPr>
            </w:pPr>
            <w:r w:rsidRPr="00DC26E4">
              <w:rPr>
                <w:rFonts w:ascii="Arial" w:hAnsi="Arial" w:cs="Arial"/>
                <w:sz w:val="20"/>
                <w:szCs w:val="20"/>
              </w:rPr>
              <w:t>Servicio de mantenimiento o reparación de tanques</w:t>
            </w:r>
          </w:p>
        </w:tc>
      </w:tr>
    </w:tbl>
    <w:p w14:paraId="478DAAAE" w14:textId="77777777" w:rsidR="005111CB" w:rsidRDefault="005111CB" w:rsidP="005111CB">
      <w:pPr>
        <w:jc w:val="both"/>
        <w:rPr>
          <w:rFonts w:ascii="Arial" w:hAnsi="Arial" w:cs="Arial"/>
          <w:color w:val="1A1818" w:themeColor="text1"/>
          <w:sz w:val="22"/>
          <w:szCs w:val="22"/>
        </w:rPr>
      </w:pPr>
    </w:p>
    <w:p w14:paraId="445F60F6" w14:textId="77777777" w:rsidR="000E556B" w:rsidRDefault="005111CB" w:rsidP="005111CB">
      <w:pPr>
        <w:jc w:val="both"/>
        <w:rPr>
          <w:rFonts w:ascii="Arial" w:hAnsi="Arial" w:cs="Arial"/>
          <w:color w:val="1A1818" w:themeColor="text1"/>
          <w:sz w:val="22"/>
          <w:szCs w:val="22"/>
        </w:rPr>
      </w:pPr>
      <w:r w:rsidRPr="005111CB">
        <w:rPr>
          <w:rFonts w:ascii="Arial" w:hAnsi="Arial" w:cs="Arial"/>
          <w:color w:val="1A1818" w:themeColor="text1"/>
          <w:sz w:val="22"/>
          <w:szCs w:val="22"/>
        </w:rPr>
        <w:t>La viabilidad comercial del presente proceso de selección y la disposición de las empresas para ofertar bajo la modalidad de mínima cuantía están directamente condicionadas por el comportamiento económico del país. Para estructurar financieramente el proyecto, la Dirección Seccional ha evaluado las cifras oficiales emitidas por el Departamento Administrativo Nacional de Estadística (DANE) en su boletín técnico del Índice de Precios al Consumidor (IPC) de marzo de 2026, cruzando esta información con la dinámica del Producto Interno Bruto (PIB) del sector servicios.</w:t>
      </w:r>
      <w:r w:rsidR="001E4C19">
        <w:rPr>
          <w:rFonts w:ascii="Arial" w:hAnsi="Arial" w:cs="Arial"/>
          <w:color w:val="1A1818" w:themeColor="text1"/>
          <w:sz w:val="22"/>
          <w:szCs w:val="22"/>
        </w:rPr>
        <w:t xml:space="preserve"> </w:t>
      </w:r>
    </w:p>
    <w:p w14:paraId="40290B00" w14:textId="77777777" w:rsidR="00DC4067" w:rsidRDefault="00DC4067" w:rsidP="005111CB">
      <w:pPr>
        <w:jc w:val="both"/>
        <w:rPr>
          <w:rFonts w:ascii="Arial" w:hAnsi="Arial" w:cs="Arial"/>
          <w:color w:val="1A1818" w:themeColor="text1"/>
          <w:sz w:val="22"/>
          <w:szCs w:val="22"/>
        </w:rPr>
      </w:pPr>
    </w:p>
    <w:p w14:paraId="41DB766B" w14:textId="77777777" w:rsidR="00A20EEB" w:rsidRDefault="00DC4067" w:rsidP="00A20EEB">
      <w:pPr>
        <w:jc w:val="both"/>
        <w:rPr>
          <w:rFonts w:ascii="Arial" w:hAnsi="Arial" w:cs="Arial"/>
          <w:color w:val="1A1818" w:themeColor="text1"/>
          <w:sz w:val="22"/>
          <w:szCs w:val="22"/>
        </w:rPr>
      </w:pPr>
      <w:r w:rsidRPr="00DC4067">
        <w:rPr>
          <w:rFonts w:ascii="Arial" w:hAnsi="Arial" w:cs="Arial"/>
          <w:b/>
          <w:bCs/>
          <w:color w:val="1A1818" w:themeColor="text1"/>
          <w:sz w:val="22"/>
          <w:szCs w:val="22"/>
        </w:rPr>
        <w:t>Comportamiento de la Inflación (IPC) y su Impacto en los Costos Directos:</w:t>
      </w:r>
      <w:r w:rsidRPr="00DC4067">
        <w:rPr>
          <w:rFonts w:ascii="Arial" w:hAnsi="Arial" w:cs="Arial"/>
          <w:color w:val="1A1818" w:themeColor="text1"/>
          <w:sz w:val="22"/>
          <w:szCs w:val="22"/>
        </w:rPr>
        <w:t xml:space="preserve"> </w:t>
      </w:r>
      <w:r w:rsidR="00A20EEB" w:rsidRPr="00A20EEB">
        <w:rPr>
          <w:rFonts w:ascii="Arial" w:hAnsi="Arial" w:cs="Arial"/>
          <w:color w:val="1A1818" w:themeColor="text1"/>
          <w:sz w:val="22"/>
          <w:szCs w:val="22"/>
        </w:rPr>
        <w:t xml:space="preserve">De acuerdo con los reportes oficiales del DANE, la variación anual del Índice de Precios al Consumidor (IPC) para el periodo de marzo 2025 a marzo 2026 se ubicó en un </w:t>
      </w:r>
      <w:r w:rsidR="00A20EEB" w:rsidRPr="00A20EEB">
        <w:rPr>
          <w:rFonts w:ascii="Arial" w:hAnsi="Arial" w:cs="Arial"/>
          <w:b/>
          <w:bCs/>
          <w:color w:val="1A1818" w:themeColor="text1"/>
          <w:sz w:val="22"/>
          <w:szCs w:val="22"/>
        </w:rPr>
        <w:t>5,56%</w:t>
      </w:r>
      <w:r w:rsidR="00A20EEB" w:rsidRPr="00A20EEB">
        <w:rPr>
          <w:rFonts w:ascii="Arial" w:hAnsi="Arial" w:cs="Arial"/>
          <w:color w:val="1A1818" w:themeColor="text1"/>
          <w:sz w:val="22"/>
          <w:szCs w:val="22"/>
        </w:rPr>
        <w:t xml:space="preserve">, mientras que la inflación de año corrido (enero a marzo de 2026) alcanzó el </w:t>
      </w:r>
      <w:r w:rsidR="00A20EEB" w:rsidRPr="00A20EEB">
        <w:rPr>
          <w:rFonts w:ascii="Arial" w:hAnsi="Arial" w:cs="Arial"/>
          <w:b/>
          <w:bCs/>
          <w:color w:val="1A1818" w:themeColor="text1"/>
          <w:sz w:val="22"/>
          <w:szCs w:val="22"/>
        </w:rPr>
        <w:t>3,07%</w:t>
      </w:r>
      <w:r w:rsidR="00A20EEB" w:rsidRPr="00A20EEB">
        <w:rPr>
          <w:rFonts w:ascii="Arial" w:hAnsi="Arial" w:cs="Arial"/>
          <w:color w:val="1A1818" w:themeColor="text1"/>
          <w:sz w:val="22"/>
          <w:szCs w:val="22"/>
        </w:rPr>
        <w:t>. Al trasladar este comportamiento macroeconómico a la estructura de costos específica del presente proceso contractual, se identifican los siguientes impactos:</w:t>
      </w:r>
    </w:p>
    <w:p w14:paraId="7E9FC0ED" w14:textId="77777777" w:rsidR="00A20EEB" w:rsidRPr="00A20EEB" w:rsidRDefault="00A20EEB" w:rsidP="00A20EEB">
      <w:pPr>
        <w:jc w:val="both"/>
        <w:rPr>
          <w:rFonts w:ascii="Arial" w:hAnsi="Arial" w:cs="Arial"/>
          <w:color w:val="1A1818" w:themeColor="text1"/>
          <w:sz w:val="22"/>
          <w:szCs w:val="22"/>
        </w:rPr>
      </w:pPr>
    </w:p>
    <w:p w14:paraId="1B5AB759" w14:textId="77777777" w:rsidR="00A20EEB" w:rsidRDefault="00A20EEB" w:rsidP="00A20EEB">
      <w:pPr>
        <w:numPr>
          <w:ilvl w:val="0"/>
          <w:numId w:val="37"/>
        </w:numPr>
        <w:jc w:val="both"/>
        <w:rPr>
          <w:rFonts w:ascii="Arial" w:hAnsi="Arial" w:cs="Arial"/>
          <w:color w:val="1A1818" w:themeColor="text1"/>
          <w:sz w:val="22"/>
          <w:szCs w:val="22"/>
        </w:rPr>
      </w:pPr>
      <w:r w:rsidRPr="00A20EEB">
        <w:rPr>
          <w:rFonts w:ascii="Arial" w:hAnsi="Arial" w:cs="Arial"/>
          <w:b/>
          <w:bCs/>
          <w:color w:val="1A1818" w:themeColor="text1"/>
          <w:sz w:val="22"/>
          <w:szCs w:val="22"/>
        </w:rPr>
        <w:t>Costos de Suministros y Repuestos:</w:t>
      </w:r>
      <w:r w:rsidRPr="00A20EEB">
        <w:rPr>
          <w:rFonts w:ascii="Arial" w:hAnsi="Arial" w:cs="Arial"/>
          <w:color w:val="1A1818" w:themeColor="text1"/>
          <w:sz w:val="22"/>
          <w:szCs w:val="22"/>
        </w:rPr>
        <w:t xml:space="preserve"> La variación del IPC impacta los precios en la cadena de importación y distribución nacional de ferretería industrial especializada, tales como repuestos electromecánicos (sellos mecánicos, variadores, tableros de control) y componentes hidrosanitarios.</w:t>
      </w:r>
    </w:p>
    <w:p w14:paraId="4AC33833" w14:textId="77777777" w:rsidR="00A20EEB" w:rsidRPr="00A20EEB" w:rsidRDefault="00A20EEB" w:rsidP="00A20EEB">
      <w:pPr>
        <w:ind w:left="720"/>
        <w:jc w:val="both"/>
        <w:rPr>
          <w:rFonts w:ascii="Arial" w:hAnsi="Arial" w:cs="Arial"/>
          <w:color w:val="1A1818" w:themeColor="text1"/>
          <w:sz w:val="22"/>
          <w:szCs w:val="22"/>
        </w:rPr>
      </w:pPr>
    </w:p>
    <w:p w14:paraId="023887F5" w14:textId="77777777" w:rsidR="00A20EEB" w:rsidRDefault="00A20EEB" w:rsidP="00A20EEB">
      <w:pPr>
        <w:numPr>
          <w:ilvl w:val="0"/>
          <w:numId w:val="37"/>
        </w:numPr>
        <w:jc w:val="both"/>
        <w:rPr>
          <w:rFonts w:ascii="Arial" w:hAnsi="Arial" w:cs="Arial"/>
          <w:color w:val="1A1818" w:themeColor="text1"/>
          <w:sz w:val="22"/>
          <w:szCs w:val="22"/>
        </w:rPr>
      </w:pPr>
      <w:r w:rsidRPr="00A20EEB">
        <w:rPr>
          <w:rFonts w:ascii="Arial" w:hAnsi="Arial" w:cs="Arial"/>
          <w:b/>
          <w:bCs/>
          <w:color w:val="1A1818" w:themeColor="text1"/>
          <w:sz w:val="22"/>
          <w:szCs w:val="22"/>
        </w:rPr>
        <w:t>Mano de Obra y Carga Logística:</w:t>
      </w:r>
      <w:r w:rsidRPr="00A20EEB">
        <w:rPr>
          <w:rFonts w:ascii="Arial" w:hAnsi="Arial" w:cs="Arial"/>
          <w:color w:val="1A1818" w:themeColor="text1"/>
          <w:sz w:val="22"/>
          <w:szCs w:val="22"/>
        </w:rPr>
        <w:t xml:space="preserve"> Las presiones inflacionarias determinan el piso para los ajustes salariales del personal técnico y de ingeniería certificado (trabajo en alturas, espacios confinados, electricistas CONTE). Asimismo, afectan los rubros de transporte terrestre, aéreo y viáticos, los cuales son determinantes para garantizar la cobertura operativa en sedes foráneas como Girardot y Leticia.</w:t>
      </w:r>
    </w:p>
    <w:p w14:paraId="64DF65E9" w14:textId="77777777" w:rsidR="000E556B" w:rsidRPr="00A20EEB" w:rsidRDefault="000E556B" w:rsidP="000E556B">
      <w:pPr>
        <w:jc w:val="both"/>
        <w:rPr>
          <w:rFonts w:ascii="Arial" w:hAnsi="Arial" w:cs="Arial"/>
          <w:color w:val="1A1818" w:themeColor="text1"/>
          <w:sz w:val="22"/>
          <w:szCs w:val="22"/>
        </w:rPr>
      </w:pPr>
    </w:p>
    <w:p w14:paraId="4DC48570" w14:textId="77777777" w:rsidR="00A20EEB" w:rsidRPr="00A20EEB" w:rsidRDefault="00A20EEB" w:rsidP="00A20EEB">
      <w:pPr>
        <w:jc w:val="both"/>
        <w:rPr>
          <w:rFonts w:ascii="Arial" w:hAnsi="Arial" w:cs="Arial"/>
          <w:color w:val="1A1818" w:themeColor="text1"/>
          <w:sz w:val="22"/>
          <w:szCs w:val="22"/>
        </w:rPr>
      </w:pPr>
      <w:r w:rsidRPr="00A20EEB">
        <w:rPr>
          <w:rFonts w:ascii="Arial" w:hAnsi="Arial" w:cs="Arial"/>
          <w:b/>
          <w:bCs/>
          <w:color w:val="1A1818" w:themeColor="text1"/>
          <w:sz w:val="22"/>
          <w:szCs w:val="22"/>
        </w:rPr>
        <w:t>Estabilidad y Mitigación del Riesgo:</w:t>
      </w:r>
      <w:r w:rsidRPr="00A20EEB">
        <w:rPr>
          <w:rFonts w:ascii="Arial" w:hAnsi="Arial" w:cs="Arial"/>
          <w:color w:val="1A1818" w:themeColor="text1"/>
          <w:sz w:val="22"/>
          <w:szCs w:val="22"/>
        </w:rPr>
        <w:t xml:space="preserve"> A pesar de estas variables, la consolidación de la inflación anual en un 5,56% refleja una tendencia de relativa previsibilidad en el mercado nacional. Esta estabilización estadística es la prueba técnica que justifica y viabiliza jurídicamente que la Entidad exija una oferta económica estructurada bajo </w:t>
      </w:r>
      <w:r w:rsidRPr="00A20EEB">
        <w:rPr>
          <w:rFonts w:ascii="Arial" w:hAnsi="Arial" w:cs="Arial"/>
          <w:b/>
          <w:bCs/>
          <w:color w:val="1A1818" w:themeColor="text1"/>
          <w:sz w:val="22"/>
          <w:szCs w:val="22"/>
        </w:rPr>
        <w:t>precios unitarios fijos sin fórmula de reajuste</w:t>
      </w:r>
      <w:r w:rsidRPr="00A20EEB">
        <w:rPr>
          <w:rFonts w:ascii="Arial" w:hAnsi="Arial" w:cs="Arial"/>
          <w:color w:val="1A1818" w:themeColor="text1"/>
          <w:sz w:val="22"/>
          <w:szCs w:val="22"/>
        </w:rPr>
        <w:t>. Las empresas especializadas del sector cuentan hoy con un panorama macroeconómico que les permite proyectar e interiorizar estos márgenes dentro de sus propuestas iniciales, asumiendo el riesgo ordinario de fluctuación sin que ello represente una amenaza inminente de desequilibrio económico para el contrato.</w:t>
      </w:r>
    </w:p>
    <w:p w14:paraId="392D045D" w14:textId="77777777" w:rsidR="00DC4067" w:rsidRDefault="00DC4067" w:rsidP="005111CB">
      <w:pPr>
        <w:jc w:val="both"/>
        <w:rPr>
          <w:rFonts w:ascii="Arial" w:hAnsi="Arial" w:cs="Arial"/>
          <w:color w:val="1A1818" w:themeColor="text1"/>
          <w:sz w:val="22"/>
          <w:szCs w:val="22"/>
        </w:rPr>
      </w:pPr>
    </w:p>
    <w:p w14:paraId="22F985F5" w14:textId="2BF743BE" w:rsidR="000F3177" w:rsidRDefault="000F3177" w:rsidP="005111CB">
      <w:pPr>
        <w:jc w:val="both"/>
        <w:rPr>
          <w:rFonts w:ascii="Arial" w:hAnsi="Arial" w:cs="Arial"/>
          <w:color w:val="1A1818" w:themeColor="text1"/>
          <w:sz w:val="22"/>
          <w:szCs w:val="22"/>
        </w:rPr>
      </w:pPr>
      <w:r w:rsidRPr="000F3177">
        <w:rPr>
          <w:rFonts w:ascii="Arial" w:hAnsi="Arial" w:cs="Arial"/>
          <w:b/>
          <w:bCs/>
          <w:color w:val="1A1818" w:themeColor="text1"/>
          <w:sz w:val="22"/>
          <w:szCs w:val="22"/>
        </w:rPr>
        <w:t>Dinámica del Producto Interno Bruto (PIB) en el Sector de Servicios Especializados:</w:t>
      </w:r>
      <w:r w:rsidRPr="000F3177">
        <w:rPr>
          <w:rFonts w:ascii="Arial" w:hAnsi="Arial" w:cs="Arial"/>
          <w:color w:val="1A1818" w:themeColor="text1"/>
          <w:sz w:val="22"/>
          <w:szCs w:val="22"/>
        </w:rPr>
        <w:t xml:space="preserve"> El análisis del PIB, particularmente en las ramas de </w:t>
      </w:r>
      <w:r w:rsidRPr="000F3177">
        <w:rPr>
          <w:rFonts w:ascii="Arial" w:hAnsi="Arial" w:cs="Arial"/>
          <w:i/>
          <w:iCs/>
          <w:color w:val="1A1818" w:themeColor="text1"/>
          <w:sz w:val="22"/>
          <w:szCs w:val="22"/>
        </w:rPr>
        <w:t>actividades de servicios administrativos y de apoyo</w:t>
      </w:r>
      <w:r w:rsidRPr="000F3177">
        <w:rPr>
          <w:rFonts w:ascii="Arial" w:hAnsi="Arial" w:cs="Arial"/>
          <w:color w:val="1A1818" w:themeColor="text1"/>
          <w:sz w:val="22"/>
          <w:szCs w:val="22"/>
        </w:rPr>
        <w:t xml:space="preserve"> y de </w:t>
      </w:r>
      <w:r w:rsidRPr="000F3177">
        <w:rPr>
          <w:rFonts w:ascii="Arial" w:hAnsi="Arial" w:cs="Arial"/>
          <w:i/>
          <w:iCs/>
          <w:color w:val="1A1818" w:themeColor="text1"/>
          <w:sz w:val="22"/>
          <w:szCs w:val="22"/>
        </w:rPr>
        <w:t>construcción especializada</w:t>
      </w:r>
      <w:r w:rsidRPr="000F3177">
        <w:rPr>
          <w:rFonts w:ascii="Arial" w:hAnsi="Arial" w:cs="Arial"/>
          <w:color w:val="1A1818" w:themeColor="text1"/>
          <w:sz w:val="22"/>
          <w:szCs w:val="22"/>
        </w:rPr>
        <w:t xml:space="preserve"> (donde se agrupan las empresas de mantenimiento electromecánico e hidrosanitario), refleja un mercado resiliente y maduro. La industria de soporte a la infraestructura institucional mantiene un aporte constante a la economía formal, impulsada en gran medida por la demanda del Estado (compras públicas) y del sector corporativo. Esta dinámica garantiza a la Dirección Seccional que existe un ecosistema de empresas solventes, operativas y con la capacidad instalada suficiente para atender la demanda requerida.</w:t>
      </w:r>
    </w:p>
    <w:p w14:paraId="50B2AB34" w14:textId="77777777" w:rsidR="000F3177" w:rsidRDefault="000F3177" w:rsidP="005111CB">
      <w:pPr>
        <w:jc w:val="both"/>
        <w:rPr>
          <w:rFonts w:ascii="Arial" w:hAnsi="Arial" w:cs="Arial"/>
          <w:color w:val="1A1818" w:themeColor="text1"/>
          <w:sz w:val="22"/>
          <w:szCs w:val="22"/>
        </w:rPr>
      </w:pPr>
    </w:p>
    <w:p w14:paraId="2E52CB6F" w14:textId="14D5E336" w:rsidR="000C2079" w:rsidRDefault="000C6F0C" w:rsidP="005111CB">
      <w:pPr>
        <w:jc w:val="both"/>
        <w:rPr>
          <w:rFonts w:ascii="Arial" w:hAnsi="Arial" w:cs="Arial"/>
          <w:color w:val="1A1818" w:themeColor="text1"/>
          <w:sz w:val="22"/>
          <w:szCs w:val="22"/>
        </w:rPr>
      </w:pPr>
      <w:r w:rsidRPr="000C6F0C">
        <w:rPr>
          <w:rFonts w:ascii="Arial" w:hAnsi="Arial" w:cs="Arial"/>
          <w:b/>
          <w:bCs/>
          <w:color w:val="1A1818" w:themeColor="text1"/>
          <w:sz w:val="22"/>
          <w:szCs w:val="22"/>
        </w:rPr>
        <w:t>Condiciones de Liquidez y Capacidad Operativa (Perspectiva Financiera del Proponente):</w:t>
      </w:r>
      <w:r w:rsidRPr="000C6F0C">
        <w:rPr>
          <w:rFonts w:ascii="Arial" w:hAnsi="Arial" w:cs="Arial"/>
          <w:color w:val="1A1818" w:themeColor="text1"/>
          <w:sz w:val="22"/>
          <w:szCs w:val="22"/>
        </w:rPr>
        <w:t xml:space="preserve"> Dado que el Estatuto General de Contratación de la Administración Pública y el Decreto 1082 de 2015 establecen que en la modalidad de Mínima Cuantía no es imperativo (y resulta desproporcionado) exigir requisitos habilitantes financieros estrictos o la presentación del RUP, </w:t>
      </w:r>
      <w:r w:rsidRPr="000C6F0C">
        <w:rPr>
          <w:rFonts w:ascii="Arial" w:hAnsi="Arial" w:cs="Arial"/>
          <w:b/>
          <w:bCs/>
          <w:color w:val="1A1818" w:themeColor="text1"/>
          <w:sz w:val="22"/>
          <w:szCs w:val="22"/>
        </w:rPr>
        <w:t>la Entidad no evaluará indicadores contables de liquidez, capital de trabajo o endeudamiento.</w:t>
      </w:r>
      <w:r w:rsidRPr="000C6F0C">
        <w:rPr>
          <w:rFonts w:ascii="Arial" w:hAnsi="Arial" w:cs="Arial"/>
          <w:color w:val="1A1818" w:themeColor="text1"/>
          <w:sz w:val="22"/>
          <w:szCs w:val="22"/>
        </w:rPr>
        <w:t xml:space="preserve"> Sin embargo, teniendo en cuenta que el modelo de contratación estipula pagos mensuales por servicio efectivamente prestado y </w:t>
      </w:r>
      <w:r w:rsidRPr="000C6F0C">
        <w:rPr>
          <w:rFonts w:ascii="Arial" w:hAnsi="Arial" w:cs="Arial"/>
          <w:b/>
          <w:bCs/>
          <w:color w:val="1A1818" w:themeColor="text1"/>
          <w:sz w:val="22"/>
          <w:szCs w:val="22"/>
        </w:rPr>
        <w:t>no contempla el giro de anticipos</w:t>
      </w:r>
      <w:r w:rsidRPr="000C6F0C">
        <w:rPr>
          <w:rFonts w:ascii="Arial" w:hAnsi="Arial" w:cs="Arial"/>
          <w:color w:val="1A1818" w:themeColor="text1"/>
          <w:sz w:val="22"/>
          <w:szCs w:val="22"/>
        </w:rPr>
        <w:t>, es imperativo dejar claridad comercial: el entorno económico actual y la forma de pago exigen implícitamente que el proponente adjudicatario posea el músculo financiero interno necesario para apalancar la importación de repuestos críticos, el pago oportuno de la nómina y los gastos logísticos iniciales, asumiendo esta necesidad de flujo de caja como un riesgo comercial propio de su actividad económica.</w:t>
      </w:r>
    </w:p>
    <w:p w14:paraId="5F62E526" w14:textId="4F06A374" w:rsidR="00B17137" w:rsidRPr="00B17137" w:rsidRDefault="00CF491F" w:rsidP="00B17137">
      <w:pPr>
        <w:pStyle w:val="Ttulo2"/>
        <w:numPr>
          <w:ilvl w:val="0"/>
          <w:numId w:val="0"/>
        </w:numPr>
        <w:ind w:left="720"/>
        <w:rPr>
          <w:rFonts w:asciiTheme="minorHAnsi" w:hAnsiTheme="minorHAnsi" w:cstheme="minorHAnsi"/>
        </w:rPr>
      </w:pPr>
      <w:bookmarkStart w:id="3" w:name="_Toc172102785"/>
      <w:bookmarkStart w:id="4" w:name="_Toc228353031"/>
      <w:r w:rsidRPr="001317CF">
        <w:rPr>
          <w:rFonts w:asciiTheme="minorHAnsi" w:hAnsiTheme="minorHAnsi" w:cstheme="minorHAnsi"/>
        </w:rPr>
        <w:t>B</w:t>
      </w:r>
      <w:r w:rsidR="00667E78" w:rsidRPr="001317CF">
        <w:rPr>
          <w:rFonts w:asciiTheme="minorHAnsi" w:hAnsiTheme="minorHAnsi" w:cstheme="minorHAnsi"/>
        </w:rPr>
        <w:t xml:space="preserve">. </w:t>
      </w:r>
      <w:bookmarkEnd w:id="3"/>
      <w:r w:rsidRPr="001317CF">
        <w:rPr>
          <w:rFonts w:asciiTheme="minorHAnsi" w:hAnsiTheme="minorHAnsi" w:cstheme="minorHAnsi"/>
        </w:rPr>
        <w:t>Aspectos técnicos</w:t>
      </w:r>
      <w:bookmarkEnd w:id="4"/>
    </w:p>
    <w:p w14:paraId="5F76C6BE" w14:textId="77777777" w:rsidR="00B17137" w:rsidRDefault="00B17137" w:rsidP="00B17137">
      <w:pPr>
        <w:jc w:val="both"/>
        <w:rPr>
          <w:rFonts w:ascii="Arial" w:hAnsi="Arial" w:cs="Arial"/>
          <w:color w:val="1A1818" w:themeColor="text1"/>
          <w:sz w:val="22"/>
          <w:szCs w:val="22"/>
        </w:rPr>
      </w:pPr>
      <w:r w:rsidRPr="00B17137">
        <w:rPr>
          <w:rFonts w:ascii="Arial" w:hAnsi="Arial" w:cs="Arial"/>
          <w:color w:val="1A1818" w:themeColor="text1"/>
          <w:sz w:val="22"/>
          <w:szCs w:val="22"/>
        </w:rPr>
        <w:t>El análisis de los aspectos técnicos del mercado para el mantenimiento de sistemas de bombeo, redes hidrosanitarias y lavado de tanques permite establecer que se trata de un sector maduro, altamente especializado y con una amplia oferta de empresas de ingeniería electromecánica, civil e hidráulica a nivel nacional y regional. No obstante, las condiciones geográficas y la criticidad de los equipos de la Dirección Seccional de Administración Judicial de Cundinamarca - Amazonas exigen un análisis detallado de las dinámicas de este mercado.</w:t>
      </w:r>
    </w:p>
    <w:p w14:paraId="2E7416F3" w14:textId="77777777" w:rsidR="002605E6" w:rsidRPr="00B17137" w:rsidRDefault="002605E6" w:rsidP="00B17137">
      <w:pPr>
        <w:jc w:val="both"/>
        <w:rPr>
          <w:rFonts w:ascii="Arial" w:hAnsi="Arial" w:cs="Arial"/>
          <w:color w:val="1A1818" w:themeColor="text1"/>
          <w:sz w:val="22"/>
          <w:szCs w:val="22"/>
        </w:rPr>
      </w:pPr>
    </w:p>
    <w:p w14:paraId="6AB357B7" w14:textId="4195F471" w:rsidR="00B17137" w:rsidRPr="00B17137" w:rsidRDefault="00B17137" w:rsidP="00B17137">
      <w:pPr>
        <w:pStyle w:val="Prrafodelista"/>
        <w:numPr>
          <w:ilvl w:val="3"/>
          <w:numId w:val="4"/>
        </w:numPr>
        <w:ind w:left="284"/>
        <w:jc w:val="both"/>
        <w:rPr>
          <w:rFonts w:ascii="Arial" w:hAnsi="Arial" w:cs="Arial"/>
          <w:color w:val="1A1818" w:themeColor="text1"/>
          <w:sz w:val="22"/>
          <w:szCs w:val="22"/>
        </w:rPr>
      </w:pPr>
      <w:r w:rsidRPr="00B17137">
        <w:rPr>
          <w:rFonts w:ascii="Arial" w:hAnsi="Arial" w:cs="Arial"/>
          <w:b/>
          <w:bCs/>
          <w:color w:val="1A1818" w:themeColor="text1"/>
          <w:sz w:val="22"/>
          <w:szCs w:val="22"/>
        </w:rPr>
        <w:t>Dinámica y Oferta del Mercado (Capacidad Logística)</w:t>
      </w:r>
      <w:r w:rsidRPr="00B17137">
        <w:rPr>
          <w:rFonts w:ascii="Arial" w:hAnsi="Arial" w:cs="Arial"/>
          <w:color w:val="1A1818" w:themeColor="text1"/>
          <w:sz w:val="22"/>
          <w:szCs w:val="22"/>
        </w:rPr>
        <w:t xml:space="preserve"> En la región de Cundinamarca y Bogotá existe una robusta pluralidad de oferentes con capacidad técnica para ejecutar mantenimientos en sistemas de presión constante y redes contra incendio. Sin embargo, el mercado presenta una barrera logística natural en lo referente a la sede de </w:t>
      </w:r>
      <w:r w:rsidRPr="00B17137">
        <w:rPr>
          <w:rFonts w:ascii="Arial" w:hAnsi="Arial" w:cs="Arial"/>
          <w:b/>
          <w:bCs/>
          <w:color w:val="1A1818" w:themeColor="text1"/>
          <w:sz w:val="22"/>
          <w:szCs w:val="22"/>
        </w:rPr>
        <w:t>Leticia (Amazonas)</w:t>
      </w:r>
      <w:r w:rsidRPr="00B17137">
        <w:rPr>
          <w:rFonts w:ascii="Arial" w:hAnsi="Arial" w:cs="Arial"/>
          <w:color w:val="1A1818" w:themeColor="text1"/>
          <w:sz w:val="22"/>
          <w:szCs w:val="22"/>
        </w:rPr>
        <w:t>. Las empresas del sector suelen mitigar este reto geográfico mediante dos prácticas comerciales: el desplazamiento de personal técnico vía aérea (lo cual incrementa los costos de viáticos y tiquetes) o la subcontratación/alianzas con técnicos locales avalados por la empresa matriz. Por lo anterior, el mercado exige que la Entidad permita tiempos de respuesta (SLA) diferenciados para esta zona (hasta 24 horas), garantizando así la pluralidad de oferentes sin encarecer artificialmente el presupuesto.</w:t>
      </w:r>
    </w:p>
    <w:p w14:paraId="7FB0ED8B" w14:textId="77777777" w:rsidR="00B17137" w:rsidRPr="00B17137" w:rsidRDefault="00B17137" w:rsidP="00B17137">
      <w:pPr>
        <w:pStyle w:val="Prrafodelista"/>
        <w:ind w:left="2880"/>
        <w:jc w:val="both"/>
        <w:rPr>
          <w:rFonts w:ascii="Arial" w:hAnsi="Arial" w:cs="Arial"/>
          <w:color w:val="1A1818" w:themeColor="text1"/>
          <w:sz w:val="22"/>
          <w:szCs w:val="22"/>
        </w:rPr>
      </w:pPr>
    </w:p>
    <w:p w14:paraId="7D38E882" w14:textId="45F1FF10" w:rsidR="00B17137" w:rsidRDefault="00B17137" w:rsidP="00B17137">
      <w:pPr>
        <w:pStyle w:val="Prrafodelista"/>
        <w:numPr>
          <w:ilvl w:val="3"/>
          <w:numId w:val="4"/>
        </w:numPr>
        <w:ind w:left="284"/>
        <w:jc w:val="both"/>
        <w:rPr>
          <w:rFonts w:ascii="Arial" w:hAnsi="Arial" w:cs="Arial"/>
          <w:color w:val="1A1818" w:themeColor="text1"/>
          <w:sz w:val="22"/>
          <w:szCs w:val="22"/>
        </w:rPr>
      </w:pPr>
      <w:r w:rsidRPr="00B17137">
        <w:rPr>
          <w:rFonts w:ascii="Arial" w:hAnsi="Arial" w:cs="Arial"/>
          <w:b/>
          <w:bCs/>
          <w:color w:val="1A1818" w:themeColor="text1"/>
          <w:sz w:val="22"/>
          <w:szCs w:val="22"/>
        </w:rPr>
        <w:t>Normatividad y Estándares Técnicos que Rigen el Sector</w:t>
      </w:r>
      <w:r w:rsidRPr="00B17137">
        <w:rPr>
          <w:rFonts w:ascii="Arial" w:hAnsi="Arial" w:cs="Arial"/>
          <w:color w:val="1A1818" w:themeColor="text1"/>
          <w:sz w:val="22"/>
          <w:szCs w:val="22"/>
        </w:rPr>
        <w:t xml:space="preserve"> El sector del mantenimiento electromecánico e hidrosanitario institucional en Colombia está estrictamente regulado. Las empresas que operan formalmente en este mercado basan sus protocolos y fijación de precios en el cumplimiento de la siguiente normatividad, la cual es de obligatorio cumplimiento para el presente proceso:</w:t>
      </w:r>
    </w:p>
    <w:p w14:paraId="62212B10" w14:textId="77777777" w:rsidR="00B17137" w:rsidRPr="00B17137" w:rsidRDefault="00B17137" w:rsidP="00B17137">
      <w:pPr>
        <w:pStyle w:val="Prrafodelista"/>
        <w:rPr>
          <w:rFonts w:ascii="Arial" w:hAnsi="Arial" w:cs="Arial"/>
          <w:color w:val="1A1818" w:themeColor="text1"/>
          <w:sz w:val="22"/>
          <w:szCs w:val="22"/>
        </w:rPr>
      </w:pPr>
    </w:p>
    <w:p w14:paraId="0B3CCC0D" w14:textId="77777777" w:rsidR="00B17137" w:rsidRDefault="00B17137" w:rsidP="00B17137">
      <w:pPr>
        <w:numPr>
          <w:ilvl w:val="0"/>
          <w:numId w:val="24"/>
        </w:numPr>
        <w:jc w:val="both"/>
        <w:rPr>
          <w:rFonts w:ascii="Arial" w:hAnsi="Arial" w:cs="Arial"/>
          <w:color w:val="1A1818" w:themeColor="text1"/>
          <w:sz w:val="22"/>
          <w:szCs w:val="22"/>
        </w:rPr>
      </w:pPr>
      <w:r w:rsidRPr="00B17137">
        <w:rPr>
          <w:rFonts w:ascii="Arial" w:hAnsi="Arial" w:cs="Arial"/>
          <w:b/>
          <w:bCs/>
          <w:color w:val="1A1818" w:themeColor="text1"/>
          <w:sz w:val="22"/>
          <w:szCs w:val="22"/>
        </w:rPr>
        <w:t>Seguridad Humana y RCI:</w:t>
      </w:r>
      <w:r w:rsidRPr="00B17137">
        <w:rPr>
          <w:rFonts w:ascii="Arial" w:hAnsi="Arial" w:cs="Arial"/>
          <w:color w:val="1A1818" w:themeColor="text1"/>
          <w:sz w:val="22"/>
          <w:szCs w:val="22"/>
        </w:rPr>
        <w:t xml:space="preserve"> Las normas </w:t>
      </w:r>
      <w:r w:rsidRPr="00B17137">
        <w:rPr>
          <w:rFonts w:ascii="Arial" w:hAnsi="Arial" w:cs="Arial"/>
          <w:b/>
          <w:bCs/>
          <w:color w:val="1A1818" w:themeColor="text1"/>
          <w:sz w:val="22"/>
          <w:szCs w:val="22"/>
        </w:rPr>
        <w:t>NFPA 20 y 25</w:t>
      </w:r>
      <w:r w:rsidRPr="00B17137">
        <w:rPr>
          <w:rFonts w:ascii="Arial" w:hAnsi="Arial" w:cs="Arial"/>
          <w:color w:val="1A1818" w:themeColor="text1"/>
          <w:sz w:val="22"/>
          <w:szCs w:val="22"/>
        </w:rPr>
        <w:t xml:space="preserve"> rigen el mantenimiento y prueba de las bombas de Red Contra Incendio (como los equipos de 40 HP y 50 HP ubicados en Zipaquirá y Soacha).</w:t>
      </w:r>
    </w:p>
    <w:p w14:paraId="72577443" w14:textId="77777777" w:rsidR="00AD6904" w:rsidRPr="00B17137" w:rsidRDefault="00AD6904" w:rsidP="00AD6904">
      <w:pPr>
        <w:ind w:left="720"/>
        <w:jc w:val="both"/>
        <w:rPr>
          <w:rFonts w:ascii="Arial" w:hAnsi="Arial" w:cs="Arial"/>
          <w:color w:val="1A1818" w:themeColor="text1"/>
          <w:sz w:val="22"/>
          <w:szCs w:val="22"/>
        </w:rPr>
      </w:pPr>
    </w:p>
    <w:p w14:paraId="366CB5E9" w14:textId="77777777" w:rsidR="00B17137" w:rsidRDefault="00B17137" w:rsidP="00B17137">
      <w:pPr>
        <w:numPr>
          <w:ilvl w:val="0"/>
          <w:numId w:val="24"/>
        </w:numPr>
        <w:jc w:val="both"/>
        <w:rPr>
          <w:rFonts w:ascii="Arial" w:hAnsi="Arial" w:cs="Arial"/>
          <w:color w:val="1A1818" w:themeColor="text1"/>
          <w:sz w:val="22"/>
          <w:szCs w:val="22"/>
        </w:rPr>
      </w:pPr>
      <w:r w:rsidRPr="00B17137">
        <w:rPr>
          <w:rFonts w:ascii="Arial" w:hAnsi="Arial" w:cs="Arial"/>
          <w:b/>
          <w:bCs/>
          <w:color w:val="1A1818" w:themeColor="text1"/>
          <w:sz w:val="22"/>
          <w:szCs w:val="22"/>
        </w:rPr>
        <w:t>Lavado de Tanques:</w:t>
      </w:r>
      <w:r w:rsidRPr="00B17137">
        <w:rPr>
          <w:rFonts w:ascii="Arial" w:hAnsi="Arial" w:cs="Arial"/>
          <w:color w:val="1A1818" w:themeColor="text1"/>
          <w:sz w:val="22"/>
          <w:szCs w:val="22"/>
        </w:rPr>
        <w:t xml:space="preserve"> El mercado aplica la Norma Técnica Colombiana </w:t>
      </w:r>
      <w:r w:rsidRPr="00B17137">
        <w:rPr>
          <w:rFonts w:ascii="Arial" w:hAnsi="Arial" w:cs="Arial"/>
          <w:b/>
          <w:bCs/>
          <w:color w:val="1A1818" w:themeColor="text1"/>
          <w:sz w:val="22"/>
          <w:szCs w:val="22"/>
        </w:rPr>
        <w:t>NTC 4576</w:t>
      </w:r>
      <w:r w:rsidRPr="00B17137">
        <w:rPr>
          <w:rFonts w:ascii="Arial" w:hAnsi="Arial" w:cs="Arial"/>
          <w:color w:val="1A1818" w:themeColor="text1"/>
          <w:sz w:val="22"/>
          <w:szCs w:val="22"/>
        </w:rPr>
        <w:t xml:space="preserve"> y los parámetros de potabilidad del agua del </w:t>
      </w:r>
      <w:r w:rsidRPr="00B17137">
        <w:rPr>
          <w:rFonts w:ascii="Arial" w:hAnsi="Arial" w:cs="Arial"/>
          <w:b/>
          <w:bCs/>
          <w:color w:val="1A1818" w:themeColor="text1"/>
          <w:sz w:val="22"/>
          <w:szCs w:val="22"/>
        </w:rPr>
        <w:t>Decreto 1575 de 2007</w:t>
      </w:r>
      <w:r w:rsidRPr="00B17137">
        <w:rPr>
          <w:rFonts w:ascii="Arial" w:hAnsi="Arial" w:cs="Arial"/>
          <w:color w:val="1A1818" w:themeColor="text1"/>
          <w:sz w:val="22"/>
          <w:szCs w:val="22"/>
        </w:rPr>
        <w:t>, lo que obliga a las empresas a incluir en sus costos los análisis de laboratorios acreditados por la ONAC.</w:t>
      </w:r>
    </w:p>
    <w:p w14:paraId="61D81DF9" w14:textId="77777777" w:rsidR="00AD6904" w:rsidRPr="00B17137" w:rsidRDefault="00AD6904" w:rsidP="00AD6904">
      <w:pPr>
        <w:ind w:left="720"/>
        <w:jc w:val="both"/>
        <w:rPr>
          <w:rFonts w:ascii="Arial" w:hAnsi="Arial" w:cs="Arial"/>
          <w:color w:val="1A1818" w:themeColor="text1"/>
          <w:sz w:val="22"/>
          <w:szCs w:val="22"/>
        </w:rPr>
      </w:pPr>
    </w:p>
    <w:p w14:paraId="038B856A" w14:textId="77777777" w:rsidR="00B17137" w:rsidRDefault="00B17137" w:rsidP="00B17137">
      <w:pPr>
        <w:numPr>
          <w:ilvl w:val="0"/>
          <w:numId w:val="24"/>
        </w:numPr>
        <w:jc w:val="both"/>
        <w:rPr>
          <w:rFonts w:ascii="Arial" w:hAnsi="Arial" w:cs="Arial"/>
          <w:color w:val="1A1818" w:themeColor="text1"/>
          <w:sz w:val="22"/>
          <w:szCs w:val="22"/>
        </w:rPr>
      </w:pPr>
      <w:r w:rsidRPr="00B17137">
        <w:rPr>
          <w:rFonts w:ascii="Arial" w:hAnsi="Arial" w:cs="Arial"/>
          <w:b/>
          <w:bCs/>
          <w:color w:val="1A1818" w:themeColor="text1"/>
          <w:sz w:val="22"/>
          <w:szCs w:val="22"/>
        </w:rPr>
        <w:t>Componentes Eléctricos:</w:t>
      </w:r>
      <w:r w:rsidRPr="00B17137">
        <w:rPr>
          <w:rFonts w:ascii="Arial" w:hAnsi="Arial" w:cs="Arial"/>
          <w:color w:val="1A1818" w:themeColor="text1"/>
          <w:sz w:val="22"/>
          <w:szCs w:val="22"/>
        </w:rPr>
        <w:t xml:space="preserve"> El suministro de tableros, </w:t>
      </w:r>
      <w:proofErr w:type="spellStart"/>
      <w:r w:rsidRPr="00B17137">
        <w:rPr>
          <w:rFonts w:ascii="Arial" w:hAnsi="Arial" w:cs="Arial"/>
          <w:color w:val="1A1818" w:themeColor="text1"/>
          <w:sz w:val="22"/>
          <w:szCs w:val="22"/>
        </w:rPr>
        <w:t>breakers</w:t>
      </w:r>
      <w:proofErr w:type="spellEnd"/>
      <w:r w:rsidRPr="00B17137">
        <w:rPr>
          <w:rFonts w:ascii="Arial" w:hAnsi="Arial" w:cs="Arial"/>
          <w:color w:val="1A1818" w:themeColor="text1"/>
          <w:sz w:val="22"/>
          <w:szCs w:val="22"/>
        </w:rPr>
        <w:t xml:space="preserve"> y automatización está regido por el </w:t>
      </w:r>
      <w:r w:rsidRPr="00B17137">
        <w:rPr>
          <w:rFonts w:ascii="Arial" w:hAnsi="Arial" w:cs="Arial"/>
          <w:b/>
          <w:bCs/>
          <w:color w:val="1A1818" w:themeColor="text1"/>
          <w:sz w:val="22"/>
          <w:szCs w:val="22"/>
        </w:rPr>
        <w:t>RETIE</w:t>
      </w:r>
      <w:r w:rsidRPr="00B17137">
        <w:rPr>
          <w:rFonts w:ascii="Arial" w:hAnsi="Arial" w:cs="Arial"/>
          <w:color w:val="1A1818" w:themeColor="text1"/>
          <w:sz w:val="22"/>
          <w:szCs w:val="22"/>
        </w:rPr>
        <w:t xml:space="preserve"> (Reglamento Técnico de Instalaciones Eléctricas).</w:t>
      </w:r>
    </w:p>
    <w:p w14:paraId="36FBFC94" w14:textId="77777777" w:rsidR="00AD6904" w:rsidRPr="00B17137" w:rsidRDefault="00AD6904" w:rsidP="00AD6904">
      <w:pPr>
        <w:ind w:left="720"/>
        <w:jc w:val="both"/>
        <w:rPr>
          <w:rFonts w:ascii="Arial" w:hAnsi="Arial" w:cs="Arial"/>
          <w:color w:val="1A1818" w:themeColor="text1"/>
          <w:sz w:val="22"/>
          <w:szCs w:val="22"/>
        </w:rPr>
      </w:pPr>
    </w:p>
    <w:p w14:paraId="1A89D7DA" w14:textId="77777777" w:rsidR="00B17137" w:rsidRDefault="00B17137" w:rsidP="00B17137">
      <w:pPr>
        <w:numPr>
          <w:ilvl w:val="0"/>
          <w:numId w:val="24"/>
        </w:numPr>
        <w:jc w:val="both"/>
        <w:rPr>
          <w:rFonts w:ascii="Arial" w:hAnsi="Arial" w:cs="Arial"/>
          <w:color w:val="1A1818" w:themeColor="text1"/>
          <w:sz w:val="22"/>
          <w:szCs w:val="22"/>
        </w:rPr>
      </w:pPr>
      <w:r w:rsidRPr="00B17137">
        <w:rPr>
          <w:rFonts w:ascii="Arial" w:hAnsi="Arial" w:cs="Arial"/>
          <w:b/>
          <w:bCs/>
          <w:color w:val="1A1818" w:themeColor="text1"/>
          <w:sz w:val="22"/>
          <w:szCs w:val="22"/>
        </w:rPr>
        <w:t>Seguridad y Salud en el Trabajo (SST):</w:t>
      </w:r>
      <w:r w:rsidRPr="00B17137">
        <w:rPr>
          <w:rFonts w:ascii="Arial" w:hAnsi="Arial" w:cs="Arial"/>
          <w:color w:val="1A1818" w:themeColor="text1"/>
          <w:sz w:val="22"/>
          <w:szCs w:val="22"/>
        </w:rPr>
        <w:t xml:space="preserve"> El sector asume altos costos operativos derivados del cumplimiento de la </w:t>
      </w:r>
      <w:r w:rsidRPr="00B17137">
        <w:rPr>
          <w:rFonts w:ascii="Arial" w:hAnsi="Arial" w:cs="Arial"/>
          <w:b/>
          <w:bCs/>
          <w:color w:val="1A1818" w:themeColor="text1"/>
          <w:sz w:val="22"/>
          <w:szCs w:val="22"/>
        </w:rPr>
        <w:t>Resolución 0491 de 2020</w:t>
      </w:r>
      <w:r w:rsidRPr="00B17137">
        <w:rPr>
          <w:rFonts w:ascii="Arial" w:hAnsi="Arial" w:cs="Arial"/>
          <w:color w:val="1A1818" w:themeColor="text1"/>
          <w:sz w:val="22"/>
          <w:szCs w:val="22"/>
        </w:rPr>
        <w:t xml:space="preserve"> (Trabajo en Espacios Confinados) y la </w:t>
      </w:r>
      <w:r w:rsidRPr="00B17137">
        <w:rPr>
          <w:rFonts w:ascii="Arial" w:hAnsi="Arial" w:cs="Arial"/>
          <w:b/>
          <w:bCs/>
          <w:color w:val="1A1818" w:themeColor="text1"/>
          <w:sz w:val="22"/>
          <w:szCs w:val="22"/>
        </w:rPr>
        <w:t>Resolución 4272 de 2021</w:t>
      </w:r>
      <w:r w:rsidRPr="00B17137">
        <w:rPr>
          <w:rFonts w:ascii="Arial" w:hAnsi="Arial" w:cs="Arial"/>
          <w:color w:val="1A1818" w:themeColor="text1"/>
          <w:sz w:val="22"/>
          <w:szCs w:val="22"/>
        </w:rPr>
        <w:t xml:space="preserve"> (Trabajo en Alturas), lo que exige medidores de gases, equipos de rescate y personal certificado.</w:t>
      </w:r>
    </w:p>
    <w:p w14:paraId="2E01C107" w14:textId="77777777" w:rsidR="00B17137" w:rsidRPr="00B17137" w:rsidRDefault="00B17137" w:rsidP="00B17137">
      <w:pPr>
        <w:ind w:left="720"/>
        <w:jc w:val="both"/>
        <w:rPr>
          <w:rFonts w:ascii="Arial" w:hAnsi="Arial" w:cs="Arial"/>
          <w:color w:val="1A1818" w:themeColor="text1"/>
          <w:sz w:val="22"/>
          <w:szCs w:val="22"/>
        </w:rPr>
      </w:pPr>
    </w:p>
    <w:p w14:paraId="352A7D58" w14:textId="6112EC9E" w:rsidR="00B17137" w:rsidRDefault="00B17137" w:rsidP="00B17137">
      <w:pPr>
        <w:pStyle w:val="Prrafodelista"/>
        <w:numPr>
          <w:ilvl w:val="3"/>
          <w:numId w:val="4"/>
        </w:numPr>
        <w:ind w:left="284"/>
        <w:jc w:val="both"/>
        <w:rPr>
          <w:rFonts w:ascii="Arial" w:hAnsi="Arial" w:cs="Arial"/>
          <w:color w:val="1A1818" w:themeColor="text1"/>
          <w:sz w:val="22"/>
          <w:szCs w:val="22"/>
        </w:rPr>
      </w:pPr>
      <w:r w:rsidRPr="00B17137">
        <w:rPr>
          <w:rFonts w:ascii="Arial" w:hAnsi="Arial" w:cs="Arial"/>
          <w:b/>
          <w:bCs/>
          <w:color w:val="1A1818" w:themeColor="text1"/>
          <w:sz w:val="22"/>
          <w:szCs w:val="22"/>
        </w:rPr>
        <w:t>Prácticas Comerciales y Modalidad de Contratación</w:t>
      </w:r>
      <w:r w:rsidRPr="00B17137">
        <w:rPr>
          <w:rFonts w:ascii="Arial" w:hAnsi="Arial" w:cs="Arial"/>
          <w:color w:val="1A1818" w:themeColor="text1"/>
          <w:sz w:val="22"/>
          <w:szCs w:val="22"/>
        </w:rPr>
        <w:t xml:space="preserve"> Las empresas especializadas en mantenimiento de equipos de bombeo estructuran sus portafolios comerciales bajo dos modalidades principales: contratos integrales tipo "</w:t>
      </w:r>
      <w:proofErr w:type="spellStart"/>
      <w:r w:rsidRPr="00B17137">
        <w:rPr>
          <w:rFonts w:ascii="Arial" w:hAnsi="Arial" w:cs="Arial"/>
          <w:color w:val="1A1818" w:themeColor="text1"/>
          <w:sz w:val="22"/>
          <w:szCs w:val="22"/>
        </w:rPr>
        <w:t>All</w:t>
      </w:r>
      <w:proofErr w:type="spellEnd"/>
      <w:r w:rsidRPr="00B17137">
        <w:rPr>
          <w:rFonts w:ascii="Arial" w:hAnsi="Arial" w:cs="Arial"/>
          <w:color w:val="1A1818" w:themeColor="text1"/>
          <w:sz w:val="22"/>
          <w:szCs w:val="22"/>
        </w:rPr>
        <w:t xml:space="preserve">-in" (tarifa plana mensual con riesgo asumido por el contratista) o contratos a </w:t>
      </w:r>
      <w:r w:rsidRPr="00B17137">
        <w:rPr>
          <w:rFonts w:ascii="Arial" w:hAnsi="Arial" w:cs="Arial"/>
          <w:b/>
          <w:bCs/>
          <w:color w:val="1A1818" w:themeColor="text1"/>
          <w:sz w:val="22"/>
          <w:szCs w:val="22"/>
        </w:rPr>
        <w:t>Precios Unitarios bajo demanda (Bolsa de Mantenimiento)</w:t>
      </w:r>
      <w:r w:rsidRPr="00B17137">
        <w:rPr>
          <w:rFonts w:ascii="Arial" w:hAnsi="Arial" w:cs="Arial"/>
          <w:color w:val="1A1818" w:themeColor="text1"/>
          <w:sz w:val="22"/>
          <w:szCs w:val="22"/>
        </w:rPr>
        <w:t xml:space="preserve">. El análisis técnico concluye que la modalidad de </w:t>
      </w:r>
      <w:r w:rsidRPr="00B17137">
        <w:rPr>
          <w:rFonts w:ascii="Arial" w:hAnsi="Arial" w:cs="Arial"/>
          <w:i/>
          <w:iCs/>
          <w:color w:val="1A1818" w:themeColor="text1"/>
          <w:sz w:val="22"/>
          <w:szCs w:val="22"/>
        </w:rPr>
        <w:t>Precios Unitarios Fijos a Monto Agotable</w:t>
      </w:r>
      <w:r w:rsidRPr="00B17137">
        <w:rPr>
          <w:rFonts w:ascii="Arial" w:hAnsi="Arial" w:cs="Arial"/>
          <w:color w:val="1A1818" w:themeColor="text1"/>
          <w:sz w:val="22"/>
          <w:szCs w:val="22"/>
        </w:rPr>
        <w:t xml:space="preserve"> es la que mejor se adapta a la realidad operativa de la Seccional. Al existir un inventario con equipos de diversas marcas (Barnes, IHM, </w:t>
      </w:r>
      <w:proofErr w:type="spellStart"/>
      <w:r w:rsidRPr="00B17137">
        <w:rPr>
          <w:rFonts w:ascii="Arial" w:hAnsi="Arial" w:cs="Arial"/>
          <w:color w:val="1A1818" w:themeColor="text1"/>
          <w:sz w:val="22"/>
          <w:szCs w:val="22"/>
        </w:rPr>
        <w:t>Goulds</w:t>
      </w:r>
      <w:proofErr w:type="spellEnd"/>
      <w:r w:rsidRPr="00B17137">
        <w:rPr>
          <w:rFonts w:ascii="Arial" w:hAnsi="Arial" w:cs="Arial"/>
          <w:color w:val="1A1818" w:themeColor="text1"/>
          <w:sz w:val="22"/>
          <w:szCs w:val="22"/>
        </w:rPr>
        <w:t>, Grundfos) y antigüedades, la frecuencia de las fallas correctivas es asimétrica. Contratar bajo precios unitarios permite a la Entidad transferir el riesgo del mercado y pagar al oferente exactamente por la unidad de medida intervenida (ej. rebobinado de un motor, cambio de un sello mecánico, suministro de un contactor), maximizando la eficiencia de los recursos públicos.</w:t>
      </w:r>
    </w:p>
    <w:p w14:paraId="019FEA51" w14:textId="77777777" w:rsidR="00B17137" w:rsidRPr="00B17137" w:rsidRDefault="00B17137" w:rsidP="00B17137">
      <w:pPr>
        <w:pStyle w:val="Prrafodelista"/>
        <w:ind w:left="284"/>
        <w:jc w:val="both"/>
        <w:rPr>
          <w:rFonts w:ascii="Arial" w:hAnsi="Arial" w:cs="Arial"/>
          <w:color w:val="1A1818" w:themeColor="text1"/>
          <w:sz w:val="22"/>
          <w:szCs w:val="22"/>
        </w:rPr>
      </w:pPr>
    </w:p>
    <w:p w14:paraId="3A1766D2" w14:textId="66A33C8D" w:rsidR="00B17137" w:rsidRDefault="00B17137" w:rsidP="00937B5E">
      <w:pPr>
        <w:pStyle w:val="Prrafodelista"/>
        <w:numPr>
          <w:ilvl w:val="3"/>
          <w:numId w:val="4"/>
        </w:numPr>
        <w:ind w:left="284"/>
        <w:jc w:val="both"/>
        <w:rPr>
          <w:rFonts w:ascii="Arial" w:hAnsi="Arial" w:cs="Arial"/>
          <w:color w:val="1A1818" w:themeColor="text1"/>
          <w:sz w:val="22"/>
          <w:szCs w:val="22"/>
        </w:rPr>
      </w:pPr>
      <w:r w:rsidRPr="00B17137">
        <w:rPr>
          <w:rFonts w:ascii="Arial" w:hAnsi="Arial" w:cs="Arial"/>
          <w:b/>
          <w:bCs/>
          <w:color w:val="1A1818" w:themeColor="text1"/>
          <w:sz w:val="22"/>
          <w:szCs w:val="22"/>
        </w:rPr>
        <w:t>Factores Determinantes de los Precios (Cost Drivers)</w:t>
      </w:r>
      <w:r w:rsidRPr="00B17137">
        <w:rPr>
          <w:rFonts w:ascii="Arial" w:hAnsi="Arial" w:cs="Arial"/>
          <w:color w:val="1A1818" w:themeColor="text1"/>
          <w:sz w:val="22"/>
          <w:szCs w:val="22"/>
        </w:rPr>
        <w:t xml:space="preserve"> Al analizar la estructura de costos de las empresas de este sector, se identifican tres factores macroeconómicos y técnicos que determinan y pueden presionar los precios ofertados:</w:t>
      </w:r>
    </w:p>
    <w:p w14:paraId="23B122DA" w14:textId="77777777" w:rsidR="00937B5E" w:rsidRPr="00937B5E" w:rsidRDefault="00937B5E" w:rsidP="00937B5E">
      <w:pPr>
        <w:pStyle w:val="Prrafodelista"/>
        <w:rPr>
          <w:rFonts w:ascii="Arial" w:hAnsi="Arial" w:cs="Arial"/>
          <w:color w:val="1A1818" w:themeColor="text1"/>
          <w:sz w:val="22"/>
          <w:szCs w:val="22"/>
        </w:rPr>
      </w:pPr>
    </w:p>
    <w:p w14:paraId="113B1C16" w14:textId="77777777" w:rsidR="00937B5E" w:rsidRPr="00B17137" w:rsidRDefault="00937B5E" w:rsidP="00937B5E">
      <w:pPr>
        <w:pStyle w:val="Prrafodelista"/>
        <w:ind w:left="284"/>
        <w:jc w:val="both"/>
        <w:rPr>
          <w:rFonts w:ascii="Arial" w:hAnsi="Arial" w:cs="Arial"/>
          <w:color w:val="1A1818" w:themeColor="text1"/>
          <w:sz w:val="22"/>
          <w:szCs w:val="22"/>
        </w:rPr>
      </w:pPr>
    </w:p>
    <w:p w14:paraId="2ED05591" w14:textId="77777777" w:rsidR="00B17137" w:rsidRDefault="00B17137" w:rsidP="00B17137">
      <w:pPr>
        <w:numPr>
          <w:ilvl w:val="0"/>
          <w:numId w:val="25"/>
        </w:numPr>
        <w:jc w:val="both"/>
        <w:rPr>
          <w:rFonts w:ascii="Arial" w:hAnsi="Arial" w:cs="Arial"/>
          <w:color w:val="1A1818" w:themeColor="text1"/>
          <w:sz w:val="22"/>
          <w:szCs w:val="22"/>
        </w:rPr>
      </w:pPr>
      <w:r w:rsidRPr="00B17137">
        <w:rPr>
          <w:rFonts w:ascii="Arial" w:hAnsi="Arial" w:cs="Arial"/>
          <w:b/>
          <w:bCs/>
          <w:color w:val="1A1818" w:themeColor="text1"/>
          <w:sz w:val="22"/>
          <w:szCs w:val="22"/>
        </w:rPr>
        <w:t>Tasa de Cambio (TRM) y Cadena de Suministro:</w:t>
      </w:r>
      <w:r w:rsidRPr="00B17137">
        <w:rPr>
          <w:rFonts w:ascii="Arial" w:hAnsi="Arial" w:cs="Arial"/>
          <w:color w:val="1A1818" w:themeColor="text1"/>
          <w:sz w:val="22"/>
          <w:szCs w:val="22"/>
        </w:rPr>
        <w:t xml:space="preserve"> Gran parte de los insumos críticos (sellos mecánicos </w:t>
      </w:r>
      <w:proofErr w:type="spellStart"/>
      <w:r w:rsidRPr="00B17137">
        <w:rPr>
          <w:rFonts w:ascii="Arial" w:hAnsi="Arial" w:cs="Arial"/>
          <w:color w:val="1A1818" w:themeColor="text1"/>
          <w:sz w:val="22"/>
          <w:szCs w:val="22"/>
        </w:rPr>
        <w:t>Pac</w:t>
      </w:r>
      <w:proofErr w:type="spellEnd"/>
      <w:r w:rsidRPr="00B17137">
        <w:rPr>
          <w:rFonts w:ascii="Arial" w:hAnsi="Arial" w:cs="Arial"/>
          <w:color w:val="1A1818" w:themeColor="text1"/>
          <w:sz w:val="22"/>
          <w:szCs w:val="22"/>
        </w:rPr>
        <w:t xml:space="preserve"> </w:t>
      </w:r>
      <w:proofErr w:type="spellStart"/>
      <w:r w:rsidRPr="00B17137">
        <w:rPr>
          <w:rFonts w:ascii="Arial" w:hAnsi="Arial" w:cs="Arial"/>
          <w:color w:val="1A1818" w:themeColor="text1"/>
          <w:sz w:val="22"/>
          <w:szCs w:val="22"/>
        </w:rPr>
        <w:t>Seal</w:t>
      </w:r>
      <w:proofErr w:type="spellEnd"/>
      <w:r w:rsidRPr="00B17137">
        <w:rPr>
          <w:rFonts w:ascii="Arial" w:hAnsi="Arial" w:cs="Arial"/>
          <w:color w:val="1A1818" w:themeColor="text1"/>
          <w:sz w:val="22"/>
          <w:szCs w:val="22"/>
        </w:rPr>
        <w:t>, rodamientos SKF/NSK, variadores de frecuencia, tableros de control y motobombas Grundfos/</w:t>
      </w:r>
      <w:proofErr w:type="spellStart"/>
      <w:r w:rsidRPr="00B17137">
        <w:rPr>
          <w:rFonts w:ascii="Arial" w:hAnsi="Arial" w:cs="Arial"/>
          <w:color w:val="1A1818" w:themeColor="text1"/>
          <w:sz w:val="22"/>
          <w:szCs w:val="22"/>
        </w:rPr>
        <w:t>Goulds</w:t>
      </w:r>
      <w:proofErr w:type="spellEnd"/>
      <w:r w:rsidRPr="00B17137">
        <w:rPr>
          <w:rFonts w:ascii="Arial" w:hAnsi="Arial" w:cs="Arial"/>
          <w:color w:val="1A1818" w:themeColor="text1"/>
          <w:sz w:val="22"/>
          <w:szCs w:val="22"/>
        </w:rPr>
        <w:t xml:space="preserve">) son importados. Por tanto, los precios unitarios en el mercado reflejan el riesgo de fluctuación del dólar. Al establecer un contrato </w:t>
      </w:r>
      <w:r w:rsidRPr="00B17137">
        <w:rPr>
          <w:rFonts w:ascii="Arial" w:hAnsi="Arial" w:cs="Arial"/>
          <w:i/>
          <w:iCs/>
          <w:color w:val="1A1818" w:themeColor="text1"/>
          <w:sz w:val="22"/>
          <w:szCs w:val="22"/>
        </w:rPr>
        <w:t>sin fórmula de reajuste</w:t>
      </w:r>
      <w:r w:rsidRPr="00B17137">
        <w:rPr>
          <w:rFonts w:ascii="Arial" w:hAnsi="Arial" w:cs="Arial"/>
          <w:color w:val="1A1818" w:themeColor="text1"/>
          <w:sz w:val="22"/>
          <w:szCs w:val="22"/>
        </w:rPr>
        <w:t>, el mercado asume este riesgo dentro de la estructuración de su oferta económica.</w:t>
      </w:r>
    </w:p>
    <w:p w14:paraId="07CB6084" w14:textId="77777777" w:rsidR="00937B5E" w:rsidRPr="00B17137" w:rsidRDefault="00937B5E" w:rsidP="00937B5E">
      <w:pPr>
        <w:ind w:left="720"/>
        <w:jc w:val="both"/>
        <w:rPr>
          <w:rFonts w:ascii="Arial" w:hAnsi="Arial" w:cs="Arial"/>
          <w:color w:val="1A1818" w:themeColor="text1"/>
          <w:sz w:val="22"/>
          <w:szCs w:val="22"/>
        </w:rPr>
      </w:pPr>
    </w:p>
    <w:p w14:paraId="096F55E6" w14:textId="77777777" w:rsidR="00B17137" w:rsidRDefault="00B17137" w:rsidP="00B17137">
      <w:pPr>
        <w:numPr>
          <w:ilvl w:val="0"/>
          <w:numId w:val="25"/>
        </w:numPr>
        <w:jc w:val="both"/>
        <w:rPr>
          <w:rFonts w:ascii="Arial" w:hAnsi="Arial" w:cs="Arial"/>
          <w:color w:val="1A1818" w:themeColor="text1"/>
          <w:sz w:val="22"/>
          <w:szCs w:val="22"/>
        </w:rPr>
      </w:pPr>
      <w:r w:rsidRPr="00B17137">
        <w:rPr>
          <w:rFonts w:ascii="Arial" w:hAnsi="Arial" w:cs="Arial"/>
          <w:b/>
          <w:bCs/>
          <w:color w:val="1A1818" w:themeColor="text1"/>
          <w:sz w:val="22"/>
          <w:szCs w:val="22"/>
        </w:rPr>
        <w:t>Mano de Obra Especializada:</w:t>
      </w:r>
      <w:r w:rsidRPr="00B17137">
        <w:rPr>
          <w:rFonts w:ascii="Arial" w:hAnsi="Arial" w:cs="Arial"/>
          <w:color w:val="1A1818" w:themeColor="text1"/>
          <w:sz w:val="22"/>
          <w:szCs w:val="22"/>
        </w:rPr>
        <w:t xml:space="preserve"> El costo de la intervención no se basa en mano de obra no calificada (SMMLV básico), sino en tarifas de personal técnico electricista certificado (CONTE) y profesionales en ingeniería electromecánica, cuyos salarios en el mercado son superiores debido al riesgo técnico e industrial que asumen.</w:t>
      </w:r>
    </w:p>
    <w:p w14:paraId="7CE4FBFB" w14:textId="77777777" w:rsidR="00937B5E" w:rsidRDefault="00937B5E" w:rsidP="00937B5E">
      <w:pPr>
        <w:pStyle w:val="Prrafodelista"/>
        <w:rPr>
          <w:rFonts w:ascii="Arial" w:hAnsi="Arial" w:cs="Arial"/>
          <w:color w:val="1A1818" w:themeColor="text1"/>
          <w:sz w:val="22"/>
          <w:szCs w:val="22"/>
        </w:rPr>
      </w:pPr>
    </w:p>
    <w:p w14:paraId="2B1C6F42" w14:textId="77777777" w:rsidR="00937B5E" w:rsidRPr="00B17137" w:rsidRDefault="00937B5E" w:rsidP="00937B5E">
      <w:pPr>
        <w:ind w:left="720"/>
        <w:jc w:val="both"/>
        <w:rPr>
          <w:rFonts w:ascii="Arial" w:hAnsi="Arial" w:cs="Arial"/>
          <w:color w:val="1A1818" w:themeColor="text1"/>
          <w:sz w:val="22"/>
          <w:szCs w:val="22"/>
        </w:rPr>
      </w:pPr>
    </w:p>
    <w:p w14:paraId="6CE39BAF" w14:textId="33EDDE0E" w:rsidR="00B17137" w:rsidRPr="00CB219D" w:rsidRDefault="00B17137" w:rsidP="00A77680">
      <w:pPr>
        <w:numPr>
          <w:ilvl w:val="0"/>
          <w:numId w:val="25"/>
        </w:numPr>
        <w:jc w:val="both"/>
        <w:rPr>
          <w:rFonts w:ascii="Arial" w:hAnsi="Arial" w:cs="Arial"/>
          <w:color w:val="1A1818" w:themeColor="text1"/>
          <w:sz w:val="22"/>
          <w:szCs w:val="22"/>
        </w:rPr>
      </w:pPr>
      <w:r w:rsidRPr="00CB219D">
        <w:rPr>
          <w:rFonts w:ascii="Arial" w:hAnsi="Arial" w:cs="Arial"/>
          <w:b/>
          <w:bCs/>
          <w:color w:val="1A1818" w:themeColor="text1"/>
          <w:sz w:val="22"/>
          <w:szCs w:val="22"/>
        </w:rPr>
        <w:t xml:space="preserve">Costos de Desplazamiento y </w:t>
      </w:r>
      <w:proofErr w:type="spellStart"/>
      <w:r w:rsidR="00CB219D" w:rsidRPr="00CB219D">
        <w:rPr>
          <w:rFonts w:ascii="Arial" w:hAnsi="Arial" w:cs="Arial"/>
          <w:b/>
          <w:bCs/>
          <w:color w:val="1A1818" w:themeColor="text1"/>
          <w:sz w:val="22"/>
          <w:szCs w:val="22"/>
        </w:rPr>
        <w:t>Logistica</w:t>
      </w:r>
      <w:proofErr w:type="spellEnd"/>
      <w:r w:rsidRPr="00CB219D">
        <w:rPr>
          <w:rFonts w:ascii="Arial" w:hAnsi="Arial" w:cs="Arial"/>
          <w:b/>
          <w:bCs/>
          <w:color w:val="1A1818" w:themeColor="text1"/>
          <w:sz w:val="22"/>
          <w:szCs w:val="22"/>
        </w:rPr>
        <w:t>:</w:t>
      </w:r>
      <w:r w:rsidRPr="00CB219D">
        <w:rPr>
          <w:rFonts w:ascii="Arial" w:hAnsi="Arial" w:cs="Arial"/>
          <w:color w:val="1A1818" w:themeColor="text1"/>
          <w:sz w:val="22"/>
          <w:szCs w:val="22"/>
        </w:rPr>
        <w:t xml:space="preserve"> Para </w:t>
      </w:r>
      <w:r w:rsidR="00CB219D" w:rsidRPr="00CB219D">
        <w:rPr>
          <w:rFonts w:ascii="Arial" w:hAnsi="Arial" w:cs="Arial"/>
          <w:color w:val="1A1818" w:themeColor="text1"/>
          <w:sz w:val="22"/>
          <w:szCs w:val="22"/>
        </w:rPr>
        <w:t xml:space="preserve">las sedes ubicadas fuera del perímetro urbano de la capital, tales como Girardot, Chocontá y, de manera muy particular y crítica, la sede de </w:t>
      </w:r>
      <w:r w:rsidR="00CB219D" w:rsidRPr="00CB219D">
        <w:rPr>
          <w:rFonts w:ascii="Arial" w:hAnsi="Arial" w:cs="Arial"/>
          <w:b/>
          <w:bCs/>
          <w:color w:val="1A1818" w:themeColor="text1"/>
          <w:sz w:val="22"/>
          <w:szCs w:val="22"/>
        </w:rPr>
        <w:t>Leticia (Amazonas)</w:t>
      </w:r>
      <w:r w:rsidR="00CB219D" w:rsidRPr="00CB219D">
        <w:rPr>
          <w:rFonts w:ascii="Arial" w:hAnsi="Arial" w:cs="Arial"/>
          <w:color w:val="1A1818" w:themeColor="text1"/>
          <w:sz w:val="22"/>
          <w:szCs w:val="22"/>
        </w:rPr>
        <w:t xml:space="preserve"> (cuya atención exige la compra de tiquetes aéreos y logística especializada), el mercado debe incorporar dentro de la estructura financiera de sus precios unitarios todos los costos asociados a los desplazamientos. Es decir, los gastos de rodamiento, peajes, combustibles, pasajes aéreos, transporte de carga (herramientas/repuestos), hospedaje y viáticos del personal técnico o de ingeniería, deben estar prorrateados e incluidos obligatoriamente en el valor ofertado para cada mantenimiento, lavado o repuesto. Por consiguiente, bajo la modalidad de este contrato, la Dirección Seccional </w:t>
      </w:r>
      <w:r w:rsidR="00CB219D" w:rsidRPr="00CB219D">
        <w:rPr>
          <w:rFonts w:ascii="Arial" w:hAnsi="Arial" w:cs="Arial"/>
          <w:b/>
          <w:bCs/>
          <w:color w:val="1A1818" w:themeColor="text1"/>
          <w:sz w:val="22"/>
          <w:szCs w:val="22"/>
        </w:rPr>
        <w:t>no reconocerá, no aceptará, ni pagará</w:t>
      </w:r>
      <w:r w:rsidR="00CB219D" w:rsidRPr="00CB219D">
        <w:rPr>
          <w:rFonts w:ascii="Arial" w:hAnsi="Arial" w:cs="Arial"/>
          <w:color w:val="1A1818" w:themeColor="text1"/>
          <w:sz w:val="22"/>
          <w:szCs w:val="22"/>
        </w:rPr>
        <w:t xml:space="preserve"> ningún valor adicional, independiente o discriminado por concepto de viáticos, transportes, desplazamientos o rodamiento de las cuadrillas.</w:t>
      </w:r>
    </w:p>
    <w:p w14:paraId="7BCA3C5B" w14:textId="77777777" w:rsidR="00D7028A" w:rsidRPr="001317CF" w:rsidRDefault="00667E78" w:rsidP="002737F1">
      <w:pPr>
        <w:pStyle w:val="Ttulo2"/>
        <w:numPr>
          <w:ilvl w:val="0"/>
          <w:numId w:val="0"/>
        </w:numPr>
        <w:ind w:left="720"/>
        <w:rPr>
          <w:rFonts w:asciiTheme="minorHAnsi" w:hAnsiTheme="minorHAnsi" w:cstheme="minorHAnsi"/>
        </w:rPr>
      </w:pPr>
      <w:bookmarkStart w:id="5" w:name="_Toc228353032"/>
      <w:r w:rsidRPr="001317CF">
        <w:rPr>
          <w:rFonts w:asciiTheme="minorHAnsi" w:hAnsiTheme="minorHAnsi" w:cstheme="minorHAnsi"/>
        </w:rPr>
        <w:t xml:space="preserve">C. </w:t>
      </w:r>
      <w:r w:rsidR="004D010E" w:rsidRPr="001317CF">
        <w:rPr>
          <w:rFonts w:asciiTheme="minorHAnsi" w:hAnsiTheme="minorHAnsi" w:cstheme="minorHAnsi"/>
        </w:rPr>
        <w:t>Marco regulatorio</w:t>
      </w:r>
      <w:bookmarkEnd w:id="5"/>
    </w:p>
    <w:p w14:paraId="663BF0BD" w14:textId="77777777" w:rsidR="00421764" w:rsidRDefault="00421764" w:rsidP="00421764">
      <w:pPr>
        <w:jc w:val="both"/>
        <w:rPr>
          <w:rFonts w:ascii="Arial" w:hAnsi="Arial" w:cs="Arial"/>
          <w:color w:val="1A1818" w:themeColor="text1"/>
          <w:sz w:val="22"/>
          <w:szCs w:val="22"/>
        </w:rPr>
      </w:pPr>
      <w:r w:rsidRPr="00421764">
        <w:rPr>
          <w:rFonts w:ascii="Arial" w:hAnsi="Arial" w:cs="Arial"/>
          <w:color w:val="1A1818" w:themeColor="text1"/>
          <w:sz w:val="22"/>
          <w:szCs w:val="22"/>
        </w:rPr>
        <w:t>El presente proceso de contratación, así como la posterior ejecución y liquidación del contrato, se rigen por los mandatos de la Constitución Política de Colombia, el Estatuto General de Contratación de la Administración Pública, y la normatividad técnica, sanitaria y de seguridad industrial aplicable a la naturaleza del objeto contractual.</w:t>
      </w:r>
    </w:p>
    <w:p w14:paraId="248F7B4C" w14:textId="6B160A13" w:rsidR="00421764" w:rsidRDefault="00421764" w:rsidP="00421764">
      <w:pPr>
        <w:jc w:val="both"/>
        <w:rPr>
          <w:rFonts w:ascii="Arial" w:hAnsi="Arial" w:cs="Arial"/>
          <w:b/>
          <w:bCs/>
          <w:color w:val="1A1818" w:themeColor="text1"/>
          <w:sz w:val="22"/>
          <w:szCs w:val="22"/>
        </w:rPr>
      </w:pPr>
      <w:r w:rsidRPr="00421764">
        <w:rPr>
          <w:rFonts w:ascii="Arial" w:hAnsi="Arial" w:cs="Arial"/>
          <w:b/>
          <w:bCs/>
          <w:color w:val="1A1818" w:themeColor="text1"/>
          <w:sz w:val="22"/>
          <w:szCs w:val="22"/>
        </w:rPr>
        <w:t>1. NORMATIVIDAD GENERAL DE CONTRATACIÓN ESTATAL</w:t>
      </w:r>
    </w:p>
    <w:p w14:paraId="15C1DA49" w14:textId="77777777" w:rsidR="00421764" w:rsidRPr="00421764" w:rsidRDefault="00421764" w:rsidP="00421764">
      <w:pPr>
        <w:jc w:val="both"/>
        <w:rPr>
          <w:rFonts w:ascii="Arial" w:hAnsi="Arial" w:cs="Arial"/>
          <w:b/>
          <w:bCs/>
          <w:color w:val="1A1818" w:themeColor="text1"/>
          <w:sz w:val="22"/>
          <w:szCs w:val="22"/>
        </w:rPr>
      </w:pPr>
    </w:p>
    <w:p w14:paraId="2F79D705" w14:textId="77777777" w:rsidR="00421764" w:rsidRDefault="00421764" w:rsidP="00421764">
      <w:pPr>
        <w:jc w:val="both"/>
        <w:rPr>
          <w:rFonts w:ascii="Arial" w:hAnsi="Arial" w:cs="Arial"/>
          <w:color w:val="1A1818" w:themeColor="text1"/>
          <w:sz w:val="22"/>
          <w:szCs w:val="22"/>
        </w:rPr>
      </w:pPr>
      <w:r w:rsidRPr="00421764">
        <w:rPr>
          <w:rFonts w:ascii="Arial" w:hAnsi="Arial" w:cs="Arial"/>
          <w:color w:val="1A1818" w:themeColor="text1"/>
          <w:sz w:val="22"/>
          <w:szCs w:val="22"/>
        </w:rPr>
        <w:t>El proceso de selección y el contrato se fundamentan jurídica y administrativamente en las siguientes disposiciones legales:</w:t>
      </w:r>
    </w:p>
    <w:p w14:paraId="41FE982A" w14:textId="77777777" w:rsidR="00421764" w:rsidRPr="00421764" w:rsidRDefault="00421764" w:rsidP="00421764">
      <w:pPr>
        <w:jc w:val="both"/>
        <w:rPr>
          <w:rFonts w:ascii="Arial" w:hAnsi="Arial" w:cs="Arial"/>
          <w:color w:val="1A1818" w:themeColor="text1"/>
          <w:sz w:val="22"/>
          <w:szCs w:val="22"/>
        </w:rPr>
      </w:pPr>
    </w:p>
    <w:p w14:paraId="703AAE6F" w14:textId="77777777" w:rsidR="00421764" w:rsidRPr="00421764" w:rsidRDefault="00421764" w:rsidP="00421764">
      <w:pPr>
        <w:numPr>
          <w:ilvl w:val="0"/>
          <w:numId w:val="27"/>
        </w:numPr>
        <w:jc w:val="both"/>
        <w:rPr>
          <w:rFonts w:ascii="Arial" w:hAnsi="Arial" w:cs="Arial"/>
          <w:color w:val="1A1818" w:themeColor="text1"/>
          <w:sz w:val="22"/>
          <w:szCs w:val="22"/>
        </w:rPr>
      </w:pPr>
      <w:r w:rsidRPr="00421764">
        <w:rPr>
          <w:rFonts w:ascii="Arial" w:hAnsi="Arial" w:cs="Arial"/>
          <w:b/>
          <w:bCs/>
          <w:color w:val="1A1818" w:themeColor="text1"/>
          <w:sz w:val="22"/>
          <w:szCs w:val="22"/>
        </w:rPr>
        <w:t>Ley 80 de 1993:</w:t>
      </w:r>
      <w:r w:rsidRPr="00421764">
        <w:rPr>
          <w:rFonts w:ascii="Arial" w:hAnsi="Arial" w:cs="Arial"/>
          <w:color w:val="1A1818" w:themeColor="text1"/>
          <w:sz w:val="22"/>
          <w:szCs w:val="22"/>
        </w:rPr>
        <w:t xml:space="preserve"> Por la cual se expide el Estatuto General de Contratación de la Administración Pública, sus principios y finalidades.</w:t>
      </w:r>
    </w:p>
    <w:p w14:paraId="1642CD71" w14:textId="77777777" w:rsidR="00421764" w:rsidRPr="00421764" w:rsidRDefault="00421764" w:rsidP="00421764">
      <w:pPr>
        <w:numPr>
          <w:ilvl w:val="0"/>
          <w:numId w:val="27"/>
        </w:numPr>
        <w:jc w:val="both"/>
        <w:rPr>
          <w:rFonts w:ascii="Arial" w:hAnsi="Arial" w:cs="Arial"/>
          <w:color w:val="1A1818" w:themeColor="text1"/>
          <w:sz w:val="22"/>
          <w:szCs w:val="22"/>
        </w:rPr>
      </w:pPr>
      <w:r w:rsidRPr="00421764">
        <w:rPr>
          <w:rFonts w:ascii="Arial" w:hAnsi="Arial" w:cs="Arial"/>
          <w:b/>
          <w:bCs/>
          <w:color w:val="1A1818" w:themeColor="text1"/>
          <w:sz w:val="22"/>
          <w:szCs w:val="22"/>
        </w:rPr>
        <w:t>Ley 1150 de 2007:</w:t>
      </w:r>
      <w:r w:rsidRPr="00421764">
        <w:rPr>
          <w:rFonts w:ascii="Arial" w:hAnsi="Arial" w:cs="Arial"/>
          <w:color w:val="1A1818" w:themeColor="text1"/>
          <w:sz w:val="22"/>
          <w:szCs w:val="22"/>
        </w:rPr>
        <w:t xml:space="preserve"> Por medio de la cual se introducen medidas para la eficiencia y la transparencia en la Ley 80 de 1993, específicamente en su Artículo 2, Numeral 5, que consagra la modalidad de selección de </w:t>
      </w:r>
      <w:r w:rsidRPr="00421764">
        <w:rPr>
          <w:rFonts w:ascii="Arial" w:hAnsi="Arial" w:cs="Arial"/>
          <w:b/>
          <w:bCs/>
          <w:color w:val="1A1818" w:themeColor="text1"/>
          <w:sz w:val="22"/>
          <w:szCs w:val="22"/>
        </w:rPr>
        <w:t>Mínima Cuantía</w:t>
      </w:r>
      <w:r w:rsidRPr="00421764">
        <w:rPr>
          <w:rFonts w:ascii="Arial" w:hAnsi="Arial" w:cs="Arial"/>
          <w:color w:val="1A1818" w:themeColor="text1"/>
          <w:sz w:val="22"/>
          <w:szCs w:val="22"/>
        </w:rPr>
        <w:t>.</w:t>
      </w:r>
    </w:p>
    <w:p w14:paraId="1BD017EF" w14:textId="77777777" w:rsidR="00421764" w:rsidRPr="00421764" w:rsidRDefault="00421764" w:rsidP="00421764">
      <w:pPr>
        <w:numPr>
          <w:ilvl w:val="0"/>
          <w:numId w:val="27"/>
        </w:numPr>
        <w:jc w:val="both"/>
        <w:rPr>
          <w:rFonts w:ascii="Arial" w:hAnsi="Arial" w:cs="Arial"/>
          <w:color w:val="1A1818" w:themeColor="text1"/>
          <w:sz w:val="22"/>
          <w:szCs w:val="22"/>
        </w:rPr>
      </w:pPr>
      <w:r w:rsidRPr="00421764">
        <w:rPr>
          <w:rFonts w:ascii="Arial" w:hAnsi="Arial" w:cs="Arial"/>
          <w:b/>
          <w:bCs/>
          <w:color w:val="1A1818" w:themeColor="text1"/>
          <w:sz w:val="22"/>
          <w:szCs w:val="22"/>
        </w:rPr>
        <w:t>Ley 1474 de 2011:</w:t>
      </w:r>
      <w:r w:rsidRPr="00421764">
        <w:rPr>
          <w:rFonts w:ascii="Arial" w:hAnsi="Arial" w:cs="Arial"/>
          <w:color w:val="1A1818" w:themeColor="text1"/>
          <w:sz w:val="22"/>
          <w:szCs w:val="22"/>
        </w:rPr>
        <w:t xml:space="preserve"> (Estatuto Anticorrupción), normas orientadas a fortalecer los mecanismos de prevención, investigación y sanción de actos de corrupción y la efectividad del control de la gestión pública.</w:t>
      </w:r>
    </w:p>
    <w:p w14:paraId="1932E1ED" w14:textId="77777777" w:rsidR="00421764" w:rsidRPr="00421764" w:rsidRDefault="00421764" w:rsidP="00421764">
      <w:pPr>
        <w:numPr>
          <w:ilvl w:val="0"/>
          <w:numId w:val="27"/>
        </w:numPr>
        <w:jc w:val="both"/>
        <w:rPr>
          <w:rFonts w:ascii="Arial" w:hAnsi="Arial" w:cs="Arial"/>
          <w:color w:val="1A1818" w:themeColor="text1"/>
          <w:sz w:val="22"/>
          <w:szCs w:val="22"/>
        </w:rPr>
      </w:pPr>
      <w:r w:rsidRPr="00421764">
        <w:rPr>
          <w:rFonts w:ascii="Arial" w:hAnsi="Arial" w:cs="Arial"/>
          <w:b/>
          <w:bCs/>
          <w:color w:val="1A1818" w:themeColor="text1"/>
          <w:sz w:val="22"/>
          <w:szCs w:val="22"/>
        </w:rPr>
        <w:t>Decreto 1082 de 2015:</w:t>
      </w:r>
      <w:r w:rsidRPr="00421764">
        <w:rPr>
          <w:rFonts w:ascii="Arial" w:hAnsi="Arial" w:cs="Arial"/>
          <w:color w:val="1A1818" w:themeColor="text1"/>
          <w:sz w:val="22"/>
          <w:szCs w:val="22"/>
        </w:rPr>
        <w:t xml:space="preserve"> Decreto Único Reglamentario del Sector Administrativo de Planeación Nacional, específicamente en sus artículos 2.2.1.2.1.5.1 al 2.2.1.2.1.5.4, los cuales reglamentan el procedimiento para la contratación de Mínima Cuantía, basado en la selección objetiva del menor precio.</w:t>
      </w:r>
    </w:p>
    <w:p w14:paraId="5011FA1E" w14:textId="77777777" w:rsidR="00421764" w:rsidRDefault="00421764" w:rsidP="00421764">
      <w:pPr>
        <w:numPr>
          <w:ilvl w:val="0"/>
          <w:numId w:val="27"/>
        </w:numPr>
        <w:jc w:val="both"/>
        <w:rPr>
          <w:rFonts w:ascii="Arial" w:hAnsi="Arial" w:cs="Arial"/>
          <w:color w:val="1A1818" w:themeColor="text1"/>
          <w:sz w:val="22"/>
          <w:szCs w:val="22"/>
        </w:rPr>
      </w:pPr>
      <w:r w:rsidRPr="00421764">
        <w:rPr>
          <w:rFonts w:ascii="Arial" w:hAnsi="Arial" w:cs="Arial"/>
          <w:b/>
          <w:bCs/>
          <w:color w:val="1A1818" w:themeColor="text1"/>
          <w:sz w:val="22"/>
          <w:szCs w:val="22"/>
        </w:rPr>
        <w:t>Ley 1121 de 2006 y Ley 1450 de 2011:</w:t>
      </w:r>
      <w:r w:rsidRPr="00421764">
        <w:rPr>
          <w:rFonts w:ascii="Arial" w:hAnsi="Arial" w:cs="Arial"/>
          <w:color w:val="1A1818" w:themeColor="text1"/>
          <w:sz w:val="22"/>
          <w:szCs w:val="22"/>
        </w:rPr>
        <w:t xml:space="preserve"> Normas relativas a las garantías en la contratación estatal y las cláusulas excepcionales.</w:t>
      </w:r>
    </w:p>
    <w:p w14:paraId="3A5911E6" w14:textId="77777777" w:rsidR="00421764" w:rsidRPr="00421764" w:rsidRDefault="00421764" w:rsidP="00421764">
      <w:pPr>
        <w:ind w:left="720"/>
        <w:jc w:val="both"/>
        <w:rPr>
          <w:rFonts w:ascii="Arial" w:hAnsi="Arial" w:cs="Arial"/>
          <w:color w:val="1A1818" w:themeColor="text1"/>
          <w:sz w:val="22"/>
          <w:szCs w:val="22"/>
        </w:rPr>
      </w:pPr>
    </w:p>
    <w:p w14:paraId="5CB53381" w14:textId="7381DDDB" w:rsidR="00421764" w:rsidRDefault="00421764" w:rsidP="00421764">
      <w:pPr>
        <w:jc w:val="both"/>
        <w:rPr>
          <w:rFonts w:ascii="Arial" w:hAnsi="Arial" w:cs="Arial"/>
          <w:b/>
          <w:bCs/>
          <w:color w:val="1A1818" w:themeColor="text1"/>
          <w:sz w:val="22"/>
          <w:szCs w:val="22"/>
        </w:rPr>
      </w:pPr>
      <w:r w:rsidRPr="00421764">
        <w:rPr>
          <w:rFonts w:ascii="Arial" w:hAnsi="Arial" w:cs="Arial"/>
          <w:b/>
          <w:bCs/>
          <w:color w:val="1A1818" w:themeColor="text1"/>
          <w:sz w:val="22"/>
          <w:szCs w:val="22"/>
        </w:rPr>
        <w:t>2. NORMATIVIDAD TÉCNICA Y OPERATIVA ESPECÍFICA</w:t>
      </w:r>
    </w:p>
    <w:p w14:paraId="3CC37347" w14:textId="77777777" w:rsidR="00421764" w:rsidRPr="00421764" w:rsidRDefault="00421764" w:rsidP="00421764">
      <w:pPr>
        <w:jc w:val="both"/>
        <w:rPr>
          <w:rFonts w:ascii="Arial" w:hAnsi="Arial" w:cs="Arial"/>
          <w:b/>
          <w:bCs/>
          <w:color w:val="1A1818" w:themeColor="text1"/>
          <w:sz w:val="22"/>
          <w:szCs w:val="22"/>
        </w:rPr>
      </w:pPr>
    </w:p>
    <w:p w14:paraId="2E85B734" w14:textId="77777777" w:rsidR="00421764" w:rsidRDefault="00421764" w:rsidP="00421764">
      <w:pPr>
        <w:jc w:val="both"/>
        <w:rPr>
          <w:rFonts w:ascii="Arial" w:hAnsi="Arial" w:cs="Arial"/>
          <w:color w:val="1A1818" w:themeColor="text1"/>
          <w:sz w:val="22"/>
          <w:szCs w:val="22"/>
        </w:rPr>
      </w:pPr>
      <w:r w:rsidRPr="00421764">
        <w:rPr>
          <w:rFonts w:ascii="Arial" w:hAnsi="Arial" w:cs="Arial"/>
          <w:color w:val="1A1818" w:themeColor="text1"/>
          <w:sz w:val="22"/>
          <w:szCs w:val="22"/>
        </w:rPr>
        <w:t>Para garantizar la calidad, seguridad y legalidad de las intervenciones electromecánicas e hidrosanitarias, el contratista deberá acatar estrictamente el siguiente marco técnico:</w:t>
      </w:r>
    </w:p>
    <w:p w14:paraId="788EEF04" w14:textId="77777777" w:rsidR="00421764" w:rsidRPr="00421764" w:rsidRDefault="00421764" w:rsidP="00421764">
      <w:pPr>
        <w:jc w:val="both"/>
        <w:rPr>
          <w:rFonts w:ascii="Arial" w:hAnsi="Arial" w:cs="Arial"/>
          <w:color w:val="1A1818" w:themeColor="text1"/>
          <w:sz w:val="22"/>
          <w:szCs w:val="22"/>
        </w:rPr>
      </w:pPr>
    </w:p>
    <w:p w14:paraId="5AD2097A" w14:textId="77777777" w:rsidR="00421764" w:rsidRDefault="00421764" w:rsidP="00421764">
      <w:pPr>
        <w:jc w:val="both"/>
        <w:rPr>
          <w:rFonts w:ascii="Arial" w:hAnsi="Arial" w:cs="Arial"/>
          <w:b/>
          <w:bCs/>
          <w:color w:val="1A1818" w:themeColor="text1"/>
          <w:sz w:val="22"/>
          <w:szCs w:val="22"/>
        </w:rPr>
      </w:pPr>
      <w:r w:rsidRPr="00421764">
        <w:rPr>
          <w:rFonts w:ascii="Arial" w:hAnsi="Arial" w:cs="Arial"/>
          <w:b/>
          <w:bCs/>
          <w:color w:val="1A1818" w:themeColor="text1"/>
          <w:sz w:val="22"/>
          <w:szCs w:val="22"/>
        </w:rPr>
        <w:t>A. Calidad del Agua y Lavado de Tanques:</w:t>
      </w:r>
    </w:p>
    <w:p w14:paraId="73E395EA" w14:textId="77777777" w:rsidR="00421764" w:rsidRPr="00421764" w:rsidRDefault="00421764" w:rsidP="00421764">
      <w:pPr>
        <w:jc w:val="both"/>
        <w:rPr>
          <w:rFonts w:ascii="Arial" w:hAnsi="Arial" w:cs="Arial"/>
          <w:color w:val="1A1818" w:themeColor="text1"/>
          <w:sz w:val="22"/>
          <w:szCs w:val="22"/>
        </w:rPr>
      </w:pPr>
    </w:p>
    <w:p w14:paraId="46C26104" w14:textId="77777777" w:rsidR="00421764" w:rsidRPr="00421764" w:rsidRDefault="00421764" w:rsidP="00421764">
      <w:pPr>
        <w:numPr>
          <w:ilvl w:val="0"/>
          <w:numId w:val="28"/>
        </w:numPr>
        <w:jc w:val="both"/>
        <w:rPr>
          <w:rFonts w:ascii="Arial" w:hAnsi="Arial" w:cs="Arial"/>
          <w:color w:val="1A1818" w:themeColor="text1"/>
          <w:sz w:val="22"/>
          <w:szCs w:val="22"/>
        </w:rPr>
      </w:pPr>
      <w:r w:rsidRPr="00421764">
        <w:rPr>
          <w:rFonts w:ascii="Arial" w:hAnsi="Arial" w:cs="Arial"/>
          <w:b/>
          <w:bCs/>
          <w:color w:val="1A1818" w:themeColor="text1"/>
          <w:sz w:val="22"/>
          <w:szCs w:val="22"/>
        </w:rPr>
        <w:t>Decreto 1575 de 2007:</w:t>
      </w:r>
      <w:r w:rsidRPr="00421764">
        <w:rPr>
          <w:rFonts w:ascii="Arial" w:hAnsi="Arial" w:cs="Arial"/>
          <w:color w:val="1A1818" w:themeColor="text1"/>
          <w:sz w:val="22"/>
          <w:szCs w:val="22"/>
        </w:rPr>
        <w:t xml:space="preserve"> Por el cual se establece el Sistema para la Protección y Control de la Calidad del Agua para Consumo Humano.</w:t>
      </w:r>
    </w:p>
    <w:p w14:paraId="2A10AC2C" w14:textId="77777777" w:rsidR="00421764" w:rsidRPr="00421764" w:rsidRDefault="00421764" w:rsidP="00421764">
      <w:pPr>
        <w:numPr>
          <w:ilvl w:val="0"/>
          <w:numId w:val="28"/>
        </w:numPr>
        <w:jc w:val="both"/>
        <w:rPr>
          <w:rFonts w:ascii="Arial" w:hAnsi="Arial" w:cs="Arial"/>
          <w:color w:val="1A1818" w:themeColor="text1"/>
          <w:sz w:val="22"/>
          <w:szCs w:val="22"/>
        </w:rPr>
      </w:pPr>
      <w:r w:rsidRPr="00421764">
        <w:rPr>
          <w:rFonts w:ascii="Arial" w:hAnsi="Arial" w:cs="Arial"/>
          <w:b/>
          <w:bCs/>
          <w:color w:val="1A1818" w:themeColor="text1"/>
          <w:sz w:val="22"/>
          <w:szCs w:val="22"/>
        </w:rPr>
        <w:t>Resolución 2115 de 2007:</w:t>
      </w:r>
      <w:r w:rsidRPr="00421764">
        <w:rPr>
          <w:rFonts w:ascii="Arial" w:hAnsi="Arial" w:cs="Arial"/>
          <w:color w:val="1A1818" w:themeColor="text1"/>
          <w:sz w:val="22"/>
          <w:szCs w:val="22"/>
        </w:rPr>
        <w:t xml:space="preserve"> (</w:t>
      </w:r>
      <w:proofErr w:type="spellStart"/>
      <w:r w:rsidRPr="00421764">
        <w:rPr>
          <w:rFonts w:ascii="Arial" w:hAnsi="Arial" w:cs="Arial"/>
          <w:color w:val="1A1818" w:themeColor="text1"/>
          <w:sz w:val="22"/>
          <w:szCs w:val="22"/>
        </w:rPr>
        <w:t>MinProtección</w:t>
      </w:r>
      <w:proofErr w:type="spellEnd"/>
      <w:r w:rsidRPr="00421764">
        <w:rPr>
          <w:rFonts w:ascii="Arial" w:hAnsi="Arial" w:cs="Arial"/>
          <w:color w:val="1A1818" w:themeColor="text1"/>
          <w:sz w:val="22"/>
          <w:szCs w:val="22"/>
        </w:rPr>
        <w:t xml:space="preserve"> y </w:t>
      </w:r>
      <w:proofErr w:type="spellStart"/>
      <w:r w:rsidRPr="00421764">
        <w:rPr>
          <w:rFonts w:ascii="Arial" w:hAnsi="Arial" w:cs="Arial"/>
          <w:color w:val="1A1818" w:themeColor="text1"/>
          <w:sz w:val="22"/>
          <w:szCs w:val="22"/>
        </w:rPr>
        <w:t>MinAmbiente</w:t>
      </w:r>
      <w:proofErr w:type="spellEnd"/>
      <w:r w:rsidRPr="00421764">
        <w:rPr>
          <w:rFonts w:ascii="Arial" w:hAnsi="Arial" w:cs="Arial"/>
          <w:color w:val="1A1818" w:themeColor="text1"/>
          <w:sz w:val="22"/>
          <w:szCs w:val="22"/>
        </w:rPr>
        <w:t>) Por medio de la cual se señalan características, instrumentos básicos y frecuencias del sistema de control y vigilancia para la calidad del agua para consumo humano.</w:t>
      </w:r>
    </w:p>
    <w:p w14:paraId="5CA9E608" w14:textId="77777777" w:rsidR="00421764" w:rsidRDefault="00421764" w:rsidP="00421764">
      <w:pPr>
        <w:numPr>
          <w:ilvl w:val="0"/>
          <w:numId w:val="28"/>
        </w:numPr>
        <w:jc w:val="both"/>
        <w:rPr>
          <w:rFonts w:ascii="Arial" w:hAnsi="Arial" w:cs="Arial"/>
          <w:color w:val="1A1818" w:themeColor="text1"/>
          <w:sz w:val="22"/>
          <w:szCs w:val="22"/>
        </w:rPr>
      </w:pPr>
      <w:r w:rsidRPr="00421764">
        <w:rPr>
          <w:rFonts w:ascii="Arial" w:hAnsi="Arial" w:cs="Arial"/>
          <w:b/>
          <w:bCs/>
          <w:color w:val="1A1818" w:themeColor="text1"/>
          <w:sz w:val="22"/>
          <w:szCs w:val="22"/>
        </w:rPr>
        <w:t>NTC 4576 (Norma Técnica Colombiana):</w:t>
      </w:r>
      <w:r w:rsidRPr="00421764">
        <w:rPr>
          <w:rFonts w:ascii="Arial" w:hAnsi="Arial" w:cs="Arial"/>
          <w:color w:val="1A1818" w:themeColor="text1"/>
          <w:sz w:val="22"/>
          <w:szCs w:val="22"/>
        </w:rPr>
        <w:t xml:space="preserve"> Estándar técnico obligatorio para la limpieza, desinfección y mantenimiento de tanques de almacenamiento de agua potable.</w:t>
      </w:r>
    </w:p>
    <w:p w14:paraId="19027F5A" w14:textId="77777777" w:rsidR="00421764" w:rsidRPr="00421764" w:rsidRDefault="00421764" w:rsidP="00421764">
      <w:pPr>
        <w:ind w:left="720"/>
        <w:jc w:val="both"/>
        <w:rPr>
          <w:rFonts w:ascii="Arial" w:hAnsi="Arial" w:cs="Arial"/>
          <w:color w:val="1A1818" w:themeColor="text1"/>
          <w:sz w:val="22"/>
          <w:szCs w:val="22"/>
        </w:rPr>
      </w:pPr>
    </w:p>
    <w:p w14:paraId="7CEA96C5" w14:textId="0DA6336C" w:rsidR="00421764" w:rsidRPr="002605E6" w:rsidRDefault="00421764" w:rsidP="002605E6">
      <w:pPr>
        <w:pStyle w:val="Prrafodelista"/>
        <w:numPr>
          <w:ilvl w:val="0"/>
          <w:numId w:val="4"/>
        </w:numPr>
        <w:jc w:val="both"/>
        <w:rPr>
          <w:rFonts w:ascii="Arial" w:hAnsi="Arial" w:cs="Arial"/>
          <w:b/>
          <w:bCs/>
          <w:color w:val="1A1818" w:themeColor="text1"/>
          <w:sz w:val="22"/>
          <w:szCs w:val="22"/>
        </w:rPr>
      </w:pPr>
      <w:r w:rsidRPr="002605E6">
        <w:rPr>
          <w:rFonts w:ascii="Arial" w:hAnsi="Arial" w:cs="Arial"/>
          <w:b/>
          <w:bCs/>
          <w:color w:val="1A1818" w:themeColor="text1"/>
          <w:sz w:val="22"/>
          <w:szCs w:val="22"/>
        </w:rPr>
        <w:t>Sistemas de Bombeo y Red Contra Incendio (RCI):</w:t>
      </w:r>
    </w:p>
    <w:p w14:paraId="242DD738" w14:textId="77777777" w:rsidR="002605E6" w:rsidRPr="002605E6" w:rsidRDefault="002605E6" w:rsidP="002605E6">
      <w:pPr>
        <w:pStyle w:val="Prrafodelista"/>
        <w:jc w:val="both"/>
        <w:rPr>
          <w:rFonts w:ascii="Arial" w:hAnsi="Arial" w:cs="Arial"/>
          <w:color w:val="1A1818" w:themeColor="text1"/>
          <w:sz w:val="22"/>
          <w:szCs w:val="22"/>
        </w:rPr>
      </w:pPr>
    </w:p>
    <w:p w14:paraId="4EA709EA" w14:textId="77777777" w:rsidR="00421764" w:rsidRPr="00421764" w:rsidRDefault="00421764" w:rsidP="00421764">
      <w:pPr>
        <w:numPr>
          <w:ilvl w:val="0"/>
          <w:numId w:val="29"/>
        </w:numPr>
        <w:jc w:val="both"/>
        <w:rPr>
          <w:rFonts w:ascii="Arial" w:hAnsi="Arial" w:cs="Arial"/>
          <w:color w:val="1A1818" w:themeColor="text1"/>
          <w:sz w:val="22"/>
          <w:szCs w:val="22"/>
        </w:rPr>
      </w:pPr>
      <w:r w:rsidRPr="00421764">
        <w:rPr>
          <w:rFonts w:ascii="Arial" w:hAnsi="Arial" w:cs="Arial"/>
          <w:b/>
          <w:bCs/>
          <w:color w:val="1A1818" w:themeColor="text1"/>
          <w:sz w:val="22"/>
          <w:szCs w:val="22"/>
        </w:rPr>
        <w:t>Ley 400 de 1997 y Decreto 926 de 2010 (NSR-10):</w:t>
      </w:r>
      <w:r w:rsidRPr="00421764">
        <w:rPr>
          <w:rFonts w:ascii="Arial" w:hAnsi="Arial" w:cs="Arial"/>
          <w:color w:val="1A1818" w:themeColor="text1"/>
          <w:sz w:val="22"/>
          <w:szCs w:val="22"/>
        </w:rPr>
        <w:t xml:space="preserve"> Reglamento Colombiano de Construcción Sismo Resistente, específicamente en los Títulos J y K, referentes a los requisitos de los sistemas de protección contra incendio en edificaciones institucionales.</w:t>
      </w:r>
    </w:p>
    <w:p w14:paraId="793423B5" w14:textId="77777777" w:rsidR="00421764" w:rsidRDefault="00421764" w:rsidP="00421764">
      <w:pPr>
        <w:numPr>
          <w:ilvl w:val="0"/>
          <w:numId w:val="29"/>
        </w:numPr>
        <w:jc w:val="both"/>
        <w:rPr>
          <w:rFonts w:ascii="Arial" w:hAnsi="Arial" w:cs="Arial"/>
          <w:color w:val="1A1818" w:themeColor="text1"/>
          <w:sz w:val="22"/>
          <w:szCs w:val="22"/>
        </w:rPr>
      </w:pPr>
      <w:r w:rsidRPr="00421764">
        <w:rPr>
          <w:rFonts w:ascii="Arial" w:hAnsi="Arial" w:cs="Arial"/>
          <w:b/>
          <w:bCs/>
          <w:color w:val="1A1818" w:themeColor="text1"/>
          <w:sz w:val="22"/>
          <w:szCs w:val="22"/>
        </w:rPr>
        <w:t>Normas NFPA (</w:t>
      </w:r>
      <w:proofErr w:type="spellStart"/>
      <w:r w:rsidRPr="00421764">
        <w:rPr>
          <w:rFonts w:ascii="Arial" w:hAnsi="Arial" w:cs="Arial"/>
          <w:b/>
          <w:bCs/>
          <w:color w:val="1A1818" w:themeColor="text1"/>
          <w:sz w:val="22"/>
          <w:szCs w:val="22"/>
        </w:rPr>
        <w:t>National</w:t>
      </w:r>
      <w:proofErr w:type="spellEnd"/>
      <w:r w:rsidRPr="00421764">
        <w:rPr>
          <w:rFonts w:ascii="Arial" w:hAnsi="Arial" w:cs="Arial"/>
          <w:b/>
          <w:bCs/>
          <w:color w:val="1A1818" w:themeColor="text1"/>
          <w:sz w:val="22"/>
          <w:szCs w:val="22"/>
        </w:rPr>
        <w:t xml:space="preserve"> </w:t>
      </w:r>
      <w:proofErr w:type="spellStart"/>
      <w:r w:rsidRPr="00421764">
        <w:rPr>
          <w:rFonts w:ascii="Arial" w:hAnsi="Arial" w:cs="Arial"/>
          <w:b/>
          <w:bCs/>
          <w:color w:val="1A1818" w:themeColor="text1"/>
          <w:sz w:val="22"/>
          <w:szCs w:val="22"/>
        </w:rPr>
        <w:t>Fire</w:t>
      </w:r>
      <w:proofErr w:type="spellEnd"/>
      <w:r w:rsidRPr="00421764">
        <w:rPr>
          <w:rFonts w:ascii="Arial" w:hAnsi="Arial" w:cs="Arial"/>
          <w:b/>
          <w:bCs/>
          <w:color w:val="1A1818" w:themeColor="text1"/>
          <w:sz w:val="22"/>
          <w:szCs w:val="22"/>
        </w:rPr>
        <w:t xml:space="preserve"> </w:t>
      </w:r>
      <w:proofErr w:type="spellStart"/>
      <w:r w:rsidRPr="00421764">
        <w:rPr>
          <w:rFonts w:ascii="Arial" w:hAnsi="Arial" w:cs="Arial"/>
          <w:b/>
          <w:bCs/>
          <w:color w:val="1A1818" w:themeColor="text1"/>
          <w:sz w:val="22"/>
          <w:szCs w:val="22"/>
        </w:rPr>
        <w:t>Protection</w:t>
      </w:r>
      <w:proofErr w:type="spellEnd"/>
      <w:r w:rsidRPr="00421764">
        <w:rPr>
          <w:rFonts w:ascii="Arial" w:hAnsi="Arial" w:cs="Arial"/>
          <w:b/>
          <w:bCs/>
          <w:color w:val="1A1818" w:themeColor="text1"/>
          <w:sz w:val="22"/>
          <w:szCs w:val="22"/>
        </w:rPr>
        <w:t xml:space="preserve"> </w:t>
      </w:r>
      <w:proofErr w:type="spellStart"/>
      <w:r w:rsidRPr="00421764">
        <w:rPr>
          <w:rFonts w:ascii="Arial" w:hAnsi="Arial" w:cs="Arial"/>
          <w:b/>
          <w:bCs/>
          <w:color w:val="1A1818" w:themeColor="text1"/>
          <w:sz w:val="22"/>
          <w:szCs w:val="22"/>
        </w:rPr>
        <w:t>Association</w:t>
      </w:r>
      <w:proofErr w:type="spellEnd"/>
      <w:r w:rsidRPr="00421764">
        <w:rPr>
          <w:rFonts w:ascii="Arial" w:hAnsi="Arial" w:cs="Arial"/>
          <w:b/>
          <w:bCs/>
          <w:color w:val="1A1818" w:themeColor="text1"/>
          <w:sz w:val="22"/>
          <w:szCs w:val="22"/>
        </w:rPr>
        <w:t>):</w:t>
      </w:r>
      <w:r w:rsidRPr="00421764">
        <w:rPr>
          <w:rFonts w:ascii="Arial" w:hAnsi="Arial" w:cs="Arial"/>
          <w:color w:val="1A1818" w:themeColor="text1"/>
          <w:sz w:val="22"/>
          <w:szCs w:val="22"/>
        </w:rPr>
        <w:t xml:space="preserve"> Particularmente los lineamientos técnicos de la NFPA 20 (Instalación de bombas estacionarias para protección contra incendios) y NFPA 25 (Inspección, prueba y mantenimiento de sistemas de protección contra incendios a base de agua).</w:t>
      </w:r>
    </w:p>
    <w:p w14:paraId="169720CF" w14:textId="77777777" w:rsidR="00421764" w:rsidRPr="00421764" w:rsidRDefault="00421764" w:rsidP="00421764">
      <w:pPr>
        <w:jc w:val="both"/>
        <w:rPr>
          <w:rFonts w:ascii="Arial" w:hAnsi="Arial" w:cs="Arial"/>
          <w:color w:val="1A1818" w:themeColor="text1"/>
          <w:sz w:val="22"/>
          <w:szCs w:val="22"/>
        </w:rPr>
      </w:pPr>
    </w:p>
    <w:p w14:paraId="604ABE74" w14:textId="77777777" w:rsidR="00421764" w:rsidRDefault="00421764" w:rsidP="00421764">
      <w:pPr>
        <w:jc w:val="both"/>
        <w:rPr>
          <w:rFonts w:ascii="Arial" w:hAnsi="Arial" w:cs="Arial"/>
          <w:b/>
          <w:bCs/>
          <w:color w:val="1A1818" w:themeColor="text1"/>
          <w:sz w:val="22"/>
          <w:szCs w:val="22"/>
        </w:rPr>
      </w:pPr>
      <w:r w:rsidRPr="00421764">
        <w:rPr>
          <w:rFonts w:ascii="Arial" w:hAnsi="Arial" w:cs="Arial"/>
          <w:b/>
          <w:bCs/>
          <w:color w:val="1A1818" w:themeColor="text1"/>
          <w:sz w:val="22"/>
          <w:szCs w:val="22"/>
        </w:rPr>
        <w:t>C. Sistemas Eléctricos:</w:t>
      </w:r>
    </w:p>
    <w:p w14:paraId="02978519" w14:textId="77777777" w:rsidR="00EE2200" w:rsidRPr="00421764" w:rsidRDefault="00EE2200" w:rsidP="00421764">
      <w:pPr>
        <w:jc w:val="both"/>
        <w:rPr>
          <w:rFonts w:ascii="Arial" w:hAnsi="Arial" w:cs="Arial"/>
          <w:color w:val="1A1818" w:themeColor="text1"/>
          <w:sz w:val="22"/>
          <w:szCs w:val="22"/>
        </w:rPr>
      </w:pPr>
    </w:p>
    <w:p w14:paraId="2E7950F7" w14:textId="77777777" w:rsidR="00421764" w:rsidRDefault="00421764" w:rsidP="00421764">
      <w:pPr>
        <w:numPr>
          <w:ilvl w:val="0"/>
          <w:numId w:val="30"/>
        </w:numPr>
        <w:jc w:val="both"/>
        <w:rPr>
          <w:rFonts w:ascii="Arial" w:hAnsi="Arial" w:cs="Arial"/>
          <w:color w:val="1A1818" w:themeColor="text1"/>
          <w:sz w:val="22"/>
          <w:szCs w:val="22"/>
        </w:rPr>
      </w:pPr>
      <w:r w:rsidRPr="00421764">
        <w:rPr>
          <w:rFonts w:ascii="Arial" w:hAnsi="Arial" w:cs="Arial"/>
          <w:b/>
          <w:bCs/>
          <w:color w:val="1A1818" w:themeColor="text1"/>
          <w:sz w:val="22"/>
          <w:szCs w:val="22"/>
        </w:rPr>
        <w:t>Resolución 90708 de 2013 (MinMinas):</w:t>
      </w:r>
      <w:r w:rsidRPr="00421764">
        <w:rPr>
          <w:rFonts w:ascii="Arial" w:hAnsi="Arial" w:cs="Arial"/>
          <w:color w:val="1A1818" w:themeColor="text1"/>
          <w:sz w:val="22"/>
          <w:szCs w:val="22"/>
        </w:rPr>
        <w:t xml:space="preserve"> Por la cual se expide el Reglamento Técnico de Instalaciones Eléctricas (</w:t>
      </w:r>
      <w:r w:rsidRPr="00421764">
        <w:rPr>
          <w:rFonts w:ascii="Arial" w:hAnsi="Arial" w:cs="Arial"/>
          <w:b/>
          <w:bCs/>
          <w:color w:val="1A1818" w:themeColor="text1"/>
          <w:sz w:val="22"/>
          <w:szCs w:val="22"/>
        </w:rPr>
        <w:t>RETIE</w:t>
      </w:r>
      <w:r w:rsidRPr="00421764">
        <w:rPr>
          <w:rFonts w:ascii="Arial" w:hAnsi="Arial" w:cs="Arial"/>
          <w:color w:val="1A1818" w:themeColor="text1"/>
          <w:sz w:val="22"/>
          <w:szCs w:val="22"/>
        </w:rPr>
        <w:t xml:space="preserve">). Todo suministro de tableros, </w:t>
      </w:r>
      <w:proofErr w:type="spellStart"/>
      <w:r w:rsidRPr="00421764">
        <w:rPr>
          <w:rFonts w:ascii="Arial" w:hAnsi="Arial" w:cs="Arial"/>
          <w:color w:val="1A1818" w:themeColor="text1"/>
          <w:sz w:val="22"/>
          <w:szCs w:val="22"/>
        </w:rPr>
        <w:t>breakers</w:t>
      </w:r>
      <w:proofErr w:type="spellEnd"/>
      <w:r w:rsidRPr="00421764">
        <w:rPr>
          <w:rFonts w:ascii="Arial" w:hAnsi="Arial" w:cs="Arial"/>
          <w:color w:val="1A1818" w:themeColor="text1"/>
          <w:sz w:val="22"/>
          <w:szCs w:val="22"/>
        </w:rPr>
        <w:t>, contactores y cableado para las motobombas debe contar con certificado de conformidad bajo esta norma.</w:t>
      </w:r>
    </w:p>
    <w:p w14:paraId="24F7BB63" w14:textId="77777777" w:rsidR="00EE2200" w:rsidRPr="00421764" w:rsidRDefault="00EE2200" w:rsidP="00EE2200">
      <w:pPr>
        <w:ind w:left="720"/>
        <w:jc w:val="both"/>
        <w:rPr>
          <w:rFonts w:ascii="Arial" w:hAnsi="Arial" w:cs="Arial"/>
          <w:color w:val="1A1818" w:themeColor="text1"/>
          <w:sz w:val="22"/>
          <w:szCs w:val="22"/>
        </w:rPr>
      </w:pPr>
    </w:p>
    <w:p w14:paraId="7F23F1FD" w14:textId="24DB440B" w:rsidR="00421764" w:rsidRDefault="00421764" w:rsidP="00421764">
      <w:pPr>
        <w:jc w:val="both"/>
        <w:rPr>
          <w:rFonts w:ascii="Arial" w:hAnsi="Arial" w:cs="Arial"/>
          <w:b/>
          <w:bCs/>
          <w:color w:val="1A1818" w:themeColor="text1"/>
          <w:sz w:val="22"/>
          <w:szCs w:val="22"/>
        </w:rPr>
      </w:pPr>
      <w:r w:rsidRPr="00421764">
        <w:rPr>
          <w:rFonts w:ascii="Arial" w:hAnsi="Arial" w:cs="Arial"/>
          <w:b/>
          <w:bCs/>
          <w:color w:val="1A1818" w:themeColor="text1"/>
          <w:sz w:val="22"/>
          <w:szCs w:val="22"/>
        </w:rPr>
        <w:t>3. NORMATIVIDAD EN SEGURIDAD Y SALUD EN EL TRABAJO (SST) Y GESTIÓN AMBIENTAL</w:t>
      </w:r>
    </w:p>
    <w:p w14:paraId="1E354924" w14:textId="77777777" w:rsidR="00EE2200" w:rsidRPr="00421764" w:rsidRDefault="00EE2200" w:rsidP="00421764">
      <w:pPr>
        <w:jc w:val="both"/>
        <w:rPr>
          <w:rFonts w:ascii="Arial" w:hAnsi="Arial" w:cs="Arial"/>
          <w:b/>
          <w:bCs/>
          <w:color w:val="1A1818" w:themeColor="text1"/>
          <w:sz w:val="22"/>
          <w:szCs w:val="22"/>
        </w:rPr>
      </w:pPr>
    </w:p>
    <w:p w14:paraId="21076415" w14:textId="77777777" w:rsidR="00421764" w:rsidRDefault="00421764" w:rsidP="00EE2200">
      <w:pPr>
        <w:jc w:val="both"/>
        <w:rPr>
          <w:rFonts w:ascii="Arial" w:hAnsi="Arial" w:cs="Arial"/>
          <w:color w:val="1A1818" w:themeColor="text1"/>
          <w:sz w:val="22"/>
          <w:szCs w:val="22"/>
        </w:rPr>
      </w:pPr>
      <w:r w:rsidRPr="00421764">
        <w:rPr>
          <w:rFonts w:ascii="Arial" w:hAnsi="Arial" w:cs="Arial"/>
          <w:color w:val="1A1818" w:themeColor="text1"/>
          <w:sz w:val="22"/>
          <w:szCs w:val="22"/>
        </w:rPr>
        <w:t>Teniendo en cuenta que las labores de mantenimiento y limpieza de pozos son consideradas de alto riesgo, el contratista está en la obligación ineludible de cumplir con:</w:t>
      </w:r>
    </w:p>
    <w:p w14:paraId="26817C71" w14:textId="77777777" w:rsidR="00EE2200" w:rsidRPr="00421764" w:rsidRDefault="00EE2200" w:rsidP="00EE2200">
      <w:pPr>
        <w:jc w:val="both"/>
        <w:rPr>
          <w:rFonts w:ascii="Arial" w:hAnsi="Arial" w:cs="Arial"/>
          <w:color w:val="1A1818" w:themeColor="text1"/>
          <w:sz w:val="22"/>
          <w:szCs w:val="22"/>
        </w:rPr>
      </w:pPr>
    </w:p>
    <w:p w14:paraId="33974622" w14:textId="77777777" w:rsidR="00421764" w:rsidRPr="00421764" w:rsidRDefault="00421764" w:rsidP="00421764">
      <w:pPr>
        <w:numPr>
          <w:ilvl w:val="0"/>
          <w:numId w:val="31"/>
        </w:numPr>
        <w:jc w:val="both"/>
        <w:rPr>
          <w:rFonts w:ascii="Arial" w:hAnsi="Arial" w:cs="Arial"/>
          <w:color w:val="1A1818" w:themeColor="text1"/>
          <w:sz w:val="22"/>
          <w:szCs w:val="22"/>
        </w:rPr>
      </w:pPr>
      <w:r w:rsidRPr="00421764">
        <w:rPr>
          <w:rFonts w:ascii="Arial" w:hAnsi="Arial" w:cs="Arial"/>
          <w:b/>
          <w:bCs/>
          <w:color w:val="1A1818" w:themeColor="text1"/>
          <w:sz w:val="22"/>
          <w:szCs w:val="22"/>
        </w:rPr>
        <w:t>Decreto 1072 de 2015:</w:t>
      </w:r>
      <w:r w:rsidRPr="00421764">
        <w:rPr>
          <w:rFonts w:ascii="Arial" w:hAnsi="Arial" w:cs="Arial"/>
          <w:color w:val="1A1818" w:themeColor="text1"/>
          <w:sz w:val="22"/>
          <w:szCs w:val="22"/>
        </w:rPr>
        <w:t xml:space="preserve"> Decreto Único Reglamentario del Sector Trabajo, en lo referente al Sistema de Gestión de Seguridad y Salud en el Trabajo (SG-SST).</w:t>
      </w:r>
    </w:p>
    <w:p w14:paraId="4D6A4B49" w14:textId="77777777" w:rsidR="00421764" w:rsidRPr="00421764" w:rsidRDefault="00421764" w:rsidP="00421764">
      <w:pPr>
        <w:numPr>
          <w:ilvl w:val="0"/>
          <w:numId w:val="31"/>
        </w:numPr>
        <w:jc w:val="both"/>
        <w:rPr>
          <w:rFonts w:ascii="Arial" w:hAnsi="Arial" w:cs="Arial"/>
          <w:color w:val="1A1818" w:themeColor="text1"/>
          <w:sz w:val="22"/>
          <w:szCs w:val="22"/>
        </w:rPr>
      </w:pPr>
      <w:r w:rsidRPr="00421764">
        <w:rPr>
          <w:rFonts w:ascii="Arial" w:hAnsi="Arial" w:cs="Arial"/>
          <w:b/>
          <w:bCs/>
          <w:color w:val="1A1818" w:themeColor="text1"/>
          <w:sz w:val="22"/>
          <w:szCs w:val="22"/>
        </w:rPr>
        <w:t>Resolución 4272 de 2021:</w:t>
      </w:r>
      <w:r w:rsidRPr="00421764">
        <w:rPr>
          <w:rFonts w:ascii="Arial" w:hAnsi="Arial" w:cs="Arial"/>
          <w:color w:val="1A1818" w:themeColor="text1"/>
          <w:sz w:val="22"/>
          <w:szCs w:val="22"/>
        </w:rPr>
        <w:t xml:space="preserve"> (</w:t>
      </w:r>
      <w:proofErr w:type="spellStart"/>
      <w:r w:rsidRPr="00421764">
        <w:rPr>
          <w:rFonts w:ascii="Arial" w:hAnsi="Arial" w:cs="Arial"/>
          <w:color w:val="1A1818" w:themeColor="text1"/>
          <w:sz w:val="22"/>
          <w:szCs w:val="22"/>
        </w:rPr>
        <w:t>MinTrabajo</w:t>
      </w:r>
      <w:proofErr w:type="spellEnd"/>
      <w:r w:rsidRPr="00421764">
        <w:rPr>
          <w:rFonts w:ascii="Arial" w:hAnsi="Arial" w:cs="Arial"/>
          <w:color w:val="1A1818" w:themeColor="text1"/>
          <w:sz w:val="22"/>
          <w:szCs w:val="22"/>
        </w:rPr>
        <w:t>) Por la cual se establecen los requisitos mínimos de seguridad para el desarrollo de Trabajo en Alturas.</w:t>
      </w:r>
    </w:p>
    <w:p w14:paraId="01D70D8F" w14:textId="77777777" w:rsidR="00421764" w:rsidRPr="00421764" w:rsidRDefault="00421764" w:rsidP="00421764">
      <w:pPr>
        <w:numPr>
          <w:ilvl w:val="0"/>
          <w:numId w:val="31"/>
        </w:numPr>
        <w:jc w:val="both"/>
        <w:rPr>
          <w:rFonts w:ascii="Arial" w:hAnsi="Arial" w:cs="Arial"/>
          <w:color w:val="1A1818" w:themeColor="text1"/>
          <w:sz w:val="22"/>
          <w:szCs w:val="22"/>
        </w:rPr>
      </w:pPr>
      <w:r w:rsidRPr="00421764">
        <w:rPr>
          <w:rFonts w:ascii="Arial" w:hAnsi="Arial" w:cs="Arial"/>
          <w:b/>
          <w:bCs/>
          <w:color w:val="1A1818" w:themeColor="text1"/>
          <w:sz w:val="22"/>
          <w:szCs w:val="22"/>
        </w:rPr>
        <w:t>Resolución 0491 de 2020:</w:t>
      </w:r>
      <w:r w:rsidRPr="00421764">
        <w:rPr>
          <w:rFonts w:ascii="Arial" w:hAnsi="Arial" w:cs="Arial"/>
          <w:color w:val="1A1818" w:themeColor="text1"/>
          <w:sz w:val="22"/>
          <w:szCs w:val="22"/>
        </w:rPr>
        <w:t xml:space="preserve"> (</w:t>
      </w:r>
      <w:proofErr w:type="spellStart"/>
      <w:r w:rsidRPr="00421764">
        <w:rPr>
          <w:rFonts w:ascii="Arial" w:hAnsi="Arial" w:cs="Arial"/>
          <w:color w:val="1A1818" w:themeColor="text1"/>
          <w:sz w:val="22"/>
          <w:szCs w:val="22"/>
        </w:rPr>
        <w:t>MinTrabajo</w:t>
      </w:r>
      <w:proofErr w:type="spellEnd"/>
      <w:r w:rsidRPr="00421764">
        <w:rPr>
          <w:rFonts w:ascii="Arial" w:hAnsi="Arial" w:cs="Arial"/>
          <w:color w:val="1A1818" w:themeColor="text1"/>
          <w:sz w:val="22"/>
          <w:szCs w:val="22"/>
        </w:rPr>
        <w:t>) Por la cual se establecen los requisitos mínimos de seguridad para el desarrollo de Trabajo en Espacios Confinados (norma crítica y obligatoria para el ingreso a los tanques de agua y pozos eyectores de aguas negras).</w:t>
      </w:r>
    </w:p>
    <w:p w14:paraId="322FD8DA" w14:textId="77777777" w:rsidR="00421764" w:rsidRPr="00421764" w:rsidRDefault="00421764" w:rsidP="00421764">
      <w:pPr>
        <w:numPr>
          <w:ilvl w:val="0"/>
          <w:numId w:val="31"/>
        </w:numPr>
        <w:jc w:val="both"/>
        <w:rPr>
          <w:rFonts w:ascii="Arial" w:hAnsi="Arial" w:cs="Arial"/>
          <w:color w:val="1A1818" w:themeColor="text1"/>
          <w:sz w:val="22"/>
          <w:szCs w:val="22"/>
        </w:rPr>
      </w:pPr>
      <w:r w:rsidRPr="00421764">
        <w:rPr>
          <w:rFonts w:ascii="Arial" w:hAnsi="Arial" w:cs="Arial"/>
          <w:b/>
          <w:bCs/>
          <w:color w:val="1A1818" w:themeColor="text1"/>
          <w:sz w:val="22"/>
          <w:szCs w:val="22"/>
        </w:rPr>
        <w:t>Decreto 1076 de 2015:</w:t>
      </w:r>
      <w:r w:rsidRPr="00421764">
        <w:rPr>
          <w:rFonts w:ascii="Arial" w:hAnsi="Arial" w:cs="Arial"/>
          <w:color w:val="1A1818" w:themeColor="text1"/>
          <w:sz w:val="22"/>
          <w:szCs w:val="22"/>
        </w:rPr>
        <w:t xml:space="preserve"> Decreto Único Reglamentario del Sector Ambiente y Desarrollo Sostenible, aplicable para el manejo, transporte y disposición final de Residuos Peligrosos (RESPEL) como aceites, lodos y piezas electromecánicas contaminadas.</w:t>
      </w:r>
    </w:p>
    <w:p w14:paraId="68CD4B2A" w14:textId="77777777" w:rsidR="00421764" w:rsidRDefault="00421764" w:rsidP="005C7A06">
      <w:pPr>
        <w:jc w:val="both"/>
        <w:rPr>
          <w:rFonts w:ascii="Arial" w:hAnsi="Arial" w:cs="Arial"/>
          <w:color w:val="1A1818" w:themeColor="text1"/>
          <w:sz w:val="22"/>
          <w:szCs w:val="22"/>
        </w:rPr>
      </w:pPr>
    </w:p>
    <w:p w14:paraId="585E9A73" w14:textId="77777777" w:rsidR="002737F1" w:rsidRPr="001317CF" w:rsidRDefault="002737F1" w:rsidP="002737F1">
      <w:pPr>
        <w:jc w:val="both"/>
        <w:rPr>
          <w:rFonts w:ascii="Arial" w:hAnsi="Arial" w:cs="Arial"/>
          <w:color w:val="1A1818" w:themeColor="text1"/>
          <w:sz w:val="22"/>
          <w:szCs w:val="22"/>
        </w:rPr>
      </w:pPr>
    </w:p>
    <w:p w14:paraId="43E5AD75" w14:textId="77777777" w:rsidR="00D7028A" w:rsidRPr="001317CF" w:rsidRDefault="004D010E" w:rsidP="002737F1">
      <w:pPr>
        <w:pStyle w:val="Ttulo1"/>
        <w:numPr>
          <w:ilvl w:val="0"/>
          <w:numId w:val="1"/>
        </w:numPr>
        <w:spacing w:before="0" w:after="0"/>
        <w:rPr>
          <w:rFonts w:ascii="Arial" w:hAnsi="Arial" w:cs="Arial"/>
          <w:color w:val="1A1818" w:themeColor="text1"/>
          <w:sz w:val="22"/>
          <w:szCs w:val="22"/>
        </w:rPr>
      </w:pPr>
      <w:bookmarkStart w:id="6" w:name="_heading=h.2et92p0" w:colFirst="0" w:colLast="0"/>
      <w:bookmarkStart w:id="7" w:name="_Toc228353033"/>
      <w:bookmarkEnd w:id="6"/>
      <w:r w:rsidRPr="001317CF">
        <w:rPr>
          <w:rFonts w:ascii="Arial" w:hAnsi="Arial" w:cs="Arial"/>
          <w:color w:val="1A1818" w:themeColor="text1"/>
          <w:sz w:val="22"/>
          <w:szCs w:val="22"/>
        </w:rPr>
        <w:t>Análisis de la oferta y demanda</w:t>
      </w:r>
      <w:bookmarkEnd w:id="7"/>
    </w:p>
    <w:p w14:paraId="7B879DBD" w14:textId="77777777" w:rsidR="002737F1" w:rsidRDefault="002737F1" w:rsidP="00CF491F">
      <w:pPr>
        <w:jc w:val="both"/>
        <w:rPr>
          <w:rFonts w:ascii="Arial" w:hAnsi="Arial" w:cs="Arial"/>
          <w:color w:val="1A1818" w:themeColor="text1"/>
          <w:sz w:val="22"/>
          <w:szCs w:val="22"/>
        </w:rPr>
      </w:pPr>
    </w:p>
    <w:p w14:paraId="64EA4365" w14:textId="67B87D4C" w:rsidR="008B09CB" w:rsidRDefault="008B09CB" w:rsidP="00CF491F">
      <w:pPr>
        <w:jc w:val="both"/>
        <w:rPr>
          <w:rFonts w:ascii="Arial" w:hAnsi="Arial" w:cs="Arial"/>
          <w:color w:val="1A1818" w:themeColor="text1"/>
          <w:sz w:val="22"/>
          <w:szCs w:val="22"/>
        </w:rPr>
      </w:pPr>
      <w:r w:rsidRPr="008B09CB">
        <w:rPr>
          <w:rFonts w:ascii="Arial" w:hAnsi="Arial" w:cs="Arial"/>
          <w:color w:val="1A1818" w:themeColor="text1"/>
          <w:sz w:val="22"/>
          <w:szCs w:val="22"/>
        </w:rPr>
        <w:t xml:space="preserve">En cumplimiento de lo establecido en el artículo 2.2.1.1.1.6.1 del Decreto 1082 de 2015, el presente numeral tiene como objetivo identificar la dinámica del mercado para el servicio de mantenimiento integral de sistemas de bombeo, redes hidrosanitarias y lavado técnico de tanques y pozos, analizando tanto el comportamiento de las Entidades Estatales en la adquisición de estos servicios (demanda) como las capacidades y condiciones de los proveedores especializados actuales (oferta). Este análisis se fundamenta en la información estadística extraída de la plataforma SECOP (Colombia Compra Eficiente) y en las particularidades técnicas de los equipos electromecánicos multimarca existentes en el inventario (tales como Barnes, </w:t>
      </w:r>
      <w:proofErr w:type="spellStart"/>
      <w:r w:rsidRPr="008B09CB">
        <w:rPr>
          <w:rFonts w:ascii="Arial" w:hAnsi="Arial" w:cs="Arial"/>
          <w:color w:val="1A1818" w:themeColor="text1"/>
          <w:sz w:val="22"/>
          <w:szCs w:val="22"/>
        </w:rPr>
        <w:t>Goulds</w:t>
      </w:r>
      <w:proofErr w:type="spellEnd"/>
      <w:r w:rsidRPr="008B09CB">
        <w:rPr>
          <w:rFonts w:ascii="Arial" w:hAnsi="Arial" w:cs="Arial"/>
          <w:color w:val="1A1818" w:themeColor="text1"/>
          <w:sz w:val="22"/>
          <w:szCs w:val="22"/>
        </w:rPr>
        <w:t>, IHM y Grundfos), permitiendo así sustentar la decisión de la Dirección Seccional bajo criterios de eficiencia, economía y eficacia. De esta manera, se garantiza que el presupuesto oficial —estructurado a precios unitarios fijos bajo la modalidad de monto agotable— y el procedimiento de selección de Mínima Cuantía, guarden total correspondencia con la realidad operativa, logística y comercial del sector en el territorio nacional.</w:t>
      </w:r>
    </w:p>
    <w:p w14:paraId="1EB5F556" w14:textId="77777777" w:rsidR="00D821C3" w:rsidRDefault="00D821C3" w:rsidP="00CF491F">
      <w:pPr>
        <w:jc w:val="both"/>
        <w:rPr>
          <w:rFonts w:ascii="Arial" w:hAnsi="Arial" w:cs="Arial"/>
          <w:color w:val="1A1818" w:themeColor="text1"/>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0A0" w:firstRow="1" w:lastRow="0" w:firstColumn="1" w:lastColumn="0" w:noHBand="0" w:noVBand="0"/>
      </w:tblPr>
      <w:tblGrid>
        <w:gridCol w:w="793"/>
        <w:gridCol w:w="1731"/>
        <w:gridCol w:w="6222"/>
      </w:tblGrid>
      <w:tr w:rsidR="00D821C3" w:rsidRPr="004755B8" w14:paraId="6EB44F34" w14:textId="77777777" w:rsidTr="009C4135">
        <w:trPr>
          <w:trHeight w:val="300"/>
          <w:tblHeader/>
          <w:jc w:val="center"/>
        </w:trPr>
        <w:tc>
          <w:tcPr>
            <w:tcW w:w="793" w:type="dxa"/>
            <w:shd w:val="clear" w:color="auto" w:fill="D9D9D9" w:themeFill="background1" w:themeFillShade="D9"/>
            <w:vAlign w:val="center"/>
          </w:tcPr>
          <w:p w14:paraId="4D1B3C8A" w14:textId="77777777" w:rsidR="00D821C3" w:rsidRPr="004755B8" w:rsidRDefault="00D821C3" w:rsidP="009C4135">
            <w:pPr>
              <w:jc w:val="center"/>
              <w:rPr>
                <w:rFonts w:ascii="Arial" w:hAnsi="Arial" w:cs="Arial"/>
                <w:b/>
                <w:color w:val="1A1818" w:themeColor="text1"/>
                <w:sz w:val="20"/>
                <w:szCs w:val="20"/>
                <w:lang w:eastAsia="es-CO"/>
              </w:rPr>
            </w:pPr>
            <w:r w:rsidRPr="004755B8">
              <w:rPr>
                <w:rFonts w:ascii="Arial" w:hAnsi="Arial" w:cs="Arial"/>
                <w:b/>
                <w:color w:val="1A1818" w:themeColor="text1"/>
                <w:sz w:val="20"/>
                <w:szCs w:val="20"/>
                <w:lang w:eastAsia="es-CO"/>
              </w:rPr>
              <w:t>ITEM</w:t>
            </w:r>
          </w:p>
        </w:tc>
        <w:tc>
          <w:tcPr>
            <w:tcW w:w="1731" w:type="dxa"/>
            <w:shd w:val="clear" w:color="auto" w:fill="D9D9D9" w:themeFill="background1" w:themeFillShade="D9"/>
            <w:vAlign w:val="center"/>
          </w:tcPr>
          <w:p w14:paraId="28EE5626" w14:textId="77777777" w:rsidR="00D821C3" w:rsidRPr="004755B8" w:rsidRDefault="00D821C3" w:rsidP="009C4135">
            <w:pPr>
              <w:jc w:val="center"/>
              <w:rPr>
                <w:rFonts w:ascii="Arial" w:hAnsi="Arial" w:cs="Arial"/>
                <w:b/>
                <w:color w:val="1A1818" w:themeColor="text1"/>
                <w:sz w:val="20"/>
                <w:szCs w:val="20"/>
                <w:lang w:eastAsia="es-CO"/>
              </w:rPr>
            </w:pPr>
            <w:r w:rsidRPr="004755B8">
              <w:rPr>
                <w:rFonts w:ascii="Arial" w:hAnsi="Arial" w:cs="Arial"/>
                <w:b/>
                <w:color w:val="1A1818" w:themeColor="text1"/>
                <w:sz w:val="20"/>
                <w:szCs w:val="20"/>
                <w:lang w:eastAsia="es-CO"/>
              </w:rPr>
              <w:t>Código UNSPSC</w:t>
            </w:r>
          </w:p>
        </w:tc>
        <w:tc>
          <w:tcPr>
            <w:tcW w:w="6222" w:type="dxa"/>
            <w:shd w:val="clear" w:color="auto" w:fill="D9D9D9" w:themeFill="background1" w:themeFillShade="D9"/>
            <w:vAlign w:val="center"/>
          </w:tcPr>
          <w:p w14:paraId="5A6BA561" w14:textId="77777777" w:rsidR="00D821C3" w:rsidRPr="004755B8" w:rsidRDefault="00D821C3" w:rsidP="009C4135">
            <w:pPr>
              <w:jc w:val="center"/>
              <w:rPr>
                <w:rFonts w:ascii="Arial" w:hAnsi="Arial" w:cs="Arial"/>
                <w:b/>
                <w:color w:val="1A1818" w:themeColor="text1"/>
                <w:sz w:val="20"/>
                <w:szCs w:val="20"/>
                <w:lang w:eastAsia="es-CO"/>
              </w:rPr>
            </w:pPr>
            <w:r w:rsidRPr="004755B8">
              <w:rPr>
                <w:rFonts w:ascii="Arial" w:hAnsi="Arial" w:cs="Arial"/>
                <w:b/>
                <w:color w:val="1A1818" w:themeColor="text1"/>
                <w:sz w:val="20"/>
                <w:szCs w:val="20"/>
                <w:lang w:eastAsia="es-CO"/>
              </w:rPr>
              <w:t>Producto</w:t>
            </w:r>
          </w:p>
        </w:tc>
      </w:tr>
      <w:tr w:rsidR="00D821C3" w:rsidRPr="004755B8" w14:paraId="3B50B9EF" w14:textId="77777777" w:rsidTr="009C4135">
        <w:trPr>
          <w:trHeight w:val="300"/>
          <w:jc w:val="center"/>
        </w:trPr>
        <w:tc>
          <w:tcPr>
            <w:tcW w:w="793" w:type="dxa"/>
            <w:vAlign w:val="center"/>
          </w:tcPr>
          <w:p w14:paraId="164F7D59" w14:textId="77777777" w:rsidR="00D821C3" w:rsidRPr="004755B8" w:rsidRDefault="00D821C3" w:rsidP="009C4135">
            <w:pPr>
              <w:jc w:val="center"/>
              <w:rPr>
                <w:rFonts w:ascii="Arial" w:hAnsi="Arial" w:cs="Arial"/>
                <w:color w:val="1A1818" w:themeColor="text1"/>
                <w:sz w:val="20"/>
                <w:szCs w:val="20"/>
                <w:lang w:eastAsia="es-CO"/>
              </w:rPr>
            </w:pPr>
            <w:r w:rsidRPr="004755B8">
              <w:rPr>
                <w:rFonts w:ascii="Arial" w:hAnsi="Arial" w:cs="Arial"/>
                <w:color w:val="1A1818" w:themeColor="text1"/>
                <w:sz w:val="20"/>
                <w:szCs w:val="20"/>
                <w:lang w:eastAsia="es-CO"/>
              </w:rPr>
              <w:t>1</w:t>
            </w:r>
          </w:p>
        </w:tc>
        <w:tc>
          <w:tcPr>
            <w:tcW w:w="1731" w:type="dxa"/>
            <w:vAlign w:val="center"/>
          </w:tcPr>
          <w:p w14:paraId="028871C3" w14:textId="77777777" w:rsidR="00D821C3" w:rsidRPr="004755B8" w:rsidRDefault="00D821C3" w:rsidP="009C4135">
            <w:pPr>
              <w:jc w:val="center"/>
              <w:rPr>
                <w:rFonts w:ascii="Arial" w:hAnsi="Arial" w:cs="Arial"/>
                <w:color w:val="1A1818" w:themeColor="text1"/>
                <w:sz w:val="20"/>
                <w:szCs w:val="20"/>
                <w:lang w:eastAsia="es-CO"/>
              </w:rPr>
            </w:pPr>
            <w:r w:rsidRPr="004755B8">
              <w:rPr>
                <w:rFonts w:ascii="Arial" w:hAnsi="Arial" w:cs="Arial"/>
                <w:sz w:val="20"/>
                <w:szCs w:val="20"/>
              </w:rPr>
              <w:t>72154109</w:t>
            </w:r>
          </w:p>
        </w:tc>
        <w:tc>
          <w:tcPr>
            <w:tcW w:w="6222" w:type="dxa"/>
            <w:vAlign w:val="center"/>
          </w:tcPr>
          <w:p w14:paraId="478102AE" w14:textId="77777777" w:rsidR="00D821C3" w:rsidRPr="004755B8" w:rsidRDefault="00D821C3" w:rsidP="009C4135">
            <w:pPr>
              <w:jc w:val="center"/>
              <w:rPr>
                <w:rFonts w:ascii="Arial" w:hAnsi="Arial" w:cs="Arial"/>
                <w:color w:val="1A1818" w:themeColor="text1"/>
                <w:sz w:val="20"/>
                <w:szCs w:val="20"/>
                <w:lang w:eastAsia="es-CO"/>
              </w:rPr>
            </w:pPr>
            <w:r w:rsidRPr="004755B8">
              <w:rPr>
                <w:rFonts w:ascii="Arial" w:hAnsi="Arial" w:cs="Arial"/>
                <w:sz w:val="20"/>
                <w:szCs w:val="20"/>
              </w:rPr>
              <w:t>Servicio de mantenimiento o reparación de bombas centrífugas</w:t>
            </w:r>
          </w:p>
        </w:tc>
      </w:tr>
      <w:tr w:rsidR="00D821C3" w:rsidRPr="004755B8" w14:paraId="1B5B1A8D" w14:textId="77777777" w:rsidTr="009C4135">
        <w:trPr>
          <w:trHeight w:val="300"/>
          <w:jc w:val="center"/>
        </w:trPr>
        <w:tc>
          <w:tcPr>
            <w:tcW w:w="793" w:type="dxa"/>
            <w:vAlign w:val="center"/>
          </w:tcPr>
          <w:p w14:paraId="22F9E5CF" w14:textId="77777777" w:rsidR="00D821C3" w:rsidRPr="004755B8" w:rsidRDefault="00D821C3" w:rsidP="009C4135">
            <w:pPr>
              <w:jc w:val="center"/>
              <w:rPr>
                <w:rFonts w:ascii="Arial" w:hAnsi="Arial" w:cs="Arial"/>
                <w:color w:val="1A1818" w:themeColor="text1"/>
                <w:sz w:val="20"/>
                <w:szCs w:val="20"/>
                <w:lang w:eastAsia="es-CO"/>
              </w:rPr>
            </w:pPr>
            <w:r w:rsidRPr="004755B8">
              <w:rPr>
                <w:rFonts w:ascii="Arial" w:hAnsi="Arial" w:cs="Arial"/>
                <w:color w:val="1A1818" w:themeColor="text1"/>
                <w:sz w:val="20"/>
                <w:szCs w:val="20"/>
                <w:lang w:eastAsia="es-CO"/>
              </w:rPr>
              <w:t>2</w:t>
            </w:r>
          </w:p>
        </w:tc>
        <w:tc>
          <w:tcPr>
            <w:tcW w:w="1731" w:type="dxa"/>
            <w:vAlign w:val="center"/>
          </w:tcPr>
          <w:p w14:paraId="67F203D3" w14:textId="77777777" w:rsidR="00D821C3" w:rsidRPr="004755B8" w:rsidRDefault="00D821C3" w:rsidP="009C4135">
            <w:pPr>
              <w:jc w:val="center"/>
              <w:rPr>
                <w:rFonts w:ascii="Arial" w:hAnsi="Arial" w:cs="Arial"/>
                <w:sz w:val="20"/>
                <w:szCs w:val="20"/>
              </w:rPr>
            </w:pPr>
            <w:r w:rsidRPr="004755B8">
              <w:rPr>
                <w:rFonts w:ascii="Arial" w:hAnsi="Arial" w:cs="Arial"/>
                <w:sz w:val="20"/>
                <w:szCs w:val="20"/>
              </w:rPr>
              <w:t>72101509</w:t>
            </w:r>
          </w:p>
        </w:tc>
        <w:tc>
          <w:tcPr>
            <w:tcW w:w="6222" w:type="dxa"/>
            <w:vAlign w:val="center"/>
          </w:tcPr>
          <w:p w14:paraId="4A899662" w14:textId="77777777" w:rsidR="00D821C3" w:rsidRPr="004755B8" w:rsidRDefault="00D821C3" w:rsidP="009C4135">
            <w:pPr>
              <w:jc w:val="center"/>
              <w:rPr>
                <w:rFonts w:ascii="Arial" w:hAnsi="Arial" w:cs="Arial"/>
                <w:sz w:val="20"/>
                <w:szCs w:val="20"/>
              </w:rPr>
            </w:pPr>
            <w:r w:rsidRPr="004755B8">
              <w:rPr>
                <w:rFonts w:ascii="Arial" w:hAnsi="Arial" w:cs="Arial"/>
                <w:sz w:val="20"/>
                <w:szCs w:val="20"/>
              </w:rPr>
              <w:t>Servicio de mantenimiento o reparación de equipos y sistemas de protección contra incendios</w:t>
            </w:r>
          </w:p>
        </w:tc>
      </w:tr>
      <w:tr w:rsidR="00D821C3" w:rsidRPr="004755B8" w14:paraId="6E7A600B" w14:textId="77777777" w:rsidTr="009C4135">
        <w:trPr>
          <w:trHeight w:val="300"/>
          <w:jc w:val="center"/>
        </w:trPr>
        <w:tc>
          <w:tcPr>
            <w:tcW w:w="793" w:type="dxa"/>
            <w:vAlign w:val="center"/>
          </w:tcPr>
          <w:p w14:paraId="11164ABF" w14:textId="77777777" w:rsidR="00D821C3" w:rsidRPr="004755B8" w:rsidRDefault="00D821C3" w:rsidP="009C4135">
            <w:pPr>
              <w:jc w:val="center"/>
              <w:rPr>
                <w:rFonts w:ascii="Arial" w:hAnsi="Arial" w:cs="Arial"/>
                <w:color w:val="1A1818" w:themeColor="text1"/>
                <w:sz w:val="20"/>
                <w:szCs w:val="20"/>
                <w:lang w:eastAsia="es-CO"/>
              </w:rPr>
            </w:pPr>
            <w:r w:rsidRPr="004755B8">
              <w:rPr>
                <w:rFonts w:ascii="Arial" w:hAnsi="Arial" w:cs="Arial"/>
                <w:color w:val="1A1818" w:themeColor="text1"/>
                <w:sz w:val="20"/>
                <w:szCs w:val="20"/>
                <w:lang w:eastAsia="es-CO"/>
              </w:rPr>
              <w:t>3</w:t>
            </w:r>
          </w:p>
        </w:tc>
        <w:tc>
          <w:tcPr>
            <w:tcW w:w="1731" w:type="dxa"/>
            <w:vAlign w:val="center"/>
          </w:tcPr>
          <w:p w14:paraId="1F3E4BB8" w14:textId="77777777" w:rsidR="00D821C3" w:rsidRPr="004755B8" w:rsidRDefault="00D821C3" w:rsidP="009C4135">
            <w:pPr>
              <w:jc w:val="center"/>
              <w:rPr>
                <w:rFonts w:ascii="Arial" w:hAnsi="Arial" w:cs="Arial"/>
                <w:sz w:val="20"/>
                <w:szCs w:val="20"/>
              </w:rPr>
            </w:pPr>
            <w:r w:rsidRPr="004755B8">
              <w:rPr>
                <w:rFonts w:ascii="Arial" w:hAnsi="Arial" w:cs="Arial"/>
                <w:sz w:val="20"/>
                <w:szCs w:val="20"/>
              </w:rPr>
              <w:t>72154402</w:t>
            </w:r>
          </w:p>
        </w:tc>
        <w:tc>
          <w:tcPr>
            <w:tcW w:w="6222" w:type="dxa"/>
            <w:vAlign w:val="center"/>
          </w:tcPr>
          <w:p w14:paraId="33EB8C83" w14:textId="77777777" w:rsidR="00D821C3" w:rsidRPr="004755B8" w:rsidRDefault="00D821C3" w:rsidP="009C4135">
            <w:pPr>
              <w:jc w:val="center"/>
              <w:rPr>
                <w:rFonts w:ascii="Arial" w:hAnsi="Arial" w:cs="Arial"/>
                <w:sz w:val="20"/>
                <w:szCs w:val="20"/>
              </w:rPr>
            </w:pPr>
            <w:r w:rsidRPr="004755B8">
              <w:rPr>
                <w:rFonts w:ascii="Arial" w:hAnsi="Arial" w:cs="Arial"/>
                <w:sz w:val="20"/>
                <w:szCs w:val="20"/>
              </w:rPr>
              <w:t>Servicio de mantenimiento o reparación de accesorios para tuberías</w:t>
            </w:r>
          </w:p>
        </w:tc>
      </w:tr>
      <w:tr w:rsidR="00D821C3" w:rsidRPr="004755B8" w14:paraId="68AA1AD3" w14:textId="77777777" w:rsidTr="009C4135">
        <w:trPr>
          <w:trHeight w:val="300"/>
          <w:jc w:val="center"/>
        </w:trPr>
        <w:tc>
          <w:tcPr>
            <w:tcW w:w="793" w:type="dxa"/>
            <w:vAlign w:val="center"/>
          </w:tcPr>
          <w:p w14:paraId="67C379C2" w14:textId="77777777" w:rsidR="00D821C3" w:rsidRPr="004755B8" w:rsidRDefault="00D821C3" w:rsidP="009C4135">
            <w:pPr>
              <w:jc w:val="center"/>
              <w:rPr>
                <w:rFonts w:ascii="Arial" w:hAnsi="Arial" w:cs="Arial"/>
                <w:color w:val="1A1818" w:themeColor="text1"/>
                <w:sz w:val="20"/>
                <w:szCs w:val="20"/>
                <w:lang w:eastAsia="es-CO"/>
              </w:rPr>
            </w:pPr>
            <w:r w:rsidRPr="004755B8">
              <w:rPr>
                <w:rFonts w:ascii="Arial" w:hAnsi="Arial" w:cs="Arial"/>
                <w:color w:val="1A1818" w:themeColor="text1"/>
                <w:sz w:val="20"/>
                <w:szCs w:val="20"/>
                <w:lang w:eastAsia="es-CO"/>
              </w:rPr>
              <w:t>4</w:t>
            </w:r>
          </w:p>
        </w:tc>
        <w:tc>
          <w:tcPr>
            <w:tcW w:w="1731" w:type="dxa"/>
            <w:vAlign w:val="center"/>
          </w:tcPr>
          <w:p w14:paraId="5122F9BE" w14:textId="77777777" w:rsidR="00D821C3" w:rsidRPr="004755B8" w:rsidRDefault="00D821C3" w:rsidP="009C4135">
            <w:pPr>
              <w:jc w:val="center"/>
              <w:rPr>
                <w:rFonts w:ascii="Arial" w:hAnsi="Arial" w:cs="Arial"/>
                <w:sz w:val="20"/>
                <w:szCs w:val="20"/>
              </w:rPr>
            </w:pPr>
            <w:r w:rsidRPr="004755B8">
              <w:rPr>
                <w:rFonts w:ascii="Arial" w:hAnsi="Arial" w:cs="Arial"/>
                <w:sz w:val="20"/>
                <w:szCs w:val="20"/>
              </w:rPr>
              <w:t>72154056</w:t>
            </w:r>
          </w:p>
        </w:tc>
        <w:tc>
          <w:tcPr>
            <w:tcW w:w="6222" w:type="dxa"/>
            <w:vAlign w:val="center"/>
          </w:tcPr>
          <w:p w14:paraId="45D3C7F0" w14:textId="77777777" w:rsidR="00D821C3" w:rsidRPr="004755B8" w:rsidRDefault="00D821C3" w:rsidP="009C4135">
            <w:pPr>
              <w:jc w:val="center"/>
              <w:rPr>
                <w:rFonts w:ascii="Arial" w:hAnsi="Arial" w:cs="Arial"/>
                <w:sz w:val="20"/>
                <w:szCs w:val="20"/>
              </w:rPr>
            </w:pPr>
            <w:r w:rsidRPr="004755B8">
              <w:rPr>
                <w:rFonts w:ascii="Arial" w:hAnsi="Arial" w:cs="Arial"/>
                <w:sz w:val="20"/>
                <w:szCs w:val="20"/>
              </w:rPr>
              <w:t>Servicio de mantenimiento o reparación de tanques</w:t>
            </w:r>
          </w:p>
        </w:tc>
      </w:tr>
    </w:tbl>
    <w:p w14:paraId="68A9A890" w14:textId="77777777" w:rsidR="00D7028A" w:rsidRPr="001317CF" w:rsidRDefault="00BA68FC" w:rsidP="004B626A">
      <w:pPr>
        <w:pStyle w:val="Ttulo2"/>
        <w:numPr>
          <w:ilvl w:val="0"/>
          <w:numId w:val="3"/>
        </w:numPr>
        <w:rPr>
          <w:rFonts w:ascii="Arial" w:hAnsi="Arial" w:cs="Arial"/>
          <w:color w:val="1A1818" w:themeColor="text1"/>
          <w:szCs w:val="22"/>
        </w:rPr>
      </w:pPr>
      <w:bookmarkStart w:id="8" w:name="_Toc228353034"/>
      <w:r w:rsidRPr="001317CF">
        <w:rPr>
          <w:rFonts w:ascii="Arial" w:hAnsi="Arial" w:cs="Arial"/>
          <w:color w:val="1A1818" w:themeColor="text1"/>
          <w:szCs w:val="22"/>
        </w:rPr>
        <w:t>Análisis de</w:t>
      </w:r>
      <w:r w:rsidR="00667E78" w:rsidRPr="001317CF">
        <w:rPr>
          <w:rFonts w:ascii="Arial" w:hAnsi="Arial" w:cs="Arial"/>
          <w:color w:val="1A1818" w:themeColor="text1"/>
          <w:szCs w:val="22"/>
        </w:rPr>
        <w:t xml:space="preserve"> la oferta</w:t>
      </w:r>
      <w:bookmarkEnd w:id="8"/>
    </w:p>
    <w:p w14:paraId="1984D079" w14:textId="6BB44D16" w:rsidR="00CF491F" w:rsidRPr="001317CF" w:rsidRDefault="00AA3F6C" w:rsidP="00AA3F6C">
      <w:pPr>
        <w:jc w:val="both"/>
        <w:rPr>
          <w:rFonts w:ascii="Arial" w:hAnsi="Arial" w:cs="Arial"/>
          <w:szCs w:val="22"/>
        </w:rPr>
      </w:pPr>
      <w:r w:rsidRPr="00AA3F6C">
        <w:rPr>
          <w:rFonts w:ascii="Arial" w:hAnsi="Arial" w:cs="Arial"/>
          <w:color w:val="1A1818" w:themeColor="text1"/>
          <w:sz w:val="22"/>
          <w:szCs w:val="22"/>
        </w:rPr>
        <w:t xml:space="preserve">En estricto cumplimiento del principio de planeación y con el objetivo de garantizar la pluralidad de oferentes, se procedió a analizar el comportamiento de la oferta (proveedores) en el mercado específico de servicios de mantenimiento electromecánico e hidrosanitario. Para tal fin, se consultó el tablero de "Análisis de la Oferta" del Modelo de Abastecimiento Estratégico (MAE) de Colombia Compra Eficiente. Con el fin de obtener una muestra de mercado que refleje la realidad logística y comercial exacta de la Entidad, la consulta se parametrizó aplicando filtros estrictos: vigencias </w:t>
      </w:r>
      <w:r w:rsidRPr="00AA3F6C">
        <w:rPr>
          <w:rFonts w:ascii="Arial" w:hAnsi="Arial" w:cs="Arial"/>
          <w:b/>
          <w:bCs/>
          <w:color w:val="1A1818" w:themeColor="text1"/>
          <w:sz w:val="22"/>
          <w:szCs w:val="22"/>
        </w:rPr>
        <w:t>2025 y lo corrido de 2026</w:t>
      </w:r>
      <w:r w:rsidRPr="00AA3F6C">
        <w:rPr>
          <w:rFonts w:ascii="Arial" w:hAnsi="Arial" w:cs="Arial"/>
          <w:color w:val="1A1818" w:themeColor="text1"/>
          <w:sz w:val="22"/>
          <w:szCs w:val="22"/>
        </w:rPr>
        <w:t xml:space="preserve">, circunscrito geográficamente a los departamentos de </w:t>
      </w:r>
      <w:r w:rsidRPr="00AA3F6C">
        <w:rPr>
          <w:rFonts w:ascii="Arial" w:hAnsi="Arial" w:cs="Arial"/>
          <w:b/>
          <w:bCs/>
          <w:color w:val="1A1818" w:themeColor="text1"/>
          <w:sz w:val="22"/>
          <w:szCs w:val="22"/>
        </w:rPr>
        <w:t>Cundinamarca, Bogotá D.C. y Amazonas</w:t>
      </w:r>
      <w:r w:rsidRPr="00AA3F6C">
        <w:rPr>
          <w:rFonts w:ascii="Arial" w:hAnsi="Arial" w:cs="Arial"/>
          <w:color w:val="1A1818" w:themeColor="text1"/>
          <w:sz w:val="22"/>
          <w:szCs w:val="22"/>
        </w:rPr>
        <w:t xml:space="preserve">, filtrando únicamente las contrataciones de la </w:t>
      </w:r>
      <w:r w:rsidRPr="00AA3F6C">
        <w:rPr>
          <w:rFonts w:ascii="Arial" w:hAnsi="Arial" w:cs="Arial"/>
          <w:b/>
          <w:bCs/>
          <w:color w:val="1A1818" w:themeColor="text1"/>
          <w:sz w:val="22"/>
          <w:szCs w:val="22"/>
        </w:rPr>
        <w:t>Rama Judicial</w:t>
      </w:r>
      <w:r w:rsidRPr="00AA3F6C">
        <w:rPr>
          <w:rFonts w:ascii="Arial" w:hAnsi="Arial" w:cs="Arial"/>
          <w:color w:val="1A1818" w:themeColor="text1"/>
          <w:sz w:val="22"/>
          <w:szCs w:val="22"/>
        </w:rPr>
        <w:t xml:space="preserve"> adelantadas a través de </w:t>
      </w:r>
      <w:r w:rsidRPr="00AA3F6C">
        <w:rPr>
          <w:rFonts w:ascii="Arial" w:hAnsi="Arial" w:cs="Arial"/>
          <w:b/>
          <w:bCs/>
          <w:color w:val="1A1818" w:themeColor="text1"/>
          <w:sz w:val="22"/>
          <w:szCs w:val="22"/>
        </w:rPr>
        <w:t>modalidades de selección competitivas</w:t>
      </w:r>
      <w:r w:rsidRPr="00AA3F6C">
        <w:rPr>
          <w:rFonts w:ascii="Arial" w:hAnsi="Arial" w:cs="Arial"/>
          <w:color w:val="1A1818" w:themeColor="text1"/>
          <w:sz w:val="22"/>
          <w:szCs w:val="22"/>
        </w:rPr>
        <w:t xml:space="preserve"> en el SECOP II. Este ejercicio focalizado permite a la Dirección Seccional verificar empíricamente la existencia de un ecosistema empresarial regional maduro, plural y con la capacidad técnica para ejecutar contratos en los territorios objeto de esta contratación, mitigando el riesgo de declaratoria de desierta.</w:t>
      </w:r>
    </w:p>
    <w:p w14:paraId="1D20510E" w14:textId="77777777" w:rsidR="00B0063A" w:rsidRDefault="00B0063A" w:rsidP="00CF491F">
      <w:pPr>
        <w:rPr>
          <w:rFonts w:ascii="Arial" w:hAnsi="Arial" w:cs="Arial"/>
          <w:sz w:val="22"/>
          <w:szCs w:val="22"/>
        </w:rPr>
      </w:pPr>
    </w:p>
    <w:p w14:paraId="770FCF0B" w14:textId="77777777" w:rsidR="00211166" w:rsidRDefault="00211166" w:rsidP="00211166">
      <w:pPr>
        <w:rPr>
          <w:rFonts w:ascii="Arial" w:hAnsi="Arial" w:cs="Arial"/>
          <w:b/>
          <w:bCs/>
          <w:sz w:val="22"/>
          <w:szCs w:val="22"/>
        </w:rPr>
      </w:pPr>
      <w:r w:rsidRPr="00211166">
        <w:rPr>
          <w:rFonts w:ascii="Arial" w:hAnsi="Arial" w:cs="Arial"/>
          <w:b/>
          <w:bCs/>
          <w:sz w:val="22"/>
          <w:szCs w:val="22"/>
        </w:rPr>
        <w:t>Análisis de los Gráficos y Datos del Sector (Vigencia 2025):</w:t>
      </w:r>
    </w:p>
    <w:p w14:paraId="30450C6E" w14:textId="77777777" w:rsidR="00211166" w:rsidRPr="00211166" w:rsidRDefault="00211166" w:rsidP="00211166">
      <w:pPr>
        <w:rPr>
          <w:rFonts w:ascii="Arial" w:hAnsi="Arial" w:cs="Arial"/>
          <w:sz w:val="22"/>
          <w:szCs w:val="22"/>
        </w:rPr>
      </w:pPr>
    </w:p>
    <w:p w14:paraId="3486E32A" w14:textId="77777777" w:rsidR="00211166" w:rsidRPr="00115A8C" w:rsidRDefault="00211166" w:rsidP="00115A8C">
      <w:pPr>
        <w:jc w:val="both"/>
        <w:rPr>
          <w:rFonts w:ascii="Arial" w:hAnsi="Arial" w:cs="Arial"/>
          <w:color w:val="1A1818" w:themeColor="text1"/>
          <w:sz w:val="22"/>
          <w:szCs w:val="22"/>
        </w:rPr>
      </w:pPr>
      <w:r w:rsidRPr="00115A8C">
        <w:rPr>
          <w:rFonts w:ascii="Arial" w:hAnsi="Arial" w:cs="Arial"/>
          <w:color w:val="1A1818" w:themeColor="text1"/>
          <w:sz w:val="22"/>
          <w:szCs w:val="22"/>
        </w:rPr>
        <w:t>De la información oficial consolidada en la plataforma para el año 2025, se extraen las siguientes conclusiones fundamentales que viabilizan el presente proceso:</w:t>
      </w:r>
    </w:p>
    <w:p w14:paraId="4518CC62" w14:textId="36652CC7" w:rsidR="00211166" w:rsidRDefault="0056760D" w:rsidP="00211166">
      <w:pPr>
        <w:rPr>
          <w:rFonts w:ascii="Arial" w:hAnsi="Arial" w:cs="Arial"/>
          <w:b/>
          <w:bCs/>
          <w:sz w:val="22"/>
          <w:szCs w:val="22"/>
        </w:rPr>
      </w:pPr>
      <w:r w:rsidRPr="0056760D">
        <w:rPr>
          <w:rFonts w:ascii="Arial" w:hAnsi="Arial" w:cs="Arial"/>
          <w:b/>
          <w:bCs/>
          <w:sz w:val="22"/>
          <w:szCs w:val="22"/>
        </w:rPr>
        <w:t>Volumen de Contratación y Capacidad del Mercado:</w:t>
      </w:r>
    </w:p>
    <w:p w14:paraId="3B3E7CFA" w14:textId="77777777" w:rsidR="0056760D" w:rsidRDefault="0056760D" w:rsidP="00211166">
      <w:pPr>
        <w:rPr>
          <w:rFonts w:ascii="Arial" w:hAnsi="Arial" w:cs="Arial"/>
          <w:b/>
          <w:bCs/>
          <w:sz w:val="22"/>
          <w:szCs w:val="22"/>
        </w:rPr>
      </w:pPr>
    </w:p>
    <w:p w14:paraId="1B872C7C" w14:textId="5844AD70" w:rsidR="0056760D" w:rsidRDefault="00774CA7" w:rsidP="00C444BC">
      <w:pPr>
        <w:jc w:val="center"/>
        <w:rPr>
          <w:rFonts w:ascii="Arial" w:hAnsi="Arial" w:cs="Arial"/>
          <w:sz w:val="22"/>
          <w:szCs w:val="22"/>
        </w:rPr>
      </w:pPr>
      <w:r w:rsidRPr="00774CA7">
        <w:rPr>
          <w:rFonts w:ascii="Arial" w:hAnsi="Arial" w:cs="Arial"/>
          <w:noProof/>
          <w:sz w:val="22"/>
          <w:szCs w:val="22"/>
        </w:rPr>
        <w:drawing>
          <wp:inline distT="0" distB="0" distL="0" distR="0" wp14:anchorId="5DBE9454" wp14:editId="081AA8DE">
            <wp:extent cx="5591175" cy="4933950"/>
            <wp:effectExtent l="0" t="0" r="9525" b="0"/>
            <wp:docPr id="3953519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351956" name=""/>
                    <pic:cNvPicPr/>
                  </pic:nvPicPr>
                  <pic:blipFill>
                    <a:blip r:embed="rId12"/>
                    <a:stretch>
                      <a:fillRect/>
                    </a:stretch>
                  </pic:blipFill>
                  <pic:spPr>
                    <a:xfrm>
                      <a:off x="0" y="0"/>
                      <a:ext cx="5617869" cy="4957506"/>
                    </a:xfrm>
                    <a:prstGeom prst="rect">
                      <a:avLst/>
                    </a:prstGeom>
                  </pic:spPr>
                </pic:pic>
              </a:graphicData>
            </a:graphic>
          </wp:inline>
        </w:drawing>
      </w:r>
    </w:p>
    <w:p w14:paraId="5F3CC110" w14:textId="77777777" w:rsidR="00C444BC" w:rsidRDefault="00C444BC" w:rsidP="00211166">
      <w:pPr>
        <w:rPr>
          <w:rFonts w:ascii="Arial" w:hAnsi="Arial" w:cs="Arial"/>
          <w:sz w:val="22"/>
          <w:szCs w:val="22"/>
        </w:rPr>
      </w:pPr>
    </w:p>
    <w:p w14:paraId="52CD0941" w14:textId="7935AA0A" w:rsidR="00C444BC" w:rsidRDefault="00C444BC" w:rsidP="00C444BC">
      <w:pPr>
        <w:jc w:val="center"/>
        <w:rPr>
          <w:rFonts w:ascii="Arial" w:hAnsi="Arial" w:cs="Arial"/>
          <w:sz w:val="22"/>
          <w:szCs w:val="22"/>
        </w:rPr>
      </w:pPr>
      <w:r w:rsidRPr="00C444BC">
        <w:rPr>
          <w:rFonts w:ascii="Arial" w:hAnsi="Arial" w:cs="Arial"/>
          <w:noProof/>
          <w:sz w:val="22"/>
          <w:szCs w:val="22"/>
        </w:rPr>
        <w:drawing>
          <wp:inline distT="0" distB="0" distL="0" distR="0" wp14:anchorId="1AC94596" wp14:editId="14B4B5CA">
            <wp:extent cx="5572125" cy="3305175"/>
            <wp:effectExtent l="0" t="0" r="9525" b="9525"/>
            <wp:docPr id="10560964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096459" name=""/>
                    <pic:cNvPicPr/>
                  </pic:nvPicPr>
                  <pic:blipFill>
                    <a:blip r:embed="rId13"/>
                    <a:stretch>
                      <a:fillRect/>
                    </a:stretch>
                  </pic:blipFill>
                  <pic:spPr>
                    <a:xfrm>
                      <a:off x="0" y="0"/>
                      <a:ext cx="5582707" cy="3311452"/>
                    </a:xfrm>
                    <a:prstGeom prst="rect">
                      <a:avLst/>
                    </a:prstGeom>
                  </pic:spPr>
                </pic:pic>
              </a:graphicData>
            </a:graphic>
          </wp:inline>
        </w:drawing>
      </w:r>
    </w:p>
    <w:p w14:paraId="45BFDE3B" w14:textId="77777777" w:rsidR="00774CA7" w:rsidRDefault="00774CA7" w:rsidP="00211166">
      <w:pPr>
        <w:rPr>
          <w:rFonts w:ascii="Arial" w:hAnsi="Arial" w:cs="Arial"/>
          <w:sz w:val="22"/>
          <w:szCs w:val="22"/>
        </w:rPr>
      </w:pPr>
    </w:p>
    <w:p w14:paraId="361D71DD" w14:textId="7FEAF632" w:rsidR="00774CA7" w:rsidRPr="0056760D" w:rsidRDefault="00774CA7" w:rsidP="00115A8C">
      <w:pPr>
        <w:jc w:val="both"/>
        <w:rPr>
          <w:rFonts w:ascii="Arial" w:hAnsi="Arial" w:cs="Arial"/>
          <w:sz w:val="22"/>
          <w:szCs w:val="22"/>
        </w:rPr>
      </w:pPr>
      <w:r w:rsidRPr="00774CA7">
        <w:rPr>
          <w:rFonts w:ascii="Arial" w:hAnsi="Arial" w:cs="Arial"/>
          <w:sz w:val="22"/>
          <w:szCs w:val="22"/>
        </w:rPr>
        <w:t xml:space="preserve">Durante la vigencia 2025, el mercado ha respondido activamente a las necesidades de la Rama Judicial, celebrando un total de </w:t>
      </w:r>
      <w:r w:rsidRPr="00774CA7">
        <w:rPr>
          <w:rFonts w:ascii="Arial" w:hAnsi="Arial" w:cs="Arial"/>
          <w:b/>
          <w:bCs/>
          <w:sz w:val="22"/>
          <w:szCs w:val="22"/>
        </w:rPr>
        <w:t>15 contratos</w:t>
      </w:r>
      <w:r w:rsidRPr="00774CA7">
        <w:rPr>
          <w:rFonts w:ascii="Arial" w:hAnsi="Arial" w:cs="Arial"/>
          <w:sz w:val="22"/>
          <w:szCs w:val="22"/>
        </w:rPr>
        <w:t xml:space="preserve"> que ascienden a un valor total contratado de </w:t>
      </w:r>
      <w:r w:rsidRPr="00774CA7">
        <w:rPr>
          <w:rFonts w:ascii="Arial" w:hAnsi="Arial" w:cs="Arial"/>
          <w:b/>
          <w:bCs/>
          <w:sz w:val="22"/>
          <w:szCs w:val="22"/>
        </w:rPr>
        <w:t>$1.642.827.553</w:t>
      </w:r>
      <w:r w:rsidRPr="00774CA7">
        <w:rPr>
          <w:rFonts w:ascii="Arial" w:hAnsi="Arial" w:cs="Arial"/>
          <w:sz w:val="22"/>
          <w:szCs w:val="22"/>
        </w:rPr>
        <w:t xml:space="preserve"> (Aprox. $1.64 Mil Millones de pesos). Este volumen transaccional demuestra que las empresas del sector cuentan con el músculo financiero y la capacidad operativa para respaldar las necesidades de la Entidad.</w:t>
      </w:r>
    </w:p>
    <w:p w14:paraId="6E5D0542" w14:textId="77777777" w:rsidR="000121E2" w:rsidRDefault="000121E2" w:rsidP="00CF491F">
      <w:pPr>
        <w:rPr>
          <w:rFonts w:ascii="Arial" w:hAnsi="Arial" w:cs="Arial"/>
          <w:sz w:val="22"/>
          <w:szCs w:val="22"/>
        </w:rPr>
      </w:pPr>
      <w:r w:rsidRPr="000121E2">
        <w:rPr>
          <w:rFonts w:ascii="Arial" w:hAnsi="Arial" w:cs="Arial"/>
          <w:b/>
          <w:bCs/>
          <w:sz w:val="22"/>
          <w:szCs w:val="22"/>
        </w:rPr>
        <w:t>Pluralidad de Oferentes y Ausencia de Monopolios:</w:t>
      </w:r>
      <w:r w:rsidRPr="000121E2">
        <w:rPr>
          <w:rFonts w:ascii="Arial" w:hAnsi="Arial" w:cs="Arial"/>
          <w:sz w:val="22"/>
          <w:szCs w:val="22"/>
        </w:rPr>
        <w:t xml:space="preserve"> </w:t>
      </w:r>
    </w:p>
    <w:p w14:paraId="62D1C741" w14:textId="77777777" w:rsidR="000121E2" w:rsidRDefault="000121E2" w:rsidP="00CF491F">
      <w:pPr>
        <w:rPr>
          <w:rFonts w:ascii="Arial" w:hAnsi="Arial" w:cs="Arial"/>
          <w:sz w:val="22"/>
          <w:szCs w:val="22"/>
        </w:rPr>
      </w:pPr>
    </w:p>
    <w:p w14:paraId="14790020" w14:textId="7F4EF518" w:rsidR="000121E2" w:rsidRDefault="000E2840" w:rsidP="00CF491F">
      <w:pPr>
        <w:rPr>
          <w:rFonts w:ascii="Arial" w:hAnsi="Arial" w:cs="Arial"/>
          <w:sz w:val="22"/>
          <w:szCs w:val="22"/>
        </w:rPr>
      </w:pPr>
      <w:r w:rsidRPr="000E2840">
        <w:rPr>
          <w:rFonts w:ascii="Arial" w:hAnsi="Arial" w:cs="Arial"/>
          <w:noProof/>
          <w:sz w:val="22"/>
          <w:szCs w:val="22"/>
        </w:rPr>
        <w:drawing>
          <wp:inline distT="0" distB="0" distL="0" distR="0" wp14:anchorId="131D8FBC" wp14:editId="6DC724B1">
            <wp:extent cx="5610225" cy="3485774"/>
            <wp:effectExtent l="0" t="0" r="0" b="635"/>
            <wp:docPr id="2271423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142347" name=""/>
                    <pic:cNvPicPr/>
                  </pic:nvPicPr>
                  <pic:blipFill>
                    <a:blip r:embed="rId14"/>
                    <a:stretch>
                      <a:fillRect/>
                    </a:stretch>
                  </pic:blipFill>
                  <pic:spPr>
                    <a:xfrm>
                      <a:off x="0" y="0"/>
                      <a:ext cx="5620029" cy="3491865"/>
                    </a:xfrm>
                    <a:prstGeom prst="rect">
                      <a:avLst/>
                    </a:prstGeom>
                  </pic:spPr>
                </pic:pic>
              </a:graphicData>
            </a:graphic>
          </wp:inline>
        </w:drawing>
      </w:r>
    </w:p>
    <w:p w14:paraId="3C4EF9EC" w14:textId="77777777" w:rsidR="000121E2" w:rsidRDefault="000121E2" w:rsidP="00CF491F">
      <w:pPr>
        <w:rPr>
          <w:rFonts w:ascii="Arial" w:hAnsi="Arial" w:cs="Arial"/>
          <w:sz w:val="22"/>
          <w:szCs w:val="22"/>
        </w:rPr>
      </w:pPr>
    </w:p>
    <w:p w14:paraId="5E854521" w14:textId="01069595" w:rsidR="00211166" w:rsidRDefault="000121E2" w:rsidP="00115A8C">
      <w:pPr>
        <w:jc w:val="both"/>
        <w:rPr>
          <w:rFonts w:ascii="Arial" w:hAnsi="Arial" w:cs="Arial"/>
          <w:sz w:val="22"/>
          <w:szCs w:val="22"/>
        </w:rPr>
      </w:pPr>
      <w:r w:rsidRPr="000121E2">
        <w:rPr>
          <w:rFonts w:ascii="Arial" w:hAnsi="Arial" w:cs="Arial"/>
          <w:sz w:val="22"/>
          <w:szCs w:val="22"/>
        </w:rPr>
        <w:t xml:space="preserve">Uno de los hallazgos más contundentes que arroja el MAE es la alta atomización y competencia en este mercado regional. Para los 15 contratos celebrados, se registró la participación y adjudicación a </w:t>
      </w:r>
      <w:r w:rsidRPr="000121E2">
        <w:rPr>
          <w:rFonts w:ascii="Arial" w:hAnsi="Arial" w:cs="Arial"/>
          <w:b/>
          <w:bCs/>
          <w:sz w:val="22"/>
          <w:szCs w:val="22"/>
        </w:rPr>
        <w:t>14 proveedores distintos</w:t>
      </w:r>
      <w:r w:rsidRPr="000121E2">
        <w:rPr>
          <w:rFonts w:ascii="Arial" w:hAnsi="Arial" w:cs="Arial"/>
          <w:sz w:val="22"/>
          <w:szCs w:val="22"/>
        </w:rPr>
        <w:t xml:space="preserve">. Al revisar la gráfica de "Número de Contratos por Proveedor", se evidencia que la concentración es prácticamente nula: el proveedor con mayor participación cuenta con apenas 2 contratos, mientras que los 13 proveedores restantes tienen 1 contrato adjudicado cada uno. Esta dinámica estadística certifica que </w:t>
      </w:r>
      <w:r w:rsidRPr="000121E2">
        <w:rPr>
          <w:rFonts w:ascii="Arial" w:hAnsi="Arial" w:cs="Arial"/>
          <w:b/>
          <w:bCs/>
          <w:sz w:val="22"/>
          <w:szCs w:val="22"/>
        </w:rPr>
        <w:t>no existen prácticas monopólicas</w:t>
      </w:r>
      <w:r w:rsidRPr="000121E2">
        <w:rPr>
          <w:rFonts w:ascii="Arial" w:hAnsi="Arial" w:cs="Arial"/>
          <w:sz w:val="22"/>
          <w:szCs w:val="22"/>
        </w:rPr>
        <w:t xml:space="preserve"> ni concentración de la contratación en esta zona del país, garantizando que la convocatoria gozará de una amplia concurrencia de proponentes compitiendo por el menor precio.</w:t>
      </w:r>
    </w:p>
    <w:p w14:paraId="546FE6C4" w14:textId="77777777" w:rsidR="000E2840" w:rsidRDefault="000E2840" w:rsidP="00CF491F">
      <w:pPr>
        <w:rPr>
          <w:rFonts w:ascii="Arial" w:hAnsi="Arial" w:cs="Arial"/>
          <w:sz w:val="22"/>
          <w:szCs w:val="22"/>
        </w:rPr>
      </w:pPr>
    </w:p>
    <w:p w14:paraId="3BD61EE8" w14:textId="77777777" w:rsidR="00F14CD9" w:rsidRDefault="00F14CD9" w:rsidP="00F14CD9">
      <w:pPr>
        <w:rPr>
          <w:rFonts w:ascii="Arial" w:hAnsi="Arial" w:cs="Arial"/>
          <w:sz w:val="22"/>
          <w:szCs w:val="22"/>
        </w:rPr>
      </w:pPr>
      <w:r w:rsidRPr="00F14CD9">
        <w:rPr>
          <w:rFonts w:ascii="Arial" w:hAnsi="Arial" w:cs="Arial"/>
          <w:b/>
          <w:bCs/>
          <w:sz w:val="22"/>
          <w:szCs w:val="22"/>
        </w:rPr>
        <w:t>Comportamiento por Clasificador de Bienes y Servicios (UNSPSC):</w:t>
      </w:r>
      <w:r w:rsidRPr="00F14CD9">
        <w:rPr>
          <w:rFonts w:ascii="Arial" w:hAnsi="Arial" w:cs="Arial"/>
          <w:sz w:val="22"/>
          <w:szCs w:val="22"/>
        </w:rPr>
        <w:t xml:space="preserve"> </w:t>
      </w:r>
    </w:p>
    <w:p w14:paraId="7C7A5D6C" w14:textId="77777777" w:rsidR="00F14CD9" w:rsidRDefault="00F14CD9" w:rsidP="00F14CD9">
      <w:pPr>
        <w:rPr>
          <w:rFonts w:ascii="Arial" w:hAnsi="Arial" w:cs="Arial"/>
          <w:sz w:val="22"/>
          <w:szCs w:val="22"/>
        </w:rPr>
      </w:pPr>
    </w:p>
    <w:p w14:paraId="41703B5C" w14:textId="1DEF51C4" w:rsidR="00F14CD9" w:rsidRDefault="004252BF" w:rsidP="00F14CD9">
      <w:pPr>
        <w:rPr>
          <w:rFonts w:ascii="Arial" w:hAnsi="Arial" w:cs="Arial"/>
          <w:sz w:val="22"/>
          <w:szCs w:val="22"/>
        </w:rPr>
      </w:pPr>
      <w:r w:rsidRPr="004252BF">
        <w:rPr>
          <w:rFonts w:ascii="Arial" w:hAnsi="Arial" w:cs="Arial"/>
          <w:noProof/>
          <w:sz w:val="22"/>
          <w:szCs w:val="22"/>
        </w:rPr>
        <w:drawing>
          <wp:inline distT="0" distB="0" distL="0" distR="0" wp14:anchorId="01209D81" wp14:editId="7A92E6B1">
            <wp:extent cx="5607900" cy="1943100"/>
            <wp:effectExtent l="0" t="0" r="0" b="0"/>
            <wp:docPr id="8986853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685338" name=""/>
                    <pic:cNvPicPr/>
                  </pic:nvPicPr>
                  <pic:blipFill>
                    <a:blip r:embed="rId15"/>
                    <a:stretch>
                      <a:fillRect/>
                    </a:stretch>
                  </pic:blipFill>
                  <pic:spPr>
                    <a:xfrm>
                      <a:off x="0" y="0"/>
                      <a:ext cx="5646709" cy="1956547"/>
                    </a:xfrm>
                    <a:prstGeom prst="rect">
                      <a:avLst/>
                    </a:prstGeom>
                  </pic:spPr>
                </pic:pic>
              </a:graphicData>
            </a:graphic>
          </wp:inline>
        </w:drawing>
      </w:r>
    </w:p>
    <w:p w14:paraId="2A5B5DBD" w14:textId="77777777" w:rsidR="00F14CD9" w:rsidRDefault="00F14CD9" w:rsidP="00F14CD9">
      <w:pPr>
        <w:rPr>
          <w:rFonts w:ascii="Arial" w:hAnsi="Arial" w:cs="Arial"/>
          <w:sz w:val="22"/>
          <w:szCs w:val="22"/>
        </w:rPr>
      </w:pPr>
    </w:p>
    <w:p w14:paraId="63F94C7F" w14:textId="7D5F05D8" w:rsidR="00F14CD9" w:rsidRDefault="00F14CD9" w:rsidP="00115A8C">
      <w:pPr>
        <w:jc w:val="both"/>
        <w:rPr>
          <w:rFonts w:ascii="Arial" w:hAnsi="Arial" w:cs="Arial"/>
          <w:sz w:val="22"/>
          <w:szCs w:val="22"/>
        </w:rPr>
      </w:pPr>
      <w:r w:rsidRPr="00F14CD9">
        <w:rPr>
          <w:rFonts w:ascii="Arial" w:hAnsi="Arial" w:cs="Arial"/>
          <w:sz w:val="22"/>
          <w:szCs w:val="22"/>
        </w:rPr>
        <w:t>El mercado confirma la idoneidad de la codificación estructurada para este proceso. La gráfica de comportamiento por bienes y servicios ratifica que la oferta competitiva en Bogotá, Cundinamarca y Amazonas se agrupa exactamente en los códigos seleccionados por la Entidad:</w:t>
      </w:r>
    </w:p>
    <w:p w14:paraId="5AD80752" w14:textId="77777777" w:rsidR="00F14CD9" w:rsidRPr="00F14CD9" w:rsidRDefault="00F14CD9" w:rsidP="00F14CD9">
      <w:pPr>
        <w:rPr>
          <w:rFonts w:ascii="Arial" w:hAnsi="Arial" w:cs="Arial"/>
          <w:sz w:val="22"/>
          <w:szCs w:val="22"/>
        </w:rPr>
      </w:pPr>
    </w:p>
    <w:p w14:paraId="6DF892A7" w14:textId="77777777" w:rsidR="00F14CD9" w:rsidRPr="00F14CD9" w:rsidRDefault="00F14CD9" w:rsidP="00115A8C">
      <w:pPr>
        <w:numPr>
          <w:ilvl w:val="0"/>
          <w:numId w:val="32"/>
        </w:numPr>
        <w:jc w:val="both"/>
        <w:rPr>
          <w:rFonts w:ascii="Arial" w:hAnsi="Arial" w:cs="Arial"/>
          <w:sz w:val="22"/>
          <w:szCs w:val="22"/>
        </w:rPr>
      </w:pPr>
      <w:r w:rsidRPr="00F14CD9">
        <w:rPr>
          <w:rFonts w:ascii="Arial" w:hAnsi="Arial" w:cs="Arial"/>
          <w:sz w:val="22"/>
          <w:szCs w:val="22"/>
        </w:rPr>
        <w:t xml:space="preserve">El </w:t>
      </w:r>
      <w:r w:rsidRPr="00F14CD9">
        <w:rPr>
          <w:rFonts w:ascii="Arial" w:hAnsi="Arial" w:cs="Arial"/>
          <w:b/>
          <w:bCs/>
          <w:sz w:val="22"/>
          <w:szCs w:val="22"/>
        </w:rPr>
        <w:t>77.31%</w:t>
      </w:r>
      <w:r w:rsidRPr="00F14CD9">
        <w:rPr>
          <w:rFonts w:ascii="Arial" w:hAnsi="Arial" w:cs="Arial"/>
          <w:sz w:val="22"/>
          <w:szCs w:val="22"/>
        </w:rPr>
        <w:t xml:space="preserve"> del valor contratado ($1.270.101.070, equivalente a 8 contratos) se concentra en la familia </w:t>
      </w:r>
      <w:r w:rsidRPr="00F14CD9">
        <w:rPr>
          <w:rFonts w:ascii="Arial" w:hAnsi="Arial" w:cs="Arial"/>
          <w:b/>
          <w:bCs/>
          <w:sz w:val="22"/>
          <w:szCs w:val="22"/>
        </w:rPr>
        <w:t>7210</w:t>
      </w:r>
      <w:r w:rsidRPr="00F14CD9">
        <w:rPr>
          <w:rFonts w:ascii="Arial" w:hAnsi="Arial" w:cs="Arial"/>
          <w:sz w:val="22"/>
          <w:szCs w:val="22"/>
        </w:rPr>
        <w:t xml:space="preserve"> </w:t>
      </w:r>
      <w:r w:rsidRPr="00F14CD9">
        <w:rPr>
          <w:rFonts w:ascii="Arial" w:hAnsi="Arial" w:cs="Arial"/>
          <w:i/>
          <w:iCs/>
          <w:sz w:val="22"/>
          <w:szCs w:val="22"/>
        </w:rPr>
        <w:t>(Servicios de mantenimiento y reparaciones de construcciones e instalaciones)</w:t>
      </w:r>
      <w:r w:rsidRPr="00F14CD9">
        <w:rPr>
          <w:rFonts w:ascii="Arial" w:hAnsi="Arial" w:cs="Arial"/>
          <w:sz w:val="22"/>
          <w:szCs w:val="22"/>
        </w:rPr>
        <w:t>.</w:t>
      </w:r>
    </w:p>
    <w:p w14:paraId="741F0DCC" w14:textId="77777777" w:rsidR="00F14CD9" w:rsidRDefault="00F14CD9" w:rsidP="00115A8C">
      <w:pPr>
        <w:numPr>
          <w:ilvl w:val="0"/>
          <w:numId w:val="32"/>
        </w:numPr>
        <w:jc w:val="both"/>
        <w:rPr>
          <w:rFonts w:ascii="Arial" w:hAnsi="Arial" w:cs="Arial"/>
          <w:sz w:val="22"/>
          <w:szCs w:val="22"/>
        </w:rPr>
      </w:pPr>
      <w:r w:rsidRPr="00F14CD9">
        <w:rPr>
          <w:rFonts w:ascii="Arial" w:hAnsi="Arial" w:cs="Arial"/>
          <w:sz w:val="22"/>
          <w:szCs w:val="22"/>
        </w:rPr>
        <w:t xml:space="preserve">El </w:t>
      </w:r>
      <w:r w:rsidRPr="00F14CD9">
        <w:rPr>
          <w:rFonts w:ascii="Arial" w:hAnsi="Arial" w:cs="Arial"/>
          <w:b/>
          <w:bCs/>
          <w:sz w:val="22"/>
          <w:szCs w:val="22"/>
        </w:rPr>
        <w:t>22.69%</w:t>
      </w:r>
      <w:r w:rsidRPr="00F14CD9">
        <w:rPr>
          <w:rFonts w:ascii="Arial" w:hAnsi="Arial" w:cs="Arial"/>
          <w:sz w:val="22"/>
          <w:szCs w:val="22"/>
        </w:rPr>
        <w:t xml:space="preserve"> restante ($372.726.483, equivalente a 7 contratos) se agrupa en la familia </w:t>
      </w:r>
      <w:r w:rsidRPr="00F14CD9">
        <w:rPr>
          <w:rFonts w:ascii="Arial" w:hAnsi="Arial" w:cs="Arial"/>
          <w:b/>
          <w:bCs/>
          <w:sz w:val="22"/>
          <w:szCs w:val="22"/>
        </w:rPr>
        <w:t>7215</w:t>
      </w:r>
      <w:r w:rsidRPr="00F14CD9">
        <w:rPr>
          <w:rFonts w:ascii="Arial" w:hAnsi="Arial" w:cs="Arial"/>
          <w:sz w:val="22"/>
          <w:szCs w:val="22"/>
        </w:rPr>
        <w:t xml:space="preserve"> </w:t>
      </w:r>
      <w:r w:rsidRPr="00F14CD9">
        <w:rPr>
          <w:rFonts w:ascii="Arial" w:hAnsi="Arial" w:cs="Arial"/>
          <w:i/>
          <w:iCs/>
          <w:sz w:val="22"/>
          <w:szCs w:val="22"/>
        </w:rPr>
        <w:t>(Servicios de mantenimiento y construcción de comercio especializado)</w:t>
      </w:r>
      <w:r w:rsidRPr="00F14CD9">
        <w:rPr>
          <w:rFonts w:ascii="Arial" w:hAnsi="Arial" w:cs="Arial"/>
          <w:sz w:val="22"/>
          <w:szCs w:val="22"/>
        </w:rPr>
        <w:t>. Esta alineación perfecta entre la demanda y la clasificación de la oferta mitiga cualquier riesgo de observaciones en la etapa precontractual.</w:t>
      </w:r>
    </w:p>
    <w:p w14:paraId="709133AF" w14:textId="77777777" w:rsidR="00ED3D31" w:rsidRDefault="00ED3D31" w:rsidP="000E556B">
      <w:pPr>
        <w:ind w:left="720"/>
        <w:rPr>
          <w:rFonts w:ascii="Arial" w:hAnsi="Arial" w:cs="Arial"/>
          <w:sz w:val="22"/>
          <w:szCs w:val="22"/>
        </w:rPr>
      </w:pPr>
    </w:p>
    <w:p w14:paraId="3631B482" w14:textId="77777777" w:rsidR="004252BF" w:rsidRDefault="004252BF" w:rsidP="004252BF">
      <w:pPr>
        <w:rPr>
          <w:rFonts w:ascii="Arial" w:hAnsi="Arial" w:cs="Arial"/>
          <w:sz w:val="22"/>
          <w:szCs w:val="22"/>
        </w:rPr>
      </w:pPr>
      <w:r w:rsidRPr="004252BF">
        <w:rPr>
          <w:rFonts w:ascii="Arial" w:hAnsi="Arial" w:cs="Arial"/>
          <w:b/>
          <w:bCs/>
          <w:sz w:val="22"/>
          <w:szCs w:val="22"/>
        </w:rPr>
        <w:t>Efectividad de la Modalidad Competitiva:</w:t>
      </w:r>
      <w:r w:rsidRPr="004252BF">
        <w:rPr>
          <w:rFonts w:ascii="Arial" w:hAnsi="Arial" w:cs="Arial"/>
          <w:sz w:val="22"/>
          <w:szCs w:val="22"/>
        </w:rPr>
        <w:t xml:space="preserve"> </w:t>
      </w:r>
    </w:p>
    <w:p w14:paraId="4B5CA99C" w14:textId="77777777" w:rsidR="004252BF" w:rsidRDefault="004252BF" w:rsidP="004252BF">
      <w:pPr>
        <w:rPr>
          <w:rFonts w:ascii="Arial" w:hAnsi="Arial" w:cs="Arial"/>
          <w:sz w:val="22"/>
          <w:szCs w:val="22"/>
        </w:rPr>
      </w:pPr>
    </w:p>
    <w:p w14:paraId="461DC636" w14:textId="332DB194" w:rsidR="004252BF" w:rsidRDefault="00CD02CD" w:rsidP="00CD02CD">
      <w:pPr>
        <w:jc w:val="center"/>
        <w:rPr>
          <w:rFonts w:ascii="Arial" w:hAnsi="Arial" w:cs="Arial"/>
          <w:sz w:val="22"/>
          <w:szCs w:val="22"/>
        </w:rPr>
      </w:pPr>
      <w:r w:rsidRPr="00CD02CD">
        <w:rPr>
          <w:rFonts w:ascii="Arial" w:hAnsi="Arial" w:cs="Arial"/>
          <w:noProof/>
          <w:sz w:val="22"/>
          <w:szCs w:val="22"/>
        </w:rPr>
        <w:drawing>
          <wp:inline distT="0" distB="0" distL="0" distR="0" wp14:anchorId="7B024BFD" wp14:editId="44B6FD13">
            <wp:extent cx="5314950" cy="3400425"/>
            <wp:effectExtent l="0" t="0" r="0" b="9525"/>
            <wp:docPr id="9272651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265141" name=""/>
                    <pic:cNvPicPr/>
                  </pic:nvPicPr>
                  <pic:blipFill>
                    <a:blip r:embed="rId16"/>
                    <a:stretch>
                      <a:fillRect/>
                    </a:stretch>
                  </pic:blipFill>
                  <pic:spPr>
                    <a:xfrm>
                      <a:off x="0" y="0"/>
                      <a:ext cx="5315693" cy="3400900"/>
                    </a:xfrm>
                    <a:prstGeom prst="rect">
                      <a:avLst/>
                    </a:prstGeom>
                  </pic:spPr>
                </pic:pic>
              </a:graphicData>
            </a:graphic>
          </wp:inline>
        </w:drawing>
      </w:r>
    </w:p>
    <w:p w14:paraId="02CFFD40" w14:textId="77777777" w:rsidR="004252BF" w:rsidRDefault="004252BF" w:rsidP="004252BF">
      <w:pPr>
        <w:rPr>
          <w:rFonts w:ascii="Arial" w:hAnsi="Arial" w:cs="Arial"/>
          <w:sz w:val="22"/>
          <w:szCs w:val="22"/>
        </w:rPr>
      </w:pPr>
    </w:p>
    <w:p w14:paraId="40982554" w14:textId="77777777" w:rsidR="00115A8C" w:rsidRDefault="004252BF" w:rsidP="00115A8C">
      <w:pPr>
        <w:jc w:val="both"/>
        <w:rPr>
          <w:rFonts w:ascii="Arial" w:hAnsi="Arial" w:cs="Arial"/>
          <w:sz w:val="22"/>
          <w:szCs w:val="22"/>
        </w:rPr>
      </w:pPr>
      <w:r w:rsidRPr="004252BF">
        <w:rPr>
          <w:rFonts w:ascii="Arial" w:hAnsi="Arial" w:cs="Arial"/>
          <w:sz w:val="22"/>
          <w:szCs w:val="22"/>
        </w:rPr>
        <w:t xml:space="preserve">Al haber filtrado exclusivamente por modalidades competitivas, los datos ratifican que el 100% de los $1.64 Mil Millones analizados se adjudicaron fomentando la pluralidad y la puja en el mercado. </w:t>
      </w:r>
    </w:p>
    <w:p w14:paraId="5CC753DF" w14:textId="77777777" w:rsidR="00115A8C" w:rsidRDefault="00115A8C" w:rsidP="00115A8C">
      <w:pPr>
        <w:jc w:val="both"/>
        <w:rPr>
          <w:rFonts w:ascii="Arial" w:hAnsi="Arial" w:cs="Arial"/>
          <w:sz w:val="22"/>
          <w:szCs w:val="22"/>
        </w:rPr>
      </w:pPr>
    </w:p>
    <w:p w14:paraId="52E4C758" w14:textId="27DCCD93" w:rsidR="004252BF" w:rsidRPr="00F14CD9" w:rsidRDefault="004252BF" w:rsidP="00115A8C">
      <w:pPr>
        <w:jc w:val="both"/>
        <w:rPr>
          <w:rFonts w:ascii="Arial" w:hAnsi="Arial" w:cs="Arial"/>
          <w:sz w:val="22"/>
          <w:szCs w:val="22"/>
        </w:rPr>
      </w:pPr>
      <w:r w:rsidRPr="004252BF">
        <w:rPr>
          <w:rFonts w:ascii="Arial" w:hAnsi="Arial" w:cs="Arial"/>
          <w:sz w:val="22"/>
          <w:szCs w:val="22"/>
        </w:rPr>
        <w:t xml:space="preserve">Este precedente comercial e histórico en la jurisdicción de la Seccional es la prueba técnica definitiva que avala la decisión de tramitar la presente necesidad a través de una </w:t>
      </w:r>
      <w:r w:rsidRPr="004252BF">
        <w:rPr>
          <w:rFonts w:ascii="Arial" w:hAnsi="Arial" w:cs="Arial"/>
          <w:b/>
          <w:bCs/>
          <w:sz w:val="22"/>
          <w:szCs w:val="22"/>
        </w:rPr>
        <w:t>Mínima Cuantía a precios unitarios</w:t>
      </w:r>
      <w:r w:rsidRPr="004252BF">
        <w:rPr>
          <w:rFonts w:ascii="Arial" w:hAnsi="Arial" w:cs="Arial"/>
          <w:sz w:val="22"/>
          <w:szCs w:val="22"/>
        </w:rPr>
        <w:t>, toda vez que es una herramienta contractual probada y validada por el mercado regional para obtener la oferta económica más favorable para el Estado.</w:t>
      </w:r>
    </w:p>
    <w:p w14:paraId="004126C1" w14:textId="77777777" w:rsidR="00632390" w:rsidRPr="001317CF" w:rsidRDefault="00667E78" w:rsidP="00667E78">
      <w:pPr>
        <w:pStyle w:val="Ttulo2"/>
        <w:numPr>
          <w:ilvl w:val="0"/>
          <w:numId w:val="0"/>
        </w:numPr>
        <w:ind w:left="720" w:hanging="360"/>
        <w:rPr>
          <w:rFonts w:asciiTheme="minorHAnsi" w:hAnsiTheme="minorHAnsi" w:cstheme="minorHAnsi"/>
        </w:rPr>
      </w:pPr>
      <w:bookmarkStart w:id="9" w:name="_Toc228353035"/>
      <w:r w:rsidRPr="001317CF">
        <w:rPr>
          <w:rFonts w:asciiTheme="minorHAnsi" w:hAnsiTheme="minorHAnsi" w:cstheme="minorHAnsi"/>
        </w:rPr>
        <w:t>B.</w:t>
      </w:r>
      <w:r w:rsidR="008F6C1F" w:rsidRPr="001317CF">
        <w:rPr>
          <w:rFonts w:asciiTheme="minorHAnsi" w:hAnsiTheme="minorHAnsi" w:cstheme="minorHAnsi"/>
        </w:rPr>
        <w:t xml:space="preserve"> </w:t>
      </w:r>
      <w:r w:rsidR="009F5D09" w:rsidRPr="001317CF">
        <w:rPr>
          <w:rFonts w:asciiTheme="minorHAnsi" w:hAnsiTheme="minorHAnsi" w:cstheme="minorHAnsi"/>
        </w:rPr>
        <w:t>Estudio de la demanda</w:t>
      </w:r>
      <w:bookmarkEnd w:id="9"/>
    </w:p>
    <w:p w14:paraId="48DB04D9" w14:textId="77777777" w:rsidR="00115A8C" w:rsidRDefault="006D497D" w:rsidP="004C0C4D">
      <w:pPr>
        <w:spacing w:after="160" w:line="259" w:lineRule="auto"/>
        <w:jc w:val="both"/>
        <w:rPr>
          <w:rFonts w:ascii="Arial" w:hAnsi="Arial" w:cs="Arial"/>
          <w:sz w:val="22"/>
          <w:szCs w:val="22"/>
        </w:rPr>
      </w:pPr>
      <w:r w:rsidRPr="006D497D">
        <w:rPr>
          <w:rFonts w:ascii="Arial" w:hAnsi="Arial" w:cs="Arial"/>
          <w:sz w:val="22"/>
          <w:szCs w:val="22"/>
        </w:rPr>
        <w:t xml:space="preserve">Para comprender el comportamiento reciente de las Entidades Estatales en la adquisición de los servicios objeto del presente proceso, se consultó el tablero de control del Modelo de Abastecimiento Estratégico (MAE) de la Agencia Nacional de Contratación Pública - Colombia Compra Eficiente. Con el fin de obtener una muestra representativa, actualizada y focalizada, se aplicaron filtros específicos correspondientes a los años fiscales 2025 y 2026, circunscribiendo la búsqueda a la Rama Judicial (Direcciones Seccionales y nivel central). </w:t>
      </w:r>
    </w:p>
    <w:p w14:paraId="561A3203" w14:textId="325FD15B" w:rsidR="006D497D" w:rsidRDefault="006D497D" w:rsidP="004C0C4D">
      <w:pPr>
        <w:spacing w:after="160" w:line="259" w:lineRule="auto"/>
        <w:jc w:val="both"/>
        <w:rPr>
          <w:rFonts w:ascii="Arial" w:hAnsi="Arial" w:cs="Arial"/>
          <w:sz w:val="22"/>
          <w:szCs w:val="22"/>
        </w:rPr>
      </w:pPr>
      <w:r w:rsidRPr="006D497D">
        <w:rPr>
          <w:rFonts w:ascii="Arial" w:hAnsi="Arial" w:cs="Arial"/>
          <w:sz w:val="22"/>
          <w:szCs w:val="22"/>
        </w:rPr>
        <w:t>Asimismo, la búsqueda se delimitó a través de los códigos del Clasificador de Bienes y Servicios (UNSPSC) correspondientes a la familia 7210 (Servicios de mantenimiento y reparaciones de construcciones e instalaciones). El análisis de estos datos permite a la Dirección Seccional de Administración Judicial de Cundinamarca - Amazonas identificar los volúmenes transaccionales, la estacionalidad del gasto y las modalidades de selección preferentes en el corto plazo, garantizando que el presente proceso de Mínima Cuantía esté plenamente alineado con las realidades operativas y comerciales del sector en la actualidad.</w:t>
      </w:r>
    </w:p>
    <w:p w14:paraId="20EF6B2C" w14:textId="1BEF4C08" w:rsidR="00115A8C" w:rsidRDefault="00115A8C" w:rsidP="004C0C4D">
      <w:pPr>
        <w:spacing w:after="160" w:line="259" w:lineRule="auto"/>
        <w:jc w:val="both"/>
        <w:rPr>
          <w:rFonts w:ascii="Arial" w:hAnsi="Arial" w:cs="Arial"/>
          <w:sz w:val="22"/>
          <w:szCs w:val="22"/>
        </w:rPr>
      </w:pPr>
    </w:p>
    <w:p w14:paraId="4644889A" w14:textId="77777777" w:rsidR="00115A8C" w:rsidRDefault="00115A8C" w:rsidP="004C0C4D">
      <w:pPr>
        <w:spacing w:after="160" w:line="259" w:lineRule="auto"/>
        <w:jc w:val="both"/>
        <w:rPr>
          <w:rFonts w:ascii="Arial" w:hAnsi="Arial" w:cs="Arial"/>
          <w:sz w:val="22"/>
          <w:szCs w:val="22"/>
        </w:rPr>
      </w:pPr>
    </w:p>
    <w:p w14:paraId="75F40976" w14:textId="77777777" w:rsidR="00F36F53" w:rsidRPr="00F36F53" w:rsidRDefault="00F36F53" w:rsidP="00F36F53">
      <w:pPr>
        <w:spacing w:after="160" w:line="259" w:lineRule="auto"/>
        <w:jc w:val="both"/>
        <w:rPr>
          <w:rFonts w:ascii="Arial" w:hAnsi="Arial" w:cs="Arial"/>
          <w:sz w:val="22"/>
          <w:szCs w:val="22"/>
        </w:rPr>
      </w:pPr>
      <w:r w:rsidRPr="00F36F53">
        <w:rPr>
          <w:rFonts w:ascii="Arial" w:hAnsi="Arial" w:cs="Arial"/>
          <w:b/>
          <w:bCs/>
          <w:sz w:val="22"/>
          <w:szCs w:val="22"/>
        </w:rPr>
        <w:t>Análisis de los Datos y Gráficos del Sector (2025 - 2026):</w:t>
      </w:r>
    </w:p>
    <w:p w14:paraId="2E1BEFF3" w14:textId="77777777" w:rsidR="00F36F53" w:rsidRDefault="00F36F53" w:rsidP="00F36F53">
      <w:pPr>
        <w:spacing w:after="160" w:line="259" w:lineRule="auto"/>
        <w:jc w:val="both"/>
        <w:rPr>
          <w:rFonts w:ascii="Arial" w:hAnsi="Arial" w:cs="Arial"/>
          <w:sz w:val="22"/>
          <w:szCs w:val="22"/>
        </w:rPr>
      </w:pPr>
      <w:r w:rsidRPr="00F36F53">
        <w:rPr>
          <w:rFonts w:ascii="Arial" w:hAnsi="Arial" w:cs="Arial"/>
          <w:sz w:val="22"/>
          <w:szCs w:val="22"/>
        </w:rPr>
        <w:t>De la información arrojada por la plataforma SECOP y consolidada en el tablero EMAE para las vigencias 2025 y lo corrido de 2026, se extraen las siguientes conclusiones determinantes para la planeación del presente proceso:</w:t>
      </w:r>
    </w:p>
    <w:p w14:paraId="478CE823" w14:textId="1F98BC9D" w:rsidR="00E71425" w:rsidRDefault="00E71425" w:rsidP="00F36F53">
      <w:pPr>
        <w:spacing w:after="160" w:line="259" w:lineRule="auto"/>
        <w:jc w:val="both"/>
        <w:rPr>
          <w:rFonts w:ascii="Arial" w:hAnsi="Arial" w:cs="Arial"/>
          <w:sz w:val="22"/>
          <w:szCs w:val="22"/>
        </w:rPr>
      </w:pPr>
      <w:r w:rsidRPr="00E71425">
        <w:rPr>
          <w:rFonts w:ascii="Arial" w:hAnsi="Arial" w:cs="Arial"/>
          <w:b/>
          <w:bCs/>
          <w:sz w:val="22"/>
          <w:szCs w:val="22"/>
        </w:rPr>
        <w:t>Volumen de Contratación y Estacionalidad (Gasto Anual y Mensual):</w:t>
      </w:r>
      <w:r w:rsidRPr="00E71425">
        <w:rPr>
          <w:rFonts w:ascii="Arial" w:hAnsi="Arial" w:cs="Arial"/>
          <w:sz w:val="22"/>
          <w:szCs w:val="22"/>
        </w:rPr>
        <w:t xml:space="preserve"> </w:t>
      </w:r>
    </w:p>
    <w:p w14:paraId="418888FC" w14:textId="77777777" w:rsidR="00115A8C" w:rsidRDefault="00115A8C" w:rsidP="00F36F53">
      <w:pPr>
        <w:spacing w:after="160" w:line="259" w:lineRule="auto"/>
        <w:jc w:val="both"/>
        <w:rPr>
          <w:rFonts w:ascii="Arial" w:hAnsi="Arial" w:cs="Arial"/>
          <w:sz w:val="22"/>
          <w:szCs w:val="22"/>
        </w:rPr>
      </w:pPr>
    </w:p>
    <w:p w14:paraId="2955F956" w14:textId="624B2904" w:rsidR="00AA2830" w:rsidRDefault="00AA2830" w:rsidP="00F36F53">
      <w:pPr>
        <w:spacing w:after="160" w:line="259" w:lineRule="auto"/>
        <w:jc w:val="both"/>
        <w:rPr>
          <w:rFonts w:ascii="Arial" w:hAnsi="Arial" w:cs="Arial"/>
          <w:sz w:val="22"/>
          <w:szCs w:val="22"/>
        </w:rPr>
      </w:pPr>
      <w:r w:rsidRPr="009D22B5">
        <w:rPr>
          <w:rFonts w:ascii="Arial" w:hAnsi="Arial" w:cs="Arial"/>
          <w:noProof/>
          <w:sz w:val="22"/>
          <w:szCs w:val="22"/>
        </w:rPr>
        <w:drawing>
          <wp:inline distT="0" distB="0" distL="0" distR="0" wp14:anchorId="787167F3" wp14:editId="7852F031">
            <wp:extent cx="5676900" cy="5743575"/>
            <wp:effectExtent l="0" t="0" r="0" b="9525"/>
            <wp:docPr id="15488336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833651" name=""/>
                    <pic:cNvPicPr/>
                  </pic:nvPicPr>
                  <pic:blipFill>
                    <a:blip r:embed="rId17"/>
                    <a:stretch>
                      <a:fillRect/>
                    </a:stretch>
                  </pic:blipFill>
                  <pic:spPr>
                    <a:xfrm>
                      <a:off x="0" y="0"/>
                      <a:ext cx="5676900" cy="5743575"/>
                    </a:xfrm>
                    <a:prstGeom prst="rect">
                      <a:avLst/>
                    </a:prstGeom>
                  </pic:spPr>
                </pic:pic>
              </a:graphicData>
            </a:graphic>
          </wp:inline>
        </w:drawing>
      </w:r>
    </w:p>
    <w:p w14:paraId="3DC3A467" w14:textId="77777777" w:rsidR="00115A8C" w:rsidRDefault="00115A8C" w:rsidP="00115A8C">
      <w:pPr>
        <w:jc w:val="both"/>
        <w:rPr>
          <w:rFonts w:ascii="Arial" w:hAnsi="Arial" w:cs="Arial"/>
          <w:sz w:val="22"/>
          <w:szCs w:val="22"/>
        </w:rPr>
      </w:pPr>
    </w:p>
    <w:p w14:paraId="69C73D0A" w14:textId="77777777" w:rsidR="00115A8C" w:rsidRDefault="00E71425" w:rsidP="00115A8C">
      <w:pPr>
        <w:jc w:val="both"/>
        <w:rPr>
          <w:rFonts w:ascii="Arial" w:hAnsi="Arial" w:cs="Arial"/>
          <w:sz w:val="22"/>
          <w:szCs w:val="22"/>
        </w:rPr>
      </w:pPr>
      <w:r w:rsidRPr="00E71425">
        <w:rPr>
          <w:rFonts w:ascii="Arial" w:hAnsi="Arial" w:cs="Arial"/>
          <w:sz w:val="22"/>
          <w:szCs w:val="22"/>
        </w:rPr>
        <w:t>Durante el periodo analizado (</w:t>
      </w:r>
      <w:r w:rsidRPr="00E71425">
        <w:rPr>
          <w:rFonts w:ascii="Arial" w:hAnsi="Arial" w:cs="Arial"/>
          <w:b/>
          <w:bCs/>
          <w:sz w:val="22"/>
          <w:szCs w:val="22"/>
        </w:rPr>
        <w:t>2025 - 2026</w:t>
      </w:r>
      <w:r w:rsidRPr="00E71425">
        <w:rPr>
          <w:rFonts w:ascii="Arial" w:hAnsi="Arial" w:cs="Arial"/>
          <w:sz w:val="22"/>
          <w:szCs w:val="22"/>
        </w:rPr>
        <w:t xml:space="preserve">), la Rama Judicial ha celebrado un total de </w:t>
      </w:r>
      <w:r w:rsidRPr="00E71425">
        <w:rPr>
          <w:rFonts w:ascii="Arial" w:hAnsi="Arial" w:cs="Arial"/>
          <w:b/>
          <w:bCs/>
          <w:sz w:val="22"/>
          <w:szCs w:val="22"/>
        </w:rPr>
        <w:t>83</w:t>
      </w:r>
      <w:r w:rsidRPr="00E71425">
        <w:rPr>
          <w:rFonts w:ascii="Arial" w:hAnsi="Arial" w:cs="Arial"/>
          <w:sz w:val="22"/>
          <w:szCs w:val="22"/>
        </w:rPr>
        <w:t xml:space="preserve"> contratos para satisfacer la necesidad de mantenimiento de sus instalaciones, lo que representa un esfuerzo presupuestal consolidado de </w:t>
      </w:r>
      <w:r w:rsidRPr="00E71425">
        <w:rPr>
          <w:rFonts w:ascii="Arial" w:hAnsi="Arial" w:cs="Arial"/>
          <w:b/>
          <w:bCs/>
          <w:sz w:val="22"/>
          <w:szCs w:val="22"/>
        </w:rPr>
        <w:t>$13.36 Mil Millones</w:t>
      </w:r>
      <w:r w:rsidRPr="00E71425">
        <w:rPr>
          <w:rFonts w:ascii="Arial" w:hAnsi="Arial" w:cs="Arial"/>
          <w:sz w:val="22"/>
          <w:szCs w:val="22"/>
        </w:rPr>
        <w:t xml:space="preserve">. </w:t>
      </w:r>
    </w:p>
    <w:p w14:paraId="3D27DDE8" w14:textId="77777777" w:rsidR="00115A8C" w:rsidRDefault="00115A8C" w:rsidP="00115A8C">
      <w:pPr>
        <w:jc w:val="both"/>
        <w:rPr>
          <w:rFonts w:ascii="Arial" w:hAnsi="Arial" w:cs="Arial"/>
          <w:sz w:val="22"/>
          <w:szCs w:val="22"/>
        </w:rPr>
      </w:pPr>
    </w:p>
    <w:p w14:paraId="6449EAC8" w14:textId="77777777" w:rsidR="00115A8C" w:rsidRDefault="00E71425" w:rsidP="00115A8C">
      <w:pPr>
        <w:jc w:val="both"/>
        <w:rPr>
          <w:rFonts w:ascii="Arial" w:hAnsi="Arial" w:cs="Arial"/>
          <w:sz w:val="22"/>
          <w:szCs w:val="22"/>
        </w:rPr>
      </w:pPr>
      <w:r w:rsidRPr="00E71425">
        <w:rPr>
          <w:rFonts w:ascii="Arial" w:hAnsi="Arial" w:cs="Arial"/>
          <w:sz w:val="22"/>
          <w:szCs w:val="22"/>
        </w:rPr>
        <w:t xml:space="preserve">Al observar la gráfica de comportamiento temporal, se evidencia que la adquisición de estos servicios no obedece a un fenómeno aislado, sino a una necesidad transversal y permanente. </w:t>
      </w:r>
    </w:p>
    <w:p w14:paraId="3F030B80" w14:textId="77777777" w:rsidR="00115A8C" w:rsidRDefault="00115A8C" w:rsidP="00115A8C">
      <w:pPr>
        <w:jc w:val="both"/>
        <w:rPr>
          <w:rFonts w:ascii="Arial" w:hAnsi="Arial" w:cs="Arial"/>
          <w:sz w:val="22"/>
          <w:szCs w:val="22"/>
        </w:rPr>
      </w:pPr>
    </w:p>
    <w:p w14:paraId="077F5CDD" w14:textId="02C0F1A5" w:rsidR="00F36F53" w:rsidRDefault="00E71425" w:rsidP="00115A8C">
      <w:pPr>
        <w:jc w:val="both"/>
        <w:rPr>
          <w:rFonts w:ascii="Arial" w:hAnsi="Arial" w:cs="Arial"/>
          <w:sz w:val="22"/>
          <w:szCs w:val="22"/>
        </w:rPr>
      </w:pPr>
      <w:r w:rsidRPr="00E71425">
        <w:rPr>
          <w:rFonts w:ascii="Arial" w:hAnsi="Arial" w:cs="Arial"/>
          <w:sz w:val="22"/>
          <w:szCs w:val="22"/>
        </w:rPr>
        <w:t xml:space="preserve">Las gráficas de estacionalidad demuestran picos de ejecución durante </w:t>
      </w:r>
      <w:r w:rsidRPr="00E71425">
        <w:rPr>
          <w:rFonts w:ascii="Arial" w:hAnsi="Arial" w:cs="Arial"/>
          <w:b/>
          <w:bCs/>
          <w:sz w:val="22"/>
          <w:szCs w:val="22"/>
        </w:rPr>
        <w:t>los primeros y últimos trimestres del año</w:t>
      </w:r>
      <w:r w:rsidRPr="00E71425">
        <w:rPr>
          <w:rFonts w:ascii="Arial" w:hAnsi="Arial" w:cs="Arial"/>
          <w:sz w:val="22"/>
          <w:szCs w:val="22"/>
        </w:rPr>
        <w:t>, lo cual justifica plenamente la implementación de un contrato bajo la modalidad de "bolsa a monto agotable" para cubrir requerimientos preventivos y correctivos en cualquier momento de la vigencia, sin depender de un único cronograma estático.</w:t>
      </w:r>
    </w:p>
    <w:p w14:paraId="38257006" w14:textId="77777777" w:rsidR="00115A8C" w:rsidRDefault="00115A8C" w:rsidP="00115A8C">
      <w:pPr>
        <w:jc w:val="both"/>
        <w:rPr>
          <w:rFonts w:ascii="Arial" w:hAnsi="Arial" w:cs="Arial"/>
          <w:sz w:val="22"/>
          <w:szCs w:val="22"/>
        </w:rPr>
      </w:pPr>
    </w:p>
    <w:p w14:paraId="2308C7CF" w14:textId="0F476109" w:rsidR="008D3375" w:rsidRDefault="008D3375" w:rsidP="00115A8C">
      <w:pPr>
        <w:jc w:val="both"/>
        <w:rPr>
          <w:rFonts w:ascii="Arial" w:hAnsi="Arial" w:cs="Arial"/>
          <w:sz w:val="22"/>
          <w:szCs w:val="22"/>
        </w:rPr>
      </w:pPr>
      <w:r w:rsidRPr="008D3375">
        <w:rPr>
          <w:rFonts w:ascii="Arial" w:hAnsi="Arial" w:cs="Arial"/>
          <w:b/>
          <w:bCs/>
          <w:sz w:val="22"/>
          <w:szCs w:val="22"/>
        </w:rPr>
        <w:t>Comportamiento por Clasificador de Bienes y Servicios (UNSPSC):</w:t>
      </w:r>
      <w:r w:rsidRPr="008D3375">
        <w:rPr>
          <w:rFonts w:ascii="Arial" w:hAnsi="Arial" w:cs="Arial"/>
          <w:sz w:val="22"/>
          <w:szCs w:val="22"/>
        </w:rPr>
        <w:t xml:space="preserve"> </w:t>
      </w:r>
    </w:p>
    <w:p w14:paraId="40625B5B" w14:textId="77777777" w:rsidR="00115A8C" w:rsidRDefault="00115A8C" w:rsidP="00115A8C">
      <w:pPr>
        <w:jc w:val="both"/>
        <w:rPr>
          <w:rFonts w:ascii="Arial" w:hAnsi="Arial" w:cs="Arial"/>
          <w:sz w:val="22"/>
          <w:szCs w:val="22"/>
        </w:rPr>
      </w:pPr>
    </w:p>
    <w:p w14:paraId="7AE6005E" w14:textId="64A921BD" w:rsidR="00AA2830" w:rsidRDefault="00AA2830" w:rsidP="00F36F53">
      <w:pPr>
        <w:spacing w:after="160" w:line="259" w:lineRule="auto"/>
        <w:jc w:val="both"/>
        <w:rPr>
          <w:rFonts w:ascii="Arial" w:hAnsi="Arial" w:cs="Arial"/>
          <w:sz w:val="22"/>
          <w:szCs w:val="22"/>
        </w:rPr>
      </w:pPr>
      <w:r w:rsidRPr="00BC29AD">
        <w:rPr>
          <w:rFonts w:ascii="Arial" w:hAnsi="Arial" w:cs="Arial"/>
          <w:noProof/>
          <w:sz w:val="22"/>
          <w:szCs w:val="22"/>
        </w:rPr>
        <w:drawing>
          <wp:inline distT="0" distB="0" distL="0" distR="0" wp14:anchorId="4780472C" wp14:editId="346E41C2">
            <wp:extent cx="5612130" cy="3590925"/>
            <wp:effectExtent l="0" t="0" r="7620" b="9525"/>
            <wp:docPr id="7922702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270255" name=""/>
                    <pic:cNvPicPr/>
                  </pic:nvPicPr>
                  <pic:blipFill>
                    <a:blip r:embed="rId18"/>
                    <a:stretch>
                      <a:fillRect/>
                    </a:stretch>
                  </pic:blipFill>
                  <pic:spPr>
                    <a:xfrm>
                      <a:off x="0" y="0"/>
                      <a:ext cx="5612130" cy="3590925"/>
                    </a:xfrm>
                    <a:prstGeom prst="rect">
                      <a:avLst/>
                    </a:prstGeom>
                  </pic:spPr>
                </pic:pic>
              </a:graphicData>
            </a:graphic>
          </wp:inline>
        </w:drawing>
      </w:r>
    </w:p>
    <w:p w14:paraId="37E6B659" w14:textId="75BB0CB6" w:rsidR="00BC29AD" w:rsidRDefault="008D3375" w:rsidP="00115A8C">
      <w:pPr>
        <w:jc w:val="both"/>
        <w:rPr>
          <w:rFonts w:ascii="Arial" w:hAnsi="Arial" w:cs="Arial"/>
          <w:sz w:val="22"/>
          <w:szCs w:val="22"/>
        </w:rPr>
      </w:pPr>
      <w:r w:rsidRPr="008D3375">
        <w:rPr>
          <w:rFonts w:ascii="Arial" w:hAnsi="Arial" w:cs="Arial"/>
          <w:sz w:val="22"/>
          <w:szCs w:val="22"/>
        </w:rPr>
        <w:t xml:space="preserve">El tablero confirma que la codificación seleccionada para este proceso es la adecuada y la más utilizada por la Entidad a nivel nacional. La inmensa mayoría de la contratación (el </w:t>
      </w:r>
      <w:r w:rsidRPr="008D3375">
        <w:rPr>
          <w:rFonts w:ascii="Arial" w:hAnsi="Arial" w:cs="Arial"/>
          <w:b/>
          <w:bCs/>
          <w:sz w:val="22"/>
          <w:szCs w:val="22"/>
        </w:rPr>
        <w:t>89%</w:t>
      </w:r>
      <w:r w:rsidRPr="008D3375">
        <w:rPr>
          <w:rFonts w:ascii="Arial" w:hAnsi="Arial" w:cs="Arial"/>
          <w:sz w:val="22"/>
          <w:szCs w:val="22"/>
        </w:rPr>
        <w:t xml:space="preserve"> del presupuesto) se agrupó de manera correcta bajo la Familia UNSPSC </w:t>
      </w:r>
      <w:r w:rsidRPr="008D3375">
        <w:rPr>
          <w:rFonts w:ascii="Arial" w:hAnsi="Arial" w:cs="Arial"/>
          <w:b/>
          <w:bCs/>
          <w:sz w:val="22"/>
          <w:szCs w:val="22"/>
        </w:rPr>
        <w:t>7210</w:t>
      </w:r>
      <w:r w:rsidRPr="008D3375">
        <w:rPr>
          <w:rFonts w:ascii="Arial" w:hAnsi="Arial" w:cs="Arial"/>
          <w:sz w:val="22"/>
          <w:szCs w:val="22"/>
        </w:rPr>
        <w:t xml:space="preserve"> </w:t>
      </w:r>
      <w:r w:rsidRPr="008D3375">
        <w:rPr>
          <w:rFonts w:ascii="Arial" w:hAnsi="Arial" w:cs="Arial"/>
          <w:i/>
          <w:iCs/>
          <w:sz w:val="22"/>
          <w:szCs w:val="22"/>
        </w:rPr>
        <w:t>(Servicios de mantenimiento y reparaciones de construcciones e instalaciones)</w:t>
      </w:r>
      <w:r w:rsidRPr="008D3375">
        <w:rPr>
          <w:rFonts w:ascii="Arial" w:hAnsi="Arial" w:cs="Arial"/>
          <w:sz w:val="22"/>
          <w:szCs w:val="22"/>
        </w:rPr>
        <w:t>. Esto otorga certeza jurídica a la Dirección Seccional sobre la correcta ubicación del objeto contractual dentro de la taxonomía de Colombia Compra Eficiente para las vigencias 2025 y 2026.</w:t>
      </w:r>
    </w:p>
    <w:p w14:paraId="23E3A039" w14:textId="77777777" w:rsidR="00115A8C" w:rsidRDefault="00115A8C" w:rsidP="00115A8C">
      <w:pPr>
        <w:jc w:val="both"/>
        <w:rPr>
          <w:rFonts w:ascii="Arial" w:hAnsi="Arial" w:cs="Arial"/>
          <w:sz w:val="22"/>
          <w:szCs w:val="22"/>
        </w:rPr>
      </w:pPr>
    </w:p>
    <w:p w14:paraId="12771C79" w14:textId="77777777" w:rsidR="00AA2830" w:rsidRDefault="00AA2830" w:rsidP="00F36F53">
      <w:pPr>
        <w:spacing w:after="160" w:line="259" w:lineRule="auto"/>
        <w:jc w:val="both"/>
        <w:rPr>
          <w:rFonts w:ascii="Arial" w:hAnsi="Arial" w:cs="Arial"/>
          <w:sz w:val="22"/>
          <w:szCs w:val="22"/>
        </w:rPr>
      </w:pPr>
      <w:r>
        <w:rPr>
          <w:rFonts w:ascii="Arial" w:hAnsi="Arial" w:cs="Arial"/>
          <w:b/>
          <w:bCs/>
          <w:sz w:val="22"/>
          <w:szCs w:val="22"/>
        </w:rPr>
        <w:t>D</w:t>
      </w:r>
      <w:r w:rsidRPr="00AA2830">
        <w:rPr>
          <w:rFonts w:ascii="Arial" w:hAnsi="Arial" w:cs="Arial"/>
          <w:b/>
          <w:bCs/>
          <w:sz w:val="22"/>
          <w:szCs w:val="22"/>
        </w:rPr>
        <w:t>inámica de Proveedores y Pluralidad de la Oferta:</w:t>
      </w:r>
      <w:r w:rsidRPr="00AA2830">
        <w:rPr>
          <w:rFonts w:ascii="Arial" w:hAnsi="Arial" w:cs="Arial"/>
          <w:sz w:val="22"/>
          <w:szCs w:val="22"/>
        </w:rPr>
        <w:t xml:space="preserve"> </w:t>
      </w:r>
    </w:p>
    <w:p w14:paraId="42EC0885" w14:textId="725E1881" w:rsidR="00AA2830" w:rsidRDefault="005B179C" w:rsidP="00F36F53">
      <w:pPr>
        <w:spacing w:after="160" w:line="259" w:lineRule="auto"/>
        <w:jc w:val="both"/>
        <w:rPr>
          <w:rFonts w:ascii="Arial" w:hAnsi="Arial" w:cs="Arial"/>
          <w:sz w:val="22"/>
          <w:szCs w:val="22"/>
        </w:rPr>
      </w:pPr>
      <w:r w:rsidRPr="005B179C">
        <w:rPr>
          <w:rFonts w:ascii="Arial" w:hAnsi="Arial" w:cs="Arial"/>
          <w:noProof/>
          <w:sz w:val="22"/>
          <w:szCs w:val="22"/>
        </w:rPr>
        <w:drawing>
          <wp:inline distT="0" distB="0" distL="0" distR="0" wp14:anchorId="1EDEF431" wp14:editId="1DC2F5FE">
            <wp:extent cx="5612130" cy="4162425"/>
            <wp:effectExtent l="0" t="0" r="7620" b="9525"/>
            <wp:docPr id="21096810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681099" name=""/>
                    <pic:cNvPicPr/>
                  </pic:nvPicPr>
                  <pic:blipFill>
                    <a:blip r:embed="rId19"/>
                    <a:stretch>
                      <a:fillRect/>
                    </a:stretch>
                  </pic:blipFill>
                  <pic:spPr>
                    <a:xfrm>
                      <a:off x="0" y="0"/>
                      <a:ext cx="5612130" cy="4162425"/>
                    </a:xfrm>
                    <a:prstGeom prst="rect">
                      <a:avLst/>
                    </a:prstGeom>
                  </pic:spPr>
                </pic:pic>
              </a:graphicData>
            </a:graphic>
          </wp:inline>
        </w:drawing>
      </w:r>
    </w:p>
    <w:p w14:paraId="1DC5220E" w14:textId="62BD47C4" w:rsidR="008D3375" w:rsidRDefault="00AA2830" w:rsidP="00115A8C">
      <w:pPr>
        <w:spacing w:after="160"/>
        <w:jc w:val="both"/>
        <w:rPr>
          <w:rFonts w:ascii="Arial" w:hAnsi="Arial" w:cs="Arial"/>
          <w:sz w:val="22"/>
          <w:szCs w:val="22"/>
        </w:rPr>
      </w:pPr>
      <w:r w:rsidRPr="00AA2830">
        <w:rPr>
          <w:rFonts w:ascii="Arial" w:hAnsi="Arial" w:cs="Arial"/>
          <w:sz w:val="22"/>
          <w:szCs w:val="22"/>
        </w:rPr>
        <w:t xml:space="preserve">El análisis de la sección de proveedores arroja un panorama altamente favorable para la Entidad en términos de competencia. Las métricas del EMAE evidencian una </w:t>
      </w:r>
      <w:r w:rsidRPr="00AA2830">
        <w:rPr>
          <w:rFonts w:ascii="Arial" w:hAnsi="Arial" w:cs="Arial"/>
          <w:b/>
          <w:bCs/>
          <w:sz w:val="22"/>
          <w:szCs w:val="22"/>
        </w:rPr>
        <w:t>baja concentración de contratos por proveedor</w:t>
      </w:r>
      <w:r w:rsidRPr="00AA2830">
        <w:rPr>
          <w:rFonts w:ascii="Arial" w:hAnsi="Arial" w:cs="Arial"/>
          <w:sz w:val="22"/>
          <w:szCs w:val="22"/>
        </w:rPr>
        <w:t>, demostrando que no existen monopolios en la prestación de este servicio para la Rama Judicial. Esta atomización de la contratación prueba que existe una amplia pluralidad de oferentes calificados. Adicionalmente, el origen de los proveedores confirma que la oferta es de carácter Nacional y regional, garantizando que la industria local cuenta con la madurez técnica, logística y financiera para participar activamente en esta convocatoria.</w:t>
      </w:r>
    </w:p>
    <w:p w14:paraId="577921AC" w14:textId="77777777" w:rsidR="00511DD6" w:rsidRDefault="00511DD6" w:rsidP="00F36F53">
      <w:pPr>
        <w:spacing w:after="160" w:line="259" w:lineRule="auto"/>
        <w:jc w:val="both"/>
        <w:rPr>
          <w:rFonts w:ascii="Arial" w:hAnsi="Arial" w:cs="Arial"/>
          <w:sz w:val="22"/>
          <w:szCs w:val="22"/>
        </w:rPr>
      </w:pPr>
      <w:r w:rsidRPr="00511DD6">
        <w:rPr>
          <w:rFonts w:ascii="Arial" w:hAnsi="Arial" w:cs="Arial"/>
          <w:b/>
          <w:bCs/>
          <w:sz w:val="22"/>
          <w:szCs w:val="22"/>
        </w:rPr>
        <w:t>Modalidades de Selección Preferentes:</w:t>
      </w:r>
      <w:r w:rsidRPr="00511DD6">
        <w:rPr>
          <w:rFonts w:ascii="Arial" w:hAnsi="Arial" w:cs="Arial"/>
          <w:sz w:val="22"/>
          <w:szCs w:val="22"/>
        </w:rPr>
        <w:t xml:space="preserve"> </w:t>
      </w:r>
    </w:p>
    <w:p w14:paraId="72D43738" w14:textId="5031E843" w:rsidR="00511DD6" w:rsidRDefault="00511DD6" w:rsidP="00115A8C">
      <w:pPr>
        <w:spacing w:after="160" w:line="259" w:lineRule="auto"/>
        <w:jc w:val="both"/>
        <w:rPr>
          <w:rFonts w:ascii="Arial" w:hAnsi="Arial" w:cs="Arial"/>
          <w:sz w:val="22"/>
          <w:szCs w:val="22"/>
        </w:rPr>
      </w:pPr>
      <w:r w:rsidRPr="00511DD6">
        <w:rPr>
          <w:rFonts w:ascii="Arial" w:hAnsi="Arial" w:cs="Arial"/>
          <w:noProof/>
          <w:sz w:val="22"/>
          <w:szCs w:val="22"/>
        </w:rPr>
        <w:drawing>
          <wp:inline distT="0" distB="0" distL="0" distR="0" wp14:anchorId="25A8376C" wp14:editId="7C5C8CAE">
            <wp:extent cx="5686425" cy="2743200"/>
            <wp:effectExtent l="0" t="0" r="9525" b="0"/>
            <wp:docPr id="14917437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743756" name=""/>
                    <pic:cNvPicPr/>
                  </pic:nvPicPr>
                  <pic:blipFill>
                    <a:blip r:embed="rId20"/>
                    <a:stretch>
                      <a:fillRect/>
                    </a:stretch>
                  </pic:blipFill>
                  <pic:spPr>
                    <a:xfrm>
                      <a:off x="0" y="0"/>
                      <a:ext cx="5686425" cy="2743200"/>
                    </a:xfrm>
                    <a:prstGeom prst="rect">
                      <a:avLst/>
                    </a:prstGeom>
                  </pic:spPr>
                </pic:pic>
              </a:graphicData>
            </a:graphic>
          </wp:inline>
        </w:drawing>
      </w:r>
    </w:p>
    <w:p w14:paraId="3F1749A9" w14:textId="5D0DBB38" w:rsidR="005B179C" w:rsidRPr="00F36F53" w:rsidRDefault="00511DD6" w:rsidP="00115A8C">
      <w:pPr>
        <w:spacing w:after="160"/>
        <w:jc w:val="both"/>
        <w:rPr>
          <w:rFonts w:ascii="Arial" w:hAnsi="Arial" w:cs="Arial"/>
          <w:sz w:val="22"/>
          <w:szCs w:val="22"/>
        </w:rPr>
      </w:pPr>
      <w:r w:rsidRPr="00511DD6">
        <w:rPr>
          <w:rFonts w:ascii="Arial" w:hAnsi="Arial" w:cs="Arial"/>
          <w:sz w:val="22"/>
          <w:szCs w:val="22"/>
        </w:rPr>
        <w:t xml:space="preserve">El gráfico de "Valor Total Estimado por Modalidad de Selección" demuestra de manera contundente que la mayoría de los recursos en 2025 y 2026 se han adjudicado a través de </w:t>
      </w:r>
      <w:r w:rsidRPr="00511DD6">
        <w:rPr>
          <w:rFonts w:ascii="Arial" w:hAnsi="Arial" w:cs="Arial"/>
          <w:b/>
          <w:bCs/>
          <w:sz w:val="22"/>
          <w:szCs w:val="22"/>
        </w:rPr>
        <w:t>modalidades de selección competitivas</w:t>
      </w:r>
      <w:r w:rsidRPr="00511DD6">
        <w:rPr>
          <w:rFonts w:ascii="Arial" w:hAnsi="Arial" w:cs="Arial"/>
          <w:sz w:val="22"/>
          <w:szCs w:val="22"/>
        </w:rPr>
        <w:t xml:space="preserve">. Este comportamiento histórico y reciente legitima la decisión de la Dirección Seccional de tramitar la presente necesidad a través del procedimiento de </w:t>
      </w:r>
      <w:r w:rsidRPr="00511DD6">
        <w:rPr>
          <w:rFonts w:ascii="Arial" w:hAnsi="Arial" w:cs="Arial"/>
          <w:b/>
          <w:bCs/>
          <w:sz w:val="22"/>
          <w:szCs w:val="22"/>
        </w:rPr>
        <w:t>Mínima Cuantía</w:t>
      </w:r>
      <w:r w:rsidRPr="00511DD6">
        <w:rPr>
          <w:rFonts w:ascii="Arial" w:hAnsi="Arial" w:cs="Arial"/>
          <w:sz w:val="22"/>
          <w:szCs w:val="22"/>
        </w:rPr>
        <w:t>, promoviendo la libre concurrencia, la puja de precios unitarios y garantizando la selección de la oferta más favorable para la Entidad (menor precio), en estricto cumplimiento de los principios de la Ley 80 de 1993 y la Ley 1150 de 2007.</w:t>
      </w:r>
    </w:p>
    <w:p w14:paraId="74664576" w14:textId="77777777" w:rsidR="00D2052A" w:rsidRPr="001317CF" w:rsidRDefault="00D2052A" w:rsidP="00D2052A">
      <w:pPr>
        <w:pStyle w:val="Ttulo2"/>
        <w:numPr>
          <w:ilvl w:val="0"/>
          <w:numId w:val="0"/>
        </w:numPr>
        <w:ind w:left="720" w:hanging="360"/>
        <w:rPr>
          <w:rFonts w:asciiTheme="minorHAnsi" w:hAnsiTheme="minorHAnsi" w:cstheme="minorHAnsi"/>
        </w:rPr>
      </w:pPr>
      <w:bookmarkStart w:id="10" w:name="_Toc228353036"/>
      <w:r>
        <w:rPr>
          <w:rFonts w:asciiTheme="minorHAnsi" w:hAnsiTheme="minorHAnsi" w:cstheme="minorHAnsi"/>
        </w:rPr>
        <w:t>C.</w:t>
      </w:r>
      <w:r w:rsidRPr="001317CF">
        <w:rPr>
          <w:rFonts w:asciiTheme="minorHAnsi" w:hAnsiTheme="minorHAnsi" w:cstheme="minorHAnsi"/>
        </w:rPr>
        <w:t xml:space="preserve"> </w:t>
      </w:r>
      <w:r>
        <w:rPr>
          <w:rFonts w:asciiTheme="minorHAnsi" w:hAnsiTheme="minorHAnsi" w:cstheme="minorHAnsi"/>
        </w:rPr>
        <w:t>Forma de calcular el presupuesto y el valor del presente proceso</w:t>
      </w:r>
      <w:bookmarkEnd w:id="10"/>
    </w:p>
    <w:p w14:paraId="7F1B5480" w14:textId="77777777" w:rsidR="00ED3D31" w:rsidRDefault="00ED3D31" w:rsidP="00ED3D31">
      <w:pPr>
        <w:jc w:val="both"/>
        <w:rPr>
          <w:rFonts w:ascii="Arial" w:hAnsi="Arial" w:cs="Arial"/>
          <w:sz w:val="22"/>
          <w:szCs w:val="22"/>
        </w:rPr>
      </w:pPr>
      <w:r w:rsidRPr="0042181F">
        <w:rPr>
          <w:rFonts w:ascii="Arial" w:hAnsi="Arial" w:cs="Arial"/>
          <w:sz w:val="22"/>
          <w:szCs w:val="22"/>
        </w:rPr>
        <w:t>Para la determinación del presupuesto oficial del presente proceso de contratación, la Dirección Seccional de Administración Judicial de Cundinamarca - Amazonas estructuró un análisis financiero riguroso, sustentado en la realidad económica del mercado y las particularidades técnicas de la infraestructura física a nuestro cargo.</w:t>
      </w:r>
    </w:p>
    <w:p w14:paraId="0F252B56" w14:textId="77777777" w:rsidR="00455B45" w:rsidRDefault="00455B45" w:rsidP="000E1882">
      <w:pPr>
        <w:jc w:val="both"/>
        <w:rPr>
          <w:rFonts w:ascii="Arial" w:hAnsi="Arial" w:cs="Arial"/>
          <w:sz w:val="22"/>
          <w:szCs w:val="22"/>
        </w:rPr>
      </w:pPr>
    </w:p>
    <w:p w14:paraId="23CFF0A3" w14:textId="77777777" w:rsidR="00455B45" w:rsidRPr="00115A8C" w:rsidRDefault="00455B45" w:rsidP="00455B45">
      <w:pPr>
        <w:jc w:val="both"/>
        <w:rPr>
          <w:rFonts w:ascii="Arial" w:hAnsi="Arial" w:cs="Arial"/>
          <w:sz w:val="22"/>
          <w:szCs w:val="22"/>
          <w:highlight w:val="yellow"/>
        </w:rPr>
      </w:pPr>
      <w:r w:rsidRPr="00115A8C">
        <w:rPr>
          <w:rFonts w:ascii="Arial" w:hAnsi="Arial" w:cs="Arial"/>
          <w:sz w:val="22"/>
          <w:szCs w:val="22"/>
          <w:highlight w:val="yellow"/>
        </w:rPr>
        <w:t>El cálculo del presupuesto se fundamenta en las siguientes variables y metodologías:</w:t>
      </w:r>
    </w:p>
    <w:p w14:paraId="7B4F59FA" w14:textId="77777777" w:rsidR="00455B45" w:rsidRPr="00115A8C" w:rsidRDefault="00455B45" w:rsidP="00455B45">
      <w:pPr>
        <w:suppressAutoHyphens/>
        <w:jc w:val="both"/>
        <w:rPr>
          <w:rFonts w:ascii="Arial" w:hAnsi="Arial" w:cs="Arial"/>
          <w:sz w:val="22"/>
          <w:szCs w:val="22"/>
          <w:highlight w:val="yellow"/>
        </w:rPr>
      </w:pPr>
    </w:p>
    <w:p w14:paraId="2E3BD7F0" w14:textId="471140A7" w:rsidR="00455B45" w:rsidRPr="00115A8C" w:rsidRDefault="00455B45" w:rsidP="00455B45">
      <w:pPr>
        <w:jc w:val="both"/>
        <w:rPr>
          <w:rFonts w:ascii="Arial" w:hAnsi="Arial" w:cs="Arial"/>
          <w:sz w:val="22"/>
          <w:szCs w:val="22"/>
          <w:highlight w:val="yellow"/>
        </w:rPr>
      </w:pPr>
      <w:r w:rsidRPr="00115A8C">
        <w:rPr>
          <w:rFonts w:ascii="Arial" w:hAnsi="Arial" w:cs="Arial"/>
          <w:b/>
          <w:bCs/>
          <w:sz w:val="22"/>
          <w:szCs w:val="22"/>
          <w:highlight w:val="yellow"/>
        </w:rPr>
        <w:t>1. Estudio de Mercado y Promedio de Precios Unitarios</w:t>
      </w:r>
      <w:r w:rsidRPr="00115A8C">
        <w:rPr>
          <w:rFonts w:ascii="Arial" w:hAnsi="Arial" w:cs="Arial"/>
          <w:sz w:val="22"/>
          <w:szCs w:val="22"/>
          <w:highlight w:val="yellow"/>
        </w:rPr>
        <w:t xml:space="preserve"> Se realizó una solicitud pública de cotizaciones a empresas especializadas en el sector. Como resultado de este ejercicio, se recibieron dos (2) cotizaciones válidas por parte de las firmas </w:t>
      </w:r>
      <w:r w:rsidRPr="00115A8C">
        <w:rPr>
          <w:rFonts w:ascii="Arial" w:hAnsi="Arial" w:cs="Arial"/>
          <w:b/>
          <w:bCs/>
          <w:sz w:val="22"/>
          <w:szCs w:val="22"/>
          <w:highlight w:val="yellow"/>
        </w:rPr>
        <w:t>AGROINDUSTRIAL DEL CAFÉ</w:t>
      </w:r>
      <w:r w:rsidRPr="00115A8C">
        <w:rPr>
          <w:rFonts w:ascii="Arial" w:hAnsi="Arial" w:cs="Arial"/>
          <w:sz w:val="22"/>
          <w:szCs w:val="22"/>
          <w:highlight w:val="yellow"/>
        </w:rPr>
        <w:t xml:space="preserve"> y </w:t>
      </w:r>
      <w:r w:rsidRPr="00115A8C">
        <w:rPr>
          <w:rFonts w:ascii="Arial" w:hAnsi="Arial" w:cs="Arial"/>
          <w:b/>
          <w:bCs/>
          <w:sz w:val="22"/>
          <w:szCs w:val="22"/>
          <w:highlight w:val="yellow"/>
        </w:rPr>
        <w:t>AIC INGENIERÍA S.A.S.</w:t>
      </w:r>
      <w:r w:rsidRPr="00115A8C">
        <w:rPr>
          <w:rFonts w:ascii="Arial" w:hAnsi="Arial" w:cs="Arial"/>
          <w:sz w:val="22"/>
          <w:szCs w:val="22"/>
          <w:highlight w:val="yellow"/>
        </w:rPr>
        <w:t xml:space="preserve"> </w:t>
      </w:r>
    </w:p>
    <w:p w14:paraId="48D7DF70" w14:textId="77777777" w:rsidR="00455B45" w:rsidRPr="00115A8C" w:rsidRDefault="00455B45" w:rsidP="00455B45">
      <w:pPr>
        <w:suppressAutoHyphens/>
        <w:jc w:val="both"/>
        <w:rPr>
          <w:rFonts w:ascii="Arial" w:hAnsi="Arial" w:cs="Arial"/>
          <w:sz w:val="22"/>
          <w:szCs w:val="22"/>
          <w:highlight w:val="yellow"/>
        </w:rPr>
      </w:pPr>
    </w:p>
    <w:p w14:paraId="1CA3AFF2" w14:textId="77777777" w:rsidR="00455B45" w:rsidRDefault="00455B45" w:rsidP="00455B45">
      <w:pPr>
        <w:jc w:val="both"/>
        <w:rPr>
          <w:rFonts w:ascii="Arial" w:hAnsi="Arial" w:cs="Arial"/>
          <w:sz w:val="22"/>
          <w:szCs w:val="22"/>
        </w:rPr>
      </w:pPr>
      <w:r w:rsidRPr="00115A8C">
        <w:rPr>
          <w:rFonts w:ascii="Arial" w:hAnsi="Arial" w:cs="Arial"/>
          <w:sz w:val="22"/>
          <w:szCs w:val="22"/>
          <w:highlight w:val="yellow"/>
        </w:rPr>
        <w:t xml:space="preserve">A partir de estas ofertas, la Entidad consolidó un estudio de mercado determinando el valor de cada actividad mediante el cálculo del promedio aritmético de los precios unitarios, con el IVA incluido y contemplando las exenciones tributarias aplicables para las sedes del Amazonas. De acuerdo con las cantidades proyectadas y el cronograma de intervenciones, el valor base consolidado para la ejecución de los servicios de mantenimiento preventivo asciende a la suma de </w:t>
      </w:r>
      <w:r w:rsidRPr="00115A8C">
        <w:rPr>
          <w:rFonts w:ascii="Arial" w:hAnsi="Arial" w:cs="Arial"/>
          <w:b/>
          <w:bCs/>
          <w:sz w:val="22"/>
          <w:szCs w:val="22"/>
          <w:highlight w:val="yellow"/>
        </w:rPr>
        <w:t>$156.190.</w:t>
      </w:r>
      <w:commentRangeStart w:id="11"/>
      <w:r w:rsidRPr="00115A8C">
        <w:rPr>
          <w:rFonts w:ascii="Arial" w:hAnsi="Arial" w:cs="Arial"/>
          <w:b/>
          <w:bCs/>
          <w:sz w:val="22"/>
          <w:szCs w:val="22"/>
          <w:highlight w:val="yellow"/>
        </w:rPr>
        <w:t>795</w:t>
      </w:r>
      <w:commentRangeEnd w:id="11"/>
      <w:r w:rsidR="008A51C1">
        <w:rPr>
          <w:rStyle w:val="Refdecomentario"/>
          <w:rFonts w:eastAsia="Calibri"/>
          <w:lang w:eastAsia="es-ES"/>
        </w:rPr>
        <w:commentReference w:id="11"/>
      </w:r>
      <w:r w:rsidRPr="00115A8C">
        <w:rPr>
          <w:rFonts w:ascii="Arial" w:hAnsi="Arial" w:cs="Arial"/>
          <w:sz w:val="22"/>
          <w:szCs w:val="22"/>
          <w:highlight w:val="yellow"/>
        </w:rPr>
        <w:t>.</w:t>
      </w:r>
    </w:p>
    <w:p w14:paraId="4EA18BBD" w14:textId="53D900C0" w:rsidR="00455B45" w:rsidRDefault="00455B45" w:rsidP="00455B45">
      <w:pPr>
        <w:jc w:val="both"/>
        <w:rPr>
          <w:rFonts w:ascii="Arial" w:hAnsi="Arial" w:cs="Arial"/>
          <w:sz w:val="22"/>
          <w:szCs w:val="22"/>
        </w:rPr>
      </w:pPr>
    </w:p>
    <w:p w14:paraId="46FE9686" w14:textId="77777777" w:rsidR="00115A8C" w:rsidRDefault="00115A8C" w:rsidP="00455B45">
      <w:pPr>
        <w:jc w:val="both"/>
        <w:rPr>
          <w:rFonts w:ascii="Arial" w:hAnsi="Arial" w:cs="Arial"/>
          <w:sz w:val="22"/>
          <w:szCs w:val="22"/>
        </w:rPr>
      </w:pPr>
    </w:p>
    <w:tbl>
      <w:tblPr>
        <w:tblW w:w="10432" w:type="dxa"/>
        <w:jc w:val="center"/>
        <w:tblLayout w:type="fixed"/>
        <w:tblCellMar>
          <w:left w:w="70" w:type="dxa"/>
          <w:right w:w="70" w:type="dxa"/>
        </w:tblCellMar>
        <w:tblLook w:val="04A0" w:firstRow="1" w:lastRow="0" w:firstColumn="1" w:lastColumn="0" w:noHBand="0" w:noVBand="1"/>
      </w:tblPr>
      <w:tblGrid>
        <w:gridCol w:w="562"/>
        <w:gridCol w:w="3828"/>
        <w:gridCol w:w="708"/>
        <w:gridCol w:w="1560"/>
        <w:gridCol w:w="1134"/>
        <w:gridCol w:w="1134"/>
        <w:gridCol w:w="1506"/>
      </w:tblGrid>
      <w:tr w:rsidR="00B773BF" w:rsidRPr="00B773BF" w14:paraId="328D0296" w14:textId="77777777" w:rsidTr="00B773BF">
        <w:trPr>
          <w:trHeight w:val="570"/>
          <w:jc w:val="center"/>
        </w:trPr>
        <w:tc>
          <w:tcPr>
            <w:tcW w:w="562" w:type="dxa"/>
            <w:tcBorders>
              <w:top w:val="nil"/>
              <w:left w:val="single" w:sz="4" w:space="0" w:color="auto"/>
              <w:bottom w:val="single" w:sz="4" w:space="0" w:color="auto"/>
              <w:right w:val="nil"/>
            </w:tcBorders>
            <w:shd w:val="clear" w:color="000000" w:fill="215C98"/>
            <w:vAlign w:val="center"/>
            <w:hideMark/>
          </w:tcPr>
          <w:p w14:paraId="3BEA2A6E" w14:textId="77777777" w:rsidR="00B773BF" w:rsidRPr="00B773BF" w:rsidRDefault="00B773BF">
            <w:pPr>
              <w:jc w:val="center"/>
              <w:rPr>
                <w:rFonts w:ascii="Arial" w:hAnsi="Arial" w:cs="Arial"/>
                <w:b/>
                <w:bCs/>
                <w:color w:val="FFFFFF"/>
                <w:sz w:val="12"/>
                <w:szCs w:val="12"/>
              </w:rPr>
            </w:pPr>
            <w:r w:rsidRPr="00B773BF">
              <w:rPr>
                <w:rFonts w:ascii="Arial" w:hAnsi="Arial" w:cs="Arial"/>
                <w:b/>
                <w:bCs/>
                <w:color w:val="FFFFFF"/>
                <w:sz w:val="12"/>
                <w:szCs w:val="12"/>
              </w:rPr>
              <w:t> </w:t>
            </w:r>
          </w:p>
        </w:tc>
        <w:tc>
          <w:tcPr>
            <w:tcW w:w="3828" w:type="dxa"/>
            <w:tcBorders>
              <w:top w:val="nil"/>
              <w:left w:val="nil"/>
              <w:bottom w:val="single" w:sz="4" w:space="0" w:color="auto"/>
              <w:right w:val="nil"/>
            </w:tcBorders>
            <w:shd w:val="clear" w:color="000000" w:fill="215C98"/>
            <w:vAlign w:val="center"/>
            <w:hideMark/>
          </w:tcPr>
          <w:p w14:paraId="216AA451" w14:textId="77777777" w:rsidR="00B773BF" w:rsidRPr="00B773BF" w:rsidRDefault="00B773BF">
            <w:pPr>
              <w:jc w:val="center"/>
              <w:rPr>
                <w:rFonts w:ascii="Arial" w:hAnsi="Arial" w:cs="Arial"/>
                <w:b/>
                <w:bCs/>
                <w:color w:val="FFFFFF"/>
                <w:sz w:val="12"/>
                <w:szCs w:val="12"/>
              </w:rPr>
            </w:pPr>
            <w:r w:rsidRPr="00B773BF">
              <w:rPr>
                <w:rFonts w:ascii="Arial" w:hAnsi="Arial" w:cs="Arial"/>
                <w:b/>
                <w:bCs/>
                <w:color w:val="FFFFFF"/>
                <w:sz w:val="12"/>
                <w:szCs w:val="12"/>
              </w:rPr>
              <w:t> </w:t>
            </w:r>
          </w:p>
        </w:tc>
        <w:tc>
          <w:tcPr>
            <w:tcW w:w="708" w:type="dxa"/>
            <w:tcBorders>
              <w:top w:val="nil"/>
              <w:left w:val="nil"/>
              <w:bottom w:val="single" w:sz="4" w:space="0" w:color="auto"/>
              <w:right w:val="nil"/>
            </w:tcBorders>
            <w:shd w:val="clear" w:color="000000" w:fill="215C98"/>
            <w:vAlign w:val="center"/>
            <w:hideMark/>
          </w:tcPr>
          <w:p w14:paraId="777A2992" w14:textId="77777777" w:rsidR="00B773BF" w:rsidRPr="00B773BF" w:rsidRDefault="00B773BF">
            <w:pPr>
              <w:jc w:val="center"/>
              <w:rPr>
                <w:rFonts w:ascii="Arial" w:hAnsi="Arial" w:cs="Arial"/>
                <w:b/>
                <w:bCs/>
                <w:color w:val="FFFFFF"/>
                <w:sz w:val="12"/>
                <w:szCs w:val="12"/>
              </w:rPr>
            </w:pPr>
            <w:r w:rsidRPr="00B773BF">
              <w:rPr>
                <w:rFonts w:ascii="Arial" w:hAnsi="Arial" w:cs="Arial"/>
                <w:b/>
                <w:bCs/>
                <w:color w:val="FFFFFF"/>
                <w:sz w:val="12"/>
                <w:szCs w:val="12"/>
              </w:rPr>
              <w:t> </w:t>
            </w:r>
          </w:p>
        </w:tc>
        <w:tc>
          <w:tcPr>
            <w:tcW w:w="1560" w:type="dxa"/>
            <w:tcBorders>
              <w:top w:val="nil"/>
              <w:left w:val="nil"/>
              <w:bottom w:val="single" w:sz="4" w:space="0" w:color="auto"/>
              <w:right w:val="nil"/>
            </w:tcBorders>
            <w:shd w:val="clear" w:color="000000" w:fill="215C98"/>
            <w:vAlign w:val="center"/>
            <w:hideMark/>
          </w:tcPr>
          <w:p w14:paraId="2499AC78" w14:textId="04A4AAE6" w:rsidR="00B773BF" w:rsidRPr="00B773BF" w:rsidRDefault="00B773BF">
            <w:pPr>
              <w:jc w:val="center"/>
              <w:rPr>
                <w:rFonts w:ascii="Arial" w:hAnsi="Arial" w:cs="Arial"/>
                <w:b/>
                <w:bCs/>
                <w:color w:val="FFFFFF"/>
                <w:sz w:val="12"/>
                <w:szCs w:val="12"/>
              </w:rPr>
            </w:pPr>
            <w:r w:rsidRPr="00B773BF">
              <w:rPr>
                <w:rFonts w:ascii="Arial" w:hAnsi="Arial" w:cs="Arial"/>
                <w:b/>
                <w:bCs/>
                <w:color w:val="FFFFFF"/>
                <w:sz w:val="12"/>
                <w:szCs w:val="12"/>
              </w:rPr>
              <w:t>AGROINDUSTRIAL DEL CAFÉ</w:t>
            </w:r>
          </w:p>
        </w:tc>
        <w:tc>
          <w:tcPr>
            <w:tcW w:w="1134" w:type="dxa"/>
            <w:tcBorders>
              <w:top w:val="nil"/>
              <w:left w:val="nil"/>
              <w:bottom w:val="single" w:sz="4" w:space="0" w:color="auto"/>
              <w:right w:val="nil"/>
            </w:tcBorders>
            <w:shd w:val="clear" w:color="000000" w:fill="215C98"/>
            <w:vAlign w:val="center"/>
            <w:hideMark/>
          </w:tcPr>
          <w:p w14:paraId="367A36C2" w14:textId="77777777" w:rsidR="00B773BF" w:rsidRPr="00B773BF" w:rsidRDefault="00B773BF">
            <w:pPr>
              <w:jc w:val="center"/>
              <w:rPr>
                <w:rFonts w:ascii="Arial" w:hAnsi="Arial" w:cs="Arial"/>
                <w:b/>
                <w:bCs/>
                <w:color w:val="FFFFFF"/>
                <w:sz w:val="12"/>
                <w:szCs w:val="12"/>
              </w:rPr>
            </w:pPr>
            <w:r w:rsidRPr="00B773BF">
              <w:rPr>
                <w:rFonts w:ascii="Arial" w:hAnsi="Arial" w:cs="Arial"/>
                <w:b/>
                <w:bCs/>
                <w:color w:val="FFFFFF"/>
                <w:sz w:val="12"/>
                <w:szCs w:val="12"/>
              </w:rPr>
              <w:t>AIC INGENIERIA</w:t>
            </w:r>
          </w:p>
        </w:tc>
        <w:tc>
          <w:tcPr>
            <w:tcW w:w="1134" w:type="dxa"/>
            <w:tcBorders>
              <w:top w:val="nil"/>
              <w:left w:val="nil"/>
              <w:bottom w:val="single" w:sz="4" w:space="0" w:color="auto"/>
              <w:right w:val="nil"/>
            </w:tcBorders>
            <w:shd w:val="clear" w:color="000000" w:fill="215C98"/>
            <w:vAlign w:val="center"/>
            <w:hideMark/>
          </w:tcPr>
          <w:p w14:paraId="09938F0A" w14:textId="77777777" w:rsidR="00B773BF" w:rsidRPr="00B773BF" w:rsidRDefault="00B773BF">
            <w:pPr>
              <w:jc w:val="center"/>
              <w:rPr>
                <w:rFonts w:ascii="Arial" w:hAnsi="Arial" w:cs="Arial"/>
                <w:b/>
                <w:bCs/>
                <w:color w:val="FFFFFF"/>
                <w:sz w:val="12"/>
                <w:szCs w:val="12"/>
              </w:rPr>
            </w:pPr>
            <w:r w:rsidRPr="00B773BF">
              <w:rPr>
                <w:rFonts w:ascii="Arial" w:hAnsi="Arial" w:cs="Arial"/>
                <w:b/>
                <w:bCs/>
                <w:color w:val="FFFFFF"/>
                <w:sz w:val="12"/>
                <w:szCs w:val="12"/>
              </w:rPr>
              <w:t>CONTRATO 042-2023</w:t>
            </w:r>
          </w:p>
        </w:tc>
        <w:tc>
          <w:tcPr>
            <w:tcW w:w="1506" w:type="dxa"/>
            <w:tcBorders>
              <w:top w:val="nil"/>
              <w:left w:val="nil"/>
              <w:bottom w:val="single" w:sz="4" w:space="0" w:color="auto"/>
              <w:right w:val="single" w:sz="4" w:space="0" w:color="auto"/>
            </w:tcBorders>
            <w:shd w:val="clear" w:color="000000" w:fill="215C98"/>
            <w:vAlign w:val="center"/>
            <w:hideMark/>
          </w:tcPr>
          <w:p w14:paraId="7CE32EF2" w14:textId="77777777" w:rsidR="00B773BF" w:rsidRPr="00B773BF" w:rsidRDefault="00B773BF">
            <w:pPr>
              <w:jc w:val="center"/>
              <w:rPr>
                <w:rFonts w:ascii="Arial" w:hAnsi="Arial" w:cs="Arial"/>
                <w:b/>
                <w:bCs/>
                <w:color w:val="FFFFFF"/>
                <w:sz w:val="12"/>
                <w:szCs w:val="12"/>
              </w:rPr>
            </w:pPr>
            <w:r w:rsidRPr="00B773BF">
              <w:rPr>
                <w:rFonts w:ascii="Arial" w:hAnsi="Arial" w:cs="Arial"/>
                <w:b/>
                <w:bCs/>
                <w:color w:val="FFFFFF"/>
                <w:sz w:val="12"/>
                <w:szCs w:val="12"/>
              </w:rPr>
              <w:t>PROMEDIO UNITARIO</w:t>
            </w:r>
          </w:p>
        </w:tc>
      </w:tr>
      <w:tr w:rsidR="00B773BF" w:rsidRPr="00B773BF" w14:paraId="384CA179" w14:textId="77777777" w:rsidTr="00B773BF">
        <w:trPr>
          <w:trHeight w:val="510"/>
          <w:jc w:val="center"/>
        </w:trPr>
        <w:tc>
          <w:tcPr>
            <w:tcW w:w="562" w:type="dxa"/>
            <w:tcBorders>
              <w:top w:val="single" w:sz="4" w:space="0" w:color="auto"/>
              <w:left w:val="single" w:sz="4" w:space="0" w:color="auto"/>
              <w:bottom w:val="single" w:sz="4" w:space="0" w:color="auto"/>
              <w:right w:val="single" w:sz="4" w:space="0" w:color="auto"/>
            </w:tcBorders>
            <w:shd w:val="clear" w:color="000000" w:fill="747474"/>
            <w:vAlign w:val="center"/>
            <w:hideMark/>
          </w:tcPr>
          <w:p w14:paraId="66A8F3F4" w14:textId="77777777" w:rsidR="00B773BF" w:rsidRPr="00B773BF" w:rsidRDefault="00B773BF">
            <w:pPr>
              <w:jc w:val="center"/>
              <w:rPr>
                <w:rFonts w:ascii="Arial" w:hAnsi="Arial" w:cs="Arial"/>
                <w:b/>
                <w:bCs/>
                <w:color w:val="FFFFFF"/>
                <w:sz w:val="12"/>
                <w:szCs w:val="12"/>
              </w:rPr>
            </w:pPr>
            <w:r w:rsidRPr="00B773BF">
              <w:rPr>
                <w:rFonts w:ascii="Arial" w:hAnsi="Arial" w:cs="Arial"/>
                <w:b/>
                <w:bCs/>
                <w:color w:val="FFFFFF"/>
                <w:sz w:val="12"/>
                <w:szCs w:val="12"/>
              </w:rPr>
              <w:t>ITEM</w:t>
            </w:r>
          </w:p>
        </w:tc>
        <w:tc>
          <w:tcPr>
            <w:tcW w:w="3828" w:type="dxa"/>
            <w:tcBorders>
              <w:top w:val="single" w:sz="4" w:space="0" w:color="auto"/>
              <w:left w:val="nil"/>
              <w:bottom w:val="single" w:sz="4" w:space="0" w:color="auto"/>
              <w:right w:val="single" w:sz="4" w:space="0" w:color="auto"/>
            </w:tcBorders>
            <w:shd w:val="clear" w:color="000000" w:fill="747474"/>
            <w:vAlign w:val="center"/>
            <w:hideMark/>
          </w:tcPr>
          <w:p w14:paraId="7AA3D212" w14:textId="77777777" w:rsidR="00B773BF" w:rsidRPr="00B773BF" w:rsidRDefault="00B773BF">
            <w:pPr>
              <w:jc w:val="center"/>
              <w:rPr>
                <w:rFonts w:ascii="Arial" w:hAnsi="Arial" w:cs="Arial"/>
                <w:b/>
                <w:bCs/>
                <w:color w:val="FFFFFF"/>
                <w:sz w:val="12"/>
                <w:szCs w:val="12"/>
              </w:rPr>
            </w:pPr>
            <w:r w:rsidRPr="00B773BF">
              <w:rPr>
                <w:rFonts w:ascii="Arial" w:hAnsi="Arial" w:cs="Arial"/>
                <w:b/>
                <w:bCs/>
                <w:color w:val="FFFFFF"/>
                <w:sz w:val="12"/>
                <w:szCs w:val="12"/>
              </w:rPr>
              <w:t>Detalle</w:t>
            </w:r>
          </w:p>
        </w:tc>
        <w:tc>
          <w:tcPr>
            <w:tcW w:w="708" w:type="dxa"/>
            <w:tcBorders>
              <w:top w:val="single" w:sz="4" w:space="0" w:color="auto"/>
              <w:left w:val="nil"/>
              <w:bottom w:val="single" w:sz="4" w:space="0" w:color="auto"/>
              <w:right w:val="single" w:sz="4" w:space="0" w:color="auto"/>
            </w:tcBorders>
            <w:shd w:val="clear" w:color="000000" w:fill="747474"/>
            <w:vAlign w:val="center"/>
            <w:hideMark/>
          </w:tcPr>
          <w:p w14:paraId="2DCDA3F6" w14:textId="10895B13" w:rsidR="00B773BF" w:rsidRPr="00B773BF" w:rsidRDefault="00B773BF">
            <w:pPr>
              <w:jc w:val="center"/>
              <w:rPr>
                <w:rFonts w:ascii="Arial" w:hAnsi="Arial" w:cs="Arial"/>
                <w:b/>
                <w:bCs/>
                <w:color w:val="FFFFFF"/>
                <w:sz w:val="12"/>
                <w:szCs w:val="12"/>
              </w:rPr>
            </w:pPr>
            <w:r w:rsidRPr="00B773BF">
              <w:rPr>
                <w:rFonts w:ascii="Arial" w:hAnsi="Arial" w:cs="Arial"/>
                <w:b/>
                <w:bCs/>
                <w:color w:val="FFFFFF"/>
                <w:sz w:val="12"/>
                <w:szCs w:val="12"/>
              </w:rPr>
              <w:t>Cant Mant</w:t>
            </w:r>
          </w:p>
        </w:tc>
        <w:tc>
          <w:tcPr>
            <w:tcW w:w="1560" w:type="dxa"/>
            <w:tcBorders>
              <w:top w:val="single" w:sz="4" w:space="0" w:color="auto"/>
              <w:left w:val="nil"/>
              <w:bottom w:val="single" w:sz="4" w:space="0" w:color="auto"/>
              <w:right w:val="single" w:sz="4" w:space="0" w:color="auto"/>
            </w:tcBorders>
            <w:shd w:val="clear" w:color="000000" w:fill="747474"/>
            <w:vAlign w:val="center"/>
            <w:hideMark/>
          </w:tcPr>
          <w:p w14:paraId="4517F327" w14:textId="77777777" w:rsidR="00B773BF" w:rsidRPr="00B773BF" w:rsidRDefault="00B773BF">
            <w:pPr>
              <w:jc w:val="center"/>
              <w:rPr>
                <w:rFonts w:ascii="Arial" w:hAnsi="Arial" w:cs="Arial"/>
                <w:b/>
                <w:bCs/>
                <w:color w:val="FFFFFF"/>
                <w:sz w:val="12"/>
                <w:szCs w:val="12"/>
              </w:rPr>
            </w:pPr>
            <w:r w:rsidRPr="00B773BF">
              <w:rPr>
                <w:rFonts w:ascii="Arial" w:hAnsi="Arial" w:cs="Arial"/>
                <w:b/>
                <w:bCs/>
                <w:color w:val="FFFFFF"/>
                <w:sz w:val="12"/>
                <w:szCs w:val="12"/>
              </w:rPr>
              <w:t>Valor unitario Iva incluido</w:t>
            </w:r>
          </w:p>
        </w:tc>
        <w:tc>
          <w:tcPr>
            <w:tcW w:w="1134" w:type="dxa"/>
            <w:tcBorders>
              <w:top w:val="single" w:sz="4" w:space="0" w:color="auto"/>
              <w:left w:val="nil"/>
              <w:bottom w:val="single" w:sz="4" w:space="0" w:color="auto"/>
              <w:right w:val="single" w:sz="4" w:space="0" w:color="auto"/>
            </w:tcBorders>
            <w:shd w:val="clear" w:color="000000" w:fill="747474"/>
            <w:vAlign w:val="center"/>
            <w:hideMark/>
          </w:tcPr>
          <w:p w14:paraId="42D7F064" w14:textId="77777777" w:rsidR="00B773BF" w:rsidRPr="00B773BF" w:rsidRDefault="00B773BF">
            <w:pPr>
              <w:jc w:val="center"/>
              <w:rPr>
                <w:rFonts w:ascii="Arial" w:hAnsi="Arial" w:cs="Arial"/>
                <w:b/>
                <w:bCs/>
                <w:color w:val="FFFFFF"/>
                <w:sz w:val="12"/>
                <w:szCs w:val="12"/>
              </w:rPr>
            </w:pPr>
            <w:r w:rsidRPr="00B773BF">
              <w:rPr>
                <w:rFonts w:ascii="Arial" w:hAnsi="Arial" w:cs="Arial"/>
                <w:b/>
                <w:bCs/>
                <w:color w:val="FFFFFF"/>
                <w:sz w:val="12"/>
                <w:szCs w:val="12"/>
              </w:rPr>
              <w:t>Valor unitario Iva incluido</w:t>
            </w:r>
          </w:p>
        </w:tc>
        <w:tc>
          <w:tcPr>
            <w:tcW w:w="1134" w:type="dxa"/>
            <w:tcBorders>
              <w:top w:val="single" w:sz="4" w:space="0" w:color="auto"/>
              <w:left w:val="nil"/>
              <w:bottom w:val="single" w:sz="4" w:space="0" w:color="auto"/>
              <w:right w:val="single" w:sz="4" w:space="0" w:color="auto"/>
            </w:tcBorders>
            <w:shd w:val="clear" w:color="000000" w:fill="747474"/>
            <w:vAlign w:val="center"/>
            <w:hideMark/>
          </w:tcPr>
          <w:p w14:paraId="712E0245" w14:textId="77777777" w:rsidR="00B773BF" w:rsidRPr="00B773BF" w:rsidRDefault="00B773BF">
            <w:pPr>
              <w:jc w:val="center"/>
              <w:rPr>
                <w:rFonts w:ascii="Arial" w:hAnsi="Arial" w:cs="Arial"/>
                <w:b/>
                <w:bCs/>
                <w:color w:val="FFFFFF"/>
                <w:sz w:val="12"/>
                <w:szCs w:val="12"/>
              </w:rPr>
            </w:pPr>
            <w:r w:rsidRPr="00B773BF">
              <w:rPr>
                <w:rFonts w:ascii="Arial" w:hAnsi="Arial" w:cs="Arial"/>
                <w:b/>
                <w:bCs/>
                <w:color w:val="FFFFFF"/>
                <w:sz w:val="12"/>
                <w:szCs w:val="12"/>
              </w:rPr>
              <w:t>Valor unitario Iva incluido</w:t>
            </w:r>
          </w:p>
        </w:tc>
        <w:tc>
          <w:tcPr>
            <w:tcW w:w="1506" w:type="dxa"/>
            <w:tcBorders>
              <w:top w:val="single" w:sz="4" w:space="0" w:color="auto"/>
              <w:left w:val="nil"/>
              <w:bottom w:val="single" w:sz="4" w:space="0" w:color="auto"/>
              <w:right w:val="single" w:sz="4" w:space="0" w:color="auto"/>
            </w:tcBorders>
            <w:shd w:val="clear" w:color="000000" w:fill="747474"/>
            <w:vAlign w:val="center"/>
            <w:hideMark/>
          </w:tcPr>
          <w:p w14:paraId="0D19F805" w14:textId="77777777" w:rsidR="00B773BF" w:rsidRPr="00B773BF" w:rsidRDefault="00B773BF">
            <w:pPr>
              <w:jc w:val="center"/>
              <w:rPr>
                <w:rFonts w:ascii="Arial" w:hAnsi="Arial" w:cs="Arial"/>
                <w:b/>
                <w:bCs/>
                <w:color w:val="FFFFFF"/>
                <w:sz w:val="12"/>
                <w:szCs w:val="12"/>
              </w:rPr>
            </w:pPr>
            <w:r w:rsidRPr="00B773BF">
              <w:rPr>
                <w:rFonts w:ascii="Arial" w:hAnsi="Arial" w:cs="Arial"/>
                <w:b/>
                <w:bCs/>
                <w:color w:val="FFFFFF"/>
                <w:sz w:val="12"/>
                <w:szCs w:val="12"/>
              </w:rPr>
              <w:t>Promedio Unitario IVA incluido</w:t>
            </w:r>
          </w:p>
        </w:tc>
      </w:tr>
      <w:tr w:rsidR="00B773BF" w:rsidRPr="00B773BF" w14:paraId="7F4B5013" w14:textId="77777777" w:rsidTr="00B773BF">
        <w:trPr>
          <w:trHeight w:val="255"/>
          <w:jc w:val="center"/>
        </w:trPr>
        <w:tc>
          <w:tcPr>
            <w:tcW w:w="562" w:type="dxa"/>
            <w:tcBorders>
              <w:top w:val="nil"/>
              <w:left w:val="single" w:sz="4" w:space="0" w:color="auto"/>
              <w:bottom w:val="single" w:sz="4" w:space="0" w:color="auto"/>
              <w:right w:val="single" w:sz="4" w:space="0" w:color="auto"/>
            </w:tcBorders>
            <w:shd w:val="clear" w:color="000000" w:fill="BFBFBF"/>
            <w:vAlign w:val="center"/>
            <w:hideMark/>
          </w:tcPr>
          <w:p w14:paraId="6EDB67A3" w14:textId="77777777"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1</w:t>
            </w:r>
          </w:p>
        </w:tc>
        <w:tc>
          <w:tcPr>
            <w:tcW w:w="3828" w:type="dxa"/>
            <w:tcBorders>
              <w:top w:val="nil"/>
              <w:left w:val="nil"/>
              <w:bottom w:val="single" w:sz="4" w:space="0" w:color="auto"/>
              <w:right w:val="single" w:sz="4" w:space="0" w:color="auto"/>
            </w:tcBorders>
            <w:shd w:val="clear" w:color="000000" w:fill="BFBFBF"/>
            <w:noWrap/>
            <w:vAlign w:val="center"/>
            <w:hideMark/>
          </w:tcPr>
          <w:p w14:paraId="7223B965" w14:textId="77777777" w:rsidR="00B773BF" w:rsidRPr="00B773BF" w:rsidRDefault="00B773BF">
            <w:pPr>
              <w:rPr>
                <w:rFonts w:ascii="Arial" w:hAnsi="Arial" w:cs="Arial"/>
                <w:b/>
                <w:bCs/>
                <w:color w:val="000000"/>
                <w:sz w:val="12"/>
                <w:szCs w:val="12"/>
              </w:rPr>
            </w:pPr>
            <w:r w:rsidRPr="00B773BF">
              <w:rPr>
                <w:rFonts w:ascii="Arial" w:hAnsi="Arial" w:cs="Arial"/>
                <w:b/>
                <w:bCs/>
                <w:color w:val="000000"/>
                <w:sz w:val="12"/>
                <w:szCs w:val="12"/>
              </w:rPr>
              <w:t>Juzgados Administrativos de Cundinamarca - CAN</w:t>
            </w:r>
          </w:p>
        </w:tc>
        <w:tc>
          <w:tcPr>
            <w:tcW w:w="708" w:type="dxa"/>
            <w:tcBorders>
              <w:top w:val="nil"/>
              <w:left w:val="nil"/>
              <w:bottom w:val="single" w:sz="4" w:space="0" w:color="auto"/>
              <w:right w:val="single" w:sz="4" w:space="0" w:color="auto"/>
            </w:tcBorders>
            <w:shd w:val="clear" w:color="000000" w:fill="BFBFBF"/>
            <w:noWrap/>
            <w:vAlign w:val="center"/>
            <w:hideMark/>
          </w:tcPr>
          <w:p w14:paraId="23B91919" w14:textId="77777777" w:rsidR="00B773BF" w:rsidRPr="00B773BF" w:rsidRDefault="00B773BF">
            <w:pPr>
              <w:rPr>
                <w:rFonts w:ascii="Arial" w:hAnsi="Arial" w:cs="Arial"/>
                <w:b/>
                <w:bCs/>
                <w:color w:val="000000"/>
                <w:sz w:val="12"/>
                <w:szCs w:val="12"/>
              </w:rPr>
            </w:pPr>
            <w:r w:rsidRPr="00B773BF">
              <w:rPr>
                <w:rFonts w:ascii="Arial" w:hAnsi="Arial" w:cs="Arial"/>
                <w:b/>
                <w:bCs/>
                <w:color w:val="000000"/>
                <w:sz w:val="12"/>
                <w:szCs w:val="12"/>
              </w:rPr>
              <w:t> </w:t>
            </w:r>
          </w:p>
        </w:tc>
        <w:tc>
          <w:tcPr>
            <w:tcW w:w="1560" w:type="dxa"/>
            <w:tcBorders>
              <w:top w:val="nil"/>
              <w:left w:val="nil"/>
              <w:bottom w:val="single" w:sz="4" w:space="0" w:color="auto"/>
              <w:right w:val="single" w:sz="4" w:space="0" w:color="auto"/>
            </w:tcBorders>
            <w:shd w:val="clear" w:color="000000" w:fill="BFBFBF"/>
            <w:noWrap/>
            <w:vAlign w:val="center"/>
            <w:hideMark/>
          </w:tcPr>
          <w:p w14:paraId="0F04A382" w14:textId="3D985E06"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$15.370.000,00</w:t>
            </w:r>
          </w:p>
        </w:tc>
        <w:tc>
          <w:tcPr>
            <w:tcW w:w="1134" w:type="dxa"/>
            <w:tcBorders>
              <w:top w:val="nil"/>
              <w:left w:val="nil"/>
              <w:bottom w:val="single" w:sz="4" w:space="0" w:color="auto"/>
              <w:right w:val="single" w:sz="4" w:space="0" w:color="auto"/>
            </w:tcBorders>
            <w:shd w:val="clear" w:color="000000" w:fill="BFBFBF"/>
            <w:noWrap/>
            <w:vAlign w:val="center"/>
            <w:hideMark/>
          </w:tcPr>
          <w:p w14:paraId="40017A62" w14:textId="7C805795"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$14.637.000,00</w:t>
            </w:r>
          </w:p>
        </w:tc>
        <w:tc>
          <w:tcPr>
            <w:tcW w:w="1134" w:type="dxa"/>
            <w:tcBorders>
              <w:top w:val="nil"/>
              <w:left w:val="nil"/>
              <w:bottom w:val="single" w:sz="4" w:space="0" w:color="auto"/>
              <w:right w:val="single" w:sz="4" w:space="0" w:color="auto"/>
            </w:tcBorders>
            <w:shd w:val="clear" w:color="000000" w:fill="BFBFBF"/>
            <w:noWrap/>
            <w:vAlign w:val="center"/>
            <w:hideMark/>
          </w:tcPr>
          <w:p w14:paraId="13C0D85F" w14:textId="2F2A5D7D"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$3.463.749,84</w:t>
            </w:r>
          </w:p>
        </w:tc>
        <w:tc>
          <w:tcPr>
            <w:tcW w:w="1506" w:type="dxa"/>
            <w:tcBorders>
              <w:top w:val="nil"/>
              <w:left w:val="nil"/>
              <w:bottom w:val="single" w:sz="4" w:space="0" w:color="auto"/>
              <w:right w:val="single" w:sz="4" w:space="0" w:color="auto"/>
            </w:tcBorders>
            <w:shd w:val="clear" w:color="000000" w:fill="BFBFBF"/>
            <w:noWrap/>
            <w:vAlign w:val="center"/>
            <w:hideMark/>
          </w:tcPr>
          <w:p w14:paraId="68397506" w14:textId="3A17D9CF"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$12.925.666,00</w:t>
            </w:r>
          </w:p>
        </w:tc>
      </w:tr>
      <w:tr w:rsidR="00B773BF" w:rsidRPr="00B773BF" w14:paraId="2312449A"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074BF47F"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1.1</w:t>
            </w:r>
          </w:p>
        </w:tc>
        <w:tc>
          <w:tcPr>
            <w:tcW w:w="3828" w:type="dxa"/>
            <w:tcBorders>
              <w:top w:val="nil"/>
              <w:left w:val="nil"/>
              <w:bottom w:val="single" w:sz="4" w:space="0" w:color="auto"/>
              <w:right w:val="single" w:sz="4" w:space="0" w:color="auto"/>
            </w:tcBorders>
            <w:vAlign w:val="center"/>
            <w:hideMark/>
          </w:tcPr>
          <w:p w14:paraId="07EF6EE7"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Bomba de 7.5 HP, 220 v agua potable, incluye los tableros eléctricos</w:t>
            </w:r>
          </w:p>
        </w:tc>
        <w:tc>
          <w:tcPr>
            <w:tcW w:w="708" w:type="dxa"/>
            <w:tcBorders>
              <w:top w:val="nil"/>
              <w:left w:val="nil"/>
              <w:bottom w:val="single" w:sz="4" w:space="0" w:color="auto"/>
              <w:right w:val="single" w:sz="4" w:space="0" w:color="auto"/>
            </w:tcBorders>
            <w:vAlign w:val="center"/>
            <w:hideMark/>
          </w:tcPr>
          <w:p w14:paraId="119CE9D8"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4BC3AB08" w14:textId="57D3549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$1.749.000,00</w:t>
            </w:r>
          </w:p>
        </w:tc>
        <w:tc>
          <w:tcPr>
            <w:tcW w:w="1134" w:type="dxa"/>
            <w:tcBorders>
              <w:top w:val="nil"/>
              <w:left w:val="nil"/>
              <w:bottom w:val="single" w:sz="4" w:space="0" w:color="auto"/>
              <w:right w:val="single" w:sz="4" w:space="0" w:color="auto"/>
            </w:tcBorders>
            <w:shd w:val="clear" w:color="000000" w:fill="CAEDFB"/>
            <w:vAlign w:val="center"/>
            <w:hideMark/>
          </w:tcPr>
          <w:p w14:paraId="2C852826" w14:textId="63A6A53D"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$1.666.000</w:t>
            </w:r>
          </w:p>
        </w:tc>
        <w:tc>
          <w:tcPr>
            <w:tcW w:w="1134" w:type="dxa"/>
            <w:tcBorders>
              <w:top w:val="nil"/>
              <w:left w:val="nil"/>
              <w:bottom w:val="single" w:sz="4" w:space="0" w:color="auto"/>
              <w:right w:val="single" w:sz="4" w:space="0" w:color="auto"/>
            </w:tcBorders>
            <w:shd w:val="clear" w:color="000000" w:fill="CAEDFB"/>
            <w:vAlign w:val="center"/>
            <w:hideMark/>
          </w:tcPr>
          <w:p w14:paraId="0B621645" w14:textId="2558BE0D"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$489.129</w:t>
            </w:r>
          </w:p>
        </w:tc>
        <w:tc>
          <w:tcPr>
            <w:tcW w:w="1506" w:type="dxa"/>
            <w:tcBorders>
              <w:top w:val="nil"/>
              <w:left w:val="nil"/>
              <w:bottom w:val="single" w:sz="4" w:space="0" w:color="auto"/>
              <w:right w:val="single" w:sz="4" w:space="0" w:color="auto"/>
            </w:tcBorders>
            <w:noWrap/>
            <w:vAlign w:val="center"/>
            <w:hideMark/>
          </w:tcPr>
          <w:p w14:paraId="4CFD0E16" w14:textId="5DE4A41C"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$1.301.376,00</w:t>
            </w:r>
          </w:p>
        </w:tc>
      </w:tr>
      <w:tr w:rsidR="00B773BF" w:rsidRPr="00B773BF" w14:paraId="6739873F"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0EDE7CEC"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1.2</w:t>
            </w:r>
          </w:p>
        </w:tc>
        <w:tc>
          <w:tcPr>
            <w:tcW w:w="3828" w:type="dxa"/>
            <w:tcBorders>
              <w:top w:val="nil"/>
              <w:left w:val="nil"/>
              <w:bottom w:val="single" w:sz="4" w:space="0" w:color="auto"/>
              <w:right w:val="single" w:sz="4" w:space="0" w:color="auto"/>
            </w:tcBorders>
            <w:vAlign w:val="center"/>
            <w:hideMark/>
          </w:tcPr>
          <w:p w14:paraId="086B2D53"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Bombas red contraincendios 30,6 HP, incluye los tableros eléctricos</w:t>
            </w:r>
          </w:p>
        </w:tc>
        <w:tc>
          <w:tcPr>
            <w:tcW w:w="708" w:type="dxa"/>
            <w:tcBorders>
              <w:top w:val="nil"/>
              <w:left w:val="nil"/>
              <w:bottom w:val="single" w:sz="4" w:space="0" w:color="auto"/>
              <w:right w:val="single" w:sz="4" w:space="0" w:color="auto"/>
            </w:tcBorders>
            <w:vAlign w:val="center"/>
            <w:hideMark/>
          </w:tcPr>
          <w:p w14:paraId="7CEC48C3"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0FB05941" w14:textId="2207DB25"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$5.248.000,00</w:t>
            </w:r>
          </w:p>
        </w:tc>
        <w:tc>
          <w:tcPr>
            <w:tcW w:w="1134" w:type="dxa"/>
            <w:tcBorders>
              <w:top w:val="nil"/>
              <w:left w:val="nil"/>
              <w:bottom w:val="single" w:sz="4" w:space="0" w:color="auto"/>
              <w:right w:val="single" w:sz="4" w:space="0" w:color="auto"/>
            </w:tcBorders>
            <w:shd w:val="clear" w:color="000000" w:fill="CAEDFB"/>
            <w:vAlign w:val="center"/>
            <w:hideMark/>
          </w:tcPr>
          <w:p w14:paraId="7B5CC231" w14:textId="400B4402"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$4.998.000</w:t>
            </w:r>
          </w:p>
        </w:tc>
        <w:tc>
          <w:tcPr>
            <w:tcW w:w="1134" w:type="dxa"/>
            <w:tcBorders>
              <w:top w:val="nil"/>
              <w:left w:val="nil"/>
              <w:bottom w:val="single" w:sz="4" w:space="0" w:color="auto"/>
              <w:right w:val="single" w:sz="4" w:space="0" w:color="auto"/>
            </w:tcBorders>
            <w:shd w:val="clear" w:color="000000" w:fill="CAEDFB"/>
            <w:vAlign w:val="center"/>
            <w:hideMark/>
          </w:tcPr>
          <w:p w14:paraId="3092B8C1" w14:textId="567CD894"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$2.076.563</w:t>
            </w:r>
          </w:p>
        </w:tc>
        <w:tc>
          <w:tcPr>
            <w:tcW w:w="1506" w:type="dxa"/>
            <w:tcBorders>
              <w:top w:val="nil"/>
              <w:left w:val="nil"/>
              <w:bottom w:val="single" w:sz="4" w:space="0" w:color="auto"/>
              <w:right w:val="single" w:sz="4" w:space="0" w:color="auto"/>
            </w:tcBorders>
            <w:noWrap/>
            <w:vAlign w:val="center"/>
            <w:hideMark/>
          </w:tcPr>
          <w:p w14:paraId="07C68DC6" w14:textId="6ACBD4E4"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$4.107.521,00</w:t>
            </w:r>
          </w:p>
        </w:tc>
      </w:tr>
      <w:tr w:rsidR="00B773BF" w:rsidRPr="00B773BF" w14:paraId="2F37346E"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25065D12"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1.3</w:t>
            </w:r>
          </w:p>
        </w:tc>
        <w:tc>
          <w:tcPr>
            <w:tcW w:w="3828" w:type="dxa"/>
            <w:tcBorders>
              <w:top w:val="nil"/>
              <w:left w:val="nil"/>
              <w:bottom w:val="single" w:sz="4" w:space="0" w:color="auto"/>
              <w:right w:val="single" w:sz="4" w:space="0" w:color="auto"/>
            </w:tcBorders>
            <w:vAlign w:val="center"/>
            <w:hideMark/>
          </w:tcPr>
          <w:p w14:paraId="002D4593"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Bomba jockey de 5 HP, incluye los tableros eléctricos</w:t>
            </w:r>
          </w:p>
        </w:tc>
        <w:tc>
          <w:tcPr>
            <w:tcW w:w="708" w:type="dxa"/>
            <w:tcBorders>
              <w:top w:val="nil"/>
              <w:left w:val="nil"/>
              <w:bottom w:val="single" w:sz="4" w:space="0" w:color="auto"/>
              <w:right w:val="single" w:sz="4" w:space="0" w:color="auto"/>
            </w:tcBorders>
            <w:vAlign w:val="center"/>
            <w:hideMark/>
          </w:tcPr>
          <w:p w14:paraId="25CAEC1C"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74D0A218" w14:textId="2E5D5C40"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$1.313.000,00</w:t>
            </w:r>
          </w:p>
        </w:tc>
        <w:tc>
          <w:tcPr>
            <w:tcW w:w="1134" w:type="dxa"/>
            <w:tcBorders>
              <w:top w:val="nil"/>
              <w:left w:val="nil"/>
              <w:bottom w:val="single" w:sz="4" w:space="0" w:color="auto"/>
              <w:right w:val="single" w:sz="4" w:space="0" w:color="auto"/>
            </w:tcBorders>
            <w:shd w:val="clear" w:color="000000" w:fill="CAEDFB"/>
            <w:vAlign w:val="center"/>
            <w:hideMark/>
          </w:tcPr>
          <w:p w14:paraId="02E76E34" w14:textId="4FE128AA"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$1.249.500</w:t>
            </w:r>
          </w:p>
        </w:tc>
        <w:tc>
          <w:tcPr>
            <w:tcW w:w="1134" w:type="dxa"/>
            <w:tcBorders>
              <w:top w:val="nil"/>
              <w:left w:val="nil"/>
              <w:bottom w:val="single" w:sz="4" w:space="0" w:color="auto"/>
              <w:right w:val="single" w:sz="4" w:space="0" w:color="auto"/>
            </w:tcBorders>
            <w:shd w:val="clear" w:color="000000" w:fill="CAEDFB"/>
            <w:vAlign w:val="center"/>
            <w:hideMark/>
          </w:tcPr>
          <w:p w14:paraId="037B818F" w14:textId="05C8CBB8"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$508.104</w:t>
            </w:r>
          </w:p>
        </w:tc>
        <w:tc>
          <w:tcPr>
            <w:tcW w:w="1506" w:type="dxa"/>
            <w:tcBorders>
              <w:top w:val="nil"/>
              <w:left w:val="nil"/>
              <w:bottom w:val="single" w:sz="4" w:space="0" w:color="auto"/>
              <w:right w:val="single" w:sz="4" w:space="0" w:color="auto"/>
            </w:tcBorders>
            <w:noWrap/>
            <w:vAlign w:val="center"/>
            <w:hideMark/>
          </w:tcPr>
          <w:p w14:paraId="3425F510" w14:textId="02F6143A"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$1.023.535,00</w:t>
            </w:r>
          </w:p>
        </w:tc>
      </w:tr>
      <w:tr w:rsidR="00B773BF" w:rsidRPr="00B773BF" w14:paraId="588B631B"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73E33171"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1.4</w:t>
            </w:r>
          </w:p>
        </w:tc>
        <w:tc>
          <w:tcPr>
            <w:tcW w:w="3828" w:type="dxa"/>
            <w:tcBorders>
              <w:top w:val="nil"/>
              <w:left w:val="nil"/>
              <w:bottom w:val="single" w:sz="4" w:space="0" w:color="auto"/>
              <w:right w:val="single" w:sz="4" w:space="0" w:color="auto"/>
            </w:tcBorders>
            <w:vAlign w:val="center"/>
            <w:hideMark/>
          </w:tcPr>
          <w:p w14:paraId="6DECBD90"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Bombas sumergibles trifásica de 2 HP, incluye los tableros eléctricos</w:t>
            </w:r>
          </w:p>
        </w:tc>
        <w:tc>
          <w:tcPr>
            <w:tcW w:w="708" w:type="dxa"/>
            <w:tcBorders>
              <w:top w:val="nil"/>
              <w:left w:val="nil"/>
              <w:bottom w:val="single" w:sz="4" w:space="0" w:color="auto"/>
              <w:right w:val="single" w:sz="4" w:space="0" w:color="auto"/>
            </w:tcBorders>
            <w:vAlign w:val="center"/>
            <w:hideMark/>
          </w:tcPr>
          <w:p w14:paraId="2F03E5E1"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4396AB20" w14:textId="32D8C56B"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$1.624.000,00</w:t>
            </w:r>
          </w:p>
        </w:tc>
        <w:tc>
          <w:tcPr>
            <w:tcW w:w="1134" w:type="dxa"/>
            <w:tcBorders>
              <w:top w:val="nil"/>
              <w:left w:val="nil"/>
              <w:bottom w:val="single" w:sz="4" w:space="0" w:color="auto"/>
              <w:right w:val="single" w:sz="4" w:space="0" w:color="auto"/>
            </w:tcBorders>
            <w:shd w:val="clear" w:color="000000" w:fill="CAEDFB"/>
            <w:vAlign w:val="center"/>
            <w:hideMark/>
          </w:tcPr>
          <w:p w14:paraId="062FC1EC" w14:textId="7F94BC7E"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$1.547.000</w:t>
            </w:r>
          </w:p>
        </w:tc>
        <w:tc>
          <w:tcPr>
            <w:tcW w:w="1134" w:type="dxa"/>
            <w:tcBorders>
              <w:top w:val="nil"/>
              <w:left w:val="nil"/>
              <w:bottom w:val="single" w:sz="4" w:space="0" w:color="auto"/>
              <w:right w:val="single" w:sz="4" w:space="0" w:color="auto"/>
            </w:tcBorders>
            <w:shd w:val="clear" w:color="000000" w:fill="CAEDFB"/>
            <w:vAlign w:val="center"/>
            <w:hideMark/>
          </w:tcPr>
          <w:p w14:paraId="712F1F4C" w14:textId="7C442E6D"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$389.953</w:t>
            </w:r>
          </w:p>
        </w:tc>
        <w:tc>
          <w:tcPr>
            <w:tcW w:w="1506" w:type="dxa"/>
            <w:tcBorders>
              <w:top w:val="nil"/>
              <w:left w:val="nil"/>
              <w:bottom w:val="single" w:sz="4" w:space="0" w:color="auto"/>
              <w:right w:val="single" w:sz="4" w:space="0" w:color="auto"/>
            </w:tcBorders>
            <w:noWrap/>
            <w:vAlign w:val="center"/>
            <w:hideMark/>
          </w:tcPr>
          <w:p w14:paraId="37D09907" w14:textId="05E69499"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$1.186.984,00</w:t>
            </w:r>
          </w:p>
        </w:tc>
      </w:tr>
      <w:tr w:rsidR="00B773BF" w:rsidRPr="00B773BF" w14:paraId="006409DB"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7665DA2C"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1.5</w:t>
            </w:r>
          </w:p>
        </w:tc>
        <w:tc>
          <w:tcPr>
            <w:tcW w:w="3828" w:type="dxa"/>
            <w:tcBorders>
              <w:top w:val="nil"/>
              <w:left w:val="nil"/>
              <w:bottom w:val="single" w:sz="4" w:space="0" w:color="auto"/>
              <w:right w:val="single" w:sz="4" w:space="0" w:color="auto"/>
            </w:tcBorders>
            <w:vAlign w:val="center"/>
            <w:hideMark/>
          </w:tcPr>
          <w:p w14:paraId="3C6FC23F"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 xml:space="preserve">Lavado y </w:t>
            </w:r>
            <w:proofErr w:type="spellStart"/>
            <w:r w:rsidRPr="00B773BF">
              <w:rPr>
                <w:rFonts w:ascii="Arial" w:hAnsi="Arial" w:cs="Arial"/>
                <w:color w:val="000000"/>
                <w:sz w:val="12"/>
                <w:szCs w:val="12"/>
              </w:rPr>
              <w:t>desinfecciónTanque</w:t>
            </w:r>
            <w:proofErr w:type="spellEnd"/>
            <w:r w:rsidRPr="00B773BF">
              <w:rPr>
                <w:rFonts w:ascii="Arial" w:hAnsi="Arial" w:cs="Arial"/>
                <w:color w:val="000000"/>
                <w:sz w:val="12"/>
                <w:szCs w:val="12"/>
              </w:rPr>
              <w:t xml:space="preserve"> de agua potable, capacidad 450 m3 </w:t>
            </w:r>
          </w:p>
        </w:tc>
        <w:tc>
          <w:tcPr>
            <w:tcW w:w="708" w:type="dxa"/>
            <w:tcBorders>
              <w:top w:val="nil"/>
              <w:left w:val="nil"/>
              <w:bottom w:val="single" w:sz="4" w:space="0" w:color="auto"/>
              <w:right w:val="single" w:sz="4" w:space="0" w:color="auto"/>
            </w:tcBorders>
            <w:vAlign w:val="center"/>
            <w:hideMark/>
          </w:tcPr>
          <w:p w14:paraId="728AC405"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508EE2EF" w14:textId="2FC52F40"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$4.373.000,00</w:t>
            </w:r>
          </w:p>
        </w:tc>
        <w:tc>
          <w:tcPr>
            <w:tcW w:w="1134" w:type="dxa"/>
            <w:tcBorders>
              <w:top w:val="nil"/>
              <w:left w:val="nil"/>
              <w:bottom w:val="single" w:sz="4" w:space="0" w:color="auto"/>
              <w:right w:val="single" w:sz="4" w:space="0" w:color="auto"/>
            </w:tcBorders>
            <w:shd w:val="clear" w:color="000000" w:fill="CAEDFB"/>
            <w:vAlign w:val="center"/>
            <w:hideMark/>
          </w:tcPr>
          <w:p w14:paraId="14A4D30D" w14:textId="06DC90FD"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$4.165.000</w:t>
            </w:r>
          </w:p>
        </w:tc>
        <w:tc>
          <w:tcPr>
            <w:tcW w:w="1134" w:type="dxa"/>
            <w:tcBorders>
              <w:top w:val="nil"/>
              <w:left w:val="nil"/>
              <w:bottom w:val="single" w:sz="4" w:space="0" w:color="auto"/>
              <w:right w:val="single" w:sz="4" w:space="0" w:color="auto"/>
            </w:tcBorders>
            <w:shd w:val="clear" w:color="000000" w:fill="CAEDFB"/>
            <w:vAlign w:val="center"/>
            <w:hideMark/>
          </w:tcPr>
          <w:p w14:paraId="1241669A" w14:textId="33877AD8"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w:t>
            </w:r>
          </w:p>
        </w:tc>
        <w:tc>
          <w:tcPr>
            <w:tcW w:w="1506" w:type="dxa"/>
            <w:tcBorders>
              <w:top w:val="nil"/>
              <w:left w:val="nil"/>
              <w:bottom w:val="single" w:sz="4" w:space="0" w:color="auto"/>
              <w:right w:val="single" w:sz="4" w:space="0" w:color="auto"/>
            </w:tcBorders>
            <w:noWrap/>
            <w:vAlign w:val="center"/>
            <w:hideMark/>
          </w:tcPr>
          <w:p w14:paraId="7209E35B" w14:textId="264C06DB"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$4.269.000,00</w:t>
            </w:r>
          </w:p>
        </w:tc>
      </w:tr>
      <w:tr w:rsidR="00B773BF" w:rsidRPr="00B773BF" w14:paraId="6294819E"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18DACA56"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1.6</w:t>
            </w:r>
          </w:p>
        </w:tc>
        <w:tc>
          <w:tcPr>
            <w:tcW w:w="3828" w:type="dxa"/>
            <w:tcBorders>
              <w:top w:val="nil"/>
              <w:left w:val="nil"/>
              <w:bottom w:val="single" w:sz="4" w:space="0" w:color="auto"/>
              <w:right w:val="single" w:sz="4" w:space="0" w:color="auto"/>
            </w:tcBorders>
            <w:vAlign w:val="center"/>
            <w:hideMark/>
          </w:tcPr>
          <w:p w14:paraId="1C910C6E" w14:textId="05BF241C"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 xml:space="preserve">Lavado y </w:t>
            </w:r>
            <w:proofErr w:type="spellStart"/>
            <w:r w:rsidRPr="00B773BF">
              <w:rPr>
                <w:rFonts w:ascii="Arial" w:hAnsi="Arial" w:cs="Arial"/>
                <w:color w:val="000000"/>
                <w:sz w:val="12"/>
                <w:szCs w:val="12"/>
              </w:rPr>
              <w:t>desarenación</w:t>
            </w:r>
            <w:proofErr w:type="spellEnd"/>
            <w:r w:rsidRPr="00B773BF">
              <w:rPr>
                <w:rFonts w:ascii="Arial" w:hAnsi="Arial" w:cs="Arial"/>
                <w:color w:val="000000"/>
                <w:sz w:val="12"/>
                <w:szCs w:val="12"/>
              </w:rPr>
              <w:t xml:space="preserve"> pozo de aguas negras y </w:t>
            </w:r>
            <w:r w:rsidR="00115A8C" w:rsidRPr="00B773BF">
              <w:rPr>
                <w:rFonts w:ascii="Arial" w:hAnsi="Arial" w:cs="Arial"/>
                <w:color w:val="000000"/>
                <w:sz w:val="12"/>
                <w:szCs w:val="12"/>
              </w:rPr>
              <w:t>lavado de</w:t>
            </w:r>
            <w:r w:rsidRPr="00B773BF">
              <w:rPr>
                <w:rFonts w:ascii="Arial" w:hAnsi="Arial" w:cs="Arial"/>
                <w:color w:val="000000"/>
                <w:sz w:val="12"/>
                <w:szCs w:val="12"/>
              </w:rPr>
              <w:t xml:space="preserve"> cajas (12 m3) </w:t>
            </w:r>
          </w:p>
        </w:tc>
        <w:tc>
          <w:tcPr>
            <w:tcW w:w="708" w:type="dxa"/>
            <w:tcBorders>
              <w:top w:val="nil"/>
              <w:left w:val="nil"/>
              <w:bottom w:val="single" w:sz="4" w:space="0" w:color="auto"/>
              <w:right w:val="single" w:sz="4" w:space="0" w:color="auto"/>
            </w:tcBorders>
            <w:vAlign w:val="center"/>
            <w:hideMark/>
          </w:tcPr>
          <w:p w14:paraId="410DA5CF"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439EC506" w14:textId="42AFCD8F"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$1.063.000,00</w:t>
            </w:r>
          </w:p>
        </w:tc>
        <w:tc>
          <w:tcPr>
            <w:tcW w:w="1134" w:type="dxa"/>
            <w:tcBorders>
              <w:top w:val="nil"/>
              <w:left w:val="nil"/>
              <w:bottom w:val="single" w:sz="4" w:space="0" w:color="auto"/>
              <w:right w:val="single" w:sz="4" w:space="0" w:color="auto"/>
            </w:tcBorders>
            <w:shd w:val="clear" w:color="000000" w:fill="CAEDFB"/>
            <w:vAlign w:val="center"/>
            <w:hideMark/>
          </w:tcPr>
          <w:p w14:paraId="3CF95451" w14:textId="09FEB611"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$1.011.500</w:t>
            </w:r>
          </w:p>
        </w:tc>
        <w:tc>
          <w:tcPr>
            <w:tcW w:w="1134" w:type="dxa"/>
            <w:tcBorders>
              <w:top w:val="nil"/>
              <w:left w:val="nil"/>
              <w:bottom w:val="single" w:sz="4" w:space="0" w:color="auto"/>
              <w:right w:val="single" w:sz="4" w:space="0" w:color="auto"/>
            </w:tcBorders>
            <w:shd w:val="clear" w:color="000000" w:fill="CAEDFB"/>
            <w:vAlign w:val="center"/>
            <w:hideMark/>
          </w:tcPr>
          <w:p w14:paraId="442478CC" w14:textId="47501C72"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w:t>
            </w:r>
          </w:p>
        </w:tc>
        <w:tc>
          <w:tcPr>
            <w:tcW w:w="1506" w:type="dxa"/>
            <w:tcBorders>
              <w:top w:val="nil"/>
              <w:left w:val="nil"/>
              <w:bottom w:val="single" w:sz="4" w:space="0" w:color="auto"/>
              <w:right w:val="single" w:sz="4" w:space="0" w:color="auto"/>
            </w:tcBorders>
            <w:noWrap/>
            <w:vAlign w:val="center"/>
            <w:hideMark/>
          </w:tcPr>
          <w:p w14:paraId="463B0DFD" w14:textId="115DFEFB"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$1.037.250,00</w:t>
            </w:r>
          </w:p>
        </w:tc>
      </w:tr>
      <w:tr w:rsidR="00B773BF" w:rsidRPr="00B773BF" w14:paraId="1B870B8A" w14:textId="77777777" w:rsidTr="00B773BF">
        <w:trPr>
          <w:trHeight w:val="255"/>
          <w:jc w:val="center"/>
        </w:trPr>
        <w:tc>
          <w:tcPr>
            <w:tcW w:w="562" w:type="dxa"/>
            <w:tcBorders>
              <w:top w:val="nil"/>
              <w:left w:val="single" w:sz="4" w:space="0" w:color="auto"/>
              <w:bottom w:val="single" w:sz="4" w:space="0" w:color="auto"/>
              <w:right w:val="single" w:sz="4" w:space="0" w:color="auto"/>
            </w:tcBorders>
            <w:shd w:val="clear" w:color="000000" w:fill="BFBFBF"/>
            <w:vAlign w:val="center"/>
            <w:hideMark/>
          </w:tcPr>
          <w:p w14:paraId="763D7B03" w14:textId="77777777"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2</w:t>
            </w:r>
          </w:p>
        </w:tc>
        <w:tc>
          <w:tcPr>
            <w:tcW w:w="3828" w:type="dxa"/>
            <w:tcBorders>
              <w:top w:val="nil"/>
              <w:left w:val="nil"/>
              <w:bottom w:val="single" w:sz="4" w:space="0" w:color="auto"/>
              <w:right w:val="single" w:sz="4" w:space="0" w:color="auto"/>
            </w:tcBorders>
            <w:shd w:val="clear" w:color="000000" w:fill="BFBFBF"/>
            <w:noWrap/>
            <w:vAlign w:val="center"/>
            <w:hideMark/>
          </w:tcPr>
          <w:p w14:paraId="2FA52285" w14:textId="77777777" w:rsidR="00B773BF" w:rsidRPr="00B773BF" w:rsidRDefault="00B773BF">
            <w:pPr>
              <w:rPr>
                <w:rFonts w:ascii="Arial" w:hAnsi="Arial" w:cs="Arial"/>
                <w:b/>
                <w:bCs/>
                <w:color w:val="000000"/>
                <w:sz w:val="12"/>
                <w:szCs w:val="12"/>
              </w:rPr>
            </w:pPr>
            <w:r w:rsidRPr="00B773BF">
              <w:rPr>
                <w:rFonts w:ascii="Arial" w:hAnsi="Arial" w:cs="Arial"/>
                <w:b/>
                <w:bCs/>
                <w:color w:val="000000"/>
                <w:sz w:val="12"/>
                <w:szCs w:val="12"/>
              </w:rPr>
              <w:t>Palacio de Justicia de Soacha</w:t>
            </w:r>
          </w:p>
        </w:tc>
        <w:tc>
          <w:tcPr>
            <w:tcW w:w="708" w:type="dxa"/>
            <w:tcBorders>
              <w:top w:val="nil"/>
              <w:left w:val="nil"/>
              <w:bottom w:val="single" w:sz="4" w:space="0" w:color="auto"/>
              <w:right w:val="single" w:sz="4" w:space="0" w:color="auto"/>
            </w:tcBorders>
            <w:shd w:val="clear" w:color="000000" w:fill="BFBFBF"/>
            <w:noWrap/>
            <w:vAlign w:val="center"/>
            <w:hideMark/>
          </w:tcPr>
          <w:p w14:paraId="009BD62E" w14:textId="77777777" w:rsidR="00B773BF" w:rsidRPr="00B773BF" w:rsidRDefault="00B773BF">
            <w:pPr>
              <w:rPr>
                <w:rFonts w:ascii="Arial" w:hAnsi="Arial" w:cs="Arial"/>
                <w:b/>
                <w:bCs/>
                <w:color w:val="000000"/>
                <w:sz w:val="12"/>
                <w:szCs w:val="12"/>
              </w:rPr>
            </w:pPr>
            <w:r w:rsidRPr="00B773BF">
              <w:rPr>
                <w:rFonts w:ascii="Arial" w:hAnsi="Arial" w:cs="Arial"/>
                <w:b/>
                <w:bCs/>
                <w:color w:val="000000"/>
                <w:sz w:val="12"/>
                <w:szCs w:val="12"/>
              </w:rPr>
              <w:t> </w:t>
            </w:r>
          </w:p>
        </w:tc>
        <w:tc>
          <w:tcPr>
            <w:tcW w:w="1560" w:type="dxa"/>
            <w:tcBorders>
              <w:top w:val="nil"/>
              <w:left w:val="nil"/>
              <w:bottom w:val="single" w:sz="4" w:space="0" w:color="auto"/>
              <w:right w:val="single" w:sz="4" w:space="0" w:color="auto"/>
            </w:tcBorders>
            <w:shd w:val="clear" w:color="000000" w:fill="BFBFBF"/>
            <w:noWrap/>
            <w:vAlign w:val="center"/>
            <w:hideMark/>
          </w:tcPr>
          <w:p w14:paraId="7574439A" w14:textId="0500CB52"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$13.293.000,00</w:t>
            </w:r>
          </w:p>
        </w:tc>
        <w:tc>
          <w:tcPr>
            <w:tcW w:w="1134" w:type="dxa"/>
            <w:tcBorders>
              <w:top w:val="nil"/>
              <w:left w:val="nil"/>
              <w:bottom w:val="single" w:sz="4" w:space="0" w:color="auto"/>
              <w:right w:val="single" w:sz="4" w:space="0" w:color="auto"/>
            </w:tcBorders>
            <w:shd w:val="clear" w:color="000000" w:fill="BFBFBF"/>
            <w:noWrap/>
            <w:vAlign w:val="center"/>
            <w:hideMark/>
          </w:tcPr>
          <w:p w14:paraId="08526130" w14:textId="0FFE93CD"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$12.661.600,00</w:t>
            </w:r>
          </w:p>
        </w:tc>
        <w:tc>
          <w:tcPr>
            <w:tcW w:w="1134" w:type="dxa"/>
            <w:tcBorders>
              <w:top w:val="nil"/>
              <w:left w:val="nil"/>
              <w:bottom w:val="single" w:sz="4" w:space="0" w:color="auto"/>
              <w:right w:val="single" w:sz="4" w:space="0" w:color="auto"/>
            </w:tcBorders>
            <w:shd w:val="clear" w:color="000000" w:fill="BFBFBF"/>
            <w:noWrap/>
            <w:vAlign w:val="center"/>
            <w:hideMark/>
          </w:tcPr>
          <w:p w14:paraId="5B671F37" w14:textId="17C5D3F9"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$7.392.833,46</w:t>
            </w:r>
          </w:p>
        </w:tc>
        <w:tc>
          <w:tcPr>
            <w:tcW w:w="1506" w:type="dxa"/>
            <w:tcBorders>
              <w:top w:val="nil"/>
              <w:left w:val="nil"/>
              <w:bottom w:val="single" w:sz="4" w:space="0" w:color="auto"/>
              <w:right w:val="single" w:sz="4" w:space="0" w:color="auto"/>
            </w:tcBorders>
            <w:shd w:val="clear" w:color="000000" w:fill="BFBFBF"/>
            <w:noWrap/>
            <w:vAlign w:val="center"/>
            <w:hideMark/>
          </w:tcPr>
          <w:p w14:paraId="1E256456" w14:textId="2881CD2D"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$11.847.645,00</w:t>
            </w:r>
          </w:p>
        </w:tc>
      </w:tr>
      <w:tr w:rsidR="00B773BF" w:rsidRPr="00B773BF" w14:paraId="7764159F" w14:textId="77777777" w:rsidTr="00115A8C">
        <w:trPr>
          <w:trHeight w:val="292"/>
          <w:jc w:val="center"/>
        </w:trPr>
        <w:tc>
          <w:tcPr>
            <w:tcW w:w="562" w:type="dxa"/>
            <w:tcBorders>
              <w:top w:val="nil"/>
              <w:left w:val="single" w:sz="4" w:space="0" w:color="auto"/>
              <w:bottom w:val="single" w:sz="4" w:space="0" w:color="auto"/>
              <w:right w:val="single" w:sz="4" w:space="0" w:color="auto"/>
            </w:tcBorders>
            <w:vAlign w:val="center"/>
            <w:hideMark/>
          </w:tcPr>
          <w:p w14:paraId="26D26DDF"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2.1</w:t>
            </w:r>
          </w:p>
        </w:tc>
        <w:tc>
          <w:tcPr>
            <w:tcW w:w="3828" w:type="dxa"/>
            <w:tcBorders>
              <w:top w:val="nil"/>
              <w:left w:val="nil"/>
              <w:bottom w:val="single" w:sz="4" w:space="0" w:color="auto"/>
              <w:right w:val="single" w:sz="4" w:space="0" w:color="auto"/>
            </w:tcBorders>
            <w:vAlign w:val="center"/>
            <w:hideMark/>
          </w:tcPr>
          <w:p w14:paraId="71CDDB73"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Bomba Centrifuga 1SH-STW, 5 HP agua potable, con medidor de presión Danfoss, incluye los tableros eléctricos</w:t>
            </w:r>
          </w:p>
        </w:tc>
        <w:tc>
          <w:tcPr>
            <w:tcW w:w="708" w:type="dxa"/>
            <w:tcBorders>
              <w:top w:val="nil"/>
              <w:left w:val="nil"/>
              <w:bottom w:val="single" w:sz="4" w:space="0" w:color="auto"/>
              <w:right w:val="single" w:sz="4" w:space="0" w:color="auto"/>
            </w:tcBorders>
            <w:vAlign w:val="center"/>
            <w:hideMark/>
          </w:tcPr>
          <w:p w14:paraId="2C1A72B0"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0DAE9A1E" w14:textId="7A9F0488"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$1.460.000,00</w:t>
            </w:r>
          </w:p>
        </w:tc>
        <w:tc>
          <w:tcPr>
            <w:tcW w:w="1134" w:type="dxa"/>
            <w:tcBorders>
              <w:top w:val="nil"/>
              <w:left w:val="nil"/>
              <w:bottom w:val="single" w:sz="4" w:space="0" w:color="auto"/>
              <w:right w:val="single" w:sz="4" w:space="0" w:color="auto"/>
            </w:tcBorders>
            <w:shd w:val="clear" w:color="000000" w:fill="CAEDFB"/>
            <w:vAlign w:val="center"/>
            <w:hideMark/>
          </w:tcPr>
          <w:p w14:paraId="7E5B1725" w14:textId="5EF208AE"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$1.391.110</w:t>
            </w:r>
          </w:p>
        </w:tc>
        <w:tc>
          <w:tcPr>
            <w:tcW w:w="1134" w:type="dxa"/>
            <w:tcBorders>
              <w:top w:val="nil"/>
              <w:left w:val="nil"/>
              <w:bottom w:val="single" w:sz="4" w:space="0" w:color="auto"/>
              <w:right w:val="single" w:sz="4" w:space="0" w:color="auto"/>
            </w:tcBorders>
            <w:shd w:val="clear" w:color="000000" w:fill="CAEDFB"/>
            <w:vAlign w:val="center"/>
            <w:hideMark/>
          </w:tcPr>
          <w:p w14:paraId="0793EF60" w14:textId="73DFBE41"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$1.969.787</w:t>
            </w:r>
          </w:p>
        </w:tc>
        <w:tc>
          <w:tcPr>
            <w:tcW w:w="1506" w:type="dxa"/>
            <w:tcBorders>
              <w:top w:val="nil"/>
              <w:left w:val="nil"/>
              <w:bottom w:val="single" w:sz="4" w:space="0" w:color="auto"/>
              <w:right w:val="single" w:sz="4" w:space="0" w:color="auto"/>
            </w:tcBorders>
            <w:noWrap/>
            <w:vAlign w:val="center"/>
            <w:hideMark/>
          </w:tcPr>
          <w:p w14:paraId="5152FA95" w14:textId="112C7EC2"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$1.606.966,00</w:t>
            </w:r>
          </w:p>
        </w:tc>
      </w:tr>
      <w:tr w:rsidR="00B773BF" w:rsidRPr="00B773BF" w14:paraId="51C71316" w14:textId="77777777" w:rsidTr="00115A8C">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559E5964"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2.2</w:t>
            </w:r>
          </w:p>
        </w:tc>
        <w:tc>
          <w:tcPr>
            <w:tcW w:w="3828" w:type="dxa"/>
            <w:tcBorders>
              <w:top w:val="nil"/>
              <w:left w:val="nil"/>
              <w:bottom w:val="single" w:sz="4" w:space="0" w:color="auto"/>
              <w:right w:val="single" w:sz="4" w:space="0" w:color="auto"/>
            </w:tcBorders>
            <w:vAlign w:val="center"/>
            <w:hideMark/>
          </w:tcPr>
          <w:p w14:paraId="36D82912"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 xml:space="preserve">Tanque </w:t>
            </w:r>
            <w:proofErr w:type="spellStart"/>
            <w:r w:rsidRPr="00B773BF">
              <w:rPr>
                <w:rFonts w:ascii="Arial" w:hAnsi="Arial" w:cs="Arial"/>
                <w:color w:val="000000"/>
                <w:sz w:val="12"/>
                <w:szCs w:val="12"/>
              </w:rPr>
              <w:t>hidroflo</w:t>
            </w:r>
            <w:proofErr w:type="spellEnd"/>
            <w:r w:rsidRPr="00B773BF">
              <w:rPr>
                <w:rFonts w:ascii="Arial" w:hAnsi="Arial" w:cs="Arial"/>
                <w:color w:val="000000"/>
                <w:sz w:val="12"/>
                <w:szCs w:val="12"/>
              </w:rPr>
              <w:t xml:space="preserve"> modelo La500 presión de trabajo 150 psi, capacidad de 500 L incluye cambio de membrana de ser necesario</w:t>
            </w:r>
          </w:p>
        </w:tc>
        <w:tc>
          <w:tcPr>
            <w:tcW w:w="708" w:type="dxa"/>
            <w:tcBorders>
              <w:top w:val="nil"/>
              <w:left w:val="nil"/>
              <w:bottom w:val="single" w:sz="4" w:space="0" w:color="auto"/>
              <w:right w:val="single" w:sz="4" w:space="0" w:color="auto"/>
            </w:tcBorders>
            <w:vAlign w:val="center"/>
            <w:hideMark/>
          </w:tcPr>
          <w:p w14:paraId="79CE9BB2"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0637E5C4" w14:textId="0121F5DD"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$724.000,00</w:t>
            </w:r>
          </w:p>
        </w:tc>
        <w:tc>
          <w:tcPr>
            <w:tcW w:w="1134" w:type="dxa"/>
            <w:tcBorders>
              <w:top w:val="nil"/>
              <w:left w:val="nil"/>
              <w:bottom w:val="single" w:sz="4" w:space="0" w:color="auto"/>
              <w:right w:val="single" w:sz="4" w:space="0" w:color="auto"/>
            </w:tcBorders>
            <w:shd w:val="clear" w:color="000000" w:fill="CAEDFB"/>
            <w:vAlign w:val="center"/>
            <w:hideMark/>
          </w:tcPr>
          <w:p w14:paraId="29764B79" w14:textId="0056B1A3"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$689.010</w:t>
            </w:r>
          </w:p>
        </w:tc>
        <w:tc>
          <w:tcPr>
            <w:tcW w:w="1134" w:type="dxa"/>
            <w:tcBorders>
              <w:top w:val="nil"/>
              <w:left w:val="nil"/>
              <w:bottom w:val="single" w:sz="4" w:space="0" w:color="auto"/>
              <w:right w:val="single" w:sz="4" w:space="0" w:color="auto"/>
            </w:tcBorders>
            <w:shd w:val="clear" w:color="000000" w:fill="CAEDFB"/>
            <w:vAlign w:val="center"/>
            <w:hideMark/>
          </w:tcPr>
          <w:p w14:paraId="3A3A2E6F" w14:textId="5F1A21F6"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$2.156.524</w:t>
            </w:r>
          </w:p>
        </w:tc>
        <w:tc>
          <w:tcPr>
            <w:tcW w:w="1506" w:type="dxa"/>
            <w:tcBorders>
              <w:top w:val="nil"/>
              <w:left w:val="nil"/>
              <w:bottom w:val="single" w:sz="4" w:space="0" w:color="auto"/>
              <w:right w:val="single" w:sz="4" w:space="0" w:color="auto"/>
            </w:tcBorders>
            <w:noWrap/>
            <w:vAlign w:val="center"/>
            <w:hideMark/>
          </w:tcPr>
          <w:p w14:paraId="65142B1E" w14:textId="1C456F09"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$1.189.845,00</w:t>
            </w:r>
          </w:p>
        </w:tc>
      </w:tr>
      <w:tr w:rsidR="00B773BF" w:rsidRPr="00B773BF" w14:paraId="6AEB5DB0"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5D341020"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2.3</w:t>
            </w:r>
          </w:p>
        </w:tc>
        <w:tc>
          <w:tcPr>
            <w:tcW w:w="3828" w:type="dxa"/>
            <w:tcBorders>
              <w:top w:val="nil"/>
              <w:left w:val="nil"/>
              <w:bottom w:val="single" w:sz="4" w:space="0" w:color="auto"/>
              <w:right w:val="single" w:sz="4" w:space="0" w:color="auto"/>
            </w:tcBorders>
            <w:vAlign w:val="center"/>
            <w:hideMark/>
          </w:tcPr>
          <w:p w14:paraId="315B935D"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Bombas red contraincendios 40 HP, incluye los tableros eléctricos</w:t>
            </w:r>
          </w:p>
        </w:tc>
        <w:tc>
          <w:tcPr>
            <w:tcW w:w="708" w:type="dxa"/>
            <w:tcBorders>
              <w:top w:val="nil"/>
              <w:left w:val="nil"/>
              <w:bottom w:val="single" w:sz="4" w:space="0" w:color="auto"/>
              <w:right w:val="single" w:sz="4" w:space="0" w:color="auto"/>
            </w:tcBorders>
            <w:vAlign w:val="center"/>
            <w:hideMark/>
          </w:tcPr>
          <w:p w14:paraId="72E4ACAE"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49C17FD4" w14:textId="6EA8961C"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$6.497.000,00</w:t>
            </w:r>
          </w:p>
        </w:tc>
        <w:tc>
          <w:tcPr>
            <w:tcW w:w="1134" w:type="dxa"/>
            <w:tcBorders>
              <w:top w:val="nil"/>
              <w:left w:val="nil"/>
              <w:bottom w:val="single" w:sz="4" w:space="0" w:color="auto"/>
              <w:right w:val="single" w:sz="4" w:space="0" w:color="auto"/>
            </w:tcBorders>
            <w:shd w:val="clear" w:color="000000" w:fill="CAEDFB"/>
            <w:vAlign w:val="center"/>
            <w:hideMark/>
          </w:tcPr>
          <w:p w14:paraId="1F51C228" w14:textId="43C32125"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$6.188.000</w:t>
            </w:r>
          </w:p>
        </w:tc>
        <w:tc>
          <w:tcPr>
            <w:tcW w:w="1134" w:type="dxa"/>
            <w:tcBorders>
              <w:top w:val="nil"/>
              <w:left w:val="nil"/>
              <w:bottom w:val="single" w:sz="4" w:space="0" w:color="auto"/>
              <w:right w:val="single" w:sz="4" w:space="0" w:color="auto"/>
            </w:tcBorders>
            <w:shd w:val="clear" w:color="000000" w:fill="CAEDFB"/>
            <w:vAlign w:val="center"/>
            <w:hideMark/>
          </w:tcPr>
          <w:p w14:paraId="1E923FB7" w14:textId="790E5449"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$2.076.563</w:t>
            </w:r>
          </w:p>
        </w:tc>
        <w:tc>
          <w:tcPr>
            <w:tcW w:w="1506" w:type="dxa"/>
            <w:tcBorders>
              <w:top w:val="nil"/>
              <w:left w:val="nil"/>
              <w:bottom w:val="single" w:sz="4" w:space="0" w:color="auto"/>
              <w:right w:val="single" w:sz="4" w:space="0" w:color="auto"/>
            </w:tcBorders>
            <w:noWrap/>
            <w:vAlign w:val="center"/>
            <w:hideMark/>
          </w:tcPr>
          <w:p w14:paraId="6BA31862" w14:textId="50F47A1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$4.920.521,00</w:t>
            </w:r>
          </w:p>
        </w:tc>
      </w:tr>
      <w:tr w:rsidR="00B773BF" w:rsidRPr="00B773BF" w14:paraId="277996E6"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62760CF7"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2.4</w:t>
            </w:r>
          </w:p>
        </w:tc>
        <w:tc>
          <w:tcPr>
            <w:tcW w:w="3828" w:type="dxa"/>
            <w:tcBorders>
              <w:top w:val="nil"/>
              <w:left w:val="nil"/>
              <w:bottom w:val="single" w:sz="4" w:space="0" w:color="auto"/>
              <w:right w:val="single" w:sz="4" w:space="0" w:color="auto"/>
            </w:tcBorders>
            <w:vAlign w:val="center"/>
            <w:hideMark/>
          </w:tcPr>
          <w:p w14:paraId="65DC4C73"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Bomba jockey de 5 HP, incluye los tableros eléctricos</w:t>
            </w:r>
          </w:p>
        </w:tc>
        <w:tc>
          <w:tcPr>
            <w:tcW w:w="708" w:type="dxa"/>
            <w:tcBorders>
              <w:top w:val="nil"/>
              <w:left w:val="nil"/>
              <w:bottom w:val="single" w:sz="4" w:space="0" w:color="auto"/>
              <w:right w:val="single" w:sz="4" w:space="0" w:color="auto"/>
            </w:tcBorders>
            <w:vAlign w:val="center"/>
            <w:hideMark/>
          </w:tcPr>
          <w:p w14:paraId="417CC6F4"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6AE95E8C" w14:textId="5CA88FEE"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$1.460.000,00</w:t>
            </w:r>
          </w:p>
        </w:tc>
        <w:tc>
          <w:tcPr>
            <w:tcW w:w="1134" w:type="dxa"/>
            <w:tcBorders>
              <w:top w:val="nil"/>
              <w:left w:val="nil"/>
              <w:bottom w:val="single" w:sz="4" w:space="0" w:color="auto"/>
              <w:right w:val="single" w:sz="4" w:space="0" w:color="auto"/>
            </w:tcBorders>
            <w:shd w:val="clear" w:color="000000" w:fill="CAEDFB"/>
            <w:vAlign w:val="center"/>
            <w:hideMark/>
          </w:tcPr>
          <w:p w14:paraId="15DD0DE2" w14:textId="151D5F16"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$1.391.110</w:t>
            </w:r>
          </w:p>
        </w:tc>
        <w:tc>
          <w:tcPr>
            <w:tcW w:w="1134" w:type="dxa"/>
            <w:tcBorders>
              <w:top w:val="nil"/>
              <w:left w:val="nil"/>
              <w:bottom w:val="single" w:sz="4" w:space="0" w:color="auto"/>
              <w:right w:val="single" w:sz="4" w:space="0" w:color="auto"/>
            </w:tcBorders>
            <w:shd w:val="clear" w:color="000000" w:fill="CAEDFB"/>
            <w:vAlign w:val="center"/>
            <w:hideMark/>
          </w:tcPr>
          <w:p w14:paraId="5C6A55AA" w14:textId="416A3453"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$800.007</w:t>
            </w:r>
          </w:p>
        </w:tc>
        <w:tc>
          <w:tcPr>
            <w:tcW w:w="1506" w:type="dxa"/>
            <w:tcBorders>
              <w:top w:val="nil"/>
              <w:left w:val="nil"/>
              <w:bottom w:val="single" w:sz="4" w:space="0" w:color="auto"/>
              <w:right w:val="single" w:sz="4" w:space="0" w:color="auto"/>
            </w:tcBorders>
            <w:noWrap/>
            <w:vAlign w:val="center"/>
            <w:hideMark/>
          </w:tcPr>
          <w:p w14:paraId="76654E4B" w14:textId="756FF129"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$1.217.039,00</w:t>
            </w:r>
          </w:p>
        </w:tc>
      </w:tr>
      <w:tr w:rsidR="00B773BF" w:rsidRPr="00B773BF" w14:paraId="35171F5E"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7E9EAE92"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2.6</w:t>
            </w:r>
          </w:p>
        </w:tc>
        <w:tc>
          <w:tcPr>
            <w:tcW w:w="3828" w:type="dxa"/>
            <w:tcBorders>
              <w:top w:val="nil"/>
              <w:left w:val="nil"/>
              <w:bottom w:val="single" w:sz="4" w:space="0" w:color="auto"/>
              <w:right w:val="single" w:sz="4" w:space="0" w:color="auto"/>
            </w:tcBorders>
            <w:vAlign w:val="center"/>
            <w:hideMark/>
          </w:tcPr>
          <w:p w14:paraId="289C2002"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Bomba eyectora de 0,15 Hp con arrancadores y tablero de control</w:t>
            </w:r>
          </w:p>
        </w:tc>
        <w:tc>
          <w:tcPr>
            <w:tcW w:w="708" w:type="dxa"/>
            <w:tcBorders>
              <w:top w:val="nil"/>
              <w:left w:val="nil"/>
              <w:bottom w:val="single" w:sz="4" w:space="0" w:color="auto"/>
              <w:right w:val="single" w:sz="4" w:space="0" w:color="auto"/>
            </w:tcBorders>
            <w:vAlign w:val="center"/>
            <w:hideMark/>
          </w:tcPr>
          <w:p w14:paraId="68FBF7C2"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255CC789" w14:textId="34FD4DB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$903.000,00</w:t>
            </w:r>
          </w:p>
        </w:tc>
        <w:tc>
          <w:tcPr>
            <w:tcW w:w="1134" w:type="dxa"/>
            <w:tcBorders>
              <w:top w:val="nil"/>
              <w:left w:val="nil"/>
              <w:bottom w:val="single" w:sz="4" w:space="0" w:color="auto"/>
              <w:right w:val="single" w:sz="4" w:space="0" w:color="auto"/>
            </w:tcBorders>
            <w:shd w:val="clear" w:color="000000" w:fill="CAEDFB"/>
            <w:vAlign w:val="center"/>
            <w:hideMark/>
          </w:tcPr>
          <w:p w14:paraId="735FA87C" w14:textId="1D1CCD2A"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$860.370</w:t>
            </w:r>
          </w:p>
        </w:tc>
        <w:tc>
          <w:tcPr>
            <w:tcW w:w="1134" w:type="dxa"/>
            <w:tcBorders>
              <w:top w:val="nil"/>
              <w:left w:val="nil"/>
              <w:bottom w:val="single" w:sz="4" w:space="0" w:color="auto"/>
              <w:right w:val="single" w:sz="4" w:space="0" w:color="auto"/>
            </w:tcBorders>
            <w:shd w:val="clear" w:color="000000" w:fill="CAEDFB"/>
            <w:vAlign w:val="center"/>
            <w:hideMark/>
          </w:tcPr>
          <w:p w14:paraId="37CF9575" w14:textId="6C90CC28"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$389.953</w:t>
            </w:r>
          </w:p>
        </w:tc>
        <w:tc>
          <w:tcPr>
            <w:tcW w:w="1506" w:type="dxa"/>
            <w:tcBorders>
              <w:top w:val="nil"/>
              <w:left w:val="nil"/>
              <w:bottom w:val="single" w:sz="4" w:space="0" w:color="auto"/>
              <w:right w:val="single" w:sz="4" w:space="0" w:color="auto"/>
            </w:tcBorders>
            <w:noWrap/>
            <w:vAlign w:val="center"/>
            <w:hideMark/>
          </w:tcPr>
          <w:p w14:paraId="31A57F73" w14:textId="49C6EDCC"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$717.774,00</w:t>
            </w:r>
          </w:p>
        </w:tc>
      </w:tr>
      <w:tr w:rsidR="00B773BF" w:rsidRPr="00B773BF" w14:paraId="43049D9C"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531B22A7"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2.5</w:t>
            </w:r>
          </w:p>
        </w:tc>
        <w:tc>
          <w:tcPr>
            <w:tcW w:w="3828" w:type="dxa"/>
            <w:tcBorders>
              <w:top w:val="nil"/>
              <w:left w:val="nil"/>
              <w:bottom w:val="single" w:sz="4" w:space="0" w:color="auto"/>
              <w:right w:val="single" w:sz="4" w:space="0" w:color="auto"/>
            </w:tcBorders>
            <w:vAlign w:val="center"/>
            <w:hideMark/>
          </w:tcPr>
          <w:p w14:paraId="530D41C6" w14:textId="2473B9FA"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 xml:space="preserve">Lavado y desinfección Tanque de agua </w:t>
            </w:r>
            <w:r w:rsidR="00115A8C" w:rsidRPr="00B773BF">
              <w:rPr>
                <w:rFonts w:ascii="Arial" w:hAnsi="Arial" w:cs="Arial"/>
                <w:color w:val="000000"/>
                <w:sz w:val="12"/>
                <w:szCs w:val="12"/>
              </w:rPr>
              <w:t>potable volumen</w:t>
            </w:r>
            <w:r w:rsidRPr="00B773BF">
              <w:rPr>
                <w:rFonts w:ascii="Arial" w:hAnsi="Arial" w:cs="Arial"/>
                <w:color w:val="000000"/>
                <w:sz w:val="12"/>
                <w:szCs w:val="12"/>
              </w:rPr>
              <w:t xml:space="preserve"> 57,80 m3</w:t>
            </w:r>
          </w:p>
        </w:tc>
        <w:tc>
          <w:tcPr>
            <w:tcW w:w="708" w:type="dxa"/>
            <w:tcBorders>
              <w:top w:val="nil"/>
              <w:left w:val="nil"/>
              <w:bottom w:val="single" w:sz="4" w:space="0" w:color="auto"/>
              <w:right w:val="single" w:sz="4" w:space="0" w:color="auto"/>
            </w:tcBorders>
            <w:vAlign w:val="center"/>
            <w:hideMark/>
          </w:tcPr>
          <w:p w14:paraId="49159657"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5C3553CE" w14:textId="192A848E"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$2.249.000,00</w:t>
            </w:r>
          </w:p>
        </w:tc>
        <w:tc>
          <w:tcPr>
            <w:tcW w:w="1134" w:type="dxa"/>
            <w:tcBorders>
              <w:top w:val="nil"/>
              <w:left w:val="nil"/>
              <w:bottom w:val="single" w:sz="4" w:space="0" w:color="auto"/>
              <w:right w:val="single" w:sz="4" w:space="0" w:color="auto"/>
            </w:tcBorders>
            <w:shd w:val="clear" w:color="000000" w:fill="CAEDFB"/>
            <w:vAlign w:val="center"/>
            <w:hideMark/>
          </w:tcPr>
          <w:p w14:paraId="04DCFBA1" w14:textId="62E216AD"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$2.142.000</w:t>
            </w:r>
          </w:p>
        </w:tc>
        <w:tc>
          <w:tcPr>
            <w:tcW w:w="1134" w:type="dxa"/>
            <w:tcBorders>
              <w:top w:val="nil"/>
              <w:left w:val="nil"/>
              <w:bottom w:val="single" w:sz="4" w:space="0" w:color="auto"/>
              <w:right w:val="single" w:sz="4" w:space="0" w:color="auto"/>
            </w:tcBorders>
            <w:shd w:val="clear" w:color="000000" w:fill="CAEDFB"/>
            <w:vAlign w:val="center"/>
            <w:hideMark/>
          </w:tcPr>
          <w:p w14:paraId="2CADF148" w14:textId="262F8126"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w:t>
            </w:r>
          </w:p>
        </w:tc>
        <w:tc>
          <w:tcPr>
            <w:tcW w:w="1506" w:type="dxa"/>
            <w:tcBorders>
              <w:top w:val="nil"/>
              <w:left w:val="nil"/>
              <w:bottom w:val="single" w:sz="4" w:space="0" w:color="auto"/>
              <w:right w:val="single" w:sz="4" w:space="0" w:color="auto"/>
            </w:tcBorders>
            <w:noWrap/>
            <w:vAlign w:val="center"/>
            <w:hideMark/>
          </w:tcPr>
          <w:p w14:paraId="280E2DED" w14:textId="7754DD32"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$2.195.500,00</w:t>
            </w:r>
          </w:p>
        </w:tc>
      </w:tr>
      <w:tr w:rsidR="00B773BF" w:rsidRPr="00B773BF" w14:paraId="54C21E32" w14:textId="77777777" w:rsidTr="00B773BF">
        <w:trPr>
          <w:trHeight w:val="255"/>
          <w:jc w:val="center"/>
        </w:trPr>
        <w:tc>
          <w:tcPr>
            <w:tcW w:w="562" w:type="dxa"/>
            <w:tcBorders>
              <w:top w:val="nil"/>
              <w:left w:val="single" w:sz="4" w:space="0" w:color="auto"/>
              <w:bottom w:val="single" w:sz="4" w:space="0" w:color="auto"/>
              <w:right w:val="single" w:sz="4" w:space="0" w:color="auto"/>
            </w:tcBorders>
            <w:shd w:val="clear" w:color="000000" w:fill="BFBFBF"/>
            <w:vAlign w:val="center"/>
            <w:hideMark/>
          </w:tcPr>
          <w:p w14:paraId="231F5293" w14:textId="77777777"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3</w:t>
            </w:r>
          </w:p>
        </w:tc>
        <w:tc>
          <w:tcPr>
            <w:tcW w:w="3828" w:type="dxa"/>
            <w:tcBorders>
              <w:top w:val="nil"/>
              <w:left w:val="nil"/>
              <w:bottom w:val="single" w:sz="4" w:space="0" w:color="auto"/>
              <w:right w:val="single" w:sz="4" w:space="0" w:color="auto"/>
            </w:tcBorders>
            <w:shd w:val="clear" w:color="000000" w:fill="BFBFBF"/>
            <w:noWrap/>
            <w:vAlign w:val="center"/>
            <w:hideMark/>
          </w:tcPr>
          <w:p w14:paraId="03AF9045" w14:textId="77777777" w:rsidR="00B773BF" w:rsidRPr="00B773BF" w:rsidRDefault="00B773BF">
            <w:pPr>
              <w:rPr>
                <w:rFonts w:ascii="Arial" w:hAnsi="Arial" w:cs="Arial"/>
                <w:b/>
                <w:bCs/>
                <w:color w:val="000000"/>
                <w:sz w:val="12"/>
                <w:szCs w:val="12"/>
              </w:rPr>
            </w:pPr>
            <w:r w:rsidRPr="00B773BF">
              <w:rPr>
                <w:rFonts w:ascii="Arial" w:hAnsi="Arial" w:cs="Arial"/>
                <w:b/>
                <w:bCs/>
                <w:color w:val="000000"/>
                <w:sz w:val="12"/>
                <w:szCs w:val="12"/>
              </w:rPr>
              <w:t>Palacio de Justicia de Facatativá</w:t>
            </w:r>
          </w:p>
        </w:tc>
        <w:tc>
          <w:tcPr>
            <w:tcW w:w="708" w:type="dxa"/>
            <w:tcBorders>
              <w:top w:val="nil"/>
              <w:left w:val="nil"/>
              <w:bottom w:val="single" w:sz="4" w:space="0" w:color="auto"/>
              <w:right w:val="single" w:sz="4" w:space="0" w:color="auto"/>
            </w:tcBorders>
            <w:shd w:val="clear" w:color="000000" w:fill="BFBFBF"/>
            <w:noWrap/>
            <w:vAlign w:val="center"/>
            <w:hideMark/>
          </w:tcPr>
          <w:p w14:paraId="526BDDEA" w14:textId="77777777" w:rsidR="00B773BF" w:rsidRPr="00B773BF" w:rsidRDefault="00B773BF">
            <w:pPr>
              <w:rPr>
                <w:rFonts w:ascii="Arial" w:hAnsi="Arial" w:cs="Arial"/>
                <w:b/>
                <w:bCs/>
                <w:color w:val="000000"/>
                <w:sz w:val="12"/>
                <w:szCs w:val="12"/>
              </w:rPr>
            </w:pPr>
            <w:r w:rsidRPr="00B773BF">
              <w:rPr>
                <w:rFonts w:ascii="Arial" w:hAnsi="Arial" w:cs="Arial"/>
                <w:b/>
                <w:bCs/>
                <w:color w:val="000000"/>
                <w:sz w:val="12"/>
                <w:szCs w:val="12"/>
              </w:rPr>
              <w:t> </w:t>
            </w:r>
          </w:p>
        </w:tc>
        <w:tc>
          <w:tcPr>
            <w:tcW w:w="1560" w:type="dxa"/>
            <w:tcBorders>
              <w:top w:val="nil"/>
              <w:left w:val="nil"/>
              <w:bottom w:val="single" w:sz="4" w:space="0" w:color="auto"/>
              <w:right w:val="single" w:sz="4" w:space="0" w:color="auto"/>
            </w:tcBorders>
            <w:shd w:val="clear" w:color="000000" w:fill="BFBFBF"/>
            <w:noWrap/>
            <w:vAlign w:val="center"/>
            <w:hideMark/>
          </w:tcPr>
          <w:p w14:paraId="0F2D3AD2" w14:textId="010C7AD3"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$14.738.000,00</w:t>
            </w:r>
          </w:p>
        </w:tc>
        <w:tc>
          <w:tcPr>
            <w:tcW w:w="1134" w:type="dxa"/>
            <w:tcBorders>
              <w:top w:val="nil"/>
              <w:left w:val="nil"/>
              <w:bottom w:val="single" w:sz="4" w:space="0" w:color="auto"/>
              <w:right w:val="single" w:sz="4" w:space="0" w:color="auto"/>
            </w:tcBorders>
            <w:shd w:val="clear" w:color="000000" w:fill="BFBFBF"/>
            <w:noWrap/>
            <w:vAlign w:val="center"/>
            <w:hideMark/>
          </w:tcPr>
          <w:p w14:paraId="55363CF1" w14:textId="4BD9E0E4"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$14.036.050,00</w:t>
            </w:r>
          </w:p>
        </w:tc>
        <w:tc>
          <w:tcPr>
            <w:tcW w:w="1134" w:type="dxa"/>
            <w:tcBorders>
              <w:top w:val="nil"/>
              <w:left w:val="nil"/>
              <w:bottom w:val="single" w:sz="4" w:space="0" w:color="auto"/>
              <w:right w:val="single" w:sz="4" w:space="0" w:color="auto"/>
            </w:tcBorders>
            <w:shd w:val="clear" w:color="000000" w:fill="BFBFBF"/>
            <w:noWrap/>
            <w:vAlign w:val="center"/>
            <w:hideMark/>
          </w:tcPr>
          <w:p w14:paraId="1CCCBB4D" w14:textId="331DFAD7"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$3.487.585,76</w:t>
            </w:r>
          </w:p>
        </w:tc>
        <w:tc>
          <w:tcPr>
            <w:tcW w:w="1506" w:type="dxa"/>
            <w:tcBorders>
              <w:top w:val="nil"/>
              <w:left w:val="nil"/>
              <w:bottom w:val="single" w:sz="4" w:space="0" w:color="auto"/>
              <w:right w:val="single" w:sz="4" w:space="0" w:color="auto"/>
            </w:tcBorders>
            <w:shd w:val="clear" w:color="000000" w:fill="BFBFBF"/>
            <w:noWrap/>
            <w:vAlign w:val="center"/>
            <w:hideMark/>
          </w:tcPr>
          <w:p w14:paraId="753A32F7" w14:textId="1085EAA1"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$11.912.795,00</w:t>
            </w:r>
          </w:p>
        </w:tc>
      </w:tr>
      <w:tr w:rsidR="00B773BF" w:rsidRPr="00B773BF" w14:paraId="179756DC"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360D56BB"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3.1</w:t>
            </w:r>
          </w:p>
        </w:tc>
        <w:tc>
          <w:tcPr>
            <w:tcW w:w="3828" w:type="dxa"/>
            <w:tcBorders>
              <w:top w:val="nil"/>
              <w:left w:val="nil"/>
              <w:bottom w:val="single" w:sz="4" w:space="0" w:color="auto"/>
              <w:right w:val="single" w:sz="4" w:space="0" w:color="auto"/>
            </w:tcBorders>
            <w:vAlign w:val="center"/>
            <w:hideMark/>
          </w:tcPr>
          <w:p w14:paraId="38C5135C"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Bombas de agua potable suministro de 3 HP, rpm, 220 voltios</w:t>
            </w:r>
          </w:p>
        </w:tc>
        <w:tc>
          <w:tcPr>
            <w:tcW w:w="708" w:type="dxa"/>
            <w:tcBorders>
              <w:top w:val="nil"/>
              <w:left w:val="nil"/>
              <w:bottom w:val="single" w:sz="4" w:space="0" w:color="auto"/>
              <w:right w:val="single" w:sz="4" w:space="0" w:color="auto"/>
            </w:tcBorders>
            <w:vAlign w:val="center"/>
            <w:hideMark/>
          </w:tcPr>
          <w:p w14:paraId="24129C89"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790BF46E" w14:textId="2B1AD7AF"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$1.346.000,00</w:t>
            </w:r>
          </w:p>
        </w:tc>
        <w:tc>
          <w:tcPr>
            <w:tcW w:w="1134" w:type="dxa"/>
            <w:tcBorders>
              <w:top w:val="nil"/>
              <w:left w:val="nil"/>
              <w:bottom w:val="single" w:sz="4" w:space="0" w:color="auto"/>
              <w:right w:val="single" w:sz="4" w:space="0" w:color="auto"/>
            </w:tcBorders>
            <w:shd w:val="clear" w:color="000000" w:fill="CAEDFB"/>
            <w:vAlign w:val="center"/>
            <w:hideMark/>
          </w:tcPr>
          <w:p w14:paraId="5AAD16CC" w14:textId="2B64FB85"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$1.281.630</w:t>
            </w:r>
          </w:p>
        </w:tc>
        <w:tc>
          <w:tcPr>
            <w:tcW w:w="1134" w:type="dxa"/>
            <w:tcBorders>
              <w:top w:val="nil"/>
              <w:left w:val="nil"/>
              <w:bottom w:val="single" w:sz="4" w:space="0" w:color="auto"/>
              <w:right w:val="single" w:sz="4" w:space="0" w:color="auto"/>
            </w:tcBorders>
            <w:shd w:val="clear" w:color="000000" w:fill="CAEDFB"/>
            <w:vAlign w:val="center"/>
            <w:hideMark/>
          </w:tcPr>
          <w:p w14:paraId="3D506D3F" w14:textId="5BB53FEE"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$262.352</w:t>
            </w:r>
          </w:p>
        </w:tc>
        <w:tc>
          <w:tcPr>
            <w:tcW w:w="1506" w:type="dxa"/>
            <w:tcBorders>
              <w:top w:val="nil"/>
              <w:left w:val="nil"/>
              <w:bottom w:val="single" w:sz="4" w:space="0" w:color="auto"/>
              <w:right w:val="single" w:sz="4" w:space="0" w:color="auto"/>
            </w:tcBorders>
            <w:noWrap/>
            <w:vAlign w:val="center"/>
            <w:hideMark/>
          </w:tcPr>
          <w:p w14:paraId="517BDB42" w14:textId="7C585D22"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$963.327,00</w:t>
            </w:r>
          </w:p>
        </w:tc>
      </w:tr>
      <w:tr w:rsidR="00B773BF" w:rsidRPr="00B773BF" w14:paraId="2EA96053" w14:textId="77777777" w:rsidTr="00115A8C">
        <w:trPr>
          <w:trHeight w:val="225"/>
          <w:jc w:val="center"/>
        </w:trPr>
        <w:tc>
          <w:tcPr>
            <w:tcW w:w="562" w:type="dxa"/>
            <w:tcBorders>
              <w:top w:val="nil"/>
              <w:left w:val="single" w:sz="4" w:space="0" w:color="auto"/>
              <w:bottom w:val="single" w:sz="4" w:space="0" w:color="auto"/>
              <w:right w:val="single" w:sz="4" w:space="0" w:color="auto"/>
            </w:tcBorders>
            <w:vAlign w:val="center"/>
            <w:hideMark/>
          </w:tcPr>
          <w:p w14:paraId="23EBEE45"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3.2</w:t>
            </w:r>
          </w:p>
        </w:tc>
        <w:tc>
          <w:tcPr>
            <w:tcW w:w="3828" w:type="dxa"/>
            <w:tcBorders>
              <w:top w:val="nil"/>
              <w:left w:val="nil"/>
              <w:bottom w:val="single" w:sz="4" w:space="0" w:color="auto"/>
              <w:right w:val="single" w:sz="4" w:space="0" w:color="auto"/>
            </w:tcBorders>
            <w:vAlign w:val="center"/>
            <w:hideMark/>
          </w:tcPr>
          <w:p w14:paraId="2D209752" w14:textId="3E72C3D8"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Monobloque (</w:t>
            </w:r>
            <w:proofErr w:type="spellStart"/>
            <w:r w:rsidR="00115A8C" w:rsidRPr="00B773BF">
              <w:rPr>
                <w:rFonts w:ascii="Arial" w:hAnsi="Arial" w:cs="Arial"/>
                <w:color w:val="000000"/>
                <w:sz w:val="12"/>
                <w:szCs w:val="12"/>
              </w:rPr>
              <w:t>hidroacumulador</w:t>
            </w:r>
            <w:proofErr w:type="spellEnd"/>
            <w:r w:rsidR="00115A8C" w:rsidRPr="00B773BF">
              <w:rPr>
                <w:rFonts w:ascii="Arial" w:hAnsi="Arial" w:cs="Arial"/>
                <w:color w:val="000000"/>
                <w:sz w:val="12"/>
                <w:szCs w:val="12"/>
              </w:rPr>
              <w:t>) Modelo</w:t>
            </w:r>
            <w:r w:rsidRPr="00B773BF">
              <w:rPr>
                <w:rFonts w:ascii="Arial" w:hAnsi="Arial" w:cs="Arial"/>
                <w:color w:val="000000"/>
                <w:sz w:val="12"/>
                <w:szCs w:val="12"/>
              </w:rPr>
              <w:t xml:space="preserve"> VSE 5 16 50 Ref. 1G0179, Potencia 5,00 HP 3 Fases, 3600 </w:t>
            </w:r>
            <w:r w:rsidR="00115A8C" w:rsidRPr="00B773BF">
              <w:rPr>
                <w:rFonts w:ascii="Arial" w:hAnsi="Arial" w:cs="Arial"/>
                <w:color w:val="000000"/>
                <w:sz w:val="12"/>
                <w:szCs w:val="12"/>
              </w:rPr>
              <w:t>RPM Marca</w:t>
            </w:r>
            <w:r w:rsidRPr="00B773BF">
              <w:rPr>
                <w:rFonts w:ascii="Arial" w:hAnsi="Arial" w:cs="Arial"/>
                <w:color w:val="000000"/>
                <w:sz w:val="12"/>
                <w:szCs w:val="12"/>
              </w:rPr>
              <w:t xml:space="preserve"> BARNES</w:t>
            </w:r>
          </w:p>
        </w:tc>
        <w:tc>
          <w:tcPr>
            <w:tcW w:w="708" w:type="dxa"/>
            <w:tcBorders>
              <w:top w:val="nil"/>
              <w:left w:val="nil"/>
              <w:bottom w:val="single" w:sz="4" w:space="0" w:color="auto"/>
              <w:right w:val="single" w:sz="4" w:space="0" w:color="auto"/>
            </w:tcBorders>
            <w:vAlign w:val="center"/>
            <w:hideMark/>
          </w:tcPr>
          <w:p w14:paraId="5592D7C5"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7D6C93F4" w14:textId="7A442E48"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$1.874.000,00</w:t>
            </w:r>
          </w:p>
        </w:tc>
        <w:tc>
          <w:tcPr>
            <w:tcW w:w="1134" w:type="dxa"/>
            <w:tcBorders>
              <w:top w:val="nil"/>
              <w:left w:val="nil"/>
              <w:bottom w:val="single" w:sz="4" w:space="0" w:color="auto"/>
              <w:right w:val="single" w:sz="4" w:space="0" w:color="auto"/>
            </w:tcBorders>
            <w:shd w:val="clear" w:color="000000" w:fill="CAEDFB"/>
            <w:vAlign w:val="center"/>
            <w:hideMark/>
          </w:tcPr>
          <w:p w14:paraId="4974ED5A" w14:textId="6CAC5CDF"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$1.785.000</w:t>
            </w:r>
          </w:p>
        </w:tc>
        <w:tc>
          <w:tcPr>
            <w:tcW w:w="1134" w:type="dxa"/>
            <w:tcBorders>
              <w:top w:val="nil"/>
              <w:left w:val="nil"/>
              <w:bottom w:val="single" w:sz="4" w:space="0" w:color="auto"/>
              <w:right w:val="single" w:sz="4" w:space="0" w:color="auto"/>
            </w:tcBorders>
            <w:shd w:val="clear" w:color="000000" w:fill="CAEDFB"/>
            <w:vAlign w:val="center"/>
            <w:hideMark/>
          </w:tcPr>
          <w:p w14:paraId="25C27D53" w14:textId="707DEF5F"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$834.298</w:t>
            </w:r>
          </w:p>
        </w:tc>
        <w:tc>
          <w:tcPr>
            <w:tcW w:w="1506" w:type="dxa"/>
            <w:tcBorders>
              <w:top w:val="nil"/>
              <w:left w:val="nil"/>
              <w:bottom w:val="single" w:sz="4" w:space="0" w:color="auto"/>
              <w:right w:val="single" w:sz="4" w:space="0" w:color="auto"/>
            </w:tcBorders>
            <w:noWrap/>
            <w:vAlign w:val="center"/>
            <w:hideMark/>
          </w:tcPr>
          <w:p w14:paraId="314E94A6" w14:textId="2C73D70F"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$1.497.766,00</w:t>
            </w:r>
          </w:p>
        </w:tc>
      </w:tr>
      <w:tr w:rsidR="00B773BF" w:rsidRPr="00B773BF" w14:paraId="17078674" w14:textId="77777777" w:rsidTr="00115A8C">
        <w:trPr>
          <w:trHeight w:val="371"/>
          <w:jc w:val="center"/>
        </w:trPr>
        <w:tc>
          <w:tcPr>
            <w:tcW w:w="562" w:type="dxa"/>
            <w:tcBorders>
              <w:top w:val="nil"/>
              <w:left w:val="single" w:sz="4" w:space="0" w:color="auto"/>
              <w:bottom w:val="single" w:sz="4" w:space="0" w:color="auto"/>
              <w:right w:val="single" w:sz="4" w:space="0" w:color="auto"/>
            </w:tcBorders>
            <w:vAlign w:val="center"/>
            <w:hideMark/>
          </w:tcPr>
          <w:p w14:paraId="32E11696"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3.3</w:t>
            </w:r>
          </w:p>
        </w:tc>
        <w:tc>
          <w:tcPr>
            <w:tcW w:w="3828" w:type="dxa"/>
            <w:tcBorders>
              <w:top w:val="nil"/>
              <w:left w:val="nil"/>
              <w:bottom w:val="single" w:sz="4" w:space="0" w:color="auto"/>
              <w:right w:val="single" w:sz="4" w:space="0" w:color="auto"/>
            </w:tcBorders>
            <w:vAlign w:val="center"/>
            <w:hideMark/>
          </w:tcPr>
          <w:p w14:paraId="002C4872" w14:textId="39A16E52"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 xml:space="preserve">Bomba RCI con Motor </w:t>
            </w:r>
            <w:r w:rsidR="00115A8C" w:rsidRPr="00B773BF">
              <w:rPr>
                <w:rFonts w:ascii="Arial" w:hAnsi="Arial" w:cs="Arial"/>
                <w:color w:val="000000"/>
                <w:sz w:val="12"/>
                <w:szCs w:val="12"/>
              </w:rPr>
              <w:t>eléctrico Modelo</w:t>
            </w:r>
            <w:r w:rsidRPr="00B773BF">
              <w:rPr>
                <w:rFonts w:ascii="Arial" w:hAnsi="Arial" w:cs="Arial"/>
                <w:color w:val="000000"/>
                <w:sz w:val="12"/>
                <w:szCs w:val="12"/>
              </w:rPr>
              <w:t xml:space="preserve"> GE 2,5C-400 Ref. 1B0031, Potencia 40 HP 3 Fases, 3600 </w:t>
            </w:r>
            <w:r w:rsidR="00115A8C" w:rsidRPr="00B773BF">
              <w:rPr>
                <w:rFonts w:ascii="Arial" w:hAnsi="Arial" w:cs="Arial"/>
                <w:color w:val="000000"/>
                <w:sz w:val="12"/>
                <w:szCs w:val="12"/>
              </w:rPr>
              <w:t>RPM Marca</w:t>
            </w:r>
            <w:r w:rsidRPr="00B773BF">
              <w:rPr>
                <w:rFonts w:ascii="Arial" w:hAnsi="Arial" w:cs="Arial"/>
                <w:color w:val="000000"/>
                <w:sz w:val="12"/>
                <w:szCs w:val="12"/>
              </w:rPr>
              <w:t xml:space="preserve"> BARNES</w:t>
            </w:r>
          </w:p>
        </w:tc>
        <w:tc>
          <w:tcPr>
            <w:tcW w:w="708" w:type="dxa"/>
            <w:tcBorders>
              <w:top w:val="nil"/>
              <w:left w:val="nil"/>
              <w:bottom w:val="single" w:sz="4" w:space="0" w:color="auto"/>
              <w:right w:val="single" w:sz="4" w:space="0" w:color="auto"/>
            </w:tcBorders>
            <w:vAlign w:val="center"/>
            <w:hideMark/>
          </w:tcPr>
          <w:p w14:paraId="6B86590B"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1C12F2E2" w14:textId="07CFF7D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$6.747.000,00</w:t>
            </w:r>
          </w:p>
        </w:tc>
        <w:tc>
          <w:tcPr>
            <w:tcW w:w="1134" w:type="dxa"/>
            <w:tcBorders>
              <w:top w:val="nil"/>
              <w:left w:val="nil"/>
              <w:bottom w:val="single" w:sz="4" w:space="0" w:color="auto"/>
              <w:right w:val="single" w:sz="4" w:space="0" w:color="auto"/>
            </w:tcBorders>
            <w:shd w:val="clear" w:color="000000" w:fill="CAEDFB"/>
            <w:vAlign w:val="center"/>
            <w:hideMark/>
          </w:tcPr>
          <w:p w14:paraId="1DFC938F" w14:textId="27FAC192"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$6.426.000</w:t>
            </w:r>
          </w:p>
        </w:tc>
        <w:tc>
          <w:tcPr>
            <w:tcW w:w="1134" w:type="dxa"/>
            <w:tcBorders>
              <w:top w:val="nil"/>
              <w:left w:val="nil"/>
              <w:bottom w:val="single" w:sz="4" w:space="0" w:color="auto"/>
              <w:right w:val="single" w:sz="4" w:space="0" w:color="auto"/>
            </w:tcBorders>
            <w:shd w:val="clear" w:color="000000" w:fill="CAEDFB"/>
            <w:vAlign w:val="center"/>
            <w:hideMark/>
          </w:tcPr>
          <w:p w14:paraId="7DB5850D" w14:textId="249B1D99"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$2.053.648</w:t>
            </w:r>
          </w:p>
        </w:tc>
        <w:tc>
          <w:tcPr>
            <w:tcW w:w="1506" w:type="dxa"/>
            <w:tcBorders>
              <w:top w:val="nil"/>
              <w:left w:val="nil"/>
              <w:bottom w:val="single" w:sz="4" w:space="0" w:color="auto"/>
              <w:right w:val="single" w:sz="4" w:space="0" w:color="auto"/>
            </w:tcBorders>
            <w:noWrap/>
            <w:vAlign w:val="center"/>
            <w:hideMark/>
          </w:tcPr>
          <w:p w14:paraId="37BE3517" w14:textId="23C8DE3E"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$5.075.549,00</w:t>
            </w:r>
          </w:p>
        </w:tc>
      </w:tr>
      <w:tr w:rsidR="00B773BF" w:rsidRPr="00B773BF" w14:paraId="544D5D10" w14:textId="77777777" w:rsidTr="00115A8C">
        <w:trPr>
          <w:trHeight w:val="276"/>
          <w:jc w:val="center"/>
        </w:trPr>
        <w:tc>
          <w:tcPr>
            <w:tcW w:w="562" w:type="dxa"/>
            <w:tcBorders>
              <w:top w:val="nil"/>
              <w:left w:val="single" w:sz="4" w:space="0" w:color="auto"/>
              <w:bottom w:val="single" w:sz="4" w:space="0" w:color="auto"/>
              <w:right w:val="single" w:sz="4" w:space="0" w:color="auto"/>
            </w:tcBorders>
            <w:vAlign w:val="center"/>
            <w:hideMark/>
          </w:tcPr>
          <w:p w14:paraId="16BDD47A"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3.4</w:t>
            </w:r>
          </w:p>
        </w:tc>
        <w:tc>
          <w:tcPr>
            <w:tcW w:w="3828" w:type="dxa"/>
            <w:tcBorders>
              <w:top w:val="nil"/>
              <w:left w:val="nil"/>
              <w:bottom w:val="single" w:sz="4" w:space="0" w:color="auto"/>
              <w:right w:val="single" w:sz="4" w:space="0" w:color="auto"/>
            </w:tcBorders>
            <w:vAlign w:val="center"/>
            <w:hideMark/>
          </w:tcPr>
          <w:p w14:paraId="0B8D18FA" w14:textId="28F3D221"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Bomba sumergible para el pozo de aguas lluvias de 2 HP con succión y descarguen de 1 ½”</w:t>
            </w:r>
            <w:r w:rsidR="00115A8C" w:rsidRPr="00B773BF">
              <w:rPr>
                <w:rFonts w:ascii="Arial" w:hAnsi="Arial" w:cs="Arial"/>
                <w:color w:val="000000"/>
                <w:sz w:val="12"/>
                <w:szCs w:val="12"/>
              </w:rPr>
              <w:t>.,</w:t>
            </w:r>
            <w:r w:rsidRPr="00B773BF">
              <w:rPr>
                <w:rFonts w:ascii="Arial" w:hAnsi="Arial" w:cs="Arial"/>
                <w:color w:val="000000"/>
                <w:sz w:val="12"/>
                <w:szCs w:val="12"/>
              </w:rPr>
              <w:t xml:space="preserve"> incluye </w:t>
            </w:r>
            <w:r w:rsidR="00115A8C" w:rsidRPr="00B773BF">
              <w:rPr>
                <w:rFonts w:ascii="Arial" w:hAnsi="Arial" w:cs="Arial"/>
                <w:color w:val="000000"/>
                <w:sz w:val="12"/>
                <w:szCs w:val="12"/>
              </w:rPr>
              <w:t>el tablero eléctrico</w:t>
            </w:r>
          </w:p>
        </w:tc>
        <w:tc>
          <w:tcPr>
            <w:tcW w:w="708" w:type="dxa"/>
            <w:tcBorders>
              <w:top w:val="nil"/>
              <w:left w:val="nil"/>
              <w:bottom w:val="single" w:sz="4" w:space="0" w:color="auto"/>
              <w:right w:val="single" w:sz="4" w:space="0" w:color="auto"/>
            </w:tcBorders>
            <w:vAlign w:val="center"/>
            <w:hideMark/>
          </w:tcPr>
          <w:p w14:paraId="1201FB50"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7112DEB6" w14:textId="3B8A5114"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$1.209.000,00</w:t>
            </w:r>
          </w:p>
        </w:tc>
        <w:tc>
          <w:tcPr>
            <w:tcW w:w="1134" w:type="dxa"/>
            <w:tcBorders>
              <w:top w:val="nil"/>
              <w:left w:val="nil"/>
              <w:bottom w:val="single" w:sz="4" w:space="0" w:color="auto"/>
              <w:right w:val="single" w:sz="4" w:space="0" w:color="auto"/>
            </w:tcBorders>
            <w:shd w:val="clear" w:color="000000" w:fill="CAEDFB"/>
            <w:vAlign w:val="center"/>
            <w:hideMark/>
          </w:tcPr>
          <w:p w14:paraId="7BF6E439" w14:textId="393ECB7D"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$1.151.920</w:t>
            </w:r>
          </w:p>
        </w:tc>
        <w:tc>
          <w:tcPr>
            <w:tcW w:w="1134" w:type="dxa"/>
            <w:tcBorders>
              <w:top w:val="nil"/>
              <w:left w:val="nil"/>
              <w:bottom w:val="single" w:sz="4" w:space="0" w:color="auto"/>
              <w:right w:val="single" w:sz="4" w:space="0" w:color="auto"/>
            </w:tcBorders>
            <w:shd w:val="clear" w:color="000000" w:fill="CAEDFB"/>
            <w:vAlign w:val="center"/>
            <w:hideMark/>
          </w:tcPr>
          <w:p w14:paraId="499E6581" w14:textId="5521D4BF"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$337.288</w:t>
            </w:r>
          </w:p>
        </w:tc>
        <w:tc>
          <w:tcPr>
            <w:tcW w:w="1506" w:type="dxa"/>
            <w:tcBorders>
              <w:top w:val="nil"/>
              <w:left w:val="nil"/>
              <w:bottom w:val="single" w:sz="4" w:space="0" w:color="auto"/>
              <w:right w:val="single" w:sz="4" w:space="0" w:color="auto"/>
            </w:tcBorders>
            <w:noWrap/>
            <w:vAlign w:val="center"/>
            <w:hideMark/>
          </w:tcPr>
          <w:p w14:paraId="5CA8D702" w14:textId="58D18988"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$899.403,00</w:t>
            </w:r>
          </w:p>
        </w:tc>
      </w:tr>
      <w:tr w:rsidR="00B773BF" w:rsidRPr="00B773BF" w14:paraId="65DA92F3" w14:textId="77777777" w:rsidTr="00115A8C">
        <w:trPr>
          <w:trHeight w:val="564"/>
          <w:jc w:val="center"/>
        </w:trPr>
        <w:tc>
          <w:tcPr>
            <w:tcW w:w="562" w:type="dxa"/>
            <w:tcBorders>
              <w:top w:val="nil"/>
              <w:left w:val="single" w:sz="4" w:space="0" w:color="auto"/>
              <w:bottom w:val="single" w:sz="4" w:space="0" w:color="auto"/>
              <w:right w:val="single" w:sz="4" w:space="0" w:color="auto"/>
            </w:tcBorders>
            <w:vAlign w:val="center"/>
            <w:hideMark/>
          </w:tcPr>
          <w:p w14:paraId="36F819E3"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3.5</w:t>
            </w:r>
          </w:p>
        </w:tc>
        <w:tc>
          <w:tcPr>
            <w:tcW w:w="3828" w:type="dxa"/>
            <w:tcBorders>
              <w:top w:val="nil"/>
              <w:left w:val="nil"/>
              <w:bottom w:val="single" w:sz="4" w:space="0" w:color="auto"/>
              <w:right w:val="single" w:sz="4" w:space="0" w:color="auto"/>
            </w:tcBorders>
            <w:vAlign w:val="center"/>
            <w:hideMark/>
          </w:tcPr>
          <w:p w14:paraId="6705E298"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 xml:space="preserve">Lavado y desinfección de tanques en fibra de vidrio PRFV con capacidad de 24000 litros cada uno según norma ASTM D4097 C 582, Icontec 2890 volumen neto red de incendio 45 m3, volumen neto tanque </w:t>
            </w:r>
          </w:p>
        </w:tc>
        <w:tc>
          <w:tcPr>
            <w:tcW w:w="708" w:type="dxa"/>
            <w:tcBorders>
              <w:top w:val="nil"/>
              <w:left w:val="nil"/>
              <w:bottom w:val="single" w:sz="4" w:space="0" w:color="auto"/>
              <w:right w:val="single" w:sz="4" w:space="0" w:color="auto"/>
            </w:tcBorders>
            <w:vAlign w:val="center"/>
            <w:hideMark/>
          </w:tcPr>
          <w:p w14:paraId="1BFCED80"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51300EE8" w14:textId="352473DB"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$2.249.000,00</w:t>
            </w:r>
          </w:p>
        </w:tc>
        <w:tc>
          <w:tcPr>
            <w:tcW w:w="1134" w:type="dxa"/>
            <w:tcBorders>
              <w:top w:val="nil"/>
              <w:left w:val="nil"/>
              <w:bottom w:val="single" w:sz="4" w:space="0" w:color="auto"/>
              <w:right w:val="single" w:sz="4" w:space="0" w:color="auto"/>
            </w:tcBorders>
            <w:shd w:val="clear" w:color="000000" w:fill="CAEDFB"/>
            <w:vAlign w:val="center"/>
            <w:hideMark/>
          </w:tcPr>
          <w:p w14:paraId="3BB8B818" w14:textId="21F5E9C9"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$2.142.000</w:t>
            </w:r>
          </w:p>
        </w:tc>
        <w:tc>
          <w:tcPr>
            <w:tcW w:w="1134" w:type="dxa"/>
            <w:tcBorders>
              <w:top w:val="nil"/>
              <w:left w:val="nil"/>
              <w:bottom w:val="single" w:sz="4" w:space="0" w:color="auto"/>
              <w:right w:val="single" w:sz="4" w:space="0" w:color="auto"/>
            </w:tcBorders>
            <w:shd w:val="clear" w:color="000000" w:fill="CAEDFB"/>
            <w:vAlign w:val="center"/>
            <w:hideMark/>
          </w:tcPr>
          <w:p w14:paraId="387B3414" w14:textId="2E5CAACE"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w:t>
            </w:r>
          </w:p>
        </w:tc>
        <w:tc>
          <w:tcPr>
            <w:tcW w:w="1506" w:type="dxa"/>
            <w:tcBorders>
              <w:top w:val="nil"/>
              <w:left w:val="nil"/>
              <w:bottom w:val="single" w:sz="4" w:space="0" w:color="auto"/>
              <w:right w:val="single" w:sz="4" w:space="0" w:color="auto"/>
            </w:tcBorders>
            <w:noWrap/>
            <w:vAlign w:val="center"/>
            <w:hideMark/>
          </w:tcPr>
          <w:p w14:paraId="6989C86B" w14:textId="5D3276EE"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$2.195.500,00</w:t>
            </w:r>
          </w:p>
        </w:tc>
      </w:tr>
      <w:tr w:rsidR="00B773BF" w:rsidRPr="00B773BF" w14:paraId="18F3FBD7" w14:textId="77777777" w:rsidTr="00115A8C">
        <w:trPr>
          <w:trHeight w:val="275"/>
          <w:jc w:val="center"/>
        </w:trPr>
        <w:tc>
          <w:tcPr>
            <w:tcW w:w="562" w:type="dxa"/>
            <w:tcBorders>
              <w:top w:val="nil"/>
              <w:left w:val="single" w:sz="4" w:space="0" w:color="auto"/>
              <w:bottom w:val="single" w:sz="4" w:space="0" w:color="auto"/>
              <w:right w:val="single" w:sz="4" w:space="0" w:color="auto"/>
            </w:tcBorders>
            <w:vAlign w:val="center"/>
            <w:hideMark/>
          </w:tcPr>
          <w:p w14:paraId="0D446B91"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3.6</w:t>
            </w:r>
          </w:p>
        </w:tc>
        <w:tc>
          <w:tcPr>
            <w:tcW w:w="3828" w:type="dxa"/>
            <w:tcBorders>
              <w:top w:val="nil"/>
              <w:left w:val="nil"/>
              <w:bottom w:val="single" w:sz="4" w:space="0" w:color="auto"/>
              <w:right w:val="single" w:sz="4" w:space="0" w:color="auto"/>
            </w:tcBorders>
            <w:vAlign w:val="center"/>
            <w:hideMark/>
          </w:tcPr>
          <w:p w14:paraId="14DF53C0" w14:textId="5FB9C7D2"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 xml:space="preserve">Lavado y </w:t>
            </w:r>
            <w:proofErr w:type="spellStart"/>
            <w:r w:rsidRPr="00B773BF">
              <w:rPr>
                <w:rFonts w:ascii="Arial" w:hAnsi="Arial" w:cs="Arial"/>
                <w:color w:val="000000"/>
                <w:sz w:val="12"/>
                <w:szCs w:val="12"/>
              </w:rPr>
              <w:t>desarenación</w:t>
            </w:r>
            <w:proofErr w:type="spellEnd"/>
            <w:r w:rsidRPr="00B773BF">
              <w:rPr>
                <w:rFonts w:ascii="Arial" w:hAnsi="Arial" w:cs="Arial"/>
                <w:color w:val="000000"/>
                <w:sz w:val="12"/>
                <w:szCs w:val="12"/>
              </w:rPr>
              <w:t xml:space="preserve"> de los pozos de aguas negras y aguas lluvias (dos aguas lluvias y uno aguas negras, 4m3</w:t>
            </w:r>
            <w:r w:rsidR="008A51C1" w:rsidRPr="00B773BF">
              <w:rPr>
                <w:rFonts w:ascii="Arial" w:hAnsi="Arial" w:cs="Arial"/>
                <w:color w:val="000000"/>
                <w:sz w:val="12"/>
                <w:szCs w:val="12"/>
              </w:rPr>
              <w:t>).</w:t>
            </w:r>
          </w:p>
        </w:tc>
        <w:tc>
          <w:tcPr>
            <w:tcW w:w="708" w:type="dxa"/>
            <w:tcBorders>
              <w:top w:val="nil"/>
              <w:left w:val="nil"/>
              <w:bottom w:val="single" w:sz="4" w:space="0" w:color="auto"/>
              <w:right w:val="single" w:sz="4" w:space="0" w:color="auto"/>
            </w:tcBorders>
            <w:vAlign w:val="center"/>
            <w:hideMark/>
          </w:tcPr>
          <w:p w14:paraId="506B51DF"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4030C735" w14:textId="6B04F249"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$1.313.000,00</w:t>
            </w:r>
          </w:p>
        </w:tc>
        <w:tc>
          <w:tcPr>
            <w:tcW w:w="1134" w:type="dxa"/>
            <w:tcBorders>
              <w:top w:val="nil"/>
              <w:left w:val="nil"/>
              <w:bottom w:val="single" w:sz="4" w:space="0" w:color="auto"/>
              <w:right w:val="single" w:sz="4" w:space="0" w:color="auto"/>
            </w:tcBorders>
            <w:shd w:val="clear" w:color="000000" w:fill="CAEDFB"/>
            <w:vAlign w:val="center"/>
            <w:hideMark/>
          </w:tcPr>
          <w:p w14:paraId="2A570503" w14:textId="0B053791"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$1.249.500</w:t>
            </w:r>
          </w:p>
        </w:tc>
        <w:tc>
          <w:tcPr>
            <w:tcW w:w="1134" w:type="dxa"/>
            <w:tcBorders>
              <w:top w:val="nil"/>
              <w:left w:val="nil"/>
              <w:bottom w:val="single" w:sz="4" w:space="0" w:color="auto"/>
              <w:right w:val="single" w:sz="4" w:space="0" w:color="auto"/>
            </w:tcBorders>
            <w:shd w:val="clear" w:color="000000" w:fill="CAEDFB"/>
            <w:vAlign w:val="center"/>
            <w:hideMark/>
          </w:tcPr>
          <w:p w14:paraId="676805E0" w14:textId="6249EA68"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w:t>
            </w:r>
          </w:p>
        </w:tc>
        <w:tc>
          <w:tcPr>
            <w:tcW w:w="1506" w:type="dxa"/>
            <w:tcBorders>
              <w:top w:val="nil"/>
              <w:left w:val="nil"/>
              <w:bottom w:val="single" w:sz="4" w:space="0" w:color="auto"/>
              <w:right w:val="single" w:sz="4" w:space="0" w:color="auto"/>
            </w:tcBorders>
            <w:noWrap/>
            <w:vAlign w:val="center"/>
            <w:hideMark/>
          </w:tcPr>
          <w:p w14:paraId="1CB64EA6" w14:textId="2FE5570F"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$1.281.250,00</w:t>
            </w:r>
          </w:p>
        </w:tc>
      </w:tr>
      <w:tr w:rsidR="00B773BF" w:rsidRPr="00B773BF" w14:paraId="38196D8F" w14:textId="77777777" w:rsidTr="00B773BF">
        <w:trPr>
          <w:trHeight w:val="255"/>
          <w:jc w:val="center"/>
        </w:trPr>
        <w:tc>
          <w:tcPr>
            <w:tcW w:w="562" w:type="dxa"/>
            <w:tcBorders>
              <w:top w:val="nil"/>
              <w:left w:val="single" w:sz="4" w:space="0" w:color="auto"/>
              <w:bottom w:val="single" w:sz="4" w:space="0" w:color="auto"/>
              <w:right w:val="single" w:sz="4" w:space="0" w:color="auto"/>
            </w:tcBorders>
            <w:shd w:val="clear" w:color="000000" w:fill="BFBFBF"/>
            <w:vAlign w:val="center"/>
            <w:hideMark/>
          </w:tcPr>
          <w:p w14:paraId="63113029" w14:textId="77777777"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4</w:t>
            </w:r>
          </w:p>
        </w:tc>
        <w:tc>
          <w:tcPr>
            <w:tcW w:w="3828" w:type="dxa"/>
            <w:tcBorders>
              <w:top w:val="nil"/>
              <w:left w:val="nil"/>
              <w:bottom w:val="single" w:sz="4" w:space="0" w:color="auto"/>
              <w:right w:val="single" w:sz="4" w:space="0" w:color="auto"/>
            </w:tcBorders>
            <w:shd w:val="clear" w:color="000000" w:fill="BFBFBF"/>
            <w:noWrap/>
            <w:vAlign w:val="center"/>
            <w:hideMark/>
          </w:tcPr>
          <w:p w14:paraId="2571728F" w14:textId="77777777" w:rsidR="00B773BF" w:rsidRPr="00B773BF" w:rsidRDefault="00B773BF">
            <w:pPr>
              <w:rPr>
                <w:rFonts w:ascii="Arial" w:hAnsi="Arial" w:cs="Arial"/>
                <w:b/>
                <w:bCs/>
                <w:color w:val="000000"/>
                <w:sz w:val="12"/>
                <w:szCs w:val="12"/>
              </w:rPr>
            </w:pPr>
            <w:r w:rsidRPr="00B773BF">
              <w:rPr>
                <w:rFonts w:ascii="Arial" w:hAnsi="Arial" w:cs="Arial"/>
                <w:b/>
                <w:bCs/>
                <w:color w:val="000000"/>
                <w:sz w:val="12"/>
                <w:szCs w:val="12"/>
              </w:rPr>
              <w:t>Palacio de Justicia de Girardot</w:t>
            </w:r>
          </w:p>
        </w:tc>
        <w:tc>
          <w:tcPr>
            <w:tcW w:w="708" w:type="dxa"/>
            <w:tcBorders>
              <w:top w:val="nil"/>
              <w:left w:val="nil"/>
              <w:bottom w:val="single" w:sz="4" w:space="0" w:color="auto"/>
              <w:right w:val="single" w:sz="4" w:space="0" w:color="auto"/>
            </w:tcBorders>
            <w:shd w:val="clear" w:color="000000" w:fill="BFBFBF"/>
            <w:noWrap/>
            <w:vAlign w:val="center"/>
            <w:hideMark/>
          </w:tcPr>
          <w:p w14:paraId="3CF062E8" w14:textId="77777777" w:rsidR="00B773BF" w:rsidRPr="00B773BF" w:rsidRDefault="00B773BF">
            <w:pPr>
              <w:rPr>
                <w:rFonts w:ascii="Arial" w:hAnsi="Arial" w:cs="Arial"/>
                <w:b/>
                <w:bCs/>
                <w:color w:val="000000"/>
                <w:sz w:val="12"/>
                <w:szCs w:val="12"/>
              </w:rPr>
            </w:pPr>
            <w:r w:rsidRPr="00B773BF">
              <w:rPr>
                <w:rFonts w:ascii="Arial" w:hAnsi="Arial" w:cs="Arial"/>
                <w:b/>
                <w:bCs/>
                <w:color w:val="000000"/>
                <w:sz w:val="12"/>
                <w:szCs w:val="12"/>
              </w:rPr>
              <w:t> </w:t>
            </w:r>
          </w:p>
        </w:tc>
        <w:tc>
          <w:tcPr>
            <w:tcW w:w="1560" w:type="dxa"/>
            <w:tcBorders>
              <w:top w:val="nil"/>
              <w:left w:val="nil"/>
              <w:bottom w:val="single" w:sz="4" w:space="0" w:color="auto"/>
              <w:right w:val="single" w:sz="4" w:space="0" w:color="auto"/>
            </w:tcBorders>
            <w:shd w:val="clear" w:color="000000" w:fill="BFBFBF"/>
            <w:noWrap/>
            <w:vAlign w:val="center"/>
            <w:hideMark/>
          </w:tcPr>
          <w:p w14:paraId="6D0F3F9C" w14:textId="0B4ED072"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$10.033.000,00</w:t>
            </w:r>
          </w:p>
        </w:tc>
        <w:tc>
          <w:tcPr>
            <w:tcW w:w="1134" w:type="dxa"/>
            <w:tcBorders>
              <w:top w:val="nil"/>
              <w:left w:val="nil"/>
              <w:bottom w:val="single" w:sz="4" w:space="0" w:color="auto"/>
              <w:right w:val="single" w:sz="4" w:space="0" w:color="auto"/>
            </w:tcBorders>
            <w:shd w:val="clear" w:color="000000" w:fill="BFBFBF"/>
            <w:noWrap/>
            <w:vAlign w:val="center"/>
            <w:hideMark/>
          </w:tcPr>
          <w:p w14:paraId="7D0841FF" w14:textId="4AFBF35C"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$9.555.700,00</w:t>
            </w:r>
          </w:p>
        </w:tc>
        <w:tc>
          <w:tcPr>
            <w:tcW w:w="1134" w:type="dxa"/>
            <w:tcBorders>
              <w:top w:val="nil"/>
              <w:left w:val="nil"/>
              <w:bottom w:val="single" w:sz="4" w:space="0" w:color="auto"/>
              <w:right w:val="single" w:sz="4" w:space="0" w:color="auto"/>
            </w:tcBorders>
            <w:shd w:val="clear" w:color="000000" w:fill="BFBFBF"/>
            <w:noWrap/>
            <w:vAlign w:val="center"/>
            <w:hideMark/>
          </w:tcPr>
          <w:p w14:paraId="40D8DD6E" w14:textId="21152BA7"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$3.292.932,08</w:t>
            </w:r>
          </w:p>
        </w:tc>
        <w:tc>
          <w:tcPr>
            <w:tcW w:w="1506" w:type="dxa"/>
            <w:tcBorders>
              <w:top w:val="nil"/>
              <w:left w:val="nil"/>
              <w:bottom w:val="single" w:sz="4" w:space="0" w:color="auto"/>
              <w:right w:val="single" w:sz="4" w:space="0" w:color="auto"/>
            </w:tcBorders>
            <w:shd w:val="clear" w:color="000000" w:fill="BFBFBF"/>
            <w:noWrap/>
            <w:vAlign w:val="center"/>
            <w:hideMark/>
          </w:tcPr>
          <w:p w14:paraId="5AB3A04C" w14:textId="7A3F532C"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$8.359.045,00</w:t>
            </w:r>
          </w:p>
        </w:tc>
      </w:tr>
      <w:tr w:rsidR="00B773BF" w:rsidRPr="00B773BF" w14:paraId="5E957A8F" w14:textId="77777777" w:rsidTr="00115A8C">
        <w:trPr>
          <w:trHeight w:val="283"/>
          <w:jc w:val="center"/>
        </w:trPr>
        <w:tc>
          <w:tcPr>
            <w:tcW w:w="562" w:type="dxa"/>
            <w:tcBorders>
              <w:top w:val="nil"/>
              <w:left w:val="single" w:sz="4" w:space="0" w:color="auto"/>
              <w:bottom w:val="single" w:sz="4" w:space="0" w:color="auto"/>
              <w:right w:val="single" w:sz="4" w:space="0" w:color="auto"/>
            </w:tcBorders>
            <w:vAlign w:val="center"/>
            <w:hideMark/>
          </w:tcPr>
          <w:p w14:paraId="428CDAA5"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4.1</w:t>
            </w:r>
          </w:p>
        </w:tc>
        <w:tc>
          <w:tcPr>
            <w:tcW w:w="3828" w:type="dxa"/>
            <w:tcBorders>
              <w:top w:val="nil"/>
              <w:left w:val="nil"/>
              <w:bottom w:val="single" w:sz="4" w:space="0" w:color="auto"/>
              <w:right w:val="single" w:sz="4" w:space="0" w:color="auto"/>
            </w:tcBorders>
            <w:vAlign w:val="center"/>
            <w:hideMark/>
          </w:tcPr>
          <w:p w14:paraId="30ACC1A9" w14:textId="77777777" w:rsidR="00B773BF" w:rsidRPr="00B773BF" w:rsidRDefault="00B773BF">
            <w:pPr>
              <w:rPr>
                <w:rFonts w:ascii="Arial" w:hAnsi="Arial" w:cs="Arial"/>
                <w:color w:val="000000"/>
                <w:sz w:val="12"/>
                <w:szCs w:val="12"/>
              </w:rPr>
            </w:pPr>
            <w:r w:rsidRPr="00B773BF">
              <w:rPr>
                <w:rFonts w:ascii="Arial" w:hAnsi="Arial" w:cs="Arial"/>
                <w:color w:val="000000"/>
                <w:sz w:val="12"/>
                <w:szCs w:val="12"/>
              </w:rPr>
              <w:t>Bomba de agua potable suministro de 3 HP, rpm, 220 voltios, incluye los tableros eléctricos</w:t>
            </w:r>
          </w:p>
        </w:tc>
        <w:tc>
          <w:tcPr>
            <w:tcW w:w="708" w:type="dxa"/>
            <w:tcBorders>
              <w:top w:val="nil"/>
              <w:left w:val="nil"/>
              <w:bottom w:val="single" w:sz="4" w:space="0" w:color="auto"/>
              <w:right w:val="single" w:sz="4" w:space="0" w:color="auto"/>
            </w:tcBorders>
            <w:vAlign w:val="center"/>
            <w:hideMark/>
          </w:tcPr>
          <w:p w14:paraId="6297BEEB"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72841D80" w14:textId="6979D324"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$1.346.000,00</w:t>
            </w:r>
          </w:p>
        </w:tc>
        <w:tc>
          <w:tcPr>
            <w:tcW w:w="1134" w:type="dxa"/>
            <w:tcBorders>
              <w:top w:val="nil"/>
              <w:left w:val="nil"/>
              <w:bottom w:val="single" w:sz="4" w:space="0" w:color="auto"/>
              <w:right w:val="single" w:sz="4" w:space="0" w:color="auto"/>
            </w:tcBorders>
            <w:shd w:val="clear" w:color="000000" w:fill="CAEDFB"/>
            <w:vAlign w:val="center"/>
            <w:hideMark/>
          </w:tcPr>
          <w:p w14:paraId="516CB96D" w14:textId="6201AD5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$1.281.630</w:t>
            </w:r>
          </w:p>
        </w:tc>
        <w:tc>
          <w:tcPr>
            <w:tcW w:w="1134" w:type="dxa"/>
            <w:tcBorders>
              <w:top w:val="nil"/>
              <w:left w:val="nil"/>
              <w:bottom w:val="single" w:sz="4" w:space="0" w:color="auto"/>
              <w:right w:val="single" w:sz="4" w:space="0" w:color="auto"/>
            </w:tcBorders>
            <w:shd w:val="clear" w:color="000000" w:fill="CAEDFB"/>
            <w:vAlign w:val="center"/>
            <w:hideMark/>
          </w:tcPr>
          <w:p w14:paraId="5312633D" w14:textId="49664B5A"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$567.804</w:t>
            </w:r>
          </w:p>
        </w:tc>
        <w:tc>
          <w:tcPr>
            <w:tcW w:w="1506" w:type="dxa"/>
            <w:tcBorders>
              <w:top w:val="nil"/>
              <w:left w:val="nil"/>
              <w:bottom w:val="single" w:sz="4" w:space="0" w:color="auto"/>
              <w:right w:val="single" w:sz="4" w:space="0" w:color="auto"/>
            </w:tcBorders>
            <w:noWrap/>
            <w:vAlign w:val="center"/>
            <w:hideMark/>
          </w:tcPr>
          <w:p w14:paraId="0375F06F" w14:textId="3A6566CC"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$1.065.145,00</w:t>
            </w:r>
          </w:p>
        </w:tc>
      </w:tr>
      <w:tr w:rsidR="00B773BF" w:rsidRPr="00B773BF" w14:paraId="6A44BA1B"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278BAE8C"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4.2</w:t>
            </w:r>
          </w:p>
        </w:tc>
        <w:tc>
          <w:tcPr>
            <w:tcW w:w="3828" w:type="dxa"/>
            <w:tcBorders>
              <w:top w:val="nil"/>
              <w:left w:val="nil"/>
              <w:bottom w:val="single" w:sz="4" w:space="0" w:color="auto"/>
              <w:right w:val="single" w:sz="4" w:space="0" w:color="auto"/>
            </w:tcBorders>
            <w:vAlign w:val="center"/>
            <w:hideMark/>
          </w:tcPr>
          <w:p w14:paraId="34B3E83B" w14:textId="77777777" w:rsidR="00B773BF" w:rsidRPr="00B773BF" w:rsidRDefault="00B773BF">
            <w:pPr>
              <w:rPr>
                <w:rFonts w:ascii="Arial" w:hAnsi="Arial" w:cs="Arial"/>
                <w:color w:val="000000"/>
                <w:sz w:val="12"/>
                <w:szCs w:val="12"/>
              </w:rPr>
            </w:pPr>
            <w:r w:rsidRPr="00B773BF">
              <w:rPr>
                <w:rFonts w:ascii="Arial" w:hAnsi="Arial" w:cs="Arial"/>
                <w:color w:val="000000"/>
                <w:sz w:val="12"/>
                <w:szCs w:val="12"/>
              </w:rPr>
              <w:t>Bomba RCI de 25 HP, incluye los tableros eléctricos</w:t>
            </w:r>
          </w:p>
        </w:tc>
        <w:tc>
          <w:tcPr>
            <w:tcW w:w="708" w:type="dxa"/>
            <w:tcBorders>
              <w:top w:val="nil"/>
              <w:left w:val="nil"/>
              <w:bottom w:val="single" w:sz="4" w:space="0" w:color="auto"/>
              <w:right w:val="single" w:sz="4" w:space="0" w:color="auto"/>
            </w:tcBorders>
            <w:vAlign w:val="center"/>
            <w:hideMark/>
          </w:tcPr>
          <w:p w14:paraId="771DD4B5"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4E762BE6" w14:textId="6B7B074E"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$3.894.000,00</w:t>
            </w:r>
          </w:p>
        </w:tc>
        <w:tc>
          <w:tcPr>
            <w:tcW w:w="1134" w:type="dxa"/>
            <w:tcBorders>
              <w:top w:val="nil"/>
              <w:left w:val="nil"/>
              <w:bottom w:val="single" w:sz="4" w:space="0" w:color="auto"/>
              <w:right w:val="single" w:sz="4" w:space="0" w:color="auto"/>
            </w:tcBorders>
            <w:shd w:val="clear" w:color="000000" w:fill="CAEDFB"/>
            <w:vAlign w:val="center"/>
            <w:hideMark/>
          </w:tcPr>
          <w:p w14:paraId="267EF20B" w14:textId="117E559F"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$3.708.040</w:t>
            </w:r>
          </w:p>
        </w:tc>
        <w:tc>
          <w:tcPr>
            <w:tcW w:w="1134" w:type="dxa"/>
            <w:tcBorders>
              <w:top w:val="nil"/>
              <w:left w:val="nil"/>
              <w:bottom w:val="single" w:sz="4" w:space="0" w:color="auto"/>
              <w:right w:val="single" w:sz="4" w:space="0" w:color="auto"/>
            </w:tcBorders>
            <w:shd w:val="clear" w:color="000000" w:fill="CAEDFB"/>
            <w:vAlign w:val="center"/>
            <w:hideMark/>
          </w:tcPr>
          <w:p w14:paraId="6F186184" w14:textId="73B93FCD"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$1.365.440</w:t>
            </w:r>
          </w:p>
        </w:tc>
        <w:tc>
          <w:tcPr>
            <w:tcW w:w="1506" w:type="dxa"/>
            <w:tcBorders>
              <w:top w:val="nil"/>
              <w:left w:val="nil"/>
              <w:bottom w:val="single" w:sz="4" w:space="0" w:color="auto"/>
              <w:right w:val="single" w:sz="4" w:space="0" w:color="auto"/>
            </w:tcBorders>
            <w:noWrap/>
            <w:vAlign w:val="center"/>
            <w:hideMark/>
          </w:tcPr>
          <w:p w14:paraId="1561F6C6" w14:textId="492E4E68"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$2.989.160,00</w:t>
            </w:r>
          </w:p>
        </w:tc>
      </w:tr>
      <w:tr w:rsidR="00B773BF" w:rsidRPr="00B773BF" w14:paraId="001BD56F"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69A49624"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4.3</w:t>
            </w:r>
          </w:p>
        </w:tc>
        <w:tc>
          <w:tcPr>
            <w:tcW w:w="3828" w:type="dxa"/>
            <w:tcBorders>
              <w:top w:val="nil"/>
              <w:left w:val="nil"/>
              <w:bottom w:val="single" w:sz="4" w:space="0" w:color="auto"/>
              <w:right w:val="single" w:sz="4" w:space="0" w:color="auto"/>
            </w:tcBorders>
            <w:vAlign w:val="center"/>
            <w:hideMark/>
          </w:tcPr>
          <w:p w14:paraId="6A20D857" w14:textId="77777777" w:rsidR="00B773BF" w:rsidRPr="00B773BF" w:rsidRDefault="00B773BF">
            <w:pPr>
              <w:rPr>
                <w:rFonts w:ascii="Arial" w:hAnsi="Arial" w:cs="Arial"/>
                <w:color w:val="000000"/>
                <w:sz w:val="12"/>
                <w:szCs w:val="12"/>
              </w:rPr>
            </w:pPr>
            <w:r w:rsidRPr="00B773BF">
              <w:rPr>
                <w:rFonts w:ascii="Arial" w:hAnsi="Arial" w:cs="Arial"/>
                <w:color w:val="000000"/>
                <w:sz w:val="12"/>
                <w:szCs w:val="12"/>
              </w:rPr>
              <w:t>Bomba jockey de 2 HP</w:t>
            </w:r>
          </w:p>
        </w:tc>
        <w:tc>
          <w:tcPr>
            <w:tcW w:w="708" w:type="dxa"/>
            <w:tcBorders>
              <w:top w:val="nil"/>
              <w:left w:val="nil"/>
              <w:bottom w:val="single" w:sz="4" w:space="0" w:color="auto"/>
              <w:right w:val="single" w:sz="4" w:space="0" w:color="auto"/>
            </w:tcBorders>
            <w:vAlign w:val="center"/>
            <w:hideMark/>
          </w:tcPr>
          <w:p w14:paraId="0802C45F"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6D342E66" w14:textId="05D29433"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$1.084.000,00</w:t>
            </w:r>
          </w:p>
        </w:tc>
        <w:tc>
          <w:tcPr>
            <w:tcW w:w="1134" w:type="dxa"/>
            <w:tcBorders>
              <w:top w:val="nil"/>
              <w:left w:val="nil"/>
              <w:bottom w:val="single" w:sz="4" w:space="0" w:color="auto"/>
              <w:right w:val="single" w:sz="4" w:space="0" w:color="auto"/>
            </w:tcBorders>
            <w:shd w:val="clear" w:color="000000" w:fill="CAEDFB"/>
            <w:vAlign w:val="center"/>
            <w:hideMark/>
          </w:tcPr>
          <w:p w14:paraId="05E5009C" w14:textId="0546BCDF"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$1.032.920</w:t>
            </w:r>
          </w:p>
        </w:tc>
        <w:tc>
          <w:tcPr>
            <w:tcW w:w="1134" w:type="dxa"/>
            <w:tcBorders>
              <w:top w:val="nil"/>
              <w:left w:val="nil"/>
              <w:bottom w:val="single" w:sz="4" w:space="0" w:color="auto"/>
              <w:right w:val="single" w:sz="4" w:space="0" w:color="auto"/>
            </w:tcBorders>
            <w:shd w:val="clear" w:color="000000" w:fill="CAEDFB"/>
            <w:vAlign w:val="center"/>
            <w:hideMark/>
          </w:tcPr>
          <w:p w14:paraId="3D551665" w14:textId="322E9ABD"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$559.682</w:t>
            </w:r>
          </w:p>
        </w:tc>
        <w:tc>
          <w:tcPr>
            <w:tcW w:w="1506" w:type="dxa"/>
            <w:tcBorders>
              <w:top w:val="nil"/>
              <w:left w:val="nil"/>
              <w:bottom w:val="single" w:sz="4" w:space="0" w:color="auto"/>
              <w:right w:val="single" w:sz="4" w:space="0" w:color="auto"/>
            </w:tcBorders>
            <w:noWrap/>
            <w:vAlign w:val="center"/>
            <w:hideMark/>
          </w:tcPr>
          <w:p w14:paraId="0449039A" w14:textId="417E1D5E"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$892.201,00</w:t>
            </w:r>
          </w:p>
        </w:tc>
      </w:tr>
      <w:tr w:rsidR="00B773BF" w:rsidRPr="00B773BF" w14:paraId="3DE37B97"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46D7B66D"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4.4</w:t>
            </w:r>
          </w:p>
        </w:tc>
        <w:tc>
          <w:tcPr>
            <w:tcW w:w="3828" w:type="dxa"/>
            <w:tcBorders>
              <w:top w:val="nil"/>
              <w:left w:val="nil"/>
              <w:bottom w:val="single" w:sz="4" w:space="0" w:color="auto"/>
              <w:right w:val="single" w:sz="4" w:space="0" w:color="auto"/>
            </w:tcBorders>
            <w:vAlign w:val="center"/>
            <w:hideMark/>
          </w:tcPr>
          <w:p w14:paraId="5C7E48CB" w14:textId="77777777" w:rsidR="00B773BF" w:rsidRPr="00B773BF" w:rsidRDefault="00B773BF">
            <w:pPr>
              <w:rPr>
                <w:rFonts w:ascii="Arial" w:hAnsi="Arial" w:cs="Arial"/>
                <w:color w:val="000000"/>
                <w:sz w:val="12"/>
                <w:szCs w:val="12"/>
              </w:rPr>
            </w:pPr>
            <w:r w:rsidRPr="00B773BF">
              <w:rPr>
                <w:rFonts w:ascii="Arial" w:hAnsi="Arial" w:cs="Arial"/>
                <w:color w:val="000000"/>
                <w:sz w:val="12"/>
                <w:szCs w:val="12"/>
              </w:rPr>
              <w:t xml:space="preserve">Bombas jockey de 5 HP, </w:t>
            </w:r>
            <w:proofErr w:type="spellStart"/>
            <w:r w:rsidRPr="00B773BF">
              <w:rPr>
                <w:rFonts w:ascii="Arial" w:hAnsi="Arial" w:cs="Arial"/>
                <w:color w:val="000000"/>
                <w:sz w:val="12"/>
                <w:szCs w:val="12"/>
              </w:rPr>
              <w:t>presion</w:t>
            </w:r>
            <w:proofErr w:type="spellEnd"/>
            <w:r w:rsidRPr="00B773BF">
              <w:rPr>
                <w:rFonts w:ascii="Arial" w:hAnsi="Arial" w:cs="Arial"/>
                <w:color w:val="000000"/>
                <w:sz w:val="12"/>
                <w:szCs w:val="12"/>
              </w:rPr>
              <w:t xml:space="preserve"> 116 PSI</w:t>
            </w:r>
          </w:p>
        </w:tc>
        <w:tc>
          <w:tcPr>
            <w:tcW w:w="708" w:type="dxa"/>
            <w:tcBorders>
              <w:top w:val="nil"/>
              <w:left w:val="nil"/>
              <w:bottom w:val="single" w:sz="4" w:space="0" w:color="auto"/>
              <w:right w:val="single" w:sz="4" w:space="0" w:color="auto"/>
            </w:tcBorders>
            <w:vAlign w:val="center"/>
            <w:hideMark/>
          </w:tcPr>
          <w:p w14:paraId="77D54BC2"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4CC83D4C" w14:textId="78B189AB"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$1.460.000,00</w:t>
            </w:r>
          </w:p>
        </w:tc>
        <w:tc>
          <w:tcPr>
            <w:tcW w:w="1134" w:type="dxa"/>
            <w:tcBorders>
              <w:top w:val="nil"/>
              <w:left w:val="nil"/>
              <w:bottom w:val="single" w:sz="4" w:space="0" w:color="auto"/>
              <w:right w:val="single" w:sz="4" w:space="0" w:color="auto"/>
            </w:tcBorders>
            <w:shd w:val="clear" w:color="000000" w:fill="CAEDFB"/>
            <w:vAlign w:val="center"/>
            <w:hideMark/>
          </w:tcPr>
          <w:p w14:paraId="38E47523" w14:textId="6D562553"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$1.391.110</w:t>
            </w:r>
          </w:p>
        </w:tc>
        <w:tc>
          <w:tcPr>
            <w:tcW w:w="1134" w:type="dxa"/>
            <w:tcBorders>
              <w:top w:val="nil"/>
              <w:left w:val="nil"/>
              <w:bottom w:val="single" w:sz="4" w:space="0" w:color="auto"/>
              <w:right w:val="single" w:sz="4" w:space="0" w:color="auto"/>
            </w:tcBorders>
            <w:shd w:val="clear" w:color="000000" w:fill="CAEDFB"/>
            <w:vAlign w:val="center"/>
            <w:hideMark/>
          </w:tcPr>
          <w:p w14:paraId="2F6E821A" w14:textId="044B2AE8"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$800.007</w:t>
            </w:r>
          </w:p>
        </w:tc>
        <w:tc>
          <w:tcPr>
            <w:tcW w:w="1506" w:type="dxa"/>
            <w:tcBorders>
              <w:top w:val="nil"/>
              <w:left w:val="nil"/>
              <w:bottom w:val="single" w:sz="4" w:space="0" w:color="auto"/>
              <w:right w:val="single" w:sz="4" w:space="0" w:color="auto"/>
            </w:tcBorders>
            <w:noWrap/>
            <w:vAlign w:val="center"/>
            <w:hideMark/>
          </w:tcPr>
          <w:p w14:paraId="3D81F6BD" w14:textId="710BA033"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$1.217.039,00</w:t>
            </w:r>
          </w:p>
        </w:tc>
      </w:tr>
      <w:tr w:rsidR="00B773BF" w:rsidRPr="00B773BF" w14:paraId="74190291"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5B091BE8"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4.5</w:t>
            </w:r>
          </w:p>
        </w:tc>
        <w:tc>
          <w:tcPr>
            <w:tcW w:w="3828" w:type="dxa"/>
            <w:tcBorders>
              <w:top w:val="nil"/>
              <w:left w:val="nil"/>
              <w:bottom w:val="single" w:sz="4" w:space="0" w:color="auto"/>
              <w:right w:val="single" w:sz="4" w:space="0" w:color="auto"/>
            </w:tcBorders>
            <w:vAlign w:val="center"/>
            <w:hideMark/>
          </w:tcPr>
          <w:p w14:paraId="07807B23" w14:textId="77777777" w:rsidR="00B773BF" w:rsidRPr="00B773BF" w:rsidRDefault="00B773BF">
            <w:pPr>
              <w:rPr>
                <w:rFonts w:ascii="Arial" w:hAnsi="Arial" w:cs="Arial"/>
                <w:color w:val="000000"/>
                <w:sz w:val="12"/>
                <w:szCs w:val="12"/>
              </w:rPr>
            </w:pPr>
            <w:r w:rsidRPr="00B773BF">
              <w:rPr>
                <w:rFonts w:ascii="Arial" w:hAnsi="Arial" w:cs="Arial"/>
                <w:color w:val="000000"/>
                <w:sz w:val="12"/>
                <w:szCs w:val="12"/>
              </w:rPr>
              <w:t>Lavado y desinfección de tanque de agua potable, volumen 60 m3</w:t>
            </w:r>
          </w:p>
        </w:tc>
        <w:tc>
          <w:tcPr>
            <w:tcW w:w="708" w:type="dxa"/>
            <w:tcBorders>
              <w:top w:val="nil"/>
              <w:left w:val="nil"/>
              <w:bottom w:val="single" w:sz="4" w:space="0" w:color="auto"/>
              <w:right w:val="single" w:sz="4" w:space="0" w:color="auto"/>
            </w:tcBorders>
            <w:vAlign w:val="center"/>
            <w:hideMark/>
          </w:tcPr>
          <w:p w14:paraId="1CCA76C5"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1E3B2B20" w14:textId="6D8D08EC"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$2.249.000,00</w:t>
            </w:r>
          </w:p>
        </w:tc>
        <w:tc>
          <w:tcPr>
            <w:tcW w:w="1134" w:type="dxa"/>
            <w:tcBorders>
              <w:top w:val="nil"/>
              <w:left w:val="nil"/>
              <w:bottom w:val="single" w:sz="4" w:space="0" w:color="auto"/>
              <w:right w:val="single" w:sz="4" w:space="0" w:color="auto"/>
            </w:tcBorders>
            <w:shd w:val="clear" w:color="000000" w:fill="CAEDFB"/>
            <w:vAlign w:val="center"/>
            <w:hideMark/>
          </w:tcPr>
          <w:p w14:paraId="5EF23002" w14:textId="7FDD4AE8"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$2.142.000</w:t>
            </w:r>
          </w:p>
        </w:tc>
        <w:tc>
          <w:tcPr>
            <w:tcW w:w="1134" w:type="dxa"/>
            <w:tcBorders>
              <w:top w:val="nil"/>
              <w:left w:val="nil"/>
              <w:bottom w:val="single" w:sz="4" w:space="0" w:color="auto"/>
              <w:right w:val="single" w:sz="4" w:space="0" w:color="auto"/>
            </w:tcBorders>
            <w:shd w:val="clear" w:color="000000" w:fill="CAEDFB"/>
            <w:vAlign w:val="center"/>
            <w:hideMark/>
          </w:tcPr>
          <w:p w14:paraId="0C289E36" w14:textId="1391B0E4"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w:t>
            </w:r>
          </w:p>
        </w:tc>
        <w:tc>
          <w:tcPr>
            <w:tcW w:w="1506" w:type="dxa"/>
            <w:tcBorders>
              <w:top w:val="nil"/>
              <w:left w:val="nil"/>
              <w:bottom w:val="single" w:sz="4" w:space="0" w:color="auto"/>
              <w:right w:val="single" w:sz="4" w:space="0" w:color="auto"/>
            </w:tcBorders>
            <w:noWrap/>
            <w:vAlign w:val="center"/>
            <w:hideMark/>
          </w:tcPr>
          <w:p w14:paraId="0D4A3D29" w14:textId="45154362"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$2.195.500,00</w:t>
            </w:r>
          </w:p>
        </w:tc>
      </w:tr>
      <w:tr w:rsidR="00B773BF" w:rsidRPr="00B773BF" w14:paraId="0F1CF4D8" w14:textId="77777777" w:rsidTr="00B773BF">
        <w:trPr>
          <w:trHeight w:val="255"/>
          <w:jc w:val="center"/>
        </w:trPr>
        <w:tc>
          <w:tcPr>
            <w:tcW w:w="562" w:type="dxa"/>
            <w:tcBorders>
              <w:top w:val="nil"/>
              <w:left w:val="single" w:sz="4" w:space="0" w:color="auto"/>
              <w:bottom w:val="single" w:sz="4" w:space="0" w:color="auto"/>
              <w:right w:val="single" w:sz="4" w:space="0" w:color="auto"/>
            </w:tcBorders>
            <w:shd w:val="clear" w:color="000000" w:fill="BFBFBF"/>
            <w:vAlign w:val="center"/>
            <w:hideMark/>
          </w:tcPr>
          <w:p w14:paraId="7E84691C" w14:textId="77777777"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5</w:t>
            </w:r>
          </w:p>
        </w:tc>
        <w:tc>
          <w:tcPr>
            <w:tcW w:w="3828" w:type="dxa"/>
            <w:tcBorders>
              <w:top w:val="nil"/>
              <w:left w:val="nil"/>
              <w:bottom w:val="single" w:sz="4" w:space="0" w:color="auto"/>
              <w:right w:val="single" w:sz="4" w:space="0" w:color="auto"/>
            </w:tcBorders>
            <w:shd w:val="clear" w:color="000000" w:fill="BFBFBF"/>
            <w:noWrap/>
            <w:vAlign w:val="center"/>
            <w:hideMark/>
          </w:tcPr>
          <w:p w14:paraId="38C161DD" w14:textId="77777777" w:rsidR="00B773BF" w:rsidRPr="00B773BF" w:rsidRDefault="00B773BF">
            <w:pPr>
              <w:rPr>
                <w:rFonts w:ascii="Arial" w:hAnsi="Arial" w:cs="Arial"/>
                <w:b/>
                <w:bCs/>
                <w:color w:val="000000"/>
                <w:sz w:val="12"/>
                <w:szCs w:val="12"/>
              </w:rPr>
            </w:pPr>
            <w:r w:rsidRPr="00B773BF">
              <w:rPr>
                <w:rFonts w:ascii="Arial" w:hAnsi="Arial" w:cs="Arial"/>
                <w:b/>
                <w:bCs/>
                <w:color w:val="000000"/>
                <w:sz w:val="12"/>
                <w:szCs w:val="12"/>
              </w:rPr>
              <w:t>Palacio de Justicia de Chocontá</w:t>
            </w:r>
          </w:p>
        </w:tc>
        <w:tc>
          <w:tcPr>
            <w:tcW w:w="708" w:type="dxa"/>
            <w:tcBorders>
              <w:top w:val="nil"/>
              <w:left w:val="nil"/>
              <w:bottom w:val="single" w:sz="4" w:space="0" w:color="auto"/>
              <w:right w:val="single" w:sz="4" w:space="0" w:color="auto"/>
            </w:tcBorders>
            <w:shd w:val="clear" w:color="000000" w:fill="BFBFBF"/>
            <w:noWrap/>
            <w:vAlign w:val="center"/>
            <w:hideMark/>
          </w:tcPr>
          <w:p w14:paraId="0248CFD1" w14:textId="77777777" w:rsidR="00B773BF" w:rsidRPr="00B773BF" w:rsidRDefault="00B773BF">
            <w:pPr>
              <w:rPr>
                <w:rFonts w:ascii="Arial" w:hAnsi="Arial" w:cs="Arial"/>
                <w:b/>
                <w:bCs/>
                <w:color w:val="000000"/>
                <w:sz w:val="12"/>
                <w:szCs w:val="12"/>
              </w:rPr>
            </w:pPr>
            <w:r w:rsidRPr="00B773BF">
              <w:rPr>
                <w:rFonts w:ascii="Arial" w:hAnsi="Arial" w:cs="Arial"/>
                <w:b/>
                <w:bCs/>
                <w:color w:val="000000"/>
                <w:sz w:val="12"/>
                <w:szCs w:val="12"/>
              </w:rPr>
              <w:t> </w:t>
            </w:r>
          </w:p>
        </w:tc>
        <w:tc>
          <w:tcPr>
            <w:tcW w:w="1560" w:type="dxa"/>
            <w:tcBorders>
              <w:top w:val="nil"/>
              <w:left w:val="nil"/>
              <w:bottom w:val="single" w:sz="4" w:space="0" w:color="auto"/>
              <w:right w:val="single" w:sz="4" w:space="0" w:color="auto"/>
            </w:tcBorders>
            <w:shd w:val="clear" w:color="000000" w:fill="BFBFBF"/>
            <w:noWrap/>
            <w:vAlign w:val="center"/>
            <w:hideMark/>
          </w:tcPr>
          <w:p w14:paraId="3E5936E7" w14:textId="177B2745"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$11.638.000,00</w:t>
            </w:r>
          </w:p>
        </w:tc>
        <w:tc>
          <w:tcPr>
            <w:tcW w:w="1134" w:type="dxa"/>
            <w:tcBorders>
              <w:top w:val="nil"/>
              <w:left w:val="nil"/>
              <w:bottom w:val="single" w:sz="4" w:space="0" w:color="auto"/>
              <w:right w:val="single" w:sz="4" w:space="0" w:color="auto"/>
            </w:tcBorders>
            <w:shd w:val="clear" w:color="000000" w:fill="BFBFBF"/>
            <w:noWrap/>
            <w:vAlign w:val="center"/>
            <w:hideMark/>
          </w:tcPr>
          <w:p w14:paraId="7F9C1BAD" w14:textId="28C77993"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$11.084.850,00</w:t>
            </w:r>
          </w:p>
        </w:tc>
        <w:tc>
          <w:tcPr>
            <w:tcW w:w="1134" w:type="dxa"/>
            <w:tcBorders>
              <w:top w:val="nil"/>
              <w:left w:val="nil"/>
              <w:bottom w:val="single" w:sz="4" w:space="0" w:color="auto"/>
              <w:right w:val="single" w:sz="4" w:space="0" w:color="auto"/>
            </w:tcBorders>
            <w:shd w:val="clear" w:color="000000" w:fill="BFBFBF"/>
            <w:noWrap/>
            <w:vAlign w:val="center"/>
            <w:hideMark/>
          </w:tcPr>
          <w:p w14:paraId="22DEB1F0" w14:textId="75B096B5"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$4.125.300,03</w:t>
            </w:r>
          </w:p>
        </w:tc>
        <w:tc>
          <w:tcPr>
            <w:tcW w:w="1506" w:type="dxa"/>
            <w:tcBorders>
              <w:top w:val="nil"/>
              <w:left w:val="nil"/>
              <w:bottom w:val="single" w:sz="4" w:space="0" w:color="auto"/>
              <w:right w:val="single" w:sz="4" w:space="0" w:color="auto"/>
            </w:tcBorders>
            <w:shd w:val="clear" w:color="000000" w:fill="BFBFBF"/>
            <w:noWrap/>
            <w:vAlign w:val="center"/>
            <w:hideMark/>
          </w:tcPr>
          <w:p w14:paraId="545D01DA" w14:textId="27D0187D"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$8.949.384,00</w:t>
            </w:r>
          </w:p>
        </w:tc>
      </w:tr>
      <w:tr w:rsidR="00B773BF" w:rsidRPr="00B773BF" w14:paraId="52BF3332" w14:textId="77777777" w:rsidTr="00115A8C">
        <w:trPr>
          <w:trHeight w:val="221"/>
          <w:jc w:val="center"/>
        </w:trPr>
        <w:tc>
          <w:tcPr>
            <w:tcW w:w="562" w:type="dxa"/>
            <w:tcBorders>
              <w:top w:val="nil"/>
              <w:left w:val="single" w:sz="4" w:space="0" w:color="auto"/>
              <w:bottom w:val="single" w:sz="4" w:space="0" w:color="auto"/>
              <w:right w:val="single" w:sz="4" w:space="0" w:color="auto"/>
            </w:tcBorders>
            <w:vAlign w:val="center"/>
            <w:hideMark/>
          </w:tcPr>
          <w:p w14:paraId="64E9C47B"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5.1</w:t>
            </w:r>
          </w:p>
        </w:tc>
        <w:tc>
          <w:tcPr>
            <w:tcW w:w="3828" w:type="dxa"/>
            <w:tcBorders>
              <w:top w:val="nil"/>
              <w:left w:val="nil"/>
              <w:bottom w:val="single" w:sz="4" w:space="0" w:color="auto"/>
              <w:right w:val="single" w:sz="4" w:space="0" w:color="auto"/>
            </w:tcBorders>
            <w:vAlign w:val="center"/>
            <w:hideMark/>
          </w:tcPr>
          <w:p w14:paraId="77237D7E"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 xml:space="preserve">Bombas Centrífugas de 3.6 Hp, caudal 174,6 </w:t>
            </w:r>
            <w:proofErr w:type="spellStart"/>
            <w:r w:rsidRPr="00B773BF">
              <w:rPr>
                <w:rFonts w:ascii="Arial" w:hAnsi="Arial" w:cs="Arial"/>
                <w:color w:val="000000"/>
                <w:sz w:val="12"/>
                <w:szCs w:val="12"/>
              </w:rPr>
              <w:t>Lt</w:t>
            </w:r>
            <w:proofErr w:type="spellEnd"/>
            <w:r w:rsidRPr="00B773BF">
              <w:rPr>
                <w:rFonts w:ascii="Arial" w:hAnsi="Arial" w:cs="Arial"/>
                <w:color w:val="000000"/>
                <w:sz w:val="12"/>
                <w:szCs w:val="12"/>
              </w:rPr>
              <w:t>/min, variador de velocidad y tablero de control</w:t>
            </w:r>
          </w:p>
        </w:tc>
        <w:tc>
          <w:tcPr>
            <w:tcW w:w="708" w:type="dxa"/>
            <w:tcBorders>
              <w:top w:val="nil"/>
              <w:left w:val="nil"/>
              <w:bottom w:val="single" w:sz="4" w:space="0" w:color="auto"/>
              <w:right w:val="single" w:sz="4" w:space="0" w:color="auto"/>
            </w:tcBorders>
            <w:vAlign w:val="center"/>
            <w:hideMark/>
          </w:tcPr>
          <w:p w14:paraId="332DA0BD"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787C4CB9" w14:textId="5B7142E8"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$1.418.000,00</w:t>
            </w:r>
          </w:p>
        </w:tc>
        <w:tc>
          <w:tcPr>
            <w:tcW w:w="1134" w:type="dxa"/>
            <w:tcBorders>
              <w:top w:val="nil"/>
              <w:left w:val="nil"/>
              <w:bottom w:val="single" w:sz="4" w:space="0" w:color="auto"/>
              <w:right w:val="single" w:sz="4" w:space="0" w:color="auto"/>
            </w:tcBorders>
            <w:shd w:val="clear" w:color="000000" w:fill="CAEDFB"/>
            <w:vAlign w:val="center"/>
            <w:hideMark/>
          </w:tcPr>
          <w:p w14:paraId="53983BC8" w14:textId="27B56D9E"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$1.350.650</w:t>
            </w:r>
          </w:p>
        </w:tc>
        <w:tc>
          <w:tcPr>
            <w:tcW w:w="1134" w:type="dxa"/>
            <w:tcBorders>
              <w:top w:val="nil"/>
              <w:left w:val="nil"/>
              <w:bottom w:val="single" w:sz="4" w:space="0" w:color="auto"/>
              <w:right w:val="single" w:sz="4" w:space="0" w:color="auto"/>
            </w:tcBorders>
            <w:shd w:val="clear" w:color="000000" w:fill="CAEDFB"/>
            <w:vAlign w:val="center"/>
            <w:hideMark/>
          </w:tcPr>
          <w:p w14:paraId="123A5B20" w14:textId="5B05ED02"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$262.352</w:t>
            </w:r>
          </w:p>
        </w:tc>
        <w:tc>
          <w:tcPr>
            <w:tcW w:w="1506" w:type="dxa"/>
            <w:tcBorders>
              <w:top w:val="nil"/>
              <w:left w:val="nil"/>
              <w:bottom w:val="single" w:sz="4" w:space="0" w:color="auto"/>
              <w:right w:val="single" w:sz="4" w:space="0" w:color="auto"/>
            </w:tcBorders>
            <w:noWrap/>
            <w:vAlign w:val="center"/>
            <w:hideMark/>
          </w:tcPr>
          <w:p w14:paraId="63C68A94" w14:textId="2E76C04A"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$1.010.334,00</w:t>
            </w:r>
          </w:p>
        </w:tc>
      </w:tr>
      <w:tr w:rsidR="00B773BF" w:rsidRPr="00B773BF" w14:paraId="00E12971" w14:textId="77777777" w:rsidTr="00115A8C">
        <w:trPr>
          <w:trHeight w:val="367"/>
          <w:jc w:val="center"/>
        </w:trPr>
        <w:tc>
          <w:tcPr>
            <w:tcW w:w="562" w:type="dxa"/>
            <w:tcBorders>
              <w:top w:val="nil"/>
              <w:left w:val="single" w:sz="4" w:space="0" w:color="auto"/>
              <w:bottom w:val="single" w:sz="4" w:space="0" w:color="auto"/>
              <w:right w:val="single" w:sz="4" w:space="0" w:color="auto"/>
            </w:tcBorders>
            <w:vAlign w:val="center"/>
            <w:hideMark/>
          </w:tcPr>
          <w:p w14:paraId="0C1BE06E"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5.2</w:t>
            </w:r>
          </w:p>
        </w:tc>
        <w:tc>
          <w:tcPr>
            <w:tcW w:w="3828" w:type="dxa"/>
            <w:tcBorders>
              <w:top w:val="nil"/>
              <w:left w:val="nil"/>
              <w:bottom w:val="single" w:sz="4" w:space="0" w:color="auto"/>
              <w:right w:val="single" w:sz="4" w:space="0" w:color="auto"/>
            </w:tcBorders>
            <w:vAlign w:val="center"/>
            <w:hideMark/>
          </w:tcPr>
          <w:p w14:paraId="247D9894"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 xml:space="preserve">Bomba de sistema </w:t>
            </w:r>
            <w:proofErr w:type="spellStart"/>
            <w:r w:rsidRPr="00B773BF">
              <w:rPr>
                <w:rFonts w:ascii="Arial" w:hAnsi="Arial" w:cs="Arial"/>
                <w:color w:val="000000"/>
                <w:sz w:val="12"/>
                <w:szCs w:val="12"/>
              </w:rPr>
              <w:t>contraincendio</w:t>
            </w:r>
            <w:proofErr w:type="spellEnd"/>
            <w:r w:rsidRPr="00B773BF">
              <w:rPr>
                <w:rFonts w:ascii="Arial" w:hAnsi="Arial" w:cs="Arial"/>
                <w:color w:val="000000"/>
                <w:sz w:val="12"/>
                <w:szCs w:val="12"/>
              </w:rPr>
              <w:t xml:space="preserve"> de 21,74 HP, caudal de 1024,2 </w:t>
            </w:r>
            <w:proofErr w:type="spellStart"/>
            <w:r w:rsidRPr="00B773BF">
              <w:rPr>
                <w:rFonts w:ascii="Arial" w:hAnsi="Arial" w:cs="Arial"/>
                <w:color w:val="000000"/>
                <w:sz w:val="12"/>
                <w:szCs w:val="12"/>
              </w:rPr>
              <w:t>Lt</w:t>
            </w:r>
            <w:proofErr w:type="spellEnd"/>
            <w:r w:rsidRPr="00B773BF">
              <w:rPr>
                <w:rFonts w:ascii="Arial" w:hAnsi="Arial" w:cs="Arial"/>
                <w:color w:val="000000"/>
                <w:sz w:val="12"/>
                <w:szCs w:val="12"/>
              </w:rPr>
              <w:t>/min con tablero de control</w:t>
            </w:r>
          </w:p>
        </w:tc>
        <w:tc>
          <w:tcPr>
            <w:tcW w:w="708" w:type="dxa"/>
            <w:tcBorders>
              <w:top w:val="nil"/>
              <w:left w:val="nil"/>
              <w:bottom w:val="single" w:sz="4" w:space="0" w:color="auto"/>
              <w:right w:val="single" w:sz="4" w:space="0" w:color="auto"/>
            </w:tcBorders>
            <w:vAlign w:val="center"/>
            <w:hideMark/>
          </w:tcPr>
          <w:p w14:paraId="716E5278"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305EC187" w14:textId="18EBE264"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$4.748.000,00</w:t>
            </w:r>
          </w:p>
        </w:tc>
        <w:tc>
          <w:tcPr>
            <w:tcW w:w="1134" w:type="dxa"/>
            <w:tcBorders>
              <w:top w:val="nil"/>
              <w:left w:val="nil"/>
              <w:bottom w:val="single" w:sz="4" w:space="0" w:color="auto"/>
              <w:right w:val="single" w:sz="4" w:space="0" w:color="auto"/>
            </w:tcBorders>
            <w:shd w:val="clear" w:color="000000" w:fill="CAEDFB"/>
            <w:vAlign w:val="center"/>
            <w:hideMark/>
          </w:tcPr>
          <w:p w14:paraId="3E3327B1" w14:textId="4D62F5E2"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$4.522.000</w:t>
            </w:r>
          </w:p>
        </w:tc>
        <w:tc>
          <w:tcPr>
            <w:tcW w:w="1134" w:type="dxa"/>
            <w:tcBorders>
              <w:top w:val="nil"/>
              <w:left w:val="nil"/>
              <w:bottom w:val="single" w:sz="4" w:space="0" w:color="auto"/>
              <w:right w:val="single" w:sz="4" w:space="0" w:color="auto"/>
            </w:tcBorders>
            <w:shd w:val="clear" w:color="000000" w:fill="CAEDFB"/>
            <w:vAlign w:val="center"/>
            <w:hideMark/>
          </w:tcPr>
          <w:p w14:paraId="4B868E5D" w14:textId="1A915EFD"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$1.365.440</w:t>
            </w:r>
          </w:p>
        </w:tc>
        <w:tc>
          <w:tcPr>
            <w:tcW w:w="1506" w:type="dxa"/>
            <w:tcBorders>
              <w:top w:val="nil"/>
              <w:left w:val="nil"/>
              <w:bottom w:val="single" w:sz="4" w:space="0" w:color="auto"/>
              <w:right w:val="single" w:sz="4" w:space="0" w:color="auto"/>
            </w:tcBorders>
            <w:noWrap/>
            <w:vAlign w:val="center"/>
            <w:hideMark/>
          </w:tcPr>
          <w:p w14:paraId="04105031" w14:textId="42E23F90"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$3.545.147,00</w:t>
            </w:r>
          </w:p>
        </w:tc>
      </w:tr>
      <w:tr w:rsidR="00B773BF" w:rsidRPr="00B773BF" w14:paraId="43D57333"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58FF8C05"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5.3</w:t>
            </w:r>
          </w:p>
        </w:tc>
        <w:tc>
          <w:tcPr>
            <w:tcW w:w="3828" w:type="dxa"/>
            <w:tcBorders>
              <w:top w:val="nil"/>
              <w:left w:val="nil"/>
              <w:bottom w:val="single" w:sz="4" w:space="0" w:color="auto"/>
              <w:right w:val="single" w:sz="4" w:space="0" w:color="auto"/>
            </w:tcBorders>
            <w:vAlign w:val="center"/>
            <w:hideMark/>
          </w:tcPr>
          <w:p w14:paraId="5EAB8FF4"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 xml:space="preserve">Bomba Jockey de 1,18 Hp y caudal 51,21 </w:t>
            </w:r>
            <w:proofErr w:type="spellStart"/>
            <w:r w:rsidRPr="00B773BF">
              <w:rPr>
                <w:rFonts w:ascii="Arial" w:hAnsi="Arial" w:cs="Arial"/>
                <w:color w:val="000000"/>
                <w:sz w:val="12"/>
                <w:szCs w:val="12"/>
              </w:rPr>
              <w:t>Lt</w:t>
            </w:r>
            <w:proofErr w:type="spellEnd"/>
            <w:r w:rsidRPr="00B773BF">
              <w:rPr>
                <w:rFonts w:ascii="Arial" w:hAnsi="Arial" w:cs="Arial"/>
                <w:color w:val="000000"/>
                <w:sz w:val="12"/>
                <w:szCs w:val="12"/>
              </w:rPr>
              <w:t>/min</w:t>
            </w:r>
          </w:p>
        </w:tc>
        <w:tc>
          <w:tcPr>
            <w:tcW w:w="708" w:type="dxa"/>
            <w:tcBorders>
              <w:top w:val="nil"/>
              <w:left w:val="nil"/>
              <w:bottom w:val="single" w:sz="4" w:space="0" w:color="auto"/>
              <w:right w:val="single" w:sz="4" w:space="0" w:color="auto"/>
            </w:tcBorders>
            <w:vAlign w:val="center"/>
            <w:hideMark/>
          </w:tcPr>
          <w:p w14:paraId="04EBF19F"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6AA10866" w14:textId="280840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$946.000,00</w:t>
            </w:r>
          </w:p>
        </w:tc>
        <w:tc>
          <w:tcPr>
            <w:tcW w:w="1134" w:type="dxa"/>
            <w:tcBorders>
              <w:top w:val="nil"/>
              <w:left w:val="nil"/>
              <w:bottom w:val="single" w:sz="4" w:space="0" w:color="auto"/>
              <w:right w:val="single" w:sz="4" w:space="0" w:color="auto"/>
            </w:tcBorders>
            <w:shd w:val="clear" w:color="000000" w:fill="CAEDFB"/>
            <w:vAlign w:val="center"/>
            <w:hideMark/>
          </w:tcPr>
          <w:p w14:paraId="3ECC0E44" w14:textId="0CB4DB43"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$900.830</w:t>
            </w:r>
          </w:p>
        </w:tc>
        <w:tc>
          <w:tcPr>
            <w:tcW w:w="1134" w:type="dxa"/>
            <w:tcBorders>
              <w:top w:val="nil"/>
              <w:left w:val="nil"/>
              <w:bottom w:val="single" w:sz="4" w:space="0" w:color="auto"/>
              <w:right w:val="single" w:sz="4" w:space="0" w:color="auto"/>
            </w:tcBorders>
            <w:shd w:val="clear" w:color="000000" w:fill="CAEDFB"/>
            <w:vAlign w:val="center"/>
            <w:hideMark/>
          </w:tcPr>
          <w:p w14:paraId="354C1F0B" w14:textId="5E541196"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$559.682</w:t>
            </w:r>
          </w:p>
        </w:tc>
        <w:tc>
          <w:tcPr>
            <w:tcW w:w="1506" w:type="dxa"/>
            <w:tcBorders>
              <w:top w:val="nil"/>
              <w:left w:val="nil"/>
              <w:bottom w:val="single" w:sz="4" w:space="0" w:color="auto"/>
              <w:right w:val="single" w:sz="4" w:space="0" w:color="auto"/>
            </w:tcBorders>
            <w:noWrap/>
            <w:vAlign w:val="center"/>
            <w:hideMark/>
          </w:tcPr>
          <w:p w14:paraId="444FC8C1" w14:textId="36B6FFB2"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$802.171,00</w:t>
            </w:r>
          </w:p>
        </w:tc>
      </w:tr>
      <w:tr w:rsidR="00B773BF" w:rsidRPr="00B773BF" w14:paraId="544B6E1F"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6EB13242"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5.4</w:t>
            </w:r>
          </w:p>
        </w:tc>
        <w:tc>
          <w:tcPr>
            <w:tcW w:w="3828" w:type="dxa"/>
            <w:tcBorders>
              <w:top w:val="nil"/>
              <w:left w:val="nil"/>
              <w:bottom w:val="single" w:sz="4" w:space="0" w:color="auto"/>
              <w:right w:val="single" w:sz="4" w:space="0" w:color="auto"/>
            </w:tcBorders>
            <w:vAlign w:val="center"/>
            <w:hideMark/>
          </w:tcPr>
          <w:p w14:paraId="1EE1F9CD"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Bomba eyectora de 0,15 Hp con arrancadores y tablero de control</w:t>
            </w:r>
          </w:p>
        </w:tc>
        <w:tc>
          <w:tcPr>
            <w:tcW w:w="708" w:type="dxa"/>
            <w:tcBorders>
              <w:top w:val="nil"/>
              <w:left w:val="nil"/>
              <w:bottom w:val="single" w:sz="4" w:space="0" w:color="auto"/>
              <w:right w:val="single" w:sz="4" w:space="0" w:color="auto"/>
            </w:tcBorders>
            <w:vAlign w:val="center"/>
            <w:hideMark/>
          </w:tcPr>
          <w:p w14:paraId="494E029A"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50C6A53C" w14:textId="6C01ED29"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$903.000,00</w:t>
            </w:r>
          </w:p>
        </w:tc>
        <w:tc>
          <w:tcPr>
            <w:tcW w:w="1134" w:type="dxa"/>
            <w:tcBorders>
              <w:top w:val="nil"/>
              <w:left w:val="nil"/>
              <w:bottom w:val="single" w:sz="4" w:space="0" w:color="auto"/>
              <w:right w:val="single" w:sz="4" w:space="0" w:color="auto"/>
            </w:tcBorders>
            <w:shd w:val="clear" w:color="000000" w:fill="CAEDFB"/>
            <w:vAlign w:val="center"/>
            <w:hideMark/>
          </w:tcPr>
          <w:p w14:paraId="6FBDE016" w14:textId="2AAC3DDE"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$860.370</w:t>
            </w:r>
          </w:p>
        </w:tc>
        <w:tc>
          <w:tcPr>
            <w:tcW w:w="1134" w:type="dxa"/>
            <w:tcBorders>
              <w:top w:val="nil"/>
              <w:left w:val="nil"/>
              <w:bottom w:val="single" w:sz="4" w:space="0" w:color="auto"/>
              <w:right w:val="single" w:sz="4" w:space="0" w:color="auto"/>
            </w:tcBorders>
            <w:shd w:val="clear" w:color="000000" w:fill="CAEDFB"/>
            <w:vAlign w:val="center"/>
            <w:hideMark/>
          </w:tcPr>
          <w:p w14:paraId="624A9E68" w14:textId="2508C7E6"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$389.953</w:t>
            </w:r>
          </w:p>
        </w:tc>
        <w:tc>
          <w:tcPr>
            <w:tcW w:w="1506" w:type="dxa"/>
            <w:tcBorders>
              <w:top w:val="nil"/>
              <w:left w:val="nil"/>
              <w:bottom w:val="single" w:sz="4" w:space="0" w:color="auto"/>
              <w:right w:val="single" w:sz="4" w:space="0" w:color="auto"/>
            </w:tcBorders>
            <w:noWrap/>
            <w:vAlign w:val="center"/>
            <w:hideMark/>
          </w:tcPr>
          <w:p w14:paraId="63ABE3B4" w14:textId="0E5941B2"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$717.774,00</w:t>
            </w:r>
          </w:p>
        </w:tc>
      </w:tr>
      <w:tr w:rsidR="00B773BF" w:rsidRPr="00B773BF" w14:paraId="72084D7B"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6CCC6D28"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5.5</w:t>
            </w:r>
          </w:p>
        </w:tc>
        <w:tc>
          <w:tcPr>
            <w:tcW w:w="3828" w:type="dxa"/>
            <w:tcBorders>
              <w:top w:val="nil"/>
              <w:left w:val="nil"/>
              <w:bottom w:val="single" w:sz="4" w:space="0" w:color="auto"/>
              <w:right w:val="single" w:sz="4" w:space="0" w:color="auto"/>
            </w:tcBorders>
            <w:vAlign w:val="center"/>
            <w:hideMark/>
          </w:tcPr>
          <w:p w14:paraId="798485D3"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Bomba eyectora de 1,77 Hp con arrancadores y tablero de control</w:t>
            </w:r>
          </w:p>
        </w:tc>
        <w:tc>
          <w:tcPr>
            <w:tcW w:w="708" w:type="dxa"/>
            <w:tcBorders>
              <w:top w:val="nil"/>
              <w:left w:val="nil"/>
              <w:bottom w:val="single" w:sz="4" w:space="0" w:color="auto"/>
              <w:right w:val="single" w:sz="4" w:space="0" w:color="auto"/>
            </w:tcBorders>
            <w:vAlign w:val="center"/>
            <w:hideMark/>
          </w:tcPr>
          <w:p w14:paraId="107C9FB1"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180711C2" w14:textId="2E26CD11"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$1.374.000,00</w:t>
            </w:r>
          </w:p>
        </w:tc>
        <w:tc>
          <w:tcPr>
            <w:tcW w:w="1134" w:type="dxa"/>
            <w:tcBorders>
              <w:top w:val="nil"/>
              <w:left w:val="nil"/>
              <w:bottom w:val="single" w:sz="4" w:space="0" w:color="auto"/>
              <w:right w:val="single" w:sz="4" w:space="0" w:color="auto"/>
            </w:tcBorders>
            <w:shd w:val="clear" w:color="000000" w:fill="CAEDFB"/>
            <w:vAlign w:val="center"/>
            <w:hideMark/>
          </w:tcPr>
          <w:p w14:paraId="62410BC0" w14:textId="3B7D099F"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$1.309.000</w:t>
            </w:r>
          </w:p>
        </w:tc>
        <w:tc>
          <w:tcPr>
            <w:tcW w:w="1134" w:type="dxa"/>
            <w:tcBorders>
              <w:top w:val="nil"/>
              <w:left w:val="nil"/>
              <w:bottom w:val="single" w:sz="4" w:space="0" w:color="auto"/>
              <w:right w:val="single" w:sz="4" w:space="0" w:color="auto"/>
            </w:tcBorders>
            <w:shd w:val="clear" w:color="000000" w:fill="CAEDFB"/>
            <w:vAlign w:val="center"/>
            <w:hideMark/>
          </w:tcPr>
          <w:p w14:paraId="746CC181" w14:textId="7EA61656"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$389.953</w:t>
            </w:r>
          </w:p>
        </w:tc>
        <w:tc>
          <w:tcPr>
            <w:tcW w:w="1506" w:type="dxa"/>
            <w:tcBorders>
              <w:top w:val="nil"/>
              <w:left w:val="nil"/>
              <w:bottom w:val="single" w:sz="4" w:space="0" w:color="auto"/>
              <w:right w:val="single" w:sz="4" w:space="0" w:color="auto"/>
            </w:tcBorders>
            <w:noWrap/>
            <w:vAlign w:val="center"/>
            <w:hideMark/>
          </w:tcPr>
          <w:p w14:paraId="0B485C44" w14:textId="29842772"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$1.024.318,00</w:t>
            </w:r>
          </w:p>
        </w:tc>
      </w:tr>
      <w:tr w:rsidR="00B773BF" w:rsidRPr="00B773BF" w14:paraId="297963DF"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43914B0A"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5.6</w:t>
            </w:r>
          </w:p>
        </w:tc>
        <w:tc>
          <w:tcPr>
            <w:tcW w:w="3828" w:type="dxa"/>
            <w:tcBorders>
              <w:top w:val="nil"/>
              <w:left w:val="nil"/>
              <w:bottom w:val="single" w:sz="4" w:space="0" w:color="auto"/>
              <w:right w:val="single" w:sz="4" w:space="0" w:color="auto"/>
            </w:tcBorders>
            <w:vAlign w:val="center"/>
            <w:hideMark/>
          </w:tcPr>
          <w:p w14:paraId="37F89314"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Lavado y desinfección de tanque de agua potable, volumen 30 m3</w:t>
            </w:r>
          </w:p>
        </w:tc>
        <w:tc>
          <w:tcPr>
            <w:tcW w:w="708" w:type="dxa"/>
            <w:tcBorders>
              <w:top w:val="nil"/>
              <w:left w:val="nil"/>
              <w:bottom w:val="single" w:sz="4" w:space="0" w:color="auto"/>
              <w:right w:val="single" w:sz="4" w:space="0" w:color="auto"/>
            </w:tcBorders>
            <w:vAlign w:val="center"/>
            <w:hideMark/>
          </w:tcPr>
          <w:p w14:paraId="6C0ED0BF"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0F6B2F5E" w14:textId="4662E058"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$2.249.000,00</w:t>
            </w:r>
          </w:p>
        </w:tc>
        <w:tc>
          <w:tcPr>
            <w:tcW w:w="1134" w:type="dxa"/>
            <w:tcBorders>
              <w:top w:val="nil"/>
              <w:left w:val="nil"/>
              <w:bottom w:val="single" w:sz="4" w:space="0" w:color="auto"/>
              <w:right w:val="single" w:sz="4" w:space="0" w:color="auto"/>
            </w:tcBorders>
            <w:shd w:val="clear" w:color="000000" w:fill="CAEDFB"/>
            <w:vAlign w:val="center"/>
            <w:hideMark/>
          </w:tcPr>
          <w:p w14:paraId="1E04E5EB" w14:textId="0FA23C28"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$2.142.000</w:t>
            </w:r>
          </w:p>
        </w:tc>
        <w:tc>
          <w:tcPr>
            <w:tcW w:w="1134" w:type="dxa"/>
            <w:tcBorders>
              <w:top w:val="nil"/>
              <w:left w:val="nil"/>
              <w:bottom w:val="single" w:sz="4" w:space="0" w:color="auto"/>
              <w:right w:val="single" w:sz="4" w:space="0" w:color="auto"/>
            </w:tcBorders>
            <w:shd w:val="clear" w:color="000000" w:fill="CAEDFB"/>
            <w:vAlign w:val="center"/>
            <w:hideMark/>
          </w:tcPr>
          <w:p w14:paraId="3CF527C3" w14:textId="4AB7D5CB"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$1.157.921</w:t>
            </w:r>
          </w:p>
        </w:tc>
        <w:tc>
          <w:tcPr>
            <w:tcW w:w="1506" w:type="dxa"/>
            <w:tcBorders>
              <w:top w:val="nil"/>
              <w:left w:val="nil"/>
              <w:bottom w:val="single" w:sz="4" w:space="0" w:color="auto"/>
              <w:right w:val="single" w:sz="4" w:space="0" w:color="auto"/>
            </w:tcBorders>
            <w:noWrap/>
            <w:vAlign w:val="center"/>
            <w:hideMark/>
          </w:tcPr>
          <w:p w14:paraId="240330F1" w14:textId="17AA69BC"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$1.849.640,00</w:t>
            </w:r>
          </w:p>
        </w:tc>
      </w:tr>
      <w:tr w:rsidR="00B773BF" w:rsidRPr="00B773BF" w14:paraId="2EBAA629" w14:textId="77777777" w:rsidTr="00B773BF">
        <w:trPr>
          <w:trHeight w:val="255"/>
          <w:jc w:val="center"/>
        </w:trPr>
        <w:tc>
          <w:tcPr>
            <w:tcW w:w="562" w:type="dxa"/>
            <w:tcBorders>
              <w:top w:val="nil"/>
              <w:left w:val="single" w:sz="4" w:space="0" w:color="auto"/>
              <w:bottom w:val="single" w:sz="4" w:space="0" w:color="auto"/>
              <w:right w:val="single" w:sz="4" w:space="0" w:color="auto"/>
            </w:tcBorders>
            <w:shd w:val="clear" w:color="000000" w:fill="BFBFBF"/>
            <w:vAlign w:val="center"/>
            <w:hideMark/>
          </w:tcPr>
          <w:p w14:paraId="30F91F14" w14:textId="77777777"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6</w:t>
            </w:r>
          </w:p>
        </w:tc>
        <w:tc>
          <w:tcPr>
            <w:tcW w:w="3828" w:type="dxa"/>
            <w:tcBorders>
              <w:top w:val="nil"/>
              <w:left w:val="nil"/>
              <w:bottom w:val="single" w:sz="4" w:space="0" w:color="auto"/>
              <w:right w:val="single" w:sz="4" w:space="0" w:color="auto"/>
            </w:tcBorders>
            <w:shd w:val="clear" w:color="000000" w:fill="BFBFBF"/>
            <w:noWrap/>
            <w:vAlign w:val="center"/>
            <w:hideMark/>
          </w:tcPr>
          <w:p w14:paraId="602A1D87" w14:textId="77777777" w:rsidR="00B773BF" w:rsidRPr="00B773BF" w:rsidRDefault="00B773BF">
            <w:pPr>
              <w:rPr>
                <w:rFonts w:ascii="Arial" w:hAnsi="Arial" w:cs="Arial"/>
                <w:b/>
                <w:bCs/>
                <w:color w:val="000000"/>
                <w:sz w:val="12"/>
                <w:szCs w:val="12"/>
              </w:rPr>
            </w:pPr>
            <w:r w:rsidRPr="00B773BF">
              <w:rPr>
                <w:rFonts w:ascii="Arial" w:hAnsi="Arial" w:cs="Arial"/>
                <w:b/>
                <w:bCs/>
                <w:color w:val="000000"/>
                <w:sz w:val="12"/>
                <w:szCs w:val="12"/>
              </w:rPr>
              <w:t>Palacio de Justicia de Zipaquirá</w:t>
            </w:r>
          </w:p>
        </w:tc>
        <w:tc>
          <w:tcPr>
            <w:tcW w:w="708" w:type="dxa"/>
            <w:tcBorders>
              <w:top w:val="nil"/>
              <w:left w:val="nil"/>
              <w:bottom w:val="single" w:sz="4" w:space="0" w:color="auto"/>
              <w:right w:val="single" w:sz="4" w:space="0" w:color="auto"/>
            </w:tcBorders>
            <w:shd w:val="clear" w:color="000000" w:fill="BFBFBF"/>
            <w:noWrap/>
            <w:vAlign w:val="center"/>
            <w:hideMark/>
          </w:tcPr>
          <w:p w14:paraId="1C036900" w14:textId="77777777" w:rsidR="00B773BF" w:rsidRPr="00B773BF" w:rsidRDefault="00B773BF">
            <w:pPr>
              <w:rPr>
                <w:rFonts w:ascii="Arial" w:hAnsi="Arial" w:cs="Arial"/>
                <w:b/>
                <w:bCs/>
                <w:color w:val="000000"/>
                <w:sz w:val="12"/>
                <w:szCs w:val="12"/>
              </w:rPr>
            </w:pPr>
            <w:r w:rsidRPr="00B773BF">
              <w:rPr>
                <w:rFonts w:ascii="Arial" w:hAnsi="Arial" w:cs="Arial"/>
                <w:b/>
                <w:bCs/>
                <w:color w:val="000000"/>
                <w:sz w:val="12"/>
                <w:szCs w:val="12"/>
              </w:rPr>
              <w:t> </w:t>
            </w:r>
          </w:p>
        </w:tc>
        <w:tc>
          <w:tcPr>
            <w:tcW w:w="1560" w:type="dxa"/>
            <w:tcBorders>
              <w:top w:val="nil"/>
              <w:left w:val="nil"/>
              <w:bottom w:val="single" w:sz="4" w:space="0" w:color="auto"/>
              <w:right w:val="single" w:sz="4" w:space="0" w:color="auto"/>
            </w:tcBorders>
            <w:shd w:val="clear" w:color="000000" w:fill="BFBFBF"/>
            <w:noWrap/>
            <w:vAlign w:val="center"/>
            <w:hideMark/>
          </w:tcPr>
          <w:p w14:paraId="49DFD3FB" w14:textId="2EEBA10A"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$17.011.000,00</w:t>
            </w:r>
          </w:p>
        </w:tc>
        <w:tc>
          <w:tcPr>
            <w:tcW w:w="1134" w:type="dxa"/>
            <w:tcBorders>
              <w:top w:val="nil"/>
              <w:left w:val="nil"/>
              <w:bottom w:val="single" w:sz="4" w:space="0" w:color="auto"/>
              <w:right w:val="single" w:sz="4" w:space="0" w:color="auto"/>
            </w:tcBorders>
            <w:shd w:val="clear" w:color="000000" w:fill="BFBFBF"/>
            <w:noWrap/>
            <w:vAlign w:val="center"/>
            <w:hideMark/>
          </w:tcPr>
          <w:p w14:paraId="2AD419C1" w14:textId="21A3123E"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$16.201.850,00</w:t>
            </w:r>
          </w:p>
        </w:tc>
        <w:tc>
          <w:tcPr>
            <w:tcW w:w="1134" w:type="dxa"/>
            <w:tcBorders>
              <w:top w:val="nil"/>
              <w:left w:val="nil"/>
              <w:bottom w:val="single" w:sz="4" w:space="0" w:color="auto"/>
              <w:right w:val="single" w:sz="4" w:space="0" w:color="auto"/>
            </w:tcBorders>
            <w:shd w:val="clear" w:color="000000" w:fill="BFBFBF"/>
            <w:noWrap/>
            <w:vAlign w:val="center"/>
            <w:hideMark/>
          </w:tcPr>
          <w:p w14:paraId="25ECC53A" w14:textId="656744F4"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w:t>
            </w:r>
          </w:p>
        </w:tc>
        <w:tc>
          <w:tcPr>
            <w:tcW w:w="1506" w:type="dxa"/>
            <w:tcBorders>
              <w:top w:val="nil"/>
              <w:left w:val="nil"/>
              <w:bottom w:val="single" w:sz="4" w:space="0" w:color="auto"/>
              <w:right w:val="single" w:sz="4" w:space="0" w:color="auto"/>
            </w:tcBorders>
            <w:shd w:val="clear" w:color="000000" w:fill="BFBFBF"/>
            <w:noWrap/>
            <w:vAlign w:val="center"/>
            <w:hideMark/>
          </w:tcPr>
          <w:p w14:paraId="0756F9D2" w14:textId="5C8A121B"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$16.606.425,00</w:t>
            </w:r>
          </w:p>
        </w:tc>
      </w:tr>
      <w:tr w:rsidR="00B773BF" w:rsidRPr="00B773BF" w14:paraId="03F0B69D" w14:textId="77777777" w:rsidTr="00115A8C">
        <w:trPr>
          <w:trHeight w:val="349"/>
          <w:jc w:val="center"/>
        </w:trPr>
        <w:tc>
          <w:tcPr>
            <w:tcW w:w="562" w:type="dxa"/>
            <w:tcBorders>
              <w:top w:val="nil"/>
              <w:left w:val="single" w:sz="4" w:space="0" w:color="auto"/>
              <w:bottom w:val="single" w:sz="4" w:space="0" w:color="auto"/>
              <w:right w:val="single" w:sz="4" w:space="0" w:color="auto"/>
            </w:tcBorders>
            <w:vAlign w:val="center"/>
            <w:hideMark/>
          </w:tcPr>
          <w:p w14:paraId="49854790"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6.1</w:t>
            </w:r>
          </w:p>
        </w:tc>
        <w:tc>
          <w:tcPr>
            <w:tcW w:w="3828" w:type="dxa"/>
            <w:tcBorders>
              <w:top w:val="nil"/>
              <w:left w:val="nil"/>
              <w:bottom w:val="single" w:sz="4" w:space="0" w:color="auto"/>
              <w:right w:val="single" w:sz="4" w:space="0" w:color="auto"/>
            </w:tcBorders>
            <w:vAlign w:val="center"/>
            <w:hideMark/>
          </w:tcPr>
          <w:p w14:paraId="191742E5"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Bomba de agua potable 5hp BARNES S.A.S Modelo 1A1-1/2-5-2, serie B38217. con tablero de control</w:t>
            </w:r>
          </w:p>
        </w:tc>
        <w:tc>
          <w:tcPr>
            <w:tcW w:w="708" w:type="dxa"/>
            <w:tcBorders>
              <w:top w:val="nil"/>
              <w:left w:val="nil"/>
              <w:bottom w:val="single" w:sz="4" w:space="0" w:color="auto"/>
              <w:right w:val="single" w:sz="4" w:space="0" w:color="auto"/>
            </w:tcBorders>
            <w:vAlign w:val="center"/>
            <w:hideMark/>
          </w:tcPr>
          <w:p w14:paraId="151CFD49"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142D8BB9" w14:textId="750442F4"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$1.460.000,00</w:t>
            </w:r>
          </w:p>
        </w:tc>
        <w:tc>
          <w:tcPr>
            <w:tcW w:w="1134" w:type="dxa"/>
            <w:tcBorders>
              <w:top w:val="nil"/>
              <w:left w:val="nil"/>
              <w:bottom w:val="single" w:sz="4" w:space="0" w:color="auto"/>
              <w:right w:val="single" w:sz="4" w:space="0" w:color="auto"/>
            </w:tcBorders>
            <w:shd w:val="clear" w:color="000000" w:fill="CAEDFB"/>
            <w:vAlign w:val="center"/>
            <w:hideMark/>
          </w:tcPr>
          <w:p w14:paraId="32560682" w14:textId="5FE954D5"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$1.391.110</w:t>
            </w:r>
          </w:p>
        </w:tc>
        <w:tc>
          <w:tcPr>
            <w:tcW w:w="1134" w:type="dxa"/>
            <w:tcBorders>
              <w:top w:val="nil"/>
              <w:left w:val="nil"/>
              <w:bottom w:val="single" w:sz="4" w:space="0" w:color="auto"/>
              <w:right w:val="single" w:sz="4" w:space="0" w:color="auto"/>
            </w:tcBorders>
            <w:shd w:val="clear" w:color="000000" w:fill="CAEDFB"/>
            <w:vAlign w:val="center"/>
            <w:hideMark/>
          </w:tcPr>
          <w:p w14:paraId="29447BF3" w14:textId="44D08841"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w:t>
            </w:r>
          </w:p>
        </w:tc>
        <w:tc>
          <w:tcPr>
            <w:tcW w:w="1506" w:type="dxa"/>
            <w:tcBorders>
              <w:top w:val="nil"/>
              <w:left w:val="nil"/>
              <w:bottom w:val="single" w:sz="4" w:space="0" w:color="auto"/>
              <w:right w:val="single" w:sz="4" w:space="0" w:color="auto"/>
            </w:tcBorders>
            <w:noWrap/>
            <w:vAlign w:val="center"/>
            <w:hideMark/>
          </w:tcPr>
          <w:p w14:paraId="4353E122" w14:textId="3303EA95"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$1.425.555,00</w:t>
            </w:r>
          </w:p>
        </w:tc>
      </w:tr>
      <w:tr w:rsidR="00B773BF" w:rsidRPr="00B773BF" w14:paraId="7DEA4DA5" w14:textId="77777777" w:rsidTr="00115A8C">
        <w:trPr>
          <w:trHeight w:val="297"/>
          <w:jc w:val="center"/>
        </w:trPr>
        <w:tc>
          <w:tcPr>
            <w:tcW w:w="562" w:type="dxa"/>
            <w:tcBorders>
              <w:top w:val="nil"/>
              <w:left w:val="single" w:sz="4" w:space="0" w:color="auto"/>
              <w:bottom w:val="single" w:sz="4" w:space="0" w:color="auto"/>
              <w:right w:val="single" w:sz="4" w:space="0" w:color="auto"/>
            </w:tcBorders>
            <w:vAlign w:val="center"/>
            <w:hideMark/>
          </w:tcPr>
          <w:p w14:paraId="449A4FAB"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6.2</w:t>
            </w:r>
          </w:p>
        </w:tc>
        <w:tc>
          <w:tcPr>
            <w:tcW w:w="3828" w:type="dxa"/>
            <w:tcBorders>
              <w:top w:val="nil"/>
              <w:left w:val="nil"/>
              <w:bottom w:val="single" w:sz="4" w:space="0" w:color="auto"/>
              <w:right w:val="single" w:sz="4" w:space="0" w:color="auto"/>
            </w:tcBorders>
            <w:vAlign w:val="center"/>
            <w:hideMark/>
          </w:tcPr>
          <w:p w14:paraId="6EEF3A85" w14:textId="02074692"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 xml:space="preserve">Bomba Jockey Marca: </w:t>
            </w:r>
            <w:r w:rsidR="00115A8C" w:rsidRPr="00B773BF">
              <w:rPr>
                <w:rFonts w:ascii="Arial" w:hAnsi="Arial" w:cs="Arial"/>
                <w:color w:val="000000"/>
                <w:sz w:val="12"/>
                <w:szCs w:val="12"/>
              </w:rPr>
              <w:t>DIACOL Modelo</w:t>
            </w:r>
            <w:r w:rsidRPr="00B773BF">
              <w:rPr>
                <w:rFonts w:ascii="Arial" w:hAnsi="Arial" w:cs="Arial"/>
                <w:color w:val="000000"/>
                <w:sz w:val="12"/>
                <w:szCs w:val="12"/>
              </w:rPr>
              <w:t xml:space="preserve"> BLT 2-11 Caudal de 33 </w:t>
            </w:r>
            <w:proofErr w:type="spellStart"/>
            <w:r w:rsidRPr="00B773BF">
              <w:rPr>
                <w:rFonts w:ascii="Arial" w:hAnsi="Arial" w:cs="Arial"/>
                <w:color w:val="000000"/>
                <w:sz w:val="12"/>
                <w:szCs w:val="12"/>
              </w:rPr>
              <w:t>lpm</w:t>
            </w:r>
            <w:proofErr w:type="spellEnd"/>
            <w:r w:rsidRPr="00B773BF">
              <w:rPr>
                <w:rFonts w:ascii="Arial" w:hAnsi="Arial" w:cs="Arial"/>
                <w:color w:val="000000"/>
                <w:sz w:val="12"/>
                <w:szCs w:val="12"/>
              </w:rPr>
              <w:t xml:space="preserve"> (litros por </w:t>
            </w:r>
            <w:r w:rsidR="00115A8C" w:rsidRPr="00B773BF">
              <w:rPr>
                <w:rFonts w:ascii="Arial" w:hAnsi="Arial" w:cs="Arial"/>
                <w:color w:val="000000"/>
                <w:sz w:val="12"/>
                <w:szCs w:val="12"/>
              </w:rPr>
              <w:t>minuto) Potencia</w:t>
            </w:r>
            <w:r w:rsidRPr="00B773BF">
              <w:rPr>
                <w:rFonts w:ascii="Arial" w:hAnsi="Arial" w:cs="Arial"/>
                <w:color w:val="000000"/>
                <w:sz w:val="12"/>
                <w:szCs w:val="12"/>
              </w:rPr>
              <w:t xml:space="preserve"> de 2,2 KW (2,68 hp) con tablero principal</w:t>
            </w:r>
          </w:p>
        </w:tc>
        <w:tc>
          <w:tcPr>
            <w:tcW w:w="708" w:type="dxa"/>
            <w:tcBorders>
              <w:top w:val="nil"/>
              <w:left w:val="nil"/>
              <w:bottom w:val="single" w:sz="4" w:space="0" w:color="auto"/>
              <w:right w:val="single" w:sz="4" w:space="0" w:color="auto"/>
            </w:tcBorders>
            <w:vAlign w:val="center"/>
            <w:hideMark/>
          </w:tcPr>
          <w:p w14:paraId="5523564E"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47B2E0FA" w14:textId="28B849D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$1.182.000,00</w:t>
            </w:r>
          </w:p>
        </w:tc>
        <w:tc>
          <w:tcPr>
            <w:tcW w:w="1134" w:type="dxa"/>
            <w:tcBorders>
              <w:top w:val="nil"/>
              <w:left w:val="nil"/>
              <w:bottom w:val="single" w:sz="4" w:space="0" w:color="auto"/>
              <w:right w:val="single" w:sz="4" w:space="0" w:color="auto"/>
            </w:tcBorders>
            <w:shd w:val="clear" w:color="000000" w:fill="CAEDFB"/>
            <w:vAlign w:val="center"/>
            <w:hideMark/>
          </w:tcPr>
          <w:p w14:paraId="346DAD37" w14:textId="22BF1BEF"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$1.125.740</w:t>
            </w:r>
          </w:p>
        </w:tc>
        <w:tc>
          <w:tcPr>
            <w:tcW w:w="1134" w:type="dxa"/>
            <w:tcBorders>
              <w:top w:val="nil"/>
              <w:left w:val="nil"/>
              <w:bottom w:val="single" w:sz="4" w:space="0" w:color="auto"/>
              <w:right w:val="single" w:sz="4" w:space="0" w:color="auto"/>
            </w:tcBorders>
            <w:shd w:val="clear" w:color="000000" w:fill="CAEDFB"/>
            <w:vAlign w:val="center"/>
            <w:hideMark/>
          </w:tcPr>
          <w:p w14:paraId="6E9ADB03" w14:textId="74261248"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w:t>
            </w:r>
          </w:p>
        </w:tc>
        <w:tc>
          <w:tcPr>
            <w:tcW w:w="1506" w:type="dxa"/>
            <w:tcBorders>
              <w:top w:val="nil"/>
              <w:left w:val="nil"/>
              <w:bottom w:val="single" w:sz="4" w:space="0" w:color="auto"/>
              <w:right w:val="single" w:sz="4" w:space="0" w:color="auto"/>
            </w:tcBorders>
            <w:noWrap/>
            <w:vAlign w:val="center"/>
            <w:hideMark/>
          </w:tcPr>
          <w:p w14:paraId="45D0FF98" w14:textId="1F27C9AC"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$1.153.870,00</w:t>
            </w:r>
          </w:p>
        </w:tc>
      </w:tr>
      <w:tr w:rsidR="00B773BF" w:rsidRPr="00B773BF" w14:paraId="14D50EB4"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20B1B492"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6.3</w:t>
            </w:r>
          </w:p>
        </w:tc>
        <w:tc>
          <w:tcPr>
            <w:tcW w:w="3828" w:type="dxa"/>
            <w:tcBorders>
              <w:top w:val="nil"/>
              <w:left w:val="nil"/>
              <w:bottom w:val="single" w:sz="4" w:space="0" w:color="auto"/>
              <w:right w:val="single" w:sz="4" w:space="0" w:color="auto"/>
            </w:tcBorders>
            <w:vAlign w:val="center"/>
            <w:hideMark/>
          </w:tcPr>
          <w:p w14:paraId="5C6901CE"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 xml:space="preserve">Motobomba principal red contra incendios 50 HP con tablero principal </w:t>
            </w:r>
          </w:p>
        </w:tc>
        <w:tc>
          <w:tcPr>
            <w:tcW w:w="708" w:type="dxa"/>
            <w:tcBorders>
              <w:top w:val="nil"/>
              <w:left w:val="nil"/>
              <w:bottom w:val="single" w:sz="4" w:space="0" w:color="auto"/>
              <w:right w:val="single" w:sz="4" w:space="0" w:color="auto"/>
            </w:tcBorders>
            <w:vAlign w:val="center"/>
            <w:hideMark/>
          </w:tcPr>
          <w:p w14:paraId="4C506AF5"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44240F52" w14:textId="71AA3DA3"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$8.122.000,00</w:t>
            </w:r>
          </w:p>
        </w:tc>
        <w:tc>
          <w:tcPr>
            <w:tcW w:w="1134" w:type="dxa"/>
            <w:tcBorders>
              <w:top w:val="nil"/>
              <w:left w:val="nil"/>
              <w:bottom w:val="single" w:sz="4" w:space="0" w:color="auto"/>
              <w:right w:val="single" w:sz="4" w:space="0" w:color="auto"/>
            </w:tcBorders>
            <w:shd w:val="clear" w:color="000000" w:fill="CAEDFB"/>
            <w:vAlign w:val="center"/>
            <w:hideMark/>
          </w:tcPr>
          <w:p w14:paraId="366CA038" w14:textId="67528E2B"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$7.735.000</w:t>
            </w:r>
          </w:p>
        </w:tc>
        <w:tc>
          <w:tcPr>
            <w:tcW w:w="1134" w:type="dxa"/>
            <w:tcBorders>
              <w:top w:val="nil"/>
              <w:left w:val="nil"/>
              <w:bottom w:val="single" w:sz="4" w:space="0" w:color="auto"/>
              <w:right w:val="single" w:sz="4" w:space="0" w:color="auto"/>
            </w:tcBorders>
            <w:shd w:val="clear" w:color="000000" w:fill="CAEDFB"/>
            <w:vAlign w:val="center"/>
            <w:hideMark/>
          </w:tcPr>
          <w:p w14:paraId="004B5F9C" w14:textId="315D0091"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w:t>
            </w:r>
          </w:p>
        </w:tc>
        <w:tc>
          <w:tcPr>
            <w:tcW w:w="1506" w:type="dxa"/>
            <w:tcBorders>
              <w:top w:val="nil"/>
              <w:left w:val="nil"/>
              <w:bottom w:val="single" w:sz="4" w:space="0" w:color="auto"/>
              <w:right w:val="single" w:sz="4" w:space="0" w:color="auto"/>
            </w:tcBorders>
            <w:noWrap/>
            <w:vAlign w:val="center"/>
            <w:hideMark/>
          </w:tcPr>
          <w:p w14:paraId="669FA049" w14:textId="6CCFA9C6"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$7.928.500,00</w:t>
            </w:r>
          </w:p>
        </w:tc>
      </w:tr>
      <w:tr w:rsidR="00B773BF" w:rsidRPr="00B773BF" w14:paraId="15AC6244"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4CA1CCC2"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6.4</w:t>
            </w:r>
          </w:p>
        </w:tc>
        <w:tc>
          <w:tcPr>
            <w:tcW w:w="3828" w:type="dxa"/>
            <w:tcBorders>
              <w:top w:val="nil"/>
              <w:left w:val="nil"/>
              <w:bottom w:val="single" w:sz="4" w:space="0" w:color="auto"/>
              <w:right w:val="single" w:sz="4" w:space="0" w:color="auto"/>
            </w:tcBorders>
            <w:vAlign w:val="center"/>
            <w:hideMark/>
          </w:tcPr>
          <w:p w14:paraId="7638FF3F"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Bombas sumergibles aguas negras 2 HP con tablero de control</w:t>
            </w:r>
          </w:p>
        </w:tc>
        <w:tc>
          <w:tcPr>
            <w:tcW w:w="708" w:type="dxa"/>
            <w:tcBorders>
              <w:top w:val="nil"/>
              <w:left w:val="nil"/>
              <w:bottom w:val="single" w:sz="4" w:space="0" w:color="auto"/>
              <w:right w:val="single" w:sz="4" w:space="0" w:color="auto"/>
            </w:tcBorders>
            <w:vAlign w:val="center"/>
            <w:hideMark/>
          </w:tcPr>
          <w:p w14:paraId="6DE6D4C6"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4B7DA485" w14:textId="6FA22138"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$1.499.000,00</w:t>
            </w:r>
          </w:p>
        </w:tc>
        <w:tc>
          <w:tcPr>
            <w:tcW w:w="1134" w:type="dxa"/>
            <w:tcBorders>
              <w:top w:val="nil"/>
              <w:left w:val="nil"/>
              <w:bottom w:val="single" w:sz="4" w:space="0" w:color="auto"/>
              <w:right w:val="single" w:sz="4" w:space="0" w:color="auto"/>
            </w:tcBorders>
            <w:shd w:val="clear" w:color="000000" w:fill="CAEDFB"/>
            <w:vAlign w:val="center"/>
            <w:hideMark/>
          </w:tcPr>
          <w:p w14:paraId="2E1D4E12" w14:textId="15C9A136"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$1.428.000</w:t>
            </w:r>
          </w:p>
        </w:tc>
        <w:tc>
          <w:tcPr>
            <w:tcW w:w="1134" w:type="dxa"/>
            <w:tcBorders>
              <w:top w:val="nil"/>
              <w:left w:val="nil"/>
              <w:bottom w:val="single" w:sz="4" w:space="0" w:color="auto"/>
              <w:right w:val="single" w:sz="4" w:space="0" w:color="auto"/>
            </w:tcBorders>
            <w:shd w:val="clear" w:color="000000" w:fill="CAEDFB"/>
            <w:vAlign w:val="center"/>
            <w:hideMark/>
          </w:tcPr>
          <w:p w14:paraId="3548D484" w14:textId="591AA283"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w:t>
            </w:r>
          </w:p>
        </w:tc>
        <w:tc>
          <w:tcPr>
            <w:tcW w:w="1506" w:type="dxa"/>
            <w:tcBorders>
              <w:top w:val="nil"/>
              <w:left w:val="nil"/>
              <w:bottom w:val="single" w:sz="4" w:space="0" w:color="auto"/>
              <w:right w:val="single" w:sz="4" w:space="0" w:color="auto"/>
            </w:tcBorders>
            <w:noWrap/>
            <w:vAlign w:val="center"/>
            <w:hideMark/>
          </w:tcPr>
          <w:p w14:paraId="460DACD6" w14:textId="796E8DF2"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$1.463.500,00</w:t>
            </w:r>
          </w:p>
        </w:tc>
      </w:tr>
      <w:tr w:rsidR="00B773BF" w:rsidRPr="00B773BF" w14:paraId="7EFEAAAC"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114279FC"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6.5</w:t>
            </w:r>
          </w:p>
        </w:tc>
        <w:tc>
          <w:tcPr>
            <w:tcW w:w="3828" w:type="dxa"/>
            <w:tcBorders>
              <w:top w:val="nil"/>
              <w:left w:val="nil"/>
              <w:bottom w:val="single" w:sz="4" w:space="0" w:color="auto"/>
              <w:right w:val="single" w:sz="4" w:space="0" w:color="auto"/>
            </w:tcBorders>
            <w:vAlign w:val="center"/>
            <w:hideMark/>
          </w:tcPr>
          <w:p w14:paraId="3E4E83A0"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 xml:space="preserve">Tanque </w:t>
            </w:r>
            <w:proofErr w:type="spellStart"/>
            <w:r w:rsidRPr="00B773BF">
              <w:rPr>
                <w:rFonts w:ascii="Arial" w:hAnsi="Arial" w:cs="Arial"/>
                <w:color w:val="000000"/>
                <w:sz w:val="12"/>
                <w:szCs w:val="12"/>
              </w:rPr>
              <w:t>hidroflo</w:t>
            </w:r>
            <w:proofErr w:type="spellEnd"/>
            <w:r w:rsidRPr="00B773BF">
              <w:rPr>
                <w:rFonts w:ascii="Arial" w:hAnsi="Arial" w:cs="Arial"/>
                <w:color w:val="000000"/>
                <w:sz w:val="12"/>
                <w:szCs w:val="12"/>
              </w:rPr>
              <w:t xml:space="preserve"> 300L incluye cambio de membrana si es necesario</w:t>
            </w:r>
          </w:p>
        </w:tc>
        <w:tc>
          <w:tcPr>
            <w:tcW w:w="708" w:type="dxa"/>
            <w:tcBorders>
              <w:top w:val="nil"/>
              <w:left w:val="nil"/>
              <w:bottom w:val="single" w:sz="4" w:space="0" w:color="auto"/>
              <w:right w:val="single" w:sz="4" w:space="0" w:color="auto"/>
            </w:tcBorders>
            <w:vAlign w:val="center"/>
            <w:hideMark/>
          </w:tcPr>
          <w:p w14:paraId="0E461726"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31F2B797" w14:textId="4389280F"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$750.000,00</w:t>
            </w:r>
          </w:p>
        </w:tc>
        <w:tc>
          <w:tcPr>
            <w:tcW w:w="1134" w:type="dxa"/>
            <w:tcBorders>
              <w:top w:val="nil"/>
              <w:left w:val="nil"/>
              <w:bottom w:val="single" w:sz="4" w:space="0" w:color="auto"/>
              <w:right w:val="single" w:sz="4" w:space="0" w:color="auto"/>
            </w:tcBorders>
            <w:shd w:val="clear" w:color="000000" w:fill="CAEDFB"/>
            <w:vAlign w:val="center"/>
            <w:hideMark/>
          </w:tcPr>
          <w:p w14:paraId="4779EAD4" w14:textId="3177790E"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$714.000</w:t>
            </w:r>
          </w:p>
        </w:tc>
        <w:tc>
          <w:tcPr>
            <w:tcW w:w="1134" w:type="dxa"/>
            <w:tcBorders>
              <w:top w:val="nil"/>
              <w:left w:val="nil"/>
              <w:bottom w:val="single" w:sz="4" w:space="0" w:color="auto"/>
              <w:right w:val="single" w:sz="4" w:space="0" w:color="auto"/>
            </w:tcBorders>
            <w:shd w:val="clear" w:color="000000" w:fill="CAEDFB"/>
            <w:vAlign w:val="center"/>
            <w:hideMark/>
          </w:tcPr>
          <w:p w14:paraId="2B32B217" w14:textId="5FE9505A"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w:t>
            </w:r>
          </w:p>
        </w:tc>
        <w:tc>
          <w:tcPr>
            <w:tcW w:w="1506" w:type="dxa"/>
            <w:tcBorders>
              <w:top w:val="nil"/>
              <w:left w:val="nil"/>
              <w:bottom w:val="single" w:sz="4" w:space="0" w:color="auto"/>
              <w:right w:val="single" w:sz="4" w:space="0" w:color="auto"/>
            </w:tcBorders>
            <w:noWrap/>
            <w:vAlign w:val="center"/>
            <w:hideMark/>
          </w:tcPr>
          <w:p w14:paraId="52E6E57C" w14:textId="661E0063"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$732.000,00</w:t>
            </w:r>
          </w:p>
        </w:tc>
      </w:tr>
      <w:tr w:rsidR="00B773BF" w:rsidRPr="00B773BF" w14:paraId="636AF6DC"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0AE68684"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6.6</w:t>
            </w:r>
          </w:p>
        </w:tc>
        <w:tc>
          <w:tcPr>
            <w:tcW w:w="3828" w:type="dxa"/>
            <w:tcBorders>
              <w:top w:val="nil"/>
              <w:left w:val="nil"/>
              <w:bottom w:val="single" w:sz="4" w:space="0" w:color="auto"/>
              <w:right w:val="single" w:sz="4" w:space="0" w:color="auto"/>
            </w:tcBorders>
            <w:vAlign w:val="center"/>
            <w:hideMark/>
          </w:tcPr>
          <w:p w14:paraId="48C33D82"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Lavado y desinfección tanque agua potable 25 m3</w:t>
            </w:r>
          </w:p>
        </w:tc>
        <w:tc>
          <w:tcPr>
            <w:tcW w:w="708" w:type="dxa"/>
            <w:tcBorders>
              <w:top w:val="nil"/>
              <w:left w:val="nil"/>
              <w:bottom w:val="single" w:sz="4" w:space="0" w:color="auto"/>
              <w:right w:val="single" w:sz="4" w:space="0" w:color="auto"/>
            </w:tcBorders>
            <w:vAlign w:val="center"/>
            <w:hideMark/>
          </w:tcPr>
          <w:p w14:paraId="0D6F24F1"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7BE8F116" w14:textId="1A79F836"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$1.499.000,00</w:t>
            </w:r>
          </w:p>
        </w:tc>
        <w:tc>
          <w:tcPr>
            <w:tcW w:w="1134" w:type="dxa"/>
            <w:tcBorders>
              <w:top w:val="nil"/>
              <w:left w:val="nil"/>
              <w:bottom w:val="single" w:sz="4" w:space="0" w:color="auto"/>
              <w:right w:val="single" w:sz="4" w:space="0" w:color="auto"/>
            </w:tcBorders>
            <w:shd w:val="clear" w:color="000000" w:fill="CAEDFB"/>
            <w:vAlign w:val="center"/>
            <w:hideMark/>
          </w:tcPr>
          <w:p w14:paraId="3275DA65" w14:textId="0C86405B"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$1.428.000</w:t>
            </w:r>
          </w:p>
        </w:tc>
        <w:tc>
          <w:tcPr>
            <w:tcW w:w="1134" w:type="dxa"/>
            <w:tcBorders>
              <w:top w:val="nil"/>
              <w:left w:val="nil"/>
              <w:bottom w:val="single" w:sz="4" w:space="0" w:color="auto"/>
              <w:right w:val="single" w:sz="4" w:space="0" w:color="auto"/>
            </w:tcBorders>
            <w:shd w:val="clear" w:color="000000" w:fill="CAEDFB"/>
            <w:vAlign w:val="center"/>
            <w:hideMark/>
          </w:tcPr>
          <w:p w14:paraId="6E4822D7" w14:textId="7AF391B5"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w:t>
            </w:r>
          </w:p>
        </w:tc>
        <w:tc>
          <w:tcPr>
            <w:tcW w:w="1506" w:type="dxa"/>
            <w:tcBorders>
              <w:top w:val="nil"/>
              <w:left w:val="nil"/>
              <w:bottom w:val="single" w:sz="4" w:space="0" w:color="auto"/>
              <w:right w:val="single" w:sz="4" w:space="0" w:color="auto"/>
            </w:tcBorders>
            <w:noWrap/>
            <w:vAlign w:val="center"/>
            <w:hideMark/>
          </w:tcPr>
          <w:p w14:paraId="606D7D40" w14:textId="54BADA0F"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$1.463.500,00</w:t>
            </w:r>
          </w:p>
        </w:tc>
      </w:tr>
      <w:tr w:rsidR="00B773BF" w:rsidRPr="00B773BF" w14:paraId="03B83078"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198D445E"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6.7</w:t>
            </w:r>
          </w:p>
        </w:tc>
        <w:tc>
          <w:tcPr>
            <w:tcW w:w="3828" w:type="dxa"/>
            <w:tcBorders>
              <w:top w:val="nil"/>
              <w:left w:val="nil"/>
              <w:bottom w:val="single" w:sz="4" w:space="0" w:color="auto"/>
              <w:right w:val="single" w:sz="4" w:space="0" w:color="auto"/>
            </w:tcBorders>
            <w:vAlign w:val="center"/>
            <w:hideMark/>
          </w:tcPr>
          <w:p w14:paraId="5B8499F2"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 xml:space="preserve">Lavado y desinfección tanque red </w:t>
            </w:r>
            <w:proofErr w:type="spellStart"/>
            <w:r w:rsidRPr="00B773BF">
              <w:rPr>
                <w:rFonts w:ascii="Arial" w:hAnsi="Arial" w:cs="Arial"/>
                <w:color w:val="000000"/>
                <w:sz w:val="12"/>
                <w:szCs w:val="12"/>
              </w:rPr>
              <w:t>contraincentios</w:t>
            </w:r>
            <w:proofErr w:type="spellEnd"/>
            <w:r w:rsidRPr="00B773BF">
              <w:rPr>
                <w:rFonts w:ascii="Arial" w:hAnsi="Arial" w:cs="Arial"/>
                <w:color w:val="000000"/>
                <w:sz w:val="12"/>
                <w:szCs w:val="12"/>
              </w:rPr>
              <w:t xml:space="preserve"> 108 m3</w:t>
            </w:r>
          </w:p>
        </w:tc>
        <w:tc>
          <w:tcPr>
            <w:tcW w:w="708" w:type="dxa"/>
            <w:tcBorders>
              <w:top w:val="nil"/>
              <w:left w:val="nil"/>
              <w:bottom w:val="single" w:sz="4" w:space="0" w:color="auto"/>
              <w:right w:val="single" w:sz="4" w:space="0" w:color="auto"/>
            </w:tcBorders>
            <w:vAlign w:val="center"/>
            <w:hideMark/>
          </w:tcPr>
          <w:p w14:paraId="2FF2AA2C"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0B771C60" w14:textId="0424B94B"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$2.499.000,00</w:t>
            </w:r>
          </w:p>
        </w:tc>
        <w:tc>
          <w:tcPr>
            <w:tcW w:w="1134" w:type="dxa"/>
            <w:tcBorders>
              <w:top w:val="nil"/>
              <w:left w:val="nil"/>
              <w:bottom w:val="single" w:sz="4" w:space="0" w:color="auto"/>
              <w:right w:val="single" w:sz="4" w:space="0" w:color="auto"/>
            </w:tcBorders>
            <w:shd w:val="clear" w:color="000000" w:fill="CAEDFB"/>
            <w:vAlign w:val="center"/>
            <w:hideMark/>
          </w:tcPr>
          <w:p w14:paraId="73883FCD" w14:textId="31657E48"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$2.380.000</w:t>
            </w:r>
          </w:p>
        </w:tc>
        <w:tc>
          <w:tcPr>
            <w:tcW w:w="1134" w:type="dxa"/>
            <w:tcBorders>
              <w:top w:val="nil"/>
              <w:left w:val="nil"/>
              <w:bottom w:val="single" w:sz="4" w:space="0" w:color="auto"/>
              <w:right w:val="single" w:sz="4" w:space="0" w:color="auto"/>
            </w:tcBorders>
            <w:shd w:val="clear" w:color="000000" w:fill="CAEDFB"/>
            <w:vAlign w:val="center"/>
            <w:hideMark/>
          </w:tcPr>
          <w:p w14:paraId="4D048CC4" w14:textId="4629B51F"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w:t>
            </w:r>
          </w:p>
        </w:tc>
        <w:tc>
          <w:tcPr>
            <w:tcW w:w="1506" w:type="dxa"/>
            <w:tcBorders>
              <w:top w:val="nil"/>
              <w:left w:val="nil"/>
              <w:bottom w:val="single" w:sz="4" w:space="0" w:color="auto"/>
              <w:right w:val="single" w:sz="4" w:space="0" w:color="auto"/>
            </w:tcBorders>
            <w:noWrap/>
            <w:vAlign w:val="center"/>
            <w:hideMark/>
          </w:tcPr>
          <w:p w14:paraId="42990741" w14:textId="2F45A76C"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$2.439.500,00</w:t>
            </w:r>
          </w:p>
        </w:tc>
      </w:tr>
      <w:tr w:rsidR="00B773BF" w:rsidRPr="00B773BF" w14:paraId="1F8A9278" w14:textId="77777777" w:rsidTr="00B773BF">
        <w:trPr>
          <w:trHeight w:val="255"/>
          <w:jc w:val="center"/>
        </w:trPr>
        <w:tc>
          <w:tcPr>
            <w:tcW w:w="562" w:type="dxa"/>
            <w:tcBorders>
              <w:top w:val="nil"/>
              <w:left w:val="single" w:sz="4" w:space="0" w:color="auto"/>
              <w:bottom w:val="single" w:sz="4" w:space="0" w:color="auto"/>
              <w:right w:val="single" w:sz="4" w:space="0" w:color="auto"/>
            </w:tcBorders>
            <w:shd w:val="clear" w:color="000000" w:fill="BFBFBF"/>
            <w:vAlign w:val="center"/>
            <w:hideMark/>
          </w:tcPr>
          <w:p w14:paraId="4C2815A1" w14:textId="77777777"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7</w:t>
            </w:r>
          </w:p>
        </w:tc>
        <w:tc>
          <w:tcPr>
            <w:tcW w:w="3828" w:type="dxa"/>
            <w:tcBorders>
              <w:top w:val="nil"/>
              <w:left w:val="nil"/>
              <w:bottom w:val="single" w:sz="4" w:space="0" w:color="auto"/>
              <w:right w:val="single" w:sz="4" w:space="0" w:color="auto"/>
            </w:tcBorders>
            <w:shd w:val="clear" w:color="000000" w:fill="BFBFBF"/>
            <w:noWrap/>
            <w:vAlign w:val="center"/>
            <w:hideMark/>
          </w:tcPr>
          <w:p w14:paraId="38D29782" w14:textId="77777777" w:rsidR="00B773BF" w:rsidRPr="00B773BF" w:rsidRDefault="00B773BF">
            <w:pPr>
              <w:rPr>
                <w:rFonts w:ascii="Arial" w:hAnsi="Arial" w:cs="Arial"/>
                <w:b/>
                <w:bCs/>
                <w:color w:val="000000"/>
                <w:sz w:val="12"/>
                <w:szCs w:val="12"/>
              </w:rPr>
            </w:pPr>
            <w:r w:rsidRPr="00B773BF">
              <w:rPr>
                <w:rFonts w:ascii="Arial" w:hAnsi="Arial" w:cs="Arial"/>
                <w:b/>
                <w:bCs/>
                <w:color w:val="000000"/>
                <w:sz w:val="12"/>
                <w:szCs w:val="12"/>
              </w:rPr>
              <w:t>Palacio de Justicia de Leticia - Amazonas</w:t>
            </w:r>
          </w:p>
        </w:tc>
        <w:tc>
          <w:tcPr>
            <w:tcW w:w="708" w:type="dxa"/>
            <w:tcBorders>
              <w:top w:val="nil"/>
              <w:left w:val="nil"/>
              <w:bottom w:val="single" w:sz="4" w:space="0" w:color="auto"/>
              <w:right w:val="single" w:sz="4" w:space="0" w:color="auto"/>
            </w:tcBorders>
            <w:shd w:val="clear" w:color="000000" w:fill="BFBFBF"/>
            <w:noWrap/>
            <w:vAlign w:val="center"/>
            <w:hideMark/>
          </w:tcPr>
          <w:p w14:paraId="7F826D66" w14:textId="77777777" w:rsidR="00B773BF" w:rsidRPr="00B773BF" w:rsidRDefault="00B773BF">
            <w:pPr>
              <w:rPr>
                <w:rFonts w:ascii="Arial" w:hAnsi="Arial" w:cs="Arial"/>
                <w:b/>
                <w:bCs/>
                <w:color w:val="000000"/>
                <w:sz w:val="12"/>
                <w:szCs w:val="12"/>
              </w:rPr>
            </w:pPr>
            <w:r w:rsidRPr="00B773BF">
              <w:rPr>
                <w:rFonts w:ascii="Arial" w:hAnsi="Arial" w:cs="Arial"/>
                <w:b/>
                <w:bCs/>
                <w:color w:val="000000"/>
                <w:sz w:val="12"/>
                <w:szCs w:val="12"/>
              </w:rPr>
              <w:t> </w:t>
            </w:r>
          </w:p>
        </w:tc>
        <w:tc>
          <w:tcPr>
            <w:tcW w:w="1560" w:type="dxa"/>
            <w:tcBorders>
              <w:top w:val="nil"/>
              <w:left w:val="nil"/>
              <w:bottom w:val="single" w:sz="4" w:space="0" w:color="auto"/>
              <w:right w:val="single" w:sz="4" w:space="0" w:color="auto"/>
            </w:tcBorders>
            <w:shd w:val="clear" w:color="000000" w:fill="BFBFBF"/>
            <w:noWrap/>
            <w:vAlign w:val="center"/>
            <w:hideMark/>
          </w:tcPr>
          <w:p w14:paraId="49ABE9E7" w14:textId="5B40BD08"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$4.095.000,00</w:t>
            </w:r>
          </w:p>
        </w:tc>
        <w:tc>
          <w:tcPr>
            <w:tcW w:w="1134" w:type="dxa"/>
            <w:tcBorders>
              <w:top w:val="nil"/>
              <w:left w:val="nil"/>
              <w:bottom w:val="single" w:sz="4" w:space="0" w:color="auto"/>
              <w:right w:val="single" w:sz="4" w:space="0" w:color="auto"/>
            </w:tcBorders>
            <w:shd w:val="clear" w:color="000000" w:fill="BFBFBF"/>
            <w:noWrap/>
            <w:vAlign w:val="center"/>
            <w:hideMark/>
          </w:tcPr>
          <w:p w14:paraId="63391975" w14:textId="05342729"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$3.900.000,00</w:t>
            </w:r>
          </w:p>
        </w:tc>
        <w:tc>
          <w:tcPr>
            <w:tcW w:w="1134" w:type="dxa"/>
            <w:tcBorders>
              <w:top w:val="nil"/>
              <w:left w:val="nil"/>
              <w:bottom w:val="single" w:sz="4" w:space="0" w:color="auto"/>
              <w:right w:val="single" w:sz="4" w:space="0" w:color="auto"/>
            </w:tcBorders>
            <w:shd w:val="clear" w:color="000000" w:fill="BFBFBF"/>
            <w:noWrap/>
            <w:vAlign w:val="center"/>
            <w:hideMark/>
          </w:tcPr>
          <w:p w14:paraId="209295D7" w14:textId="531E8B1D"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$1.233.912,26</w:t>
            </w:r>
          </w:p>
        </w:tc>
        <w:tc>
          <w:tcPr>
            <w:tcW w:w="1506" w:type="dxa"/>
            <w:tcBorders>
              <w:top w:val="nil"/>
              <w:left w:val="nil"/>
              <w:bottom w:val="single" w:sz="4" w:space="0" w:color="auto"/>
              <w:right w:val="single" w:sz="4" w:space="0" w:color="auto"/>
            </w:tcBorders>
            <w:shd w:val="clear" w:color="000000" w:fill="BFBFBF"/>
            <w:noWrap/>
            <w:vAlign w:val="center"/>
            <w:hideMark/>
          </w:tcPr>
          <w:p w14:paraId="328B2802" w14:textId="1D333F3F"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$3.076.304,00</w:t>
            </w:r>
          </w:p>
        </w:tc>
      </w:tr>
      <w:tr w:rsidR="00B773BF" w:rsidRPr="00B773BF" w14:paraId="1B7E2333"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2221D2D9"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7.1</w:t>
            </w:r>
          </w:p>
        </w:tc>
        <w:tc>
          <w:tcPr>
            <w:tcW w:w="3828" w:type="dxa"/>
            <w:tcBorders>
              <w:top w:val="nil"/>
              <w:left w:val="nil"/>
              <w:bottom w:val="single" w:sz="4" w:space="0" w:color="auto"/>
              <w:right w:val="single" w:sz="4" w:space="0" w:color="auto"/>
            </w:tcBorders>
            <w:vAlign w:val="center"/>
            <w:hideMark/>
          </w:tcPr>
          <w:p w14:paraId="06A28CBA"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Mantenimiento preventivo y correctivo de Bomba de 2.5 HP,220 v</w:t>
            </w:r>
          </w:p>
        </w:tc>
        <w:tc>
          <w:tcPr>
            <w:tcW w:w="708" w:type="dxa"/>
            <w:tcBorders>
              <w:top w:val="nil"/>
              <w:left w:val="nil"/>
              <w:bottom w:val="single" w:sz="4" w:space="0" w:color="auto"/>
              <w:right w:val="single" w:sz="4" w:space="0" w:color="auto"/>
            </w:tcBorders>
            <w:vAlign w:val="center"/>
            <w:hideMark/>
          </w:tcPr>
          <w:p w14:paraId="29CDAEB4"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52B40B54" w14:textId="37FA21BB"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$1.470.000,00</w:t>
            </w:r>
          </w:p>
        </w:tc>
        <w:tc>
          <w:tcPr>
            <w:tcW w:w="1134" w:type="dxa"/>
            <w:tcBorders>
              <w:top w:val="nil"/>
              <w:left w:val="nil"/>
              <w:bottom w:val="single" w:sz="4" w:space="0" w:color="auto"/>
              <w:right w:val="single" w:sz="4" w:space="0" w:color="auto"/>
            </w:tcBorders>
            <w:shd w:val="clear" w:color="000000" w:fill="CAEDFB"/>
            <w:vAlign w:val="center"/>
            <w:hideMark/>
          </w:tcPr>
          <w:p w14:paraId="60236A7C" w14:textId="500DFAE3"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$1.400.000</w:t>
            </w:r>
          </w:p>
        </w:tc>
        <w:tc>
          <w:tcPr>
            <w:tcW w:w="1134" w:type="dxa"/>
            <w:tcBorders>
              <w:top w:val="nil"/>
              <w:left w:val="nil"/>
              <w:bottom w:val="single" w:sz="4" w:space="0" w:color="auto"/>
              <w:right w:val="single" w:sz="4" w:space="0" w:color="auto"/>
            </w:tcBorders>
            <w:shd w:val="clear" w:color="000000" w:fill="CAEDFB"/>
            <w:vAlign w:val="center"/>
            <w:hideMark/>
          </w:tcPr>
          <w:p w14:paraId="49B8F023" w14:textId="14BDCCC8"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$260.870</w:t>
            </w:r>
          </w:p>
        </w:tc>
        <w:tc>
          <w:tcPr>
            <w:tcW w:w="1506" w:type="dxa"/>
            <w:tcBorders>
              <w:top w:val="nil"/>
              <w:left w:val="nil"/>
              <w:bottom w:val="single" w:sz="4" w:space="0" w:color="auto"/>
              <w:right w:val="single" w:sz="4" w:space="0" w:color="auto"/>
            </w:tcBorders>
            <w:noWrap/>
            <w:vAlign w:val="center"/>
            <w:hideMark/>
          </w:tcPr>
          <w:p w14:paraId="56E1476E" w14:textId="54BEF17E"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$1.043.623,00</w:t>
            </w:r>
          </w:p>
        </w:tc>
      </w:tr>
      <w:tr w:rsidR="00B773BF" w:rsidRPr="00B773BF" w14:paraId="27D7775B"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51192601"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7.2</w:t>
            </w:r>
          </w:p>
        </w:tc>
        <w:tc>
          <w:tcPr>
            <w:tcW w:w="3828" w:type="dxa"/>
            <w:tcBorders>
              <w:top w:val="nil"/>
              <w:left w:val="nil"/>
              <w:bottom w:val="single" w:sz="4" w:space="0" w:color="auto"/>
              <w:right w:val="single" w:sz="4" w:space="0" w:color="auto"/>
            </w:tcBorders>
            <w:vAlign w:val="center"/>
            <w:hideMark/>
          </w:tcPr>
          <w:p w14:paraId="4CD3E355"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Lavado y desinfección de tanque elevado de agua potable, volumen 30 m3</w:t>
            </w:r>
          </w:p>
        </w:tc>
        <w:tc>
          <w:tcPr>
            <w:tcW w:w="708" w:type="dxa"/>
            <w:tcBorders>
              <w:top w:val="nil"/>
              <w:left w:val="nil"/>
              <w:bottom w:val="single" w:sz="4" w:space="0" w:color="auto"/>
              <w:right w:val="single" w:sz="4" w:space="0" w:color="auto"/>
            </w:tcBorders>
            <w:vAlign w:val="center"/>
            <w:hideMark/>
          </w:tcPr>
          <w:p w14:paraId="5DBA7CDE"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56553BDF" w14:textId="2662F599"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$2.625.000,00</w:t>
            </w:r>
          </w:p>
        </w:tc>
        <w:tc>
          <w:tcPr>
            <w:tcW w:w="1134" w:type="dxa"/>
            <w:tcBorders>
              <w:top w:val="nil"/>
              <w:left w:val="nil"/>
              <w:bottom w:val="single" w:sz="4" w:space="0" w:color="auto"/>
              <w:right w:val="single" w:sz="4" w:space="0" w:color="auto"/>
            </w:tcBorders>
            <w:shd w:val="clear" w:color="000000" w:fill="CAEDFB"/>
            <w:vAlign w:val="center"/>
            <w:hideMark/>
          </w:tcPr>
          <w:p w14:paraId="1EE6B115" w14:textId="2DD157BE"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$2.500.000</w:t>
            </w:r>
          </w:p>
        </w:tc>
        <w:tc>
          <w:tcPr>
            <w:tcW w:w="1134" w:type="dxa"/>
            <w:tcBorders>
              <w:top w:val="nil"/>
              <w:left w:val="nil"/>
              <w:bottom w:val="single" w:sz="4" w:space="0" w:color="auto"/>
              <w:right w:val="single" w:sz="4" w:space="0" w:color="auto"/>
            </w:tcBorders>
            <w:shd w:val="clear" w:color="000000" w:fill="CAEDFB"/>
            <w:vAlign w:val="center"/>
            <w:hideMark/>
          </w:tcPr>
          <w:p w14:paraId="132428A8" w14:textId="4B38226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$973.042</w:t>
            </w:r>
          </w:p>
        </w:tc>
        <w:tc>
          <w:tcPr>
            <w:tcW w:w="1506" w:type="dxa"/>
            <w:tcBorders>
              <w:top w:val="nil"/>
              <w:left w:val="nil"/>
              <w:bottom w:val="single" w:sz="4" w:space="0" w:color="auto"/>
              <w:right w:val="single" w:sz="4" w:space="0" w:color="auto"/>
            </w:tcBorders>
            <w:noWrap/>
            <w:vAlign w:val="center"/>
            <w:hideMark/>
          </w:tcPr>
          <w:p w14:paraId="6D386715" w14:textId="04FCD7B9"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$2.032.681,00</w:t>
            </w:r>
          </w:p>
        </w:tc>
      </w:tr>
      <w:tr w:rsidR="00B773BF" w:rsidRPr="00B773BF" w14:paraId="3B43B829" w14:textId="77777777" w:rsidTr="00B773BF">
        <w:trPr>
          <w:trHeight w:val="255"/>
          <w:jc w:val="center"/>
        </w:trPr>
        <w:tc>
          <w:tcPr>
            <w:tcW w:w="562" w:type="dxa"/>
            <w:tcBorders>
              <w:top w:val="nil"/>
              <w:left w:val="single" w:sz="4" w:space="0" w:color="auto"/>
              <w:bottom w:val="single" w:sz="4" w:space="0" w:color="auto"/>
              <w:right w:val="single" w:sz="4" w:space="0" w:color="auto"/>
            </w:tcBorders>
            <w:shd w:val="clear" w:color="000000" w:fill="BFBFBF"/>
            <w:vAlign w:val="center"/>
            <w:hideMark/>
          </w:tcPr>
          <w:p w14:paraId="100AB91A" w14:textId="77777777"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8</w:t>
            </w:r>
          </w:p>
        </w:tc>
        <w:tc>
          <w:tcPr>
            <w:tcW w:w="3828" w:type="dxa"/>
            <w:tcBorders>
              <w:top w:val="nil"/>
              <w:left w:val="nil"/>
              <w:bottom w:val="single" w:sz="4" w:space="0" w:color="auto"/>
              <w:right w:val="single" w:sz="4" w:space="0" w:color="auto"/>
            </w:tcBorders>
            <w:shd w:val="clear" w:color="000000" w:fill="BFBFBF"/>
            <w:noWrap/>
            <w:vAlign w:val="center"/>
            <w:hideMark/>
          </w:tcPr>
          <w:p w14:paraId="066BC229" w14:textId="77777777" w:rsidR="00B773BF" w:rsidRPr="00B773BF" w:rsidRDefault="00B773BF">
            <w:pPr>
              <w:rPr>
                <w:rFonts w:ascii="Arial" w:hAnsi="Arial" w:cs="Arial"/>
                <w:b/>
                <w:bCs/>
                <w:color w:val="000000"/>
                <w:sz w:val="12"/>
                <w:szCs w:val="12"/>
              </w:rPr>
            </w:pPr>
            <w:r w:rsidRPr="00B773BF">
              <w:rPr>
                <w:rFonts w:ascii="Arial" w:hAnsi="Arial" w:cs="Arial"/>
                <w:b/>
                <w:bCs/>
                <w:color w:val="000000"/>
                <w:sz w:val="12"/>
                <w:szCs w:val="12"/>
              </w:rPr>
              <w:t xml:space="preserve">Sede </w:t>
            </w:r>
            <w:proofErr w:type="spellStart"/>
            <w:r w:rsidRPr="00B773BF">
              <w:rPr>
                <w:rFonts w:ascii="Arial" w:hAnsi="Arial" w:cs="Arial"/>
                <w:b/>
                <w:bCs/>
                <w:color w:val="000000"/>
                <w:sz w:val="12"/>
                <w:szCs w:val="12"/>
              </w:rPr>
              <w:t>banrepublica</w:t>
            </w:r>
            <w:proofErr w:type="spellEnd"/>
            <w:r w:rsidRPr="00B773BF">
              <w:rPr>
                <w:rFonts w:ascii="Arial" w:hAnsi="Arial" w:cs="Arial"/>
                <w:b/>
                <w:bCs/>
                <w:color w:val="000000"/>
                <w:sz w:val="12"/>
                <w:szCs w:val="12"/>
              </w:rPr>
              <w:t xml:space="preserve"> Leticia - Amazonas</w:t>
            </w:r>
          </w:p>
        </w:tc>
        <w:tc>
          <w:tcPr>
            <w:tcW w:w="708" w:type="dxa"/>
            <w:tcBorders>
              <w:top w:val="nil"/>
              <w:left w:val="nil"/>
              <w:bottom w:val="single" w:sz="4" w:space="0" w:color="auto"/>
              <w:right w:val="single" w:sz="4" w:space="0" w:color="auto"/>
            </w:tcBorders>
            <w:shd w:val="clear" w:color="000000" w:fill="BFBFBF"/>
            <w:noWrap/>
            <w:vAlign w:val="center"/>
            <w:hideMark/>
          </w:tcPr>
          <w:p w14:paraId="15658657" w14:textId="77777777" w:rsidR="00B773BF" w:rsidRPr="00B773BF" w:rsidRDefault="00B773BF">
            <w:pPr>
              <w:rPr>
                <w:rFonts w:ascii="Arial" w:hAnsi="Arial" w:cs="Arial"/>
                <w:b/>
                <w:bCs/>
                <w:color w:val="000000"/>
                <w:sz w:val="12"/>
                <w:szCs w:val="12"/>
              </w:rPr>
            </w:pPr>
            <w:r w:rsidRPr="00B773BF">
              <w:rPr>
                <w:rFonts w:ascii="Arial" w:hAnsi="Arial" w:cs="Arial"/>
                <w:b/>
                <w:bCs/>
                <w:color w:val="000000"/>
                <w:sz w:val="12"/>
                <w:szCs w:val="12"/>
              </w:rPr>
              <w:t> </w:t>
            </w:r>
          </w:p>
        </w:tc>
        <w:tc>
          <w:tcPr>
            <w:tcW w:w="1560" w:type="dxa"/>
            <w:tcBorders>
              <w:top w:val="nil"/>
              <w:left w:val="nil"/>
              <w:bottom w:val="single" w:sz="4" w:space="0" w:color="auto"/>
              <w:right w:val="single" w:sz="4" w:space="0" w:color="auto"/>
            </w:tcBorders>
            <w:shd w:val="clear" w:color="000000" w:fill="BFBFBF"/>
            <w:noWrap/>
            <w:vAlign w:val="center"/>
            <w:hideMark/>
          </w:tcPr>
          <w:p w14:paraId="72DF715F" w14:textId="4E304E80"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$10.624.000,00</w:t>
            </w:r>
          </w:p>
        </w:tc>
        <w:tc>
          <w:tcPr>
            <w:tcW w:w="1134" w:type="dxa"/>
            <w:tcBorders>
              <w:top w:val="nil"/>
              <w:left w:val="nil"/>
              <w:bottom w:val="single" w:sz="4" w:space="0" w:color="auto"/>
              <w:right w:val="single" w:sz="4" w:space="0" w:color="auto"/>
            </w:tcBorders>
            <w:shd w:val="clear" w:color="000000" w:fill="BFBFBF"/>
            <w:noWrap/>
            <w:vAlign w:val="center"/>
            <w:hideMark/>
          </w:tcPr>
          <w:p w14:paraId="010D4B71" w14:textId="528EE9BE"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$10.118.000,00</w:t>
            </w:r>
          </w:p>
        </w:tc>
        <w:tc>
          <w:tcPr>
            <w:tcW w:w="1134" w:type="dxa"/>
            <w:tcBorders>
              <w:top w:val="nil"/>
              <w:left w:val="nil"/>
              <w:bottom w:val="single" w:sz="4" w:space="0" w:color="auto"/>
              <w:right w:val="single" w:sz="4" w:space="0" w:color="auto"/>
            </w:tcBorders>
            <w:shd w:val="clear" w:color="000000" w:fill="BFBFBF"/>
            <w:noWrap/>
            <w:vAlign w:val="center"/>
            <w:hideMark/>
          </w:tcPr>
          <w:p w14:paraId="7613E053" w14:textId="05360280"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$5.717.129,00</w:t>
            </w:r>
          </w:p>
        </w:tc>
        <w:tc>
          <w:tcPr>
            <w:tcW w:w="1506" w:type="dxa"/>
            <w:tcBorders>
              <w:top w:val="nil"/>
              <w:left w:val="nil"/>
              <w:bottom w:val="single" w:sz="4" w:space="0" w:color="auto"/>
              <w:right w:val="single" w:sz="4" w:space="0" w:color="auto"/>
            </w:tcBorders>
            <w:shd w:val="clear" w:color="000000" w:fill="BFBFBF"/>
            <w:noWrap/>
            <w:vAlign w:val="center"/>
            <w:hideMark/>
          </w:tcPr>
          <w:p w14:paraId="7391CBC8" w14:textId="105A1041" w:rsidR="00B773BF" w:rsidRPr="00B773BF" w:rsidRDefault="00B773BF">
            <w:pPr>
              <w:jc w:val="center"/>
              <w:rPr>
                <w:rFonts w:ascii="Arial" w:hAnsi="Arial" w:cs="Arial"/>
                <w:b/>
                <w:bCs/>
                <w:color w:val="000000"/>
                <w:sz w:val="12"/>
                <w:szCs w:val="12"/>
              </w:rPr>
            </w:pPr>
            <w:r w:rsidRPr="00B773BF">
              <w:rPr>
                <w:rFonts w:ascii="Arial" w:hAnsi="Arial" w:cs="Arial"/>
                <w:b/>
                <w:bCs/>
                <w:color w:val="000000"/>
                <w:sz w:val="12"/>
                <w:szCs w:val="12"/>
              </w:rPr>
              <w:t>$8.819.710,00</w:t>
            </w:r>
          </w:p>
        </w:tc>
      </w:tr>
      <w:tr w:rsidR="00B773BF" w:rsidRPr="00B773BF" w14:paraId="1F26A6BB" w14:textId="77777777" w:rsidTr="008A51C1">
        <w:trPr>
          <w:trHeight w:val="265"/>
          <w:jc w:val="center"/>
        </w:trPr>
        <w:tc>
          <w:tcPr>
            <w:tcW w:w="562" w:type="dxa"/>
            <w:tcBorders>
              <w:top w:val="nil"/>
              <w:left w:val="single" w:sz="4" w:space="0" w:color="auto"/>
              <w:bottom w:val="single" w:sz="4" w:space="0" w:color="auto"/>
              <w:right w:val="single" w:sz="4" w:space="0" w:color="auto"/>
            </w:tcBorders>
            <w:vAlign w:val="center"/>
            <w:hideMark/>
          </w:tcPr>
          <w:p w14:paraId="2FFCC427"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8.1</w:t>
            </w:r>
          </w:p>
        </w:tc>
        <w:tc>
          <w:tcPr>
            <w:tcW w:w="3828" w:type="dxa"/>
            <w:tcBorders>
              <w:top w:val="nil"/>
              <w:left w:val="nil"/>
              <w:bottom w:val="single" w:sz="4" w:space="0" w:color="auto"/>
              <w:right w:val="single" w:sz="4" w:space="0" w:color="auto"/>
            </w:tcBorders>
            <w:vAlign w:val="center"/>
            <w:hideMark/>
          </w:tcPr>
          <w:p w14:paraId="0EFDDC0B" w14:textId="2667037A"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 xml:space="preserve">Bomba </w:t>
            </w:r>
            <w:r w:rsidR="008A51C1" w:rsidRPr="00B773BF">
              <w:rPr>
                <w:rFonts w:ascii="Arial" w:hAnsi="Arial" w:cs="Arial"/>
                <w:color w:val="000000"/>
                <w:sz w:val="12"/>
                <w:szCs w:val="12"/>
              </w:rPr>
              <w:t>centrifuga</w:t>
            </w:r>
            <w:r w:rsidRPr="00B773BF">
              <w:rPr>
                <w:rFonts w:ascii="Arial" w:hAnsi="Arial" w:cs="Arial"/>
                <w:color w:val="000000"/>
                <w:sz w:val="12"/>
                <w:szCs w:val="12"/>
              </w:rPr>
              <w:t xml:space="preserve"> </w:t>
            </w:r>
            <w:proofErr w:type="spellStart"/>
            <w:r w:rsidRPr="00B773BF">
              <w:rPr>
                <w:rFonts w:ascii="Arial" w:hAnsi="Arial" w:cs="Arial"/>
                <w:color w:val="000000"/>
                <w:sz w:val="12"/>
                <w:szCs w:val="12"/>
              </w:rPr>
              <w:t>goulds</w:t>
            </w:r>
            <w:proofErr w:type="spellEnd"/>
            <w:r w:rsidRPr="00B773BF">
              <w:rPr>
                <w:rFonts w:ascii="Arial" w:hAnsi="Arial" w:cs="Arial"/>
                <w:color w:val="000000"/>
                <w:sz w:val="12"/>
                <w:szCs w:val="12"/>
              </w:rPr>
              <w:t xml:space="preserve"> </w:t>
            </w:r>
            <w:proofErr w:type="spellStart"/>
            <w:r w:rsidRPr="00B773BF">
              <w:rPr>
                <w:rFonts w:ascii="Arial" w:hAnsi="Arial" w:cs="Arial"/>
                <w:color w:val="000000"/>
                <w:sz w:val="12"/>
                <w:szCs w:val="12"/>
              </w:rPr>
              <w:t>pumps</w:t>
            </w:r>
            <w:proofErr w:type="spellEnd"/>
            <w:r w:rsidRPr="00B773BF">
              <w:rPr>
                <w:rFonts w:ascii="Arial" w:hAnsi="Arial" w:cs="Arial"/>
                <w:color w:val="000000"/>
                <w:sz w:val="12"/>
                <w:szCs w:val="12"/>
              </w:rPr>
              <w:t xml:space="preserve"> modelo </w:t>
            </w:r>
            <w:proofErr w:type="spellStart"/>
            <w:r w:rsidRPr="00B773BF">
              <w:rPr>
                <w:rFonts w:ascii="Arial" w:hAnsi="Arial" w:cs="Arial"/>
                <w:color w:val="000000"/>
                <w:sz w:val="12"/>
                <w:szCs w:val="12"/>
              </w:rPr>
              <w:t>npe</w:t>
            </w:r>
            <w:proofErr w:type="spellEnd"/>
            <w:r w:rsidRPr="00B773BF">
              <w:rPr>
                <w:rFonts w:ascii="Arial" w:hAnsi="Arial" w:cs="Arial"/>
                <w:color w:val="000000"/>
                <w:sz w:val="12"/>
                <w:szCs w:val="12"/>
              </w:rPr>
              <w:t xml:space="preserve"> / 1st </w:t>
            </w:r>
            <w:r w:rsidR="008A51C1" w:rsidRPr="00B773BF">
              <w:rPr>
                <w:rFonts w:ascii="Arial" w:hAnsi="Arial" w:cs="Arial"/>
                <w:color w:val="000000"/>
                <w:sz w:val="12"/>
                <w:szCs w:val="12"/>
              </w:rPr>
              <w:t>trifásica</w:t>
            </w:r>
            <w:r w:rsidRPr="00B773BF">
              <w:rPr>
                <w:rFonts w:ascii="Arial" w:hAnsi="Arial" w:cs="Arial"/>
                <w:color w:val="000000"/>
                <w:sz w:val="12"/>
                <w:szCs w:val="12"/>
              </w:rPr>
              <w:t xml:space="preserve"> 220 v de 1 HP para agua potable, incluye tablero </w:t>
            </w:r>
            <w:r w:rsidR="008A51C1" w:rsidRPr="00B773BF">
              <w:rPr>
                <w:rFonts w:ascii="Arial" w:hAnsi="Arial" w:cs="Arial"/>
                <w:color w:val="000000"/>
                <w:sz w:val="12"/>
                <w:szCs w:val="12"/>
              </w:rPr>
              <w:t>eléctrico</w:t>
            </w:r>
          </w:p>
        </w:tc>
        <w:tc>
          <w:tcPr>
            <w:tcW w:w="708" w:type="dxa"/>
            <w:tcBorders>
              <w:top w:val="nil"/>
              <w:left w:val="nil"/>
              <w:bottom w:val="single" w:sz="4" w:space="0" w:color="auto"/>
              <w:right w:val="single" w:sz="4" w:space="0" w:color="auto"/>
            </w:tcBorders>
            <w:vAlign w:val="center"/>
            <w:hideMark/>
          </w:tcPr>
          <w:p w14:paraId="68E69AFC"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71D49EAB" w14:textId="07B7CBA2"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$1.365.000,00</w:t>
            </w:r>
          </w:p>
        </w:tc>
        <w:tc>
          <w:tcPr>
            <w:tcW w:w="1134" w:type="dxa"/>
            <w:tcBorders>
              <w:top w:val="nil"/>
              <w:left w:val="nil"/>
              <w:bottom w:val="single" w:sz="4" w:space="0" w:color="auto"/>
              <w:right w:val="single" w:sz="4" w:space="0" w:color="auto"/>
            </w:tcBorders>
            <w:shd w:val="clear" w:color="000000" w:fill="CAEDFB"/>
            <w:vAlign w:val="center"/>
            <w:hideMark/>
          </w:tcPr>
          <w:p w14:paraId="04D80042" w14:textId="51E28E12"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$1.300.000</w:t>
            </w:r>
          </w:p>
        </w:tc>
        <w:tc>
          <w:tcPr>
            <w:tcW w:w="1134" w:type="dxa"/>
            <w:tcBorders>
              <w:top w:val="nil"/>
              <w:left w:val="nil"/>
              <w:bottom w:val="single" w:sz="4" w:space="0" w:color="auto"/>
              <w:right w:val="single" w:sz="4" w:space="0" w:color="auto"/>
            </w:tcBorders>
            <w:shd w:val="clear" w:color="000000" w:fill="CAEDFB"/>
            <w:vAlign w:val="center"/>
            <w:hideMark/>
          </w:tcPr>
          <w:p w14:paraId="6D8E9A72" w14:textId="732E396A"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$339.131</w:t>
            </w:r>
          </w:p>
        </w:tc>
        <w:tc>
          <w:tcPr>
            <w:tcW w:w="1506" w:type="dxa"/>
            <w:tcBorders>
              <w:top w:val="nil"/>
              <w:left w:val="nil"/>
              <w:bottom w:val="single" w:sz="4" w:space="0" w:color="auto"/>
              <w:right w:val="single" w:sz="4" w:space="0" w:color="auto"/>
            </w:tcBorders>
            <w:noWrap/>
            <w:vAlign w:val="center"/>
            <w:hideMark/>
          </w:tcPr>
          <w:p w14:paraId="12C809A4" w14:textId="3C370D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$1.001.377,00</w:t>
            </w:r>
          </w:p>
        </w:tc>
      </w:tr>
      <w:tr w:rsidR="00B773BF" w:rsidRPr="00B773BF" w14:paraId="4021CAA6" w14:textId="77777777" w:rsidTr="008A51C1">
        <w:trPr>
          <w:trHeight w:val="269"/>
          <w:jc w:val="center"/>
        </w:trPr>
        <w:tc>
          <w:tcPr>
            <w:tcW w:w="562" w:type="dxa"/>
            <w:tcBorders>
              <w:top w:val="nil"/>
              <w:left w:val="single" w:sz="4" w:space="0" w:color="auto"/>
              <w:bottom w:val="single" w:sz="4" w:space="0" w:color="auto"/>
              <w:right w:val="single" w:sz="4" w:space="0" w:color="auto"/>
            </w:tcBorders>
            <w:vAlign w:val="center"/>
            <w:hideMark/>
          </w:tcPr>
          <w:p w14:paraId="28D718B8"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8.2</w:t>
            </w:r>
          </w:p>
        </w:tc>
        <w:tc>
          <w:tcPr>
            <w:tcW w:w="3828" w:type="dxa"/>
            <w:tcBorders>
              <w:top w:val="nil"/>
              <w:left w:val="nil"/>
              <w:bottom w:val="single" w:sz="4" w:space="0" w:color="auto"/>
              <w:right w:val="single" w:sz="4" w:space="0" w:color="auto"/>
            </w:tcBorders>
            <w:vAlign w:val="center"/>
            <w:hideMark/>
          </w:tcPr>
          <w:p w14:paraId="5EDC1AF1" w14:textId="77777777" w:rsidR="00B773BF" w:rsidRPr="00B773BF" w:rsidRDefault="00B773BF" w:rsidP="00115A8C">
            <w:pPr>
              <w:jc w:val="both"/>
              <w:rPr>
                <w:rFonts w:ascii="Arial" w:hAnsi="Arial" w:cs="Arial"/>
                <w:color w:val="000000"/>
                <w:sz w:val="12"/>
                <w:szCs w:val="12"/>
              </w:rPr>
            </w:pPr>
            <w:r w:rsidRPr="00B773BF">
              <w:rPr>
                <w:rFonts w:ascii="Arial" w:hAnsi="Arial" w:cs="Arial"/>
                <w:color w:val="000000"/>
                <w:sz w:val="12"/>
                <w:szCs w:val="12"/>
              </w:rPr>
              <w:t xml:space="preserve">Tanque </w:t>
            </w:r>
            <w:proofErr w:type="spellStart"/>
            <w:r w:rsidRPr="00B773BF">
              <w:rPr>
                <w:rFonts w:ascii="Arial" w:hAnsi="Arial" w:cs="Arial"/>
                <w:color w:val="000000"/>
                <w:sz w:val="12"/>
                <w:szCs w:val="12"/>
              </w:rPr>
              <w:t>hidroflo</w:t>
            </w:r>
            <w:proofErr w:type="spellEnd"/>
            <w:r w:rsidRPr="00B773BF">
              <w:rPr>
                <w:rFonts w:ascii="Arial" w:hAnsi="Arial" w:cs="Arial"/>
                <w:color w:val="000000"/>
                <w:sz w:val="12"/>
                <w:szCs w:val="12"/>
              </w:rPr>
              <w:t xml:space="preserve"> global </w:t>
            </w:r>
            <w:proofErr w:type="spellStart"/>
            <w:r w:rsidRPr="00B773BF">
              <w:rPr>
                <w:rFonts w:ascii="Arial" w:hAnsi="Arial" w:cs="Arial"/>
                <w:color w:val="000000"/>
                <w:sz w:val="12"/>
                <w:szCs w:val="12"/>
              </w:rPr>
              <w:t>water</w:t>
            </w:r>
            <w:proofErr w:type="spellEnd"/>
            <w:r w:rsidRPr="00B773BF">
              <w:rPr>
                <w:rFonts w:ascii="Arial" w:hAnsi="Arial" w:cs="Arial"/>
                <w:color w:val="000000"/>
                <w:sz w:val="12"/>
                <w:szCs w:val="12"/>
              </w:rPr>
              <w:t xml:space="preserve"> modelo </w:t>
            </w:r>
            <w:proofErr w:type="spellStart"/>
            <w:r w:rsidRPr="00B773BF">
              <w:rPr>
                <w:rFonts w:ascii="Arial" w:hAnsi="Arial" w:cs="Arial"/>
                <w:color w:val="000000"/>
                <w:sz w:val="12"/>
                <w:szCs w:val="12"/>
              </w:rPr>
              <w:t>gbl</w:t>
            </w:r>
            <w:proofErr w:type="spellEnd"/>
            <w:r w:rsidRPr="00B773BF">
              <w:rPr>
                <w:rFonts w:ascii="Arial" w:hAnsi="Arial" w:cs="Arial"/>
                <w:color w:val="000000"/>
                <w:sz w:val="12"/>
                <w:szCs w:val="12"/>
              </w:rPr>
              <w:t xml:space="preserve"> 60-244 presión de trabajo 150 psi, capacidad de 300L incluye cambio de membrana si es necesario</w:t>
            </w:r>
          </w:p>
        </w:tc>
        <w:tc>
          <w:tcPr>
            <w:tcW w:w="708" w:type="dxa"/>
            <w:tcBorders>
              <w:top w:val="nil"/>
              <w:left w:val="nil"/>
              <w:bottom w:val="single" w:sz="4" w:space="0" w:color="auto"/>
              <w:right w:val="single" w:sz="4" w:space="0" w:color="auto"/>
            </w:tcBorders>
            <w:vAlign w:val="center"/>
            <w:hideMark/>
          </w:tcPr>
          <w:p w14:paraId="2191C77E"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709EF0A8" w14:textId="76B20D6D"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$893.000,00</w:t>
            </w:r>
          </w:p>
        </w:tc>
        <w:tc>
          <w:tcPr>
            <w:tcW w:w="1134" w:type="dxa"/>
            <w:tcBorders>
              <w:top w:val="nil"/>
              <w:left w:val="nil"/>
              <w:bottom w:val="single" w:sz="4" w:space="0" w:color="auto"/>
              <w:right w:val="single" w:sz="4" w:space="0" w:color="auto"/>
            </w:tcBorders>
            <w:shd w:val="clear" w:color="000000" w:fill="CAEDFB"/>
            <w:vAlign w:val="center"/>
            <w:hideMark/>
          </w:tcPr>
          <w:p w14:paraId="1C834C9A" w14:textId="3851D07E"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$850.000</w:t>
            </w:r>
          </w:p>
        </w:tc>
        <w:tc>
          <w:tcPr>
            <w:tcW w:w="1134" w:type="dxa"/>
            <w:tcBorders>
              <w:top w:val="nil"/>
              <w:left w:val="nil"/>
              <w:bottom w:val="single" w:sz="4" w:space="0" w:color="auto"/>
              <w:right w:val="single" w:sz="4" w:space="0" w:color="auto"/>
            </w:tcBorders>
            <w:shd w:val="clear" w:color="000000" w:fill="CAEDFB"/>
            <w:vAlign w:val="center"/>
            <w:hideMark/>
          </w:tcPr>
          <w:p w14:paraId="741E7540" w14:textId="3CDAB53E"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$2.355.866</w:t>
            </w:r>
          </w:p>
        </w:tc>
        <w:tc>
          <w:tcPr>
            <w:tcW w:w="1506" w:type="dxa"/>
            <w:tcBorders>
              <w:top w:val="nil"/>
              <w:left w:val="nil"/>
              <w:bottom w:val="single" w:sz="4" w:space="0" w:color="auto"/>
              <w:right w:val="single" w:sz="4" w:space="0" w:color="auto"/>
            </w:tcBorders>
            <w:noWrap/>
            <w:vAlign w:val="center"/>
            <w:hideMark/>
          </w:tcPr>
          <w:p w14:paraId="4F851920" w14:textId="5824CDFB"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$1.366.289,00</w:t>
            </w:r>
          </w:p>
        </w:tc>
      </w:tr>
      <w:tr w:rsidR="00B773BF" w:rsidRPr="00B773BF" w14:paraId="79C02367" w14:textId="77777777" w:rsidTr="008A51C1">
        <w:trPr>
          <w:trHeight w:val="261"/>
          <w:jc w:val="center"/>
        </w:trPr>
        <w:tc>
          <w:tcPr>
            <w:tcW w:w="562" w:type="dxa"/>
            <w:tcBorders>
              <w:top w:val="nil"/>
              <w:left w:val="single" w:sz="4" w:space="0" w:color="auto"/>
              <w:bottom w:val="single" w:sz="4" w:space="0" w:color="auto"/>
              <w:right w:val="single" w:sz="4" w:space="0" w:color="auto"/>
            </w:tcBorders>
            <w:vAlign w:val="center"/>
            <w:hideMark/>
          </w:tcPr>
          <w:p w14:paraId="6B681CF7"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8.3</w:t>
            </w:r>
          </w:p>
        </w:tc>
        <w:tc>
          <w:tcPr>
            <w:tcW w:w="3828" w:type="dxa"/>
            <w:tcBorders>
              <w:top w:val="nil"/>
              <w:left w:val="nil"/>
              <w:bottom w:val="single" w:sz="4" w:space="0" w:color="auto"/>
              <w:right w:val="single" w:sz="4" w:space="0" w:color="auto"/>
            </w:tcBorders>
            <w:vAlign w:val="center"/>
            <w:hideMark/>
          </w:tcPr>
          <w:p w14:paraId="142C27B2" w14:textId="77777777" w:rsidR="00B773BF" w:rsidRPr="00B773BF" w:rsidRDefault="00B773BF" w:rsidP="008A51C1">
            <w:pPr>
              <w:jc w:val="both"/>
              <w:rPr>
                <w:rFonts w:ascii="Arial" w:hAnsi="Arial" w:cs="Arial"/>
                <w:color w:val="000000"/>
                <w:sz w:val="12"/>
                <w:szCs w:val="12"/>
              </w:rPr>
            </w:pPr>
            <w:r w:rsidRPr="00B773BF">
              <w:rPr>
                <w:rFonts w:ascii="Arial" w:hAnsi="Arial" w:cs="Arial"/>
                <w:color w:val="000000"/>
                <w:sz w:val="12"/>
                <w:szCs w:val="12"/>
              </w:rPr>
              <w:t xml:space="preserve">Bombas red contraincendios multietapas marca </w:t>
            </w:r>
            <w:proofErr w:type="spellStart"/>
            <w:r w:rsidRPr="00B773BF">
              <w:rPr>
                <w:rFonts w:ascii="Arial" w:hAnsi="Arial" w:cs="Arial"/>
                <w:color w:val="000000"/>
                <w:sz w:val="12"/>
                <w:szCs w:val="12"/>
              </w:rPr>
              <w:t>poulds</w:t>
            </w:r>
            <w:proofErr w:type="spellEnd"/>
            <w:r w:rsidRPr="00B773BF">
              <w:rPr>
                <w:rFonts w:ascii="Arial" w:hAnsi="Arial" w:cs="Arial"/>
                <w:color w:val="000000"/>
                <w:sz w:val="12"/>
                <w:szCs w:val="12"/>
              </w:rPr>
              <w:t xml:space="preserve"> </w:t>
            </w:r>
            <w:proofErr w:type="spellStart"/>
            <w:r w:rsidRPr="00B773BF">
              <w:rPr>
                <w:rFonts w:ascii="Arial" w:hAnsi="Arial" w:cs="Arial"/>
                <w:color w:val="000000"/>
                <w:sz w:val="12"/>
                <w:szCs w:val="12"/>
              </w:rPr>
              <w:t>water</w:t>
            </w:r>
            <w:proofErr w:type="spellEnd"/>
            <w:r w:rsidRPr="00B773BF">
              <w:rPr>
                <w:rFonts w:ascii="Arial" w:hAnsi="Arial" w:cs="Arial"/>
                <w:color w:val="000000"/>
                <w:sz w:val="12"/>
                <w:szCs w:val="12"/>
              </w:rPr>
              <w:t xml:space="preserve"> de 10 HP, incluye los tableros eléctricos</w:t>
            </w:r>
          </w:p>
        </w:tc>
        <w:tc>
          <w:tcPr>
            <w:tcW w:w="708" w:type="dxa"/>
            <w:tcBorders>
              <w:top w:val="nil"/>
              <w:left w:val="nil"/>
              <w:bottom w:val="single" w:sz="4" w:space="0" w:color="auto"/>
              <w:right w:val="single" w:sz="4" w:space="0" w:color="auto"/>
            </w:tcBorders>
            <w:vAlign w:val="center"/>
            <w:hideMark/>
          </w:tcPr>
          <w:p w14:paraId="57FC026C"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79F5D6DA" w14:textId="457D30A3"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$3.150.000,00</w:t>
            </w:r>
          </w:p>
        </w:tc>
        <w:tc>
          <w:tcPr>
            <w:tcW w:w="1134" w:type="dxa"/>
            <w:tcBorders>
              <w:top w:val="nil"/>
              <w:left w:val="nil"/>
              <w:bottom w:val="single" w:sz="4" w:space="0" w:color="auto"/>
              <w:right w:val="single" w:sz="4" w:space="0" w:color="auto"/>
            </w:tcBorders>
            <w:shd w:val="clear" w:color="000000" w:fill="CAEDFB"/>
            <w:vAlign w:val="center"/>
            <w:hideMark/>
          </w:tcPr>
          <w:p w14:paraId="67405F6E" w14:textId="38B19E33"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$3.000.000</w:t>
            </w:r>
          </w:p>
        </w:tc>
        <w:tc>
          <w:tcPr>
            <w:tcW w:w="1134" w:type="dxa"/>
            <w:tcBorders>
              <w:top w:val="nil"/>
              <w:left w:val="nil"/>
              <w:bottom w:val="single" w:sz="4" w:space="0" w:color="auto"/>
              <w:right w:val="single" w:sz="4" w:space="0" w:color="auto"/>
            </w:tcBorders>
            <w:shd w:val="clear" w:color="000000" w:fill="CAEDFB"/>
            <w:vAlign w:val="center"/>
            <w:hideMark/>
          </w:tcPr>
          <w:p w14:paraId="2B99F114" w14:textId="12CD7866"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$534.343</w:t>
            </w:r>
          </w:p>
        </w:tc>
        <w:tc>
          <w:tcPr>
            <w:tcW w:w="1506" w:type="dxa"/>
            <w:tcBorders>
              <w:top w:val="nil"/>
              <w:left w:val="nil"/>
              <w:bottom w:val="single" w:sz="4" w:space="0" w:color="auto"/>
              <w:right w:val="single" w:sz="4" w:space="0" w:color="auto"/>
            </w:tcBorders>
            <w:noWrap/>
            <w:vAlign w:val="center"/>
            <w:hideMark/>
          </w:tcPr>
          <w:p w14:paraId="4BC2583E" w14:textId="7BB7F4AD"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$2.228.114,00</w:t>
            </w:r>
          </w:p>
        </w:tc>
      </w:tr>
      <w:tr w:rsidR="00B773BF" w:rsidRPr="00B773BF" w14:paraId="0F377AC7" w14:textId="77777777" w:rsidTr="008A51C1">
        <w:trPr>
          <w:trHeight w:val="261"/>
          <w:jc w:val="center"/>
        </w:trPr>
        <w:tc>
          <w:tcPr>
            <w:tcW w:w="562" w:type="dxa"/>
            <w:tcBorders>
              <w:top w:val="nil"/>
              <w:left w:val="single" w:sz="4" w:space="0" w:color="auto"/>
              <w:bottom w:val="single" w:sz="4" w:space="0" w:color="auto"/>
              <w:right w:val="single" w:sz="4" w:space="0" w:color="auto"/>
            </w:tcBorders>
            <w:vAlign w:val="center"/>
            <w:hideMark/>
          </w:tcPr>
          <w:p w14:paraId="5B1B214D"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8.4</w:t>
            </w:r>
          </w:p>
        </w:tc>
        <w:tc>
          <w:tcPr>
            <w:tcW w:w="3828" w:type="dxa"/>
            <w:tcBorders>
              <w:top w:val="nil"/>
              <w:left w:val="nil"/>
              <w:bottom w:val="single" w:sz="4" w:space="0" w:color="auto"/>
              <w:right w:val="single" w:sz="4" w:space="0" w:color="auto"/>
            </w:tcBorders>
            <w:vAlign w:val="center"/>
            <w:hideMark/>
          </w:tcPr>
          <w:p w14:paraId="3AD95C9E" w14:textId="77777777" w:rsidR="00B773BF" w:rsidRPr="00B773BF" w:rsidRDefault="00B773BF" w:rsidP="008A51C1">
            <w:pPr>
              <w:jc w:val="both"/>
              <w:rPr>
                <w:rFonts w:ascii="Arial" w:hAnsi="Arial" w:cs="Arial"/>
                <w:color w:val="000000"/>
                <w:sz w:val="12"/>
                <w:szCs w:val="12"/>
              </w:rPr>
            </w:pPr>
            <w:r w:rsidRPr="00B773BF">
              <w:rPr>
                <w:rFonts w:ascii="Arial" w:hAnsi="Arial" w:cs="Arial"/>
                <w:color w:val="000000"/>
                <w:sz w:val="12"/>
                <w:szCs w:val="12"/>
              </w:rPr>
              <w:t xml:space="preserve">Bomba jockey multietapas marca </w:t>
            </w:r>
            <w:proofErr w:type="spellStart"/>
            <w:r w:rsidRPr="00B773BF">
              <w:rPr>
                <w:rFonts w:ascii="Arial" w:hAnsi="Arial" w:cs="Arial"/>
                <w:color w:val="000000"/>
                <w:sz w:val="12"/>
                <w:szCs w:val="12"/>
              </w:rPr>
              <w:t>poulds</w:t>
            </w:r>
            <w:proofErr w:type="spellEnd"/>
            <w:r w:rsidRPr="00B773BF">
              <w:rPr>
                <w:rFonts w:ascii="Arial" w:hAnsi="Arial" w:cs="Arial"/>
                <w:color w:val="000000"/>
                <w:sz w:val="12"/>
                <w:szCs w:val="12"/>
              </w:rPr>
              <w:t xml:space="preserve"> </w:t>
            </w:r>
            <w:proofErr w:type="spellStart"/>
            <w:r w:rsidRPr="00B773BF">
              <w:rPr>
                <w:rFonts w:ascii="Arial" w:hAnsi="Arial" w:cs="Arial"/>
                <w:color w:val="000000"/>
                <w:sz w:val="12"/>
                <w:szCs w:val="12"/>
              </w:rPr>
              <w:t>water</w:t>
            </w:r>
            <w:proofErr w:type="spellEnd"/>
            <w:r w:rsidRPr="00B773BF">
              <w:rPr>
                <w:rFonts w:ascii="Arial" w:hAnsi="Arial" w:cs="Arial"/>
                <w:color w:val="000000"/>
                <w:sz w:val="12"/>
                <w:szCs w:val="12"/>
              </w:rPr>
              <w:t xml:space="preserve"> de 2 HP, incluye los tableros eléctricos</w:t>
            </w:r>
          </w:p>
        </w:tc>
        <w:tc>
          <w:tcPr>
            <w:tcW w:w="708" w:type="dxa"/>
            <w:tcBorders>
              <w:top w:val="nil"/>
              <w:left w:val="nil"/>
              <w:bottom w:val="single" w:sz="4" w:space="0" w:color="auto"/>
              <w:right w:val="single" w:sz="4" w:space="0" w:color="auto"/>
            </w:tcBorders>
            <w:vAlign w:val="center"/>
            <w:hideMark/>
          </w:tcPr>
          <w:p w14:paraId="32C3F64F"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22CD144F" w14:textId="5192D593"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$1.575.000,00</w:t>
            </w:r>
          </w:p>
        </w:tc>
        <w:tc>
          <w:tcPr>
            <w:tcW w:w="1134" w:type="dxa"/>
            <w:tcBorders>
              <w:top w:val="nil"/>
              <w:left w:val="nil"/>
              <w:bottom w:val="single" w:sz="4" w:space="0" w:color="auto"/>
              <w:right w:val="single" w:sz="4" w:space="0" w:color="auto"/>
            </w:tcBorders>
            <w:shd w:val="clear" w:color="000000" w:fill="CAEDFB"/>
            <w:vAlign w:val="center"/>
            <w:hideMark/>
          </w:tcPr>
          <w:p w14:paraId="3090EBD9" w14:textId="070D027D"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$1.500.000</w:t>
            </w:r>
          </w:p>
        </w:tc>
        <w:tc>
          <w:tcPr>
            <w:tcW w:w="1134" w:type="dxa"/>
            <w:tcBorders>
              <w:top w:val="nil"/>
              <w:left w:val="nil"/>
              <w:bottom w:val="single" w:sz="4" w:space="0" w:color="auto"/>
              <w:right w:val="single" w:sz="4" w:space="0" w:color="auto"/>
            </w:tcBorders>
            <w:shd w:val="clear" w:color="000000" w:fill="CAEDFB"/>
            <w:vAlign w:val="center"/>
            <w:hideMark/>
          </w:tcPr>
          <w:p w14:paraId="42B4B2CE" w14:textId="736C408D"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$611.417</w:t>
            </w:r>
          </w:p>
        </w:tc>
        <w:tc>
          <w:tcPr>
            <w:tcW w:w="1506" w:type="dxa"/>
            <w:tcBorders>
              <w:top w:val="nil"/>
              <w:left w:val="nil"/>
              <w:bottom w:val="single" w:sz="4" w:space="0" w:color="auto"/>
              <w:right w:val="single" w:sz="4" w:space="0" w:color="auto"/>
            </w:tcBorders>
            <w:noWrap/>
            <w:vAlign w:val="center"/>
            <w:hideMark/>
          </w:tcPr>
          <w:p w14:paraId="293C73E9" w14:textId="66A0E1EC"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$1.228.806,00</w:t>
            </w:r>
          </w:p>
        </w:tc>
      </w:tr>
      <w:tr w:rsidR="00B773BF" w:rsidRPr="00B773BF" w14:paraId="037EAC74" w14:textId="77777777" w:rsidTr="008A51C1">
        <w:trPr>
          <w:trHeight w:val="261"/>
          <w:jc w:val="center"/>
        </w:trPr>
        <w:tc>
          <w:tcPr>
            <w:tcW w:w="562" w:type="dxa"/>
            <w:tcBorders>
              <w:top w:val="nil"/>
              <w:left w:val="single" w:sz="4" w:space="0" w:color="auto"/>
              <w:bottom w:val="single" w:sz="4" w:space="0" w:color="auto"/>
              <w:right w:val="single" w:sz="4" w:space="0" w:color="auto"/>
            </w:tcBorders>
            <w:vAlign w:val="center"/>
            <w:hideMark/>
          </w:tcPr>
          <w:p w14:paraId="5E6DE28F"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8.5</w:t>
            </w:r>
          </w:p>
        </w:tc>
        <w:tc>
          <w:tcPr>
            <w:tcW w:w="3828" w:type="dxa"/>
            <w:tcBorders>
              <w:top w:val="nil"/>
              <w:left w:val="nil"/>
              <w:bottom w:val="single" w:sz="4" w:space="0" w:color="auto"/>
              <w:right w:val="single" w:sz="4" w:space="0" w:color="auto"/>
            </w:tcBorders>
            <w:vAlign w:val="center"/>
            <w:hideMark/>
          </w:tcPr>
          <w:p w14:paraId="38995F9E" w14:textId="1B2988EF" w:rsidR="00B773BF" w:rsidRPr="00B773BF" w:rsidRDefault="00B773BF" w:rsidP="008A51C1">
            <w:pPr>
              <w:jc w:val="both"/>
              <w:rPr>
                <w:rFonts w:ascii="Arial" w:hAnsi="Arial" w:cs="Arial"/>
                <w:color w:val="000000"/>
                <w:sz w:val="12"/>
                <w:szCs w:val="12"/>
              </w:rPr>
            </w:pPr>
            <w:r w:rsidRPr="00B773BF">
              <w:rPr>
                <w:rFonts w:ascii="Arial" w:hAnsi="Arial" w:cs="Arial"/>
                <w:color w:val="000000"/>
                <w:sz w:val="12"/>
                <w:szCs w:val="12"/>
              </w:rPr>
              <w:t xml:space="preserve">Bomba sumergible tipo lapicero marca franklin </w:t>
            </w:r>
            <w:proofErr w:type="spellStart"/>
            <w:r w:rsidRPr="00B773BF">
              <w:rPr>
                <w:rFonts w:ascii="Arial" w:hAnsi="Arial" w:cs="Arial"/>
                <w:color w:val="000000"/>
                <w:sz w:val="12"/>
                <w:szCs w:val="12"/>
              </w:rPr>
              <w:t>electric</w:t>
            </w:r>
            <w:proofErr w:type="spellEnd"/>
            <w:r w:rsidRPr="00B773BF">
              <w:rPr>
                <w:rFonts w:ascii="Arial" w:hAnsi="Arial" w:cs="Arial"/>
                <w:color w:val="000000"/>
                <w:sz w:val="12"/>
                <w:szCs w:val="12"/>
              </w:rPr>
              <w:t xml:space="preserve"> de 1 1/5 hp modelo 2828006110 230v incluye tablero </w:t>
            </w:r>
            <w:r w:rsidR="008A51C1" w:rsidRPr="00B773BF">
              <w:rPr>
                <w:rFonts w:ascii="Arial" w:hAnsi="Arial" w:cs="Arial"/>
                <w:color w:val="000000"/>
                <w:sz w:val="12"/>
                <w:szCs w:val="12"/>
              </w:rPr>
              <w:t>eléctrico</w:t>
            </w:r>
            <w:r w:rsidRPr="00B773BF">
              <w:rPr>
                <w:rFonts w:ascii="Arial" w:hAnsi="Arial" w:cs="Arial"/>
                <w:color w:val="000000"/>
                <w:sz w:val="12"/>
                <w:szCs w:val="12"/>
              </w:rPr>
              <w:t>.</w:t>
            </w:r>
          </w:p>
        </w:tc>
        <w:tc>
          <w:tcPr>
            <w:tcW w:w="708" w:type="dxa"/>
            <w:tcBorders>
              <w:top w:val="nil"/>
              <w:left w:val="nil"/>
              <w:bottom w:val="single" w:sz="4" w:space="0" w:color="auto"/>
              <w:right w:val="single" w:sz="4" w:space="0" w:color="auto"/>
            </w:tcBorders>
            <w:vAlign w:val="center"/>
            <w:hideMark/>
          </w:tcPr>
          <w:p w14:paraId="6D3077A5"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776ADEAA" w14:textId="73468CA0"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$1.016.000,00</w:t>
            </w:r>
          </w:p>
        </w:tc>
        <w:tc>
          <w:tcPr>
            <w:tcW w:w="1134" w:type="dxa"/>
            <w:tcBorders>
              <w:top w:val="nil"/>
              <w:left w:val="nil"/>
              <w:bottom w:val="single" w:sz="4" w:space="0" w:color="auto"/>
              <w:right w:val="single" w:sz="4" w:space="0" w:color="auto"/>
            </w:tcBorders>
            <w:shd w:val="clear" w:color="000000" w:fill="CAEDFB"/>
            <w:vAlign w:val="center"/>
            <w:hideMark/>
          </w:tcPr>
          <w:p w14:paraId="59ED04FC" w14:textId="5023F2C5"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$968.000</w:t>
            </w:r>
          </w:p>
        </w:tc>
        <w:tc>
          <w:tcPr>
            <w:tcW w:w="1134" w:type="dxa"/>
            <w:tcBorders>
              <w:top w:val="nil"/>
              <w:left w:val="nil"/>
              <w:bottom w:val="single" w:sz="4" w:space="0" w:color="auto"/>
              <w:right w:val="single" w:sz="4" w:space="0" w:color="auto"/>
            </w:tcBorders>
            <w:shd w:val="clear" w:color="000000" w:fill="CAEDFB"/>
            <w:vAlign w:val="center"/>
            <w:hideMark/>
          </w:tcPr>
          <w:p w14:paraId="74E520AB" w14:textId="6A54E48E"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$611.417</w:t>
            </w:r>
          </w:p>
        </w:tc>
        <w:tc>
          <w:tcPr>
            <w:tcW w:w="1506" w:type="dxa"/>
            <w:tcBorders>
              <w:top w:val="nil"/>
              <w:left w:val="nil"/>
              <w:bottom w:val="single" w:sz="4" w:space="0" w:color="auto"/>
              <w:right w:val="single" w:sz="4" w:space="0" w:color="auto"/>
            </w:tcBorders>
            <w:noWrap/>
            <w:vAlign w:val="center"/>
            <w:hideMark/>
          </w:tcPr>
          <w:p w14:paraId="15233A42" w14:textId="7B324FF4"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$865.139,00</w:t>
            </w:r>
          </w:p>
        </w:tc>
      </w:tr>
      <w:tr w:rsidR="00B773BF" w:rsidRPr="00B773BF" w14:paraId="6B88BCB3" w14:textId="77777777" w:rsidTr="00B773BF">
        <w:trPr>
          <w:trHeight w:val="255"/>
          <w:jc w:val="center"/>
        </w:trPr>
        <w:tc>
          <w:tcPr>
            <w:tcW w:w="562" w:type="dxa"/>
            <w:tcBorders>
              <w:top w:val="nil"/>
              <w:left w:val="single" w:sz="4" w:space="0" w:color="auto"/>
              <w:bottom w:val="single" w:sz="4" w:space="0" w:color="auto"/>
              <w:right w:val="single" w:sz="4" w:space="0" w:color="auto"/>
            </w:tcBorders>
            <w:vAlign w:val="center"/>
            <w:hideMark/>
          </w:tcPr>
          <w:p w14:paraId="2DAA93A4"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8.6</w:t>
            </w:r>
          </w:p>
        </w:tc>
        <w:tc>
          <w:tcPr>
            <w:tcW w:w="3828" w:type="dxa"/>
            <w:tcBorders>
              <w:top w:val="nil"/>
              <w:left w:val="nil"/>
              <w:bottom w:val="single" w:sz="4" w:space="0" w:color="auto"/>
              <w:right w:val="single" w:sz="4" w:space="0" w:color="auto"/>
            </w:tcBorders>
            <w:vAlign w:val="center"/>
            <w:hideMark/>
          </w:tcPr>
          <w:p w14:paraId="03EEC895" w14:textId="77777777" w:rsidR="00B773BF" w:rsidRPr="00B773BF" w:rsidRDefault="00B773BF" w:rsidP="008A51C1">
            <w:pPr>
              <w:jc w:val="both"/>
              <w:rPr>
                <w:rFonts w:ascii="Arial" w:hAnsi="Arial" w:cs="Arial"/>
                <w:color w:val="000000"/>
                <w:sz w:val="12"/>
                <w:szCs w:val="12"/>
              </w:rPr>
            </w:pPr>
            <w:r w:rsidRPr="00B773BF">
              <w:rPr>
                <w:rFonts w:ascii="Arial" w:hAnsi="Arial" w:cs="Arial"/>
                <w:color w:val="000000"/>
                <w:sz w:val="12"/>
                <w:szCs w:val="12"/>
              </w:rPr>
              <w:t>Lavado y desinfección de tanque de agua potable, volumen 30 m3</w:t>
            </w:r>
          </w:p>
        </w:tc>
        <w:tc>
          <w:tcPr>
            <w:tcW w:w="708" w:type="dxa"/>
            <w:tcBorders>
              <w:top w:val="nil"/>
              <w:left w:val="nil"/>
              <w:bottom w:val="single" w:sz="4" w:space="0" w:color="auto"/>
              <w:right w:val="single" w:sz="4" w:space="0" w:color="auto"/>
            </w:tcBorders>
            <w:vAlign w:val="center"/>
            <w:hideMark/>
          </w:tcPr>
          <w:p w14:paraId="428BF929" w14:textId="7777777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w:t>
            </w:r>
          </w:p>
        </w:tc>
        <w:tc>
          <w:tcPr>
            <w:tcW w:w="1560" w:type="dxa"/>
            <w:tcBorders>
              <w:top w:val="nil"/>
              <w:left w:val="nil"/>
              <w:bottom w:val="single" w:sz="4" w:space="0" w:color="auto"/>
              <w:right w:val="single" w:sz="4" w:space="0" w:color="auto"/>
            </w:tcBorders>
            <w:shd w:val="clear" w:color="000000" w:fill="FBE2D5"/>
            <w:vAlign w:val="center"/>
            <w:hideMark/>
          </w:tcPr>
          <w:p w14:paraId="0EE279BB" w14:textId="79E446DB"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$2.625.000,00</w:t>
            </w:r>
          </w:p>
        </w:tc>
        <w:tc>
          <w:tcPr>
            <w:tcW w:w="1134" w:type="dxa"/>
            <w:tcBorders>
              <w:top w:val="nil"/>
              <w:left w:val="nil"/>
              <w:bottom w:val="single" w:sz="4" w:space="0" w:color="auto"/>
              <w:right w:val="single" w:sz="4" w:space="0" w:color="auto"/>
            </w:tcBorders>
            <w:shd w:val="clear" w:color="000000" w:fill="CAEDFB"/>
            <w:vAlign w:val="center"/>
            <w:hideMark/>
          </w:tcPr>
          <w:p w14:paraId="2164BAA0" w14:textId="60403048"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$2.500.000</w:t>
            </w:r>
          </w:p>
        </w:tc>
        <w:tc>
          <w:tcPr>
            <w:tcW w:w="1134" w:type="dxa"/>
            <w:tcBorders>
              <w:top w:val="nil"/>
              <w:left w:val="nil"/>
              <w:bottom w:val="single" w:sz="4" w:space="0" w:color="auto"/>
              <w:right w:val="single" w:sz="4" w:space="0" w:color="auto"/>
            </w:tcBorders>
            <w:shd w:val="clear" w:color="000000" w:fill="CAEDFB"/>
            <w:vAlign w:val="center"/>
            <w:hideMark/>
          </w:tcPr>
          <w:p w14:paraId="30584EBD" w14:textId="71D21E5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$1.264.955</w:t>
            </w:r>
          </w:p>
        </w:tc>
        <w:tc>
          <w:tcPr>
            <w:tcW w:w="1506" w:type="dxa"/>
            <w:tcBorders>
              <w:top w:val="nil"/>
              <w:left w:val="nil"/>
              <w:bottom w:val="single" w:sz="4" w:space="0" w:color="auto"/>
              <w:right w:val="single" w:sz="4" w:space="0" w:color="auto"/>
            </w:tcBorders>
            <w:noWrap/>
            <w:vAlign w:val="center"/>
            <w:hideMark/>
          </w:tcPr>
          <w:p w14:paraId="46D16E7E" w14:textId="221095A7" w:rsidR="00B773BF" w:rsidRPr="00B773BF" w:rsidRDefault="00B773BF">
            <w:pPr>
              <w:jc w:val="center"/>
              <w:rPr>
                <w:rFonts w:ascii="Arial" w:hAnsi="Arial" w:cs="Arial"/>
                <w:color w:val="000000"/>
                <w:sz w:val="12"/>
                <w:szCs w:val="12"/>
              </w:rPr>
            </w:pPr>
            <w:r w:rsidRPr="00B773BF">
              <w:rPr>
                <w:rFonts w:ascii="Arial" w:hAnsi="Arial" w:cs="Arial"/>
                <w:color w:val="000000"/>
                <w:sz w:val="12"/>
                <w:szCs w:val="12"/>
              </w:rPr>
              <w:t>$2.129.985,00</w:t>
            </w:r>
          </w:p>
        </w:tc>
      </w:tr>
      <w:tr w:rsidR="00B773BF" w:rsidRPr="00B773BF" w14:paraId="721796B2" w14:textId="77777777" w:rsidTr="00343F5A">
        <w:trPr>
          <w:trHeight w:val="525"/>
          <w:jc w:val="center"/>
        </w:trPr>
        <w:tc>
          <w:tcPr>
            <w:tcW w:w="5098" w:type="dxa"/>
            <w:gridSpan w:val="3"/>
            <w:tcBorders>
              <w:top w:val="nil"/>
              <w:left w:val="single" w:sz="4" w:space="0" w:color="auto"/>
              <w:bottom w:val="single" w:sz="4" w:space="0" w:color="auto"/>
              <w:right w:val="single" w:sz="4" w:space="0" w:color="auto"/>
            </w:tcBorders>
            <w:noWrap/>
            <w:vAlign w:val="center"/>
            <w:hideMark/>
          </w:tcPr>
          <w:p w14:paraId="3E34A7D6" w14:textId="32D9A2DE" w:rsidR="00B773BF" w:rsidRPr="00B773BF" w:rsidRDefault="00B773BF" w:rsidP="00B773BF">
            <w:pPr>
              <w:jc w:val="center"/>
              <w:rPr>
                <w:rFonts w:ascii="Arial" w:hAnsi="Arial" w:cs="Arial"/>
                <w:b/>
                <w:bCs/>
                <w:color w:val="000000"/>
                <w:sz w:val="12"/>
                <w:szCs w:val="12"/>
              </w:rPr>
            </w:pPr>
            <w:proofErr w:type="gramStart"/>
            <w:r w:rsidRPr="00B773BF">
              <w:rPr>
                <w:rFonts w:ascii="Arial" w:hAnsi="Arial" w:cs="Arial"/>
                <w:b/>
                <w:bCs/>
                <w:color w:val="000000"/>
                <w:sz w:val="12"/>
                <w:szCs w:val="12"/>
              </w:rPr>
              <w:t>TOTAL</w:t>
            </w:r>
            <w:proofErr w:type="gramEnd"/>
            <w:r w:rsidRPr="00B773BF">
              <w:rPr>
                <w:rFonts w:ascii="Arial" w:hAnsi="Arial" w:cs="Arial"/>
                <w:b/>
                <w:bCs/>
                <w:color w:val="000000"/>
                <w:sz w:val="12"/>
                <w:szCs w:val="12"/>
              </w:rPr>
              <w:t xml:space="preserve"> MANTENIMIENTOS IVA INCLUIDO</w:t>
            </w:r>
          </w:p>
          <w:p w14:paraId="560FB123" w14:textId="2AB9BB2C" w:rsidR="00B773BF" w:rsidRPr="00B773BF" w:rsidRDefault="00B773BF" w:rsidP="00B773BF">
            <w:pPr>
              <w:jc w:val="center"/>
              <w:rPr>
                <w:rFonts w:ascii="Arial" w:hAnsi="Arial" w:cs="Arial"/>
                <w:b/>
                <w:bCs/>
                <w:color w:val="000000"/>
                <w:sz w:val="12"/>
                <w:szCs w:val="12"/>
              </w:rPr>
            </w:pPr>
          </w:p>
        </w:tc>
        <w:tc>
          <w:tcPr>
            <w:tcW w:w="1560" w:type="dxa"/>
            <w:tcBorders>
              <w:top w:val="nil"/>
              <w:left w:val="nil"/>
              <w:bottom w:val="single" w:sz="4" w:space="0" w:color="auto"/>
              <w:right w:val="single" w:sz="4" w:space="0" w:color="auto"/>
            </w:tcBorders>
            <w:noWrap/>
            <w:vAlign w:val="center"/>
            <w:hideMark/>
          </w:tcPr>
          <w:p w14:paraId="330B67CE" w14:textId="692D809D" w:rsidR="00B773BF" w:rsidRPr="00B773BF" w:rsidRDefault="00B773BF" w:rsidP="00B773BF">
            <w:pPr>
              <w:jc w:val="center"/>
              <w:rPr>
                <w:rFonts w:ascii="Arial" w:hAnsi="Arial" w:cs="Arial"/>
                <w:b/>
                <w:bCs/>
                <w:color w:val="000000"/>
                <w:sz w:val="12"/>
                <w:szCs w:val="12"/>
              </w:rPr>
            </w:pPr>
            <w:r w:rsidRPr="00B773BF">
              <w:rPr>
                <w:rFonts w:ascii="Arial" w:hAnsi="Arial" w:cs="Arial"/>
                <w:b/>
                <w:bCs/>
                <w:color w:val="000000"/>
                <w:sz w:val="12"/>
                <w:szCs w:val="12"/>
              </w:rPr>
              <w:t>$96.802.000,00</w:t>
            </w:r>
          </w:p>
        </w:tc>
        <w:tc>
          <w:tcPr>
            <w:tcW w:w="1134" w:type="dxa"/>
            <w:tcBorders>
              <w:top w:val="nil"/>
              <w:left w:val="nil"/>
              <w:bottom w:val="single" w:sz="4" w:space="0" w:color="auto"/>
              <w:right w:val="single" w:sz="4" w:space="0" w:color="auto"/>
            </w:tcBorders>
            <w:noWrap/>
            <w:vAlign w:val="center"/>
            <w:hideMark/>
          </w:tcPr>
          <w:p w14:paraId="579A0660" w14:textId="797756A9" w:rsidR="00B773BF" w:rsidRPr="00B773BF" w:rsidRDefault="00B773BF" w:rsidP="00B773BF">
            <w:pPr>
              <w:jc w:val="center"/>
              <w:rPr>
                <w:rFonts w:ascii="Arial" w:hAnsi="Arial" w:cs="Arial"/>
                <w:b/>
                <w:bCs/>
                <w:color w:val="000000"/>
                <w:sz w:val="12"/>
                <w:szCs w:val="12"/>
              </w:rPr>
            </w:pPr>
            <w:r w:rsidRPr="00B773BF">
              <w:rPr>
                <w:rFonts w:ascii="Arial" w:hAnsi="Arial" w:cs="Arial"/>
                <w:b/>
                <w:bCs/>
                <w:color w:val="000000"/>
                <w:sz w:val="12"/>
                <w:szCs w:val="12"/>
              </w:rPr>
              <w:t>$92.195.050,00</w:t>
            </w:r>
          </w:p>
        </w:tc>
        <w:tc>
          <w:tcPr>
            <w:tcW w:w="1134" w:type="dxa"/>
            <w:tcBorders>
              <w:top w:val="nil"/>
              <w:left w:val="nil"/>
              <w:bottom w:val="single" w:sz="4" w:space="0" w:color="auto"/>
              <w:right w:val="single" w:sz="4" w:space="0" w:color="auto"/>
            </w:tcBorders>
            <w:noWrap/>
            <w:vAlign w:val="center"/>
            <w:hideMark/>
          </w:tcPr>
          <w:p w14:paraId="4AF38816" w14:textId="6421B0E3" w:rsidR="00B773BF" w:rsidRPr="00B773BF" w:rsidRDefault="00B773BF" w:rsidP="00B773BF">
            <w:pPr>
              <w:jc w:val="center"/>
              <w:rPr>
                <w:rFonts w:ascii="Arial" w:hAnsi="Arial" w:cs="Arial"/>
                <w:b/>
                <w:bCs/>
                <w:color w:val="000000"/>
                <w:sz w:val="12"/>
                <w:szCs w:val="12"/>
              </w:rPr>
            </w:pPr>
            <w:r w:rsidRPr="00B773BF">
              <w:rPr>
                <w:rFonts w:ascii="Arial" w:hAnsi="Arial" w:cs="Arial"/>
                <w:b/>
                <w:bCs/>
                <w:color w:val="000000"/>
                <w:sz w:val="12"/>
                <w:szCs w:val="12"/>
              </w:rPr>
              <w:t>$28.713.442,43</w:t>
            </w:r>
          </w:p>
        </w:tc>
        <w:tc>
          <w:tcPr>
            <w:tcW w:w="1506" w:type="dxa"/>
            <w:tcBorders>
              <w:top w:val="nil"/>
              <w:left w:val="nil"/>
              <w:bottom w:val="single" w:sz="4" w:space="0" w:color="auto"/>
              <w:right w:val="single" w:sz="4" w:space="0" w:color="auto"/>
            </w:tcBorders>
            <w:noWrap/>
            <w:vAlign w:val="center"/>
            <w:hideMark/>
          </w:tcPr>
          <w:p w14:paraId="7BB88D74" w14:textId="2817461C" w:rsidR="00B773BF" w:rsidRPr="00B773BF" w:rsidRDefault="00B773BF" w:rsidP="00B773BF">
            <w:pPr>
              <w:jc w:val="center"/>
              <w:rPr>
                <w:rFonts w:ascii="Arial" w:hAnsi="Arial" w:cs="Arial"/>
                <w:b/>
                <w:bCs/>
                <w:color w:val="000000"/>
                <w:sz w:val="12"/>
                <w:szCs w:val="12"/>
              </w:rPr>
            </w:pPr>
            <w:r w:rsidRPr="00B773BF">
              <w:rPr>
                <w:rFonts w:ascii="Arial" w:hAnsi="Arial" w:cs="Arial"/>
                <w:b/>
                <w:bCs/>
                <w:color w:val="000000"/>
                <w:sz w:val="12"/>
                <w:szCs w:val="12"/>
              </w:rPr>
              <w:t>$82.496.974,00</w:t>
            </w:r>
          </w:p>
        </w:tc>
      </w:tr>
    </w:tbl>
    <w:p w14:paraId="5A74D87B" w14:textId="77777777" w:rsidR="00455B45" w:rsidRDefault="00455B45" w:rsidP="00455B45">
      <w:pPr>
        <w:jc w:val="both"/>
        <w:rPr>
          <w:rFonts w:ascii="Arial" w:hAnsi="Arial" w:cs="Arial"/>
          <w:b/>
          <w:bCs/>
          <w:sz w:val="22"/>
          <w:szCs w:val="22"/>
        </w:rPr>
      </w:pPr>
    </w:p>
    <w:p w14:paraId="4FA1D534" w14:textId="77777777" w:rsidR="00455B45" w:rsidRDefault="00455B45" w:rsidP="00455B45">
      <w:pPr>
        <w:jc w:val="both"/>
        <w:rPr>
          <w:rFonts w:ascii="Arial" w:hAnsi="Arial" w:cs="Arial"/>
          <w:b/>
          <w:bCs/>
          <w:sz w:val="22"/>
          <w:szCs w:val="22"/>
        </w:rPr>
      </w:pPr>
      <w:r>
        <w:rPr>
          <w:rFonts w:ascii="Arial" w:hAnsi="Arial" w:cs="Arial"/>
          <w:b/>
          <w:bCs/>
          <w:sz w:val="22"/>
          <w:szCs w:val="22"/>
        </w:rPr>
        <w:t>2. Determinación monto presupuesto mantenimientos preventivos.</w:t>
      </w:r>
    </w:p>
    <w:p w14:paraId="0E7D02A9" w14:textId="77777777" w:rsidR="00455B45" w:rsidRDefault="00455B45" w:rsidP="00455B45">
      <w:pPr>
        <w:jc w:val="both"/>
        <w:rPr>
          <w:rFonts w:ascii="Arial" w:hAnsi="Arial" w:cs="Arial"/>
          <w:b/>
          <w:bCs/>
          <w:sz w:val="22"/>
          <w:szCs w:val="22"/>
        </w:rPr>
      </w:pPr>
    </w:p>
    <w:p w14:paraId="6CDBCDE8" w14:textId="77777777" w:rsidR="00455B45" w:rsidRDefault="00455B45" w:rsidP="00455B45">
      <w:pPr>
        <w:jc w:val="both"/>
        <w:rPr>
          <w:rFonts w:ascii="Arial" w:hAnsi="Arial" w:cs="Arial"/>
          <w:sz w:val="22"/>
          <w:szCs w:val="22"/>
        </w:rPr>
      </w:pPr>
      <w:r w:rsidRPr="00787CB7">
        <w:rPr>
          <w:rFonts w:ascii="Arial" w:hAnsi="Arial" w:cs="Arial"/>
          <w:sz w:val="22"/>
          <w:szCs w:val="22"/>
        </w:rPr>
        <w:t xml:space="preserve">El valor resultante de </w:t>
      </w:r>
      <w:r w:rsidRPr="00787CB7">
        <w:rPr>
          <w:rFonts w:ascii="Arial" w:hAnsi="Arial" w:cs="Arial"/>
          <w:b/>
          <w:bCs/>
          <w:sz w:val="22"/>
          <w:szCs w:val="22"/>
        </w:rPr>
        <w:t>CIENTO CINCUENTA Y SEIS MILLONES CIENTO NOVENTA MIL SETECIENTOS NOVENTA Y CINCO PESOS M/CTE ($156.190.795,00)</w:t>
      </w:r>
      <w:r w:rsidRPr="00787CB7">
        <w:rPr>
          <w:rFonts w:ascii="Arial" w:hAnsi="Arial" w:cs="Arial"/>
          <w:sz w:val="22"/>
          <w:szCs w:val="22"/>
        </w:rPr>
        <w:t xml:space="preserve"> se encuentra plenamente justificado técnica y financieramente bajo las siguientes consideraciones integrales:</w:t>
      </w:r>
    </w:p>
    <w:p w14:paraId="4777262E" w14:textId="77777777" w:rsidR="00455B45" w:rsidRPr="00787CB7" w:rsidRDefault="00455B45" w:rsidP="00455B45">
      <w:pPr>
        <w:suppressAutoHyphens/>
        <w:jc w:val="both"/>
        <w:rPr>
          <w:rFonts w:ascii="Arial" w:hAnsi="Arial" w:cs="Arial"/>
          <w:sz w:val="22"/>
          <w:szCs w:val="22"/>
        </w:rPr>
      </w:pPr>
    </w:p>
    <w:p w14:paraId="410097F0" w14:textId="77777777" w:rsidR="00455B45" w:rsidRPr="00787CB7" w:rsidRDefault="00455B45" w:rsidP="00455B45">
      <w:pPr>
        <w:numPr>
          <w:ilvl w:val="0"/>
          <w:numId w:val="39"/>
        </w:numPr>
        <w:suppressAutoHyphens/>
        <w:jc w:val="both"/>
        <w:rPr>
          <w:rFonts w:ascii="Arial" w:hAnsi="Arial" w:cs="Arial"/>
          <w:sz w:val="22"/>
          <w:szCs w:val="22"/>
        </w:rPr>
      </w:pPr>
      <w:r w:rsidRPr="00787CB7">
        <w:rPr>
          <w:rFonts w:ascii="Arial" w:hAnsi="Arial" w:cs="Arial"/>
          <w:b/>
          <w:bCs/>
          <w:sz w:val="22"/>
          <w:szCs w:val="22"/>
        </w:rPr>
        <w:t>Alcance Integral del Servicio:</w:t>
      </w:r>
      <w:r w:rsidRPr="00787CB7">
        <w:rPr>
          <w:rFonts w:ascii="Arial" w:hAnsi="Arial" w:cs="Arial"/>
          <w:sz w:val="22"/>
          <w:szCs w:val="22"/>
        </w:rPr>
        <w:t xml:space="preserve"> El valor promedio obtenido engloba la totalidad de los costos directos e indirectos necesarios para la prestación del servicio. Esto incluye la mano de obra calificada y certificada, las herramientas especializadas, los equipos de medición, la dotación y los elementos de protección personal exigidos por la normatividad de Seguridad y Salud en el Trabajo (SST).</w:t>
      </w:r>
    </w:p>
    <w:p w14:paraId="4ED1BB3D" w14:textId="77777777" w:rsidR="00455B45" w:rsidRPr="00787CB7" w:rsidRDefault="00455B45" w:rsidP="00455B45">
      <w:pPr>
        <w:numPr>
          <w:ilvl w:val="0"/>
          <w:numId w:val="39"/>
        </w:numPr>
        <w:suppressAutoHyphens/>
        <w:jc w:val="both"/>
        <w:rPr>
          <w:rFonts w:ascii="Arial" w:hAnsi="Arial" w:cs="Arial"/>
          <w:sz w:val="22"/>
          <w:szCs w:val="22"/>
        </w:rPr>
      </w:pPr>
      <w:r w:rsidRPr="00787CB7">
        <w:rPr>
          <w:rFonts w:ascii="Arial" w:hAnsi="Arial" w:cs="Arial"/>
          <w:b/>
          <w:bCs/>
          <w:sz w:val="22"/>
          <w:szCs w:val="22"/>
        </w:rPr>
        <w:t>Costos Logísticos y de Desplazamiento:</w:t>
      </w:r>
      <w:r w:rsidRPr="00787CB7">
        <w:rPr>
          <w:rFonts w:ascii="Arial" w:hAnsi="Arial" w:cs="Arial"/>
          <w:sz w:val="22"/>
          <w:szCs w:val="22"/>
        </w:rPr>
        <w:t xml:space="preserve"> El monto contempla de manera implícita los costos logísticos, viáticos y de transporte hacia todas las sedes judiciales del circuito (Bogotá CAN, Soacha, Facatativá, Girardot, Chocontá, Zipaquirá y Leticia). La Entidad no reconocerá pagos adicionales por concepto de desplazamientos, por lo que el riesgo y costo de esta logística ya ha sido ponderado y asumido dentro de los precios unitarios del mercado. </w:t>
      </w:r>
    </w:p>
    <w:p w14:paraId="5F08DFF6" w14:textId="77777777" w:rsidR="00455B45" w:rsidRPr="00787CB7" w:rsidRDefault="00455B45" w:rsidP="00455B45">
      <w:pPr>
        <w:numPr>
          <w:ilvl w:val="0"/>
          <w:numId w:val="39"/>
        </w:numPr>
        <w:suppressAutoHyphens/>
        <w:jc w:val="both"/>
        <w:rPr>
          <w:rFonts w:ascii="Arial" w:hAnsi="Arial" w:cs="Arial"/>
          <w:sz w:val="22"/>
          <w:szCs w:val="22"/>
        </w:rPr>
      </w:pPr>
      <w:r w:rsidRPr="00787CB7">
        <w:rPr>
          <w:rFonts w:ascii="Arial" w:hAnsi="Arial" w:cs="Arial"/>
          <w:b/>
          <w:bCs/>
          <w:sz w:val="22"/>
          <w:szCs w:val="22"/>
        </w:rPr>
        <w:t>Aplicación de la Normatividad Tributaria:</w:t>
      </w:r>
      <w:r w:rsidRPr="00787CB7">
        <w:rPr>
          <w:rFonts w:ascii="Arial" w:hAnsi="Arial" w:cs="Arial"/>
          <w:sz w:val="22"/>
          <w:szCs w:val="22"/>
        </w:rPr>
        <w:t xml:space="preserve"> El cálculo del presupuesto tiene en cuenta el recargo del Impuesto al Valor Agregado (IVA) del 19% para los ítems y sedes donde es aplicable, aplicando estrictamente la exención tributaria consagrada en la Ley 191 de 1995 (Estatuto Tributario) para los servicios prestados en el departamento del Amazonas (Leticia). </w:t>
      </w:r>
    </w:p>
    <w:p w14:paraId="7284C12C" w14:textId="77777777" w:rsidR="00455B45" w:rsidRPr="00787CB7" w:rsidRDefault="00455B45" w:rsidP="00455B45">
      <w:pPr>
        <w:numPr>
          <w:ilvl w:val="0"/>
          <w:numId w:val="39"/>
        </w:numPr>
        <w:suppressAutoHyphens/>
        <w:jc w:val="both"/>
        <w:rPr>
          <w:rFonts w:ascii="Arial" w:hAnsi="Arial" w:cs="Arial"/>
          <w:sz w:val="22"/>
          <w:szCs w:val="22"/>
        </w:rPr>
      </w:pPr>
      <w:r w:rsidRPr="00787CB7">
        <w:rPr>
          <w:rFonts w:ascii="Arial" w:hAnsi="Arial" w:cs="Arial"/>
          <w:b/>
          <w:bCs/>
          <w:sz w:val="22"/>
          <w:szCs w:val="22"/>
        </w:rPr>
        <w:t>Frecuencia de las Intervenciones:</w:t>
      </w:r>
      <w:r w:rsidRPr="00787CB7">
        <w:rPr>
          <w:rFonts w:ascii="Arial" w:hAnsi="Arial" w:cs="Arial"/>
          <w:sz w:val="22"/>
          <w:szCs w:val="22"/>
        </w:rPr>
        <w:t xml:space="preserve"> El presupuesto proyectado cubre un esquema de intervenciones periódicas (proyección trimestral) orientadas a sostener la vida útil de equipos críticos como bombas eyectoras, bombas de red contraincendios, bombas jockey, y los lavados y desinfección de tanques de reserva de agua potable, garantizando así la salubridad y la seguridad de los servidores judiciales y usuarios de la administración de justicia. </w:t>
      </w:r>
    </w:p>
    <w:p w14:paraId="69F3A8E5" w14:textId="77777777" w:rsidR="00455B45" w:rsidRDefault="00455B45" w:rsidP="00455B45">
      <w:pPr>
        <w:numPr>
          <w:ilvl w:val="0"/>
          <w:numId w:val="39"/>
        </w:numPr>
        <w:suppressAutoHyphens/>
        <w:jc w:val="both"/>
        <w:rPr>
          <w:rFonts w:ascii="Arial" w:hAnsi="Arial" w:cs="Arial"/>
          <w:sz w:val="22"/>
          <w:szCs w:val="22"/>
        </w:rPr>
      </w:pPr>
      <w:r w:rsidRPr="00787CB7">
        <w:rPr>
          <w:rFonts w:ascii="Arial" w:hAnsi="Arial" w:cs="Arial"/>
          <w:b/>
          <w:bCs/>
          <w:sz w:val="22"/>
          <w:szCs w:val="22"/>
        </w:rPr>
        <w:t>Proyección y Suficiencia para la Vigencia Fiscal:</w:t>
      </w:r>
      <w:r w:rsidRPr="00787CB7">
        <w:rPr>
          <w:rFonts w:ascii="Arial" w:hAnsi="Arial" w:cs="Arial"/>
          <w:sz w:val="22"/>
          <w:szCs w:val="22"/>
        </w:rPr>
        <w:t xml:space="preserve"> El monto estimado fue calculado proyectando la cantidad de mantenimientos preventivos y las eventuales necesidades correctivas requeridas para los sistemas de bombeo durante los meses restantes de la presente vigencia fiscal. Al estructurarse bajo la modalidad de ejecución a </w:t>
      </w:r>
      <w:r w:rsidRPr="00787CB7">
        <w:rPr>
          <w:rFonts w:ascii="Arial" w:hAnsi="Arial" w:cs="Arial"/>
          <w:b/>
          <w:bCs/>
          <w:sz w:val="22"/>
          <w:szCs w:val="22"/>
        </w:rPr>
        <w:t>monto agotable</w:t>
      </w:r>
      <w:r w:rsidRPr="00787CB7">
        <w:rPr>
          <w:rFonts w:ascii="Arial" w:hAnsi="Arial" w:cs="Arial"/>
          <w:sz w:val="22"/>
          <w:szCs w:val="22"/>
        </w:rPr>
        <w:t xml:space="preserve">, la Entidad garantiza que esta apropiación presupuestal es idónea y estrictamente suficiente para asegurar la operatividad ininterrumpida de las sedes hasta el cierre presupuestal del año en curso, sin incurrir en desabastecimiento del servicio ni en la inmovilización injustificada de recursos públicos. </w:t>
      </w:r>
    </w:p>
    <w:p w14:paraId="43A35965" w14:textId="77777777" w:rsidR="00455B45" w:rsidRPr="00787CB7" w:rsidRDefault="00455B45" w:rsidP="00455B45">
      <w:pPr>
        <w:suppressAutoHyphens/>
        <w:ind w:left="720"/>
        <w:jc w:val="both"/>
        <w:rPr>
          <w:rFonts w:ascii="Arial" w:hAnsi="Arial" w:cs="Arial"/>
          <w:sz w:val="22"/>
          <w:szCs w:val="22"/>
        </w:rPr>
      </w:pPr>
    </w:p>
    <w:p w14:paraId="6CA9495C" w14:textId="77777777" w:rsidR="00455B45" w:rsidRPr="00787CB7" w:rsidRDefault="00455B45" w:rsidP="00455B45">
      <w:pPr>
        <w:suppressAutoHyphens/>
        <w:jc w:val="both"/>
        <w:rPr>
          <w:rFonts w:ascii="Arial" w:hAnsi="Arial" w:cs="Arial"/>
          <w:sz w:val="22"/>
          <w:szCs w:val="22"/>
        </w:rPr>
      </w:pPr>
      <w:r w:rsidRPr="00787CB7">
        <w:rPr>
          <w:rFonts w:ascii="Arial" w:hAnsi="Arial" w:cs="Arial"/>
          <w:sz w:val="22"/>
          <w:szCs w:val="22"/>
        </w:rPr>
        <w:t>En conclusión, el valor de $156.190.795,00 para la bolsa de mantenimientos obedece a un costeo estructurado, objetivo y apegado a la realidad del sector, garantizando que el futuro contratista cuente con el respaldo financiero necesario para cumplir a cabalidad con las exigencias del contrato sin incurrir en escenarios de precios artificialmente bajos que pongan en riesgo la operatividad de los Palacios de Justicia.</w:t>
      </w:r>
    </w:p>
    <w:p w14:paraId="35704E2D" w14:textId="77777777" w:rsidR="00455B45" w:rsidRDefault="00455B45" w:rsidP="00455B45">
      <w:pPr>
        <w:jc w:val="both"/>
        <w:rPr>
          <w:rFonts w:ascii="Arial" w:hAnsi="Arial" w:cs="Arial"/>
          <w:b/>
          <w:bCs/>
          <w:sz w:val="22"/>
          <w:szCs w:val="22"/>
        </w:rPr>
      </w:pPr>
    </w:p>
    <w:p w14:paraId="3073E2A6" w14:textId="629031CD" w:rsidR="00455B45" w:rsidRPr="008A51C1" w:rsidRDefault="00455B45" w:rsidP="008A51C1">
      <w:pPr>
        <w:pStyle w:val="Prrafodelista"/>
        <w:numPr>
          <w:ilvl w:val="0"/>
          <w:numId w:val="37"/>
        </w:numPr>
        <w:suppressAutoHyphens/>
        <w:jc w:val="both"/>
        <w:rPr>
          <w:rFonts w:ascii="Arial" w:hAnsi="Arial" w:cs="Arial"/>
          <w:b/>
          <w:bCs/>
          <w:sz w:val="22"/>
          <w:szCs w:val="22"/>
        </w:rPr>
      </w:pPr>
      <w:r w:rsidRPr="008A51C1">
        <w:rPr>
          <w:rFonts w:ascii="Arial" w:hAnsi="Arial" w:cs="Arial"/>
          <w:b/>
          <w:bCs/>
          <w:sz w:val="22"/>
          <w:szCs w:val="22"/>
        </w:rPr>
        <w:t>Determinación y Justificación de la Bolsa de Repuestos (12%)</w:t>
      </w:r>
    </w:p>
    <w:p w14:paraId="25344D8F" w14:textId="77777777" w:rsidR="008A51C1" w:rsidRPr="008A51C1" w:rsidRDefault="008A51C1" w:rsidP="008A51C1">
      <w:pPr>
        <w:pStyle w:val="Prrafodelista"/>
        <w:suppressAutoHyphens/>
        <w:jc w:val="both"/>
        <w:rPr>
          <w:rFonts w:ascii="Arial" w:hAnsi="Arial" w:cs="Arial"/>
          <w:sz w:val="22"/>
          <w:szCs w:val="22"/>
        </w:rPr>
      </w:pPr>
    </w:p>
    <w:p w14:paraId="68CACD06" w14:textId="77777777" w:rsidR="00455B45" w:rsidRDefault="00455B45" w:rsidP="00455B45">
      <w:pPr>
        <w:jc w:val="both"/>
        <w:rPr>
          <w:rFonts w:ascii="Arial" w:hAnsi="Arial" w:cs="Arial"/>
          <w:sz w:val="22"/>
          <w:szCs w:val="22"/>
        </w:rPr>
      </w:pPr>
      <w:r w:rsidRPr="0042181F">
        <w:rPr>
          <w:rFonts w:ascii="Arial" w:hAnsi="Arial" w:cs="Arial"/>
          <w:sz w:val="22"/>
          <w:szCs w:val="22"/>
        </w:rPr>
        <w:t>En el marco de nuestras obligaciones de planeación y con el propósito de dar estricto cumplimiento a los principios de economía y eficiencia del gasto público, se realizó una valoración del estado actual de los equipos de bombeo en las diferentes sedes judiciales para definir el porcentaje idóneo a destinar como "bolsa de repuestos".</w:t>
      </w:r>
    </w:p>
    <w:p w14:paraId="47284D66" w14:textId="77777777" w:rsidR="00455B45" w:rsidRPr="0042181F" w:rsidRDefault="00455B45" w:rsidP="00455B45">
      <w:pPr>
        <w:suppressAutoHyphens/>
        <w:jc w:val="both"/>
        <w:rPr>
          <w:rFonts w:ascii="Arial" w:hAnsi="Arial" w:cs="Arial"/>
          <w:sz w:val="22"/>
          <w:szCs w:val="22"/>
        </w:rPr>
      </w:pPr>
    </w:p>
    <w:p w14:paraId="702E234F" w14:textId="77777777" w:rsidR="00455B45" w:rsidRDefault="00455B45" w:rsidP="00455B45">
      <w:pPr>
        <w:jc w:val="both"/>
        <w:rPr>
          <w:rFonts w:ascii="Arial" w:hAnsi="Arial" w:cs="Arial"/>
          <w:sz w:val="22"/>
          <w:szCs w:val="22"/>
        </w:rPr>
      </w:pPr>
      <w:r w:rsidRPr="0042181F">
        <w:rPr>
          <w:rFonts w:ascii="Arial" w:hAnsi="Arial" w:cs="Arial"/>
          <w:sz w:val="22"/>
          <w:szCs w:val="22"/>
        </w:rPr>
        <w:t xml:space="preserve">Se estableció asignar un margen equivalente al </w:t>
      </w:r>
      <w:r w:rsidRPr="0042181F">
        <w:rPr>
          <w:rFonts w:ascii="Arial" w:hAnsi="Arial" w:cs="Arial"/>
          <w:b/>
          <w:bCs/>
          <w:sz w:val="22"/>
          <w:szCs w:val="22"/>
        </w:rPr>
        <w:t>12%</w:t>
      </w:r>
      <w:r w:rsidRPr="0042181F">
        <w:rPr>
          <w:rFonts w:ascii="Arial" w:hAnsi="Arial" w:cs="Arial"/>
          <w:sz w:val="22"/>
          <w:szCs w:val="22"/>
        </w:rPr>
        <w:t xml:space="preserve"> del valor base del mantenimiento ($18.742.895,</w:t>
      </w:r>
      <w:r>
        <w:rPr>
          <w:rFonts w:ascii="Arial" w:hAnsi="Arial" w:cs="Arial"/>
          <w:sz w:val="22"/>
          <w:szCs w:val="22"/>
        </w:rPr>
        <w:t>00</w:t>
      </w:r>
      <w:r w:rsidRPr="0042181F">
        <w:rPr>
          <w:rFonts w:ascii="Arial" w:hAnsi="Arial" w:cs="Arial"/>
          <w:sz w:val="22"/>
          <w:szCs w:val="22"/>
        </w:rPr>
        <w:t>). Este porcentaje no es elevado, pero sí el estrictamente necesario, proporcional y justificado técnica y operativamente bajo las siguientes consideraciones:</w:t>
      </w:r>
    </w:p>
    <w:p w14:paraId="62B677EC" w14:textId="77777777" w:rsidR="00455B45" w:rsidRPr="0042181F" w:rsidRDefault="00455B45" w:rsidP="00455B45">
      <w:pPr>
        <w:numPr>
          <w:ilvl w:val="0"/>
          <w:numId w:val="38"/>
        </w:numPr>
        <w:suppressAutoHyphens/>
        <w:jc w:val="both"/>
        <w:rPr>
          <w:rFonts w:ascii="Arial" w:hAnsi="Arial" w:cs="Arial"/>
          <w:sz w:val="22"/>
          <w:szCs w:val="22"/>
        </w:rPr>
      </w:pPr>
      <w:r w:rsidRPr="0042181F">
        <w:rPr>
          <w:rFonts w:ascii="Arial" w:hAnsi="Arial" w:cs="Arial"/>
          <w:b/>
          <w:bCs/>
          <w:sz w:val="22"/>
          <w:szCs w:val="22"/>
        </w:rPr>
        <w:t>Equipos de reciente instalación:</w:t>
      </w:r>
      <w:r w:rsidRPr="0042181F">
        <w:rPr>
          <w:rFonts w:ascii="Arial" w:hAnsi="Arial" w:cs="Arial"/>
          <w:sz w:val="22"/>
          <w:szCs w:val="22"/>
        </w:rPr>
        <w:t xml:space="preserve"> Los sistemas operativos en los Palacios de Justicia de Chocontá y Zipaquirá se encuentran en un estado óptimo al ser componentes relativamente nuevos; ambas sedes entraron recientemente en operación, lo que reduce drásticamente la probabilidad de ocurrencia de fallas mayores que demanden componentes costosos a corto plazo.</w:t>
      </w:r>
    </w:p>
    <w:p w14:paraId="0D239305" w14:textId="77777777" w:rsidR="00455B45" w:rsidRPr="0042181F" w:rsidRDefault="00455B45" w:rsidP="00455B45">
      <w:pPr>
        <w:numPr>
          <w:ilvl w:val="0"/>
          <w:numId w:val="38"/>
        </w:numPr>
        <w:suppressAutoHyphens/>
        <w:jc w:val="both"/>
        <w:rPr>
          <w:rFonts w:ascii="Arial" w:hAnsi="Arial" w:cs="Arial"/>
          <w:sz w:val="22"/>
          <w:szCs w:val="22"/>
        </w:rPr>
      </w:pPr>
      <w:r w:rsidRPr="0042181F">
        <w:rPr>
          <w:rFonts w:ascii="Arial" w:hAnsi="Arial" w:cs="Arial"/>
          <w:b/>
          <w:bCs/>
          <w:sz w:val="22"/>
          <w:szCs w:val="22"/>
        </w:rPr>
        <w:t>Repotenciación reciente:</w:t>
      </w:r>
      <w:r w:rsidRPr="0042181F">
        <w:rPr>
          <w:rFonts w:ascii="Arial" w:hAnsi="Arial" w:cs="Arial"/>
          <w:sz w:val="22"/>
          <w:szCs w:val="22"/>
        </w:rPr>
        <w:t xml:space="preserve"> Los equipos ubicados en la nueva sede de Leticia (</w:t>
      </w:r>
      <w:proofErr w:type="spellStart"/>
      <w:r w:rsidRPr="0042181F">
        <w:rPr>
          <w:rFonts w:ascii="Arial" w:hAnsi="Arial" w:cs="Arial"/>
          <w:sz w:val="22"/>
          <w:szCs w:val="22"/>
        </w:rPr>
        <w:t>Banrepública</w:t>
      </w:r>
      <w:proofErr w:type="spellEnd"/>
      <w:r w:rsidRPr="0042181F">
        <w:rPr>
          <w:rFonts w:ascii="Arial" w:hAnsi="Arial" w:cs="Arial"/>
          <w:sz w:val="22"/>
          <w:szCs w:val="22"/>
        </w:rPr>
        <w:t>) y en el Centro Administrativo Nacional (CAN) en Bogotá fueron objeto de un proceso reciente de repotenciación. Esto garantiza una extensión sustancial en su vida útil y una estabilidad operativa que desestima la necesidad de aprovisionamientos considerables de contingencia.</w:t>
      </w:r>
    </w:p>
    <w:p w14:paraId="28CBEB14" w14:textId="77777777" w:rsidR="00455B45" w:rsidRDefault="00455B45" w:rsidP="00455B45">
      <w:pPr>
        <w:numPr>
          <w:ilvl w:val="0"/>
          <w:numId w:val="38"/>
        </w:numPr>
        <w:suppressAutoHyphens/>
        <w:jc w:val="both"/>
        <w:rPr>
          <w:rFonts w:ascii="Arial" w:hAnsi="Arial" w:cs="Arial"/>
          <w:sz w:val="22"/>
          <w:szCs w:val="22"/>
        </w:rPr>
      </w:pPr>
      <w:r w:rsidRPr="0042181F">
        <w:rPr>
          <w:rFonts w:ascii="Arial" w:hAnsi="Arial" w:cs="Arial"/>
          <w:b/>
          <w:bCs/>
          <w:sz w:val="22"/>
          <w:szCs w:val="22"/>
        </w:rPr>
        <w:t>Mantenimientos correctivos previos:</w:t>
      </w:r>
      <w:r w:rsidRPr="0042181F">
        <w:rPr>
          <w:rFonts w:ascii="Arial" w:hAnsi="Arial" w:cs="Arial"/>
          <w:sz w:val="22"/>
          <w:szCs w:val="22"/>
        </w:rPr>
        <w:t xml:space="preserve"> En el resto de las sedes judiciales cobijadas por el alcance de este proceso se han venido aplicando mantenimientos correctivos y cambios preventivos de repuestos en periodos recientes, logrando así estabilizar la infraestructura física instalada.</w:t>
      </w:r>
    </w:p>
    <w:p w14:paraId="320623F3" w14:textId="77777777" w:rsidR="00455B45" w:rsidRPr="0042181F" w:rsidRDefault="00455B45" w:rsidP="00455B45">
      <w:pPr>
        <w:suppressAutoHyphens/>
        <w:ind w:left="720"/>
        <w:jc w:val="both"/>
        <w:rPr>
          <w:rFonts w:ascii="Arial" w:hAnsi="Arial" w:cs="Arial"/>
          <w:sz w:val="22"/>
          <w:szCs w:val="22"/>
        </w:rPr>
      </w:pPr>
    </w:p>
    <w:p w14:paraId="309DF845" w14:textId="77777777" w:rsidR="00455B45" w:rsidRDefault="00455B45" w:rsidP="00455B45">
      <w:pPr>
        <w:jc w:val="both"/>
        <w:rPr>
          <w:rFonts w:ascii="Arial" w:hAnsi="Arial" w:cs="Arial"/>
          <w:sz w:val="22"/>
          <w:szCs w:val="22"/>
        </w:rPr>
      </w:pPr>
      <w:r w:rsidRPr="0042181F">
        <w:rPr>
          <w:rFonts w:ascii="Arial" w:hAnsi="Arial" w:cs="Arial"/>
          <w:sz w:val="22"/>
          <w:szCs w:val="22"/>
        </w:rPr>
        <w:t xml:space="preserve">La suma de estos factores nos permite concluir con certeza técnica que no es necesario inmovilizar un monto superior al 12% en la bolsa de repuestos, garantizando la operatividad del sistema sin comprometer recursos que podrían quedar ociosos. Al sumar este rubro contingente al valor de los mantenimientos, el </w:t>
      </w:r>
      <w:r w:rsidRPr="0042181F">
        <w:rPr>
          <w:rFonts w:ascii="Arial" w:hAnsi="Arial" w:cs="Arial"/>
          <w:b/>
          <w:bCs/>
          <w:sz w:val="22"/>
          <w:szCs w:val="22"/>
        </w:rPr>
        <w:t>Total de la Oferta (Presupuesto Oficial)</w:t>
      </w:r>
      <w:r w:rsidRPr="0042181F">
        <w:rPr>
          <w:rFonts w:ascii="Arial" w:hAnsi="Arial" w:cs="Arial"/>
          <w:sz w:val="22"/>
          <w:szCs w:val="22"/>
        </w:rPr>
        <w:t xml:space="preserve"> asciende a la suma de </w:t>
      </w:r>
      <w:r w:rsidRPr="0042181F">
        <w:rPr>
          <w:rFonts w:ascii="Arial" w:hAnsi="Arial" w:cs="Arial"/>
          <w:b/>
          <w:bCs/>
          <w:sz w:val="22"/>
          <w:szCs w:val="22"/>
        </w:rPr>
        <w:t>$174.933.690</w:t>
      </w:r>
      <w:r>
        <w:rPr>
          <w:rFonts w:ascii="Arial" w:hAnsi="Arial" w:cs="Arial"/>
          <w:b/>
          <w:bCs/>
          <w:sz w:val="22"/>
          <w:szCs w:val="22"/>
        </w:rPr>
        <w:t>,00</w:t>
      </w:r>
    </w:p>
    <w:p w14:paraId="374A447C" w14:textId="77777777" w:rsidR="00455B45" w:rsidRPr="0042181F" w:rsidRDefault="00455B45" w:rsidP="00455B45">
      <w:pPr>
        <w:suppressAutoHyphens/>
        <w:jc w:val="both"/>
        <w:rPr>
          <w:rFonts w:ascii="Arial" w:hAnsi="Arial" w:cs="Arial"/>
          <w:sz w:val="22"/>
          <w:szCs w:val="22"/>
        </w:rPr>
      </w:pPr>
    </w:p>
    <w:p w14:paraId="37322596" w14:textId="77777777" w:rsidR="00455B45" w:rsidRPr="0042181F" w:rsidRDefault="00455B45" w:rsidP="00455B45">
      <w:pPr>
        <w:suppressAutoHyphens/>
        <w:jc w:val="both"/>
        <w:rPr>
          <w:rFonts w:ascii="Arial" w:hAnsi="Arial" w:cs="Arial"/>
          <w:sz w:val="22"/>
          <w:szCs w:val="22"/>
        </w:rPr>
      </w:pPr>
      <w:r>
        <w:rPr>
          <w:rFonts w:ascii="Arial" w:hAnsi="Arial" w:cs="Arial"/>
          <w:b/>
          <w:bCs/>
          <w:sz w:val="22"/>
          <w:szCs w:val="22"/>
        </w:rPr>
        <w:t>4</w:t>
      </w:r>
      <w:r w:rsidRPr="0042181F">
        <w:rPr>
          <w:rFonts w:ascii="Arial" w:hAnsi="Arial" w:cs="Arial"/>
          <w:b/>
          <w:bCs/>
          <w:sz w:val="22"/>
          <w:szCs w:val="22"/>
        </w:rPr>
        <w:t>. Cotización de Elementos No Pactados (Mecanismo de Control)</w:t>
      </w:r>
    </w:p>
    <w:p w14:paraId="19D8AB7C" w14:textId="77777777" w:rsidR="00455B45" w:rsidRDefault="00455B45" w:rsidP="00455B45">
      <w:pPr>
        <w:jc w:val="both"/>
        <w:rPr>
          <w:rFonts w:ascii="Arial" w:hAnsi="Arial" w:cs="Arial"/>
          <w:sz w:val="22"/>
          <w:szCs w:val="22"/>
        </w:rPr>
      </w:pPr>
      <w:r w:rsidRPr="0042181F">
        <w:rPr>
          <w:rFonts w:ascii="Arial" w:hAnsi="Arial" w:cs="Arial"/>
          <w:sz w:val="22"/>
          <w:szCs w:val="22"/>
        </w:rPr>
        <w:t>Para garantizar la pluralidad, la transparencia y resguardar el erario en la ejecución de los recursos asignados a la bolsa de repuestos, se establecen directrices estrictas que el contratista deberá acatar y que la supervisión vigilará obligatoriamente:</w:t>
      </w:r>
    </w:p>
    <w:p w14:paraId="28376C2C" w14:textId="77777777" w:rsidR="00455B45" w:rsidRPr="0042181F" w:rsidRDefault="00455B45" w:rsidP="00455B45">
      <w:pPr>
        <w:suppressAutoHyphens/>
        <w:jc w:val="both"/>
        <w:rPr>
          <w:rFonts w:ascii="Arial" w:hAnsi="Arial" w:cs="Arial"/>
          <w:sz w:val="22"/>
          <w:szCs w:val="22"/>
        </w:rPr>
      </w:pPr>
    </w:p>
    <w:p w14:paraId="713D8955" w14:textId="77777777" w:rsidR="00455B45" w:rsidRDefault="00455B45" w:rsidP="00455B45">
      <w:pPr>
        <w:jc w:val="both"/>
        <w:rPr>
          <w:rFonts w:ascii="Arial" w:hAnsi="Arial" w:cs="Arial"/>
          <w:sz w:val="22"/>
          <w:szCs w:val="22"/>
        </w:rPr>
      </w:pPr>
      <w:r w:rsidRPr="0042181F">
        <w:rPr>
          <w:rFonts w:ascii="Arial" w:hAnsi="Arial" w:cs="Arial"/>
          <w:b/>
          <w:bCs/>
          <w:sz w:val="22"/>
          <w:szCs w:val="22"/>
        </w:rPr>
        <w:t>Cotización de Elementos No Pactados:</w:t>
      </w:r>
      <w:r w:rsidRPr="0042181F">
        <w:rPr>
          <w:rFonts w:ascii="Arial" w:hAnsi="Arial" w:cs="Arial"/>
          <w:sz w:val="22"/>
          <w:szCs w:val="22"/>
        </w:rPr>
        <w:t xml:space="preserve"> En el evento en que el repuesto, insumo o servicio requerido para el mantenimiento no se encuentre tipificado en el listado base de precios unitarios del contrato, el contratista deberá presentar un mínimo de tres (3) cotizaciones de mercado vigentes o una lista oficial de precios del fabricante para la respectiva creación y cobro del ítem en la ejecución. No obstante, en ejercicio de sus facultades de control, el supervisor del contrato se reserva el derecho de aportar e incluir una cuarta cotización (o más, si lo considera pertinente) en caso de advertir precios elevados, atípicos o que no reflejen la realidad económica del sector. El precio final a reconocer y pagar por el repuesto o servicio se determinará a partir del promedio aritmético resultante de las cotizaciones válidas que conformen este estudio de mercado.</w:t>
      </w:r>
    </w:p>
    <w:p w14:paraId="60CA684E" w14:textId="77777777" w:rsidR="00455B45" w:rsidRDefault="00455B45" w:rsidP="00455B45">
      <w:pPr>
        <w:jc w:val="both"/>
        <w:rPr>
          <w:rFonts w:ascii="Arial" w:hAnsi="Arial" w:cs="Arial"/>
          <w:sz w:val="22"/>
          <w:szCs w:val="22"/>
        </w:rPr>
      </w:pPr>
    </w:p>
    <w:tbl>
      <w:tblPr>
        <w:tblW w:w="8572" w:type="dxa"/>
        <w:jc w:val="center"/>
        <w:tblCellMar>
          <w:left w:w="70" w:type="dxa"/>
          <w:right w:w="70" w:type="dxa"/>
        </w:tblCellMar>
        <w:tblLook w:val="04A0" w:firstRow="1" w:lastRow="0" w:firstColumn="1" w:lastColumn="0" w:noHBand="0" w:noVBand="1"/>
      </w:tblPr>
      <w:tblGrid>
        <w:gridCol w:w="4918"/>
        <w:gridCol w:w="3654"/>
      </w:tblGrid>
      <w:tr w:rsidR="00455B45" w:rsidRPr="00B2097D" w14:paraId="1EEDC5D9" w14:textId="77777777" w:rsidTr="008A51C1">
        <w:trPr>
          <w:trHeight w:val="452"/>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105DDD" w14:textId="77777777" w:rsidR="00455B45" w:rsidRPr="008A51C1" w:rsidRDefault="00455B45" w:rsidP="00A70F72">
            <w:pPr>
              <w:jc w:val="center"/>
              <w:rPr>
                <w:rFonts w:ascii="Arial" w:hAnsi="Arial" w:cs="Arial"/>
                <w:b/>
                <w:bCs/>
                <w:sz w:val="18"/>
                <w:szCs w:val="18"/>
                <w:lang w:eastAsia="es-CO"/>
              </w:rPr>
            </w:pPr>
            <w:r w:rsidRPr="008A51C1">
              <w:rPr>
                <w:rFonts w:ascii="Arial" w:hAnsi="Arial" w:cs="Arial"/>
                <w:b/>
                <w:bCs/>
                <w:sz w:val="18"/>
                <w:szCs w:val="18"/>
                <w:lang w:eastAsia="es-CO"/>
              </w:rPr>
              <w:t>RESUMEN PRESUPUESTO DEFINITIVO</w:t>
            </w:r>
          </w:p>
        </w:tc>
      </w:tr>
      <w:tr w:rsidR="00455B45" w:rsidRPr="00B2097D" w14:paraId="02FC59F9" w14:textId="77777777" w:rsidTr="008A51C1">
        <w:trPr>
          <w:trHeight w:val="281"/>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FB4DE32" w14:textId="77777777" w:rsidR="00455B45" w:rsidRPr="008A51C1" w:rsidRDefault="00455B45" w:rsidP="00A70F72">
            <w:pPr>
              <w:jc w:val="center"/>
              <w:rPr>
                <w:rFonts w:ascii="Arial" w:hAnsi="Arial" w:cs="Arial"/>
                <w:color w:val="000000"/>
                <w:sz w:val="18"/>
                <w:szCs w:val="18"/>
                <w:highlight w:val="yellow"/>
                <w:lang w:eastAsia="es-CO"/>
              </w:rPr>
            </w:pPr>
            <w:proofErr w:type="gramStart"/>
            <w:r w:rsidRPr="008A51C1">
              <w:rPr>
                <w:rFonts w:ascii="Arial" w:hAnsi="Arial" w:cs="Arial"/>
                <w:color w:val="000000"/>
                <w:sz w:val="18"/>
                <w:szCs w:val="18"/>
                <w:highlight w:val="yellow"/>
                <w:lang w:eastAsia="es-CO"/>
              </w:rPr>
              <w:t>TOTAL</w:t>
            </w:r>
            <w:proofErr w:type="gramEnd"/>
            <w:r w:rsidRPr="008A51C1">
              <w:rPr>
                <w:rFonts w:ascii="Arial" w:hAnsi="Arial" w:cs="Arial"/>
                <w:color w:val="000000"/>
                <w:sz w:val="18"/>
                <w:szCs w:val="18"/>
                <w:highlight w:val="yellow"/>
                <w:lang w:eastAsia="es-CO"/>
              </w:rPr>
              <w:t xml:space="preserve"> PRESUPUESTO MANTENIMIENTO PREVENTIVO</w:t>
            </w:r>
          </w:p>
        </w:tc>
        <w:tc>
          <w:tcPr>
            <w:tcW w:w="0" w:type="auto"/>
            <w:tcBorders>
              <w:top w:val="single" w:sz="4" w:space="0" w:color="auto"/>
              <w:left w:val="nil"/>
              <w:bottom w:val="single" w:sz="4" w:space="0" w:color="auto"/>
              <w:right w:val="single" w:sz="4" w:space="0" w:color="auto"/>
            </w:tcBorders>
            <w:vAlign w:val="center"/>
            <w:hideMark/>
          </w:tcPr>
          <w:p w14:paraId="78BCEDD1" w14:textId="77777777" w:rsidR="00455B45" w:rsidRPr="008A51C1" w:rsidRDefault="00455B45" w:rsidP="00A70F72">
            <w:pPr>
              <w:jc w:val="center"/>
              <w:rPr>
                <w:rFonts w:ascii="Arial" w:hAnsi="Arial" w:cs="Arial"/>
                <w:b/>
                <w:bCs/>
                <w:color w:val="000000"/>
                <w:sz w:val="18"/>
                <w:szCs w:val="18"/>
                <w:highlight w:val="yellow"/>
                <w:lang w:eastAsia="es-CO"/>
              </w:rPr>
            </w:pPr>
            <w:r w:rsidRPr="008A51C1">
              <w:rPr>
                <w:rFonts w:ascii="Arial" w:hAnsi="Arial" w:cs="Arial"/>
                <w:b/>
                <w:bCs/>
                <w:color w:val="000000"/>
                <w:sz w:val="18"/>
                <w:szCs w:val="18"/>
                <w:highlight w:val="yellow"/>
                <w:lang w:eastAsia="es-CO"/>
              </w:rPr>
              <w:t xml:space="preserve"> $                                          156.190.795,00 </w:t>
            </w:r>
          </w:p>
        </w:tc>
      </w:tr>
      <w:tr w:rsidR="00455B45" w:rsidRPr="00B2097D" w14:paraId="5A494798" w14:textId="77777777" w:rsidTr="008A51C1">
        <w:trPr>
          <w:trHeight w:val="42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614606D" w14:textId="77777777" w:rsidR="00455B45" w:rsidRPr="00B2097D" w:rsidRDefault="00455B45" w:rsidP="00A70F72">
            <w:pPr>
              <w:jc w:val="center"/>
              <w:rPr>
                <w:rFonts w:ascii="Arial" w:hAnsi="Arial" w:cs="Arial"/>
                <w:color w:val="000000"/>
                <w:sz w:val="18"/>
                <w:szCs w:val="18"/>
                <w:lang w:eastAsia="es-CO"/>
              </w:rPr>
            </w:pPr>
            <w:r w:rsidRPr="00B2097D">
              <w:rPr>
                <w:rFonts w:ascii="Arial" w:hAnsi="Arial" w:cs="Arial"/>
                <w:color w:val="000000"/>
                <w:sz w:val="18"/>
                <w:szCs w:val="18"/>
                <w:lang w:eastAsia="es-CO"/>
              </w:rPr>
              <w:t>BOLSA DE REPUESTOS 12%</w:t>
            </w:r>
          </w:p>
        </w:tc>
        <w:tc>
          <w:tcPr>
            <w:tcW w:w="0" w:type="auto"/>
            <w:tcBorders>
              <w:top w:val="single" w:sz="4" w:space="0" w:color="auto"/>
              <w:left w:val="nil"/>
              <w:bottom w:val="single" w:sz="4" w:space="0" w:color="auto"/>
              <w:right w:val="single" w:sz="4" w:space="0" w:color="auto"/>
            </w:tcBorders>
            <w:vAlign w:val="center"/>
            <w:hideMark/>
          </w:tcPr>
          <w:p w14:paraId="76C40D90" w14:textId="77777777" w:rsidR="00455B45" w:rsidRPr="00B2097D" w:rsidRDefault="00455B45" w:rsidP="00A70F72">
            <w:pPr>
              <w:jc w:val="center"/>
              <w:rPr>
                <w:rFonts w:ascii="Arial" w:hAnsi="Arial" w:cs="Arial"/>
                <w:color w:val="000000"/>
                <w:sz w:val="18"/>
                <w:szCs w:val="18"/>
                <w:lang w:eastAsia="es-CO"/>
              </w:rPr>
            </w:pPr>
            <w:r w:rsidRPr="00B2097D">
              <w:rPr>
                <w:rFonts w:ascii="Arial" w:hAnsi="Arial" w:cs="Arial"/>
                <w:color w:val="000000"/>
                <w:sz w:val="18"/>
                <w:szCs w:val="18"/>
                <w:lang w:eastAsia="es-CO"/>
              </w:rPr>
              <w:t xml:space="preserve"> $                                            18.742.895,00 </w:t>
            </w:r>
          </w:p>
        </w:tc>
      </w:tr>
      <w:tr w:rsidR="00455B45" w:rsidRPr="00B2097D" w14:paraId="6D6A1F28" w14:textId="77777777" w:rsidTr="008A51C1">
        <w:trPr>
          <w:trHeight w:val="22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84C7CD7" w14:textId="77777777" w:rsidR="00455B45" w:rsidRPr="00B2097D" w:rsidRDefault="00455B45" w:rsidP="00A70F72">
            <w:pPr>
              <w:jc w:val="center"/>
              <w:rPr>
                <w:rFonts w:ascii="Arial" w:hAnsi="Arial" w:cs="Arial"/>
                <w:b/>
                <w:bCs/>
                <w:color w:val="000000"/>
                <w:sz w:val="18"/>
                <w:szCs w:val="18"/>
                <w:lang w:eastAsia="es-CO"/>
              </w:rPr>
            </w:pPr>
            <w:proofErr w:type="gramStart"/>
            <w:r w:rsidRPr="00B2097D">
              <w:rPr>
                <w:rFonts w:ascii="Arial" w:hAnsi="Arial" w:cs="Arial"/>
                <w:b/>
                <w:bCs/>
                <w:color w:val="000000"/>
                <w:sz w:val="18"/>
                <w:szCs w:val="18"/>
                <w:lang w:eastAsia="es-CO"/>
              </w:rPr>
              <w:t>TOTAL</w:t>
            </w:r>
            <w:proofErr w:type="gramEnd"/>
            <w:r>
              <w:rPr>
                <w:rFonts w:ascii="Arial" w:hAnsi="Arial" w:cs="Arial"/>
                <w:b/>
                <w:bCs/>
                <w:color w:val="000000"/>
                <w:sz w:val="18"/>
                <w:szCs w:val="18"/>
                <w:lang w:eastAsia="es-CO"/>
              </w:rPr>
              <w:t xml:space="preserve"> PRESUPUESTO</w:t>
            </w:r>
          </w:p>
        </w:tc>
        <w:tc>
          <w:tcPr>
            <w:tcW w:w="0" w:type="auto"/>
            <w:tcBorders>
              <w:top w:val="single" w:sz="4" w:space="0" w:color="auto"/>
              <w:left w:val="nil"/>
              <w:bottom w:val="single" w:sz="4" w:space="0" w:color="auto"/>
              <w:right w:val="single" w:sz="4" w:space="0" w:color="auto"/>
            </w:tcBorders>
            <w:vAlign w:val="center"/>
            <w:hideMark/>
          </w:tcPr>
          <w:p w14:paraId="395E3027" w14:textId="77777777" w:rsidR="00455B45" w:rsidRPr="00B2097D" w:rsidRDefault="00455B45" w:rsidP="00A70F72">
            <w:pPr>
              <w:jc w:val="center"/>
              <w:rPr>
                <w:rFonts w:ascii="Arial" w:hAnsi="Arial" w:cs="Arial"/>
                <w:b/>
                <w:bCs/>
                <w:color w:val="000000"/>
                <w:sz w:val="18"/>
                <w:szCs w:val="18"/>
                <w:lang w:eastAsia="es-CO"/>
              </w:rPr>
            </w:pPr>
            <w:r w:rsidRPr="00B2097D">
              <w:rPr>
                <w:rFonts w:ascii="Arial" w:hAnsi="Arial" w:cs="Arial"/>
                <w:b/>
                <w:bCs/>
                <w:color w:val="000000"/>
                <w:sz w:val="18"/>
                <w:szCs w:val="18"/>
                <w:lang w:eastAsia="es-CO"/>
              </w:rPr>
              <w:t xml:space="preserve"> $                                          174.933.690,00 </w:t>
            </w:r>
          </w:p>
        </w:tc>
      </w:tr>
    </w:tbl>
    <w:p w14:paraId="1B3A3D51" w14:textId="77777777" w:rsidR="00455B45" w:rsidRPr="0042181F" w:rsidRDefault="00455B45" w:rsidP="00455B45">
      <w:pPr>
        <w:suppressAutoHyphens/>
        <w:jc w:val="both"/>
        <w:rPr>
          <w:rFonts w:ascii="Arial" w:hAnsi="Arial" w:cs="Arial"/>
          <w:sz w:val="22"/>
          <w:szCs w:val="22"/>
        </w:rPr>
      </w:pPr>
    </w:p>
    <w:p w14:paraId="244F029A" w14:textId="77777777" w:rsidR="00455B45" w:rsidRDefault="00455B45" w:rsidP="00455B45">
      <w:pPr>
        <w:jc w:val="both"/>
        <w:rPr>
          <w:rFonts w:ascii="Arial" w:hAnsi="Arial" w:cs="Arial"/>
          <w:sz w:val="22"/>
          <w:szCs w:val="22"/>
        </w:rPr>
      </w:pPr>
      <w:r w:rsidRPr="00D919BF">
        <w:rPr>
          <w:rFonts w:ascii="Arial" w:hAnsi="Arial" w:cs="Arial"/>
          <w:sz w:val="22"/>
          <w:szCs w:val="22"/>
        </w:rPr>
        <w:t>Con fundamento en el análisis técnico y económico expuesto, sustentado en la pluralidad de las cotizaciones válidas del estudio de mercado y en la justificación operativa para el cálculo de la bolsa de repuestos (12%), la Dirección Seccional de Administración Judicial de Cundinamarca - Amazonas determina que el presupuesto estimado refleja los precios reales del sector y da estricto cumplimiento a los principios de planeación, economía y responsabilidad del gasto público.</w:t>
      </w:r>
    </w:p>
    <w:p w14:paraId="06238DF0" w14:textId="77777777" w:rsidR="00455B45" w:rsidRPr="00D919BF" w:rsidRDefault="00455B45" w:rsidP="00455B45">
      <w:pPr>
        <w:suppressAutoHyphens/>
        <w:jc w:val="both"/>
        <w:rPr>
          <w:rFonts w:ascii="Arial" w:hAnsi="Arial" w:cs="Arial"/>
          <w:sz w:val="22"/>
          <w:szCs w:val="22"/>
        </w:rPr>
      </w:pPr>
    </w:p>
    <w:p w14:paraId="27F958C9" w14:textId="1D08E850" w:rsidR="00455B45" w:rsidRDefault="00455B45" w:rsidP="00455B45">
      <w:pPr>
        <w:jc w:val="both"/>
        <w:rPr>
          <w:rFonts w:ascii="Arial" w:hAnsi="Arial" w:cs="Arial"/>
          <w:sz w:val="22"/>
          <w:szCs w:val="22"/>
        </w:rPr>
      </w:pPr>
      <w:r w:rsidRPr="00D919BF">
        <w:rPr>
          <w:rFonts w:ascii="Arial" w:hAnsi="Arial" w:cs="Arial"/>
          <w:sz w:val="22"/>
          <w:szCs w:val="22"/>
        </w:rPr>
        <w:t>En consecuencia, el valor total del Presupuesto Oficial para</w:t>
      </w:r>
      <w:r>
        <w:rPr>
          <w:rFonts w:ascii="Arial" w:hAnsi="Arial" w:cs="Arial"/>
          <w:sz w:val="22"/>
          <w:szCs w:val="22"/>
        </w:rPr>
        <w:t xml:space="preserve"> el presente proceso queda estipulado en la suma </w:t>
      </w:r>
      <w:r w:rsidRPr="00B47A93">
        <w:rPr>
          <w:rFonts w:ascii="Arial" w:hAnsi="Arial" w:cs="Arial"/>
          <w:sz w:val="22"/>
          <w:szCs w:val="22"/>
        </w:rPr>
        <w:t xml:space="preserve">de </w:t>
      </w:r>
      <w:r w:rsidRPr="00B47A93">
        <w:rPr>
          <w:rFonts w:ascii="Arial" w:hAnsi="Arial" w:cs="Arial"/>
          <w:b/>
          <w:bCs/>
          <w:sz w:val="22"/>
          <w:szCs w:val="22"/>
        </w:rPr>
        <w:t xml:space="preserve">CIENTO SETENTA Y </w:t>
      </w:r>
      <w:r>
        <w:rPr>
          <w:rFonts w:ascii="Arial" w:hAnsi="Arial" w:cs="Arial"/>
          <w:b/>
          <w:bCs/>
          <w:sz w:val="22"/>
          <w:szCs w:val="22"/>
        </w:rPr>
        <w:t>CUATRO</w:t>
      </w:r>
      <w:r w:rsidRPr="00B47A93">
        <w:rPr>
          <w:rFonts w:ascii="Arial" w:hAnsi="Arial" w:cs="Arial"/>
          <w:b/>
          <w:bCs/>
          <w:sz w:val="22"/>
          <w:szCs w:val="22"/>
        </w:rPr>
        <w:t xml:space="preserve"> MILLONES NOVE</w:t>
      </w:r>
      <w:r>
        <w:rPr>
          <w:rFonts w:ascii="Arial" w:hAnsi="Arial" w:cs="Arial"/>
          <w:b/>
          <w:bCs/>
          <w:sz w:val="22"/>
          <w:szCs w:val="22"/>
        </w:rPr>
        <w:t xml:space="preserve">CIENTOS TREINTA Y TRES </w:t>
      </w:r>
      <w:r w:rsidRPr="00B47A93">
        <w:rPr>
          <w:rFonts w:ascii="Arial" w:hAnsi="Arial" w:cs="Arial"/>
          <w:b/>
          <w:bCs/>
          <w:sz w:val="22"/>
          <w:szCs w:val="22"/>
        </w:rPr>
        <w:t xml:space="preserve">MIL </w:t>
      </w:r>
      <w:r>
        <w:rPr>
          <w:rFonts w:ascii="Arial" w:hAnsi="Arial" w:cs="Arial"/>
          <w:b/>
          <w:bCs/>
          <w:sz w:val="22"/>
          <w:szCs w:val="22"/>
        </w:rPr>
        <w:t>SEISCIENTOS NOVENTA PESOS</w:t>
      </w:r>
      <w:r w:rsidRPr="00B47A93">
        <w:rPr>
          <w:rFonts w:ascii="Arial" w:hAnsi="Arial" w:cs="Arial"/>
          <w:b/>
          <w:bCs/>
          <w:sz w:val="22"/>
          <w:szCs w:val="22"/>
        </w:rPr>
        <w:t xml:space="preserve"> M/CTE</w:t>
      </w:r>
      <w:r w:rsidRPr="009363A0">
        <w:rPr>
          <w:rFonts w:ascii="Arial" w:hAnsi="Arial" w:cs="Arial"/>
          <w:b/>
          <w:bCs/>
          <w:sz w:val="22"/>
          <w:szCs w:val="22"/>
        </w:rPr>
        <w:t xml:space="preserve"> </w:t>
      </w:r>
      <w:r>
        <w:rPr>
          <w:rFonts w:ascii="Arial" w:hAnsi="Arial" w:cs="Arial"/>
          <w:b/>
          <w:bCs/>
          <w:sz w:val="22"/>
          <w:szCs w:val="22"/>
        </w:rPr>
        <w:t>(</w:t>
      </w:r>
      <w:r w:rsidRPr="009363A0">
        <w:rPr>
          <w:rFonts w:ascii="Arial" w:hAnsi="Arial" w:cs="Arial"/>
          <w:b/>
          <w:bCs/>
          <w:sz w:val="22"/>
          <w:szCs w:val="22"/>
        </w:rPr>
        <w:t>$174.933.690,00</w:t>
      </w:r>
      <w:r w:rsidRPr="00B47A93">
        <w:rPr>
          <w:rFonts w:ascii="Arial" w:hAnsi="Arial" w:cs="Arial"/>
          <w:b/>
          <w:bCs/>
          <w:sz w:val="22"/>
          <w:szCs w:val="22"/>
        </w:rPr>
        <w:t>)</w:t>
      </w:r>
      <w:r w:rsidRPr="00B47A93">
        <w:rPr>
          <w:rFonts w:ascii="Arial" w:hAnsi="Arial" w:cs="Arial"/>
          <w:sz w:val="22"/>
          <w:szCs w:val="22"/>
        </w:rPr>
        <w:t>, incluido IVA y todos los costos directos, indirectos, tasas, impuestos, contribuciones y demás erogaciones en que deba incurrir el contratista para la cabal ejecución del objeto contractual</w:t>
      </w:r>
      <w:r>
        <w:rPr>
          <w:rFonts w:ascii="Arial" w:hAnsi="Arial" w:cs="Arial"/>
          <w:sz w:val="22"/>
          <w:szCs w:val="22"/>
        </w:rPr>
        <w:t>.</w:t>
      </w:r>
    </w:p>
    <w:p w14:paraId="3E2F62DA" w14:textId="77777777" w:rsidR="00D7028A" w:rsidRPr="001317CF" w:rsidRDefault="004D010E" w:rsidP="006C3172">
      <w:pPr>
        <w:pStyle w:val="Ttulo1"/>
        <w:numPr>
          <w:ilvl w:val="0"/>
          <w:numId w:val="1"/>
        </w:numPr>
        <w:spacing w:after="0"/>
        <w:rPr>
          <w:rFonts w:ascii="Arial" w:hAnsi="Arial" w:cs="Arial"/>
          <w:color w:val="1A1818" w:themeColor="text1"/>
          <w:sz w:val="22"/>
          <w:szCs w:val="22"/>
        </w:rPr>
      </w:pPr>
      <w:bookmarkStart w:id="12" w:name="_Toc228353037"/>
      <w:r w:rsidRPr="001317CF">
        <w:rPr>
          <w:rFonts w:ascii="Arial" w:hAnsi="Arial" w:cs="Arial"/>
          <w:color w:val="1A1818" w:themeColor="text1"/>
          <w:sz w:val="22"/>
          <w:szCs w:val="22"/>
        </w:rPr>
        <w:t>Conclusiones</w:t>
      </w:r>
      <w:bookmarkEnd w:id="12"/>
    </w:p>
    <w:p w14:paraId="56AF6F1C" w14:textId="77777777" w:rsidR="00F30895" w:rsidRDefault="00F30895" w:rsidP="00900E81">
      <w:pPr>
        <w:jc w:val="both"/>
        <w:rPr>
          <w:rFonts w:ascii="Arial" w:hAnsi="Arial" w:cs="Arial"/>
          <w:color w:val="1A1818" w:themeColor="text1"/>
          <w:sz w:val="22"/>
          <w:szCs w:val="22"/>
        </w:rPr>
      </w:pPr>
    </w:p>
    <w:p w14:paraId="3015957A" w14:textId="77777777" w:rsidR="00A173C8" w:rsidRDefault="00A173C8" w:rsidP="00A173C8">
      <w:pPr>
        <w:jc w:val="both"/>
        <w:rPr>
          <w:rFonts w:ascii="Arial" w:hAnsi="Arial" w:cs="Arial"/>
          <w:color w:val="1A1818" w:themeColor="text1"/>
          <w:sz w:val="22"/>
          <w:szCs w:val="22"/>
        </w:rPr>
      </w:pPr>
      <w:r w:rsidRPr="00A173C8">
        <w:rPr>
          <w:rFonts w:ascii="Arial" w:hAnsi="Arial" w:cs="Arial"/>
          <w:color w:val="1A1818" w:themeColor="text1"/>
          <w:sz w:val="22"/>
          <w:szCs w:val="22"/>
        </w:rPr>
        <w:t>Derivado del análisis integral de la demanda institucional (comportamiento histórico de la Rama Judicial) y de la oferta del mercado (dinámica de los proveedores en la plataforma SECOP II), la Dirección Seccional de Administración Judicial de Cundinamarca - Amazonas concluye la viabilidad técnica, jurídica y financiera del presente proceso, fundamentada en los siguientes puntos determinantes:</w:t>
      </w:r>
    </w:p>
    <w:p w14:paraId="25BAFE50" w14:textId="77777777" w:rsidR="00A173C8" w:rsidRPr="00A173C8" w:rsidRDefault="00A173C8" w:rsidP="00A173C8">
      <w:pPr>
        <w:jc w:val="both"/>
        <w:rPr>
          <w:rFonts w:ascii="Arial" w:hAnsi="Arial" w:cs="Arial"/>
          <w:color w:val="1A1818" w:themeColor="text1"/>
          <w:sz w:val="22"/>
          <w:szCs w:val="22"/>
        </w:rPr>
      </w:pPr>
    </w:p>
    <w:p w14:paraId="47142C9B" w14:textId="1AF6CD8B" w:rsidR="00A173C8" w:rsidRPr="00A173C8" w:rsidRDefault="00A173C8" w:rsidP="00A173C8">
      <w:pPr>
        <w:pStyle w:val="Prrafodelista"/>
        <w:numPr>
          <w:ilvl w:val="3"/>
          <w:numId w:val="1"/>
        </w:numPr>
        <w:ind w:left="360"/>
        <w:jc w:val="both"/>
        <w:rPr>
          <w:rFonts w:ascii="Arial" w:hAnsi="Arial" w:cs="Arial"/>
          <w:color w:val="1A1818" w:themeColor="text1"/>
          <w:sz w:val="22"/>
          <w:szCs w:val="22"/>
        </w:rPr>
      </w:pPr>
      <w:r w:rsidRPr="00A173C8">
        <w:rPr>
          <w:rFonts w:ascii="Arial" w:hAnsi="Arial" w:cs="Arial"/>
          <w:b/>
          <w:bCs/>
          <w:color w:val="1A1818" w:themeColor="text1"/>
          <w:sz w:val="22"/>
          <w:szCs w:val="22"/>
        </w:rPr>
        <w:t>Idoneidad del Objeto Contractual y Esquema de Monto Agotable:</w:t>
      </w:r>
      <w:r w:rsidRPr="00A173C8">
        <w:rPr>
          <w:rFonts w:ascii="Arial" w:hAnsi="Arial" w:cs="Arial"/>
          <w:color w:val="1A1818" w:themeColor="text1"/>
          <w:sz w:val="22"/>
          <w:szCs w:val="22"/>
        </w:rPr>
        <w:t xml:space="preserve"> El análisis técnico del inventario de equipos (diversidad de marcas, antigüedades y ubicaciones geográficas) demuestra que las fallas operativas son asimétricas y no predecibles en su totalidad. Por lo tanto, se concluye que estructurar el objeto contractual bajo la modalidad de </w:t>
      </w:r>
      <w:r w:rsidRPr="00A173C8">
        <w:rPr>
          <w:rFonts w:ascii="Arial" w:hAnsi="Arial" w:cs="Arial"/>
          <w:b/>
          <w:bCs/>
          <w:color w:val="1A1818" w:themeColor="text1"/>
          <w:sz w:val="22"/>
          <w:szCs w:val="22"/>
        </w:rPr>
        <w:t>Precios Unitarios Fijos a Monto Agotable</w:t>
      </w:r>
      <w:r w:rsidRPr="00A173C8">
        <w:rPr>
          <w:rFonts w:ascii="Arial" w:hAnsi="Arial" w:cs="Arial"/>
          <w:color w:val="1A1818" w:themeColor="text1"/>
          <w:sz w:val="22"/>
          <w:szCs w:val="22"/>
        </w:rPr>
        <w:t xml:space="preserve"> es la decisión administrativa y financiera más eficiente para el Estado. Este esquema transfiere el riesgo de intermediación al contratista y garantiza que la Entidad pague única y exclusivamente por los mantenimientos efectivamente realizados y los repuestos realmente instalados, maximizando la ejecución de la bolsa presupuestal asignada sin incurrir en los sobrecostos propios de los contratos de "tarifa plana" o riesgo integral.</w:t>
      </w:r>
    </w:p>
    <w:p w14:paraId="51C981AB" w14:textId="77777777" w:rsidR="00A173C8" w:rsidRPr="00A173C8" w:rsidRDefault="00A173C8" w:rsidP="00A173C8">
      <w:pPr>
        <w:ind w:left="-2520"/>
        <w:jc w:val="both"/>
        <w:rPr>
          <w:rFonts w:ascii="Arial" w:hAnsi="Arial" w:cs="Arial"/>
          <w:color w:val="1A1818" w:themeColor="text1"/>
          <w:sz w:val="22"/>
          <w:szCs w:val="22"/>
        </w:rPr>
      </w:pPr>
    </w:p>
    <w:p w14:paraId="6C00147E" w14:textId="5CD82BE9" w:rsidR="00A173C8" w:rsidRPr="00A173C8" w:rsidRDefault="00A173C8" w:rsidP="00A173C8">
      <w:pPr>
        <w:pStyle w:val="Prrafodelista"/>
        <w:numPr>
          <w:ilvl w:val="3"/>
          <w:numId w:val="1"/>
        </w:numPr>
        <w:ind w:left="360"/>
        <w:jc w:val="both"/>
        <w:rPr>
          <w:rFonts w:ascii="Arial" w:hAnsi="Arial" w:cs="Arial"/>
          <w:color w:val="1A1818" w:themeColor="text1"/>
          <w:sz w:val="22"/>
          <w:szCs w:val="22"/>
        </w:rPr>
      </w:pPr>
      <w:r w:rsidRPr="00A173C8">
        <w:rPr>
          <w:rFonts w:ascii="Arial" w:hAnsi="Arial" w:cs="Arial"/>
          <w:b/>
          <w:bCs/>
          <w:color w:val="1A1818" w:themeColor="text1"/>
          <w:sz w:val="22"/>
          <w:szCs w:val="22"/>
        </w:rPr>
        <w:t>Justificación Legal y Comercial de la Mínima Cuantía:</w:t>
      </w:r>
      <w:r w:rsidRPr="00A173C8">
        <w:rPr>
          <w:rFonts w:ascii="Arial" w:hAnsi="Arial" w:cs="Arial"/>
          <w:color w:val="1A1818" w:themeColor="text1"/>
          <w:sz w:val="22"/>
          <w:szCs w:val="22"/>
        </w:rPr>
        <w:t xml:space="preserve"> Desde el punto de vista jurídico, el presupuesto oficial estimado para la presente vigencia no supera el 10% de la menor cuantía de la Entidad, lo que hace imperativa la aplicación del procedimiento de </w:t>
      </w:r>
      <w:r w:rsidRPr="00A173C8">
        <w:rPr>
          <w:rFonts w:ascii="Arial" w:hAnsi="Arial" w:cs="Arial"/>
          <w:b/>
          <w:bCs/>
          <w:color w:val="1A1818" w:themeColor="text1"/>
          <w:sz w:val="22"/>
          <w:szCs w:val="22"/>
        </w:rPr>
        <w:t>Mínima Cuantía</w:t>
      </w:r>
      <w:r w:rsidRPr="00A173C8">
        <w:rPr>
          <w:rFonts w:ascii="Arial" w:hAnsi="Arial" w:cs="Arial"/>
          <w:color w:val="1A1818" w:themeColor="text1"/>
          <w:sz w:val="22"/>
          <w:szCs w:val="22"/>
        </w:rPr>
        <w:t xml:space="preserve"> (Ley 1150 de 2007). Desde la perspectiva comercial, el análisis histórico del SECOP confirma que el mercado responde de manera ágil, competitiva y exitosa a esta modalidad. Las empresas especializadas del sector están habituadas a participar en procesos de selección objetiva por el menor precio global (sumatoria de unitarios), lo que asegura que la Rama Judicial obtendrá las condiciones económicas más favorables del mercado.</w:t>
      </w:r>
    </w:p>
    <w:p w14:paraId="5E428A42" w14:textId="77777777" w:rsidR="00A173C8" w:rsidRPr="00A173C8" w:rsidRDefault="00A173C8" w:rsidP="00A173C8">
      <w:pPr>
        <w:ind w:left="-2520"/>
        <w:jc w:val="both"/>
        <w:rPr>
          <w:rFonts w:ascii="Arial" w:hAnsi="Arial" w:cs="Arial"/>
          <w:color w:val="1A1818" w:themeColor="text1"/>
          <w:sz w:val="22"/>
          <w:szCs w:val="22"/>
        </w:rPr>
      </w:pPr>
    </w:p>
    <w:p w14:paraId="5A1F0BF9" w14:textId="79F4617F" w:rsidR="00A173C8" w:rsidRPr="00A173C8" w:rsidRDefault="00A173C8" w:rsidP="00A173C8">
      <w:pPr>
        <w:pStyle w:val="Prrafodelista"/>
        <w:numPr>
          <w:ilvl w:val="3"/>
          <w:numId w:val="1"/>
        </w:numPr>
        <w:ind w:left="360"/>
        <w:jc w:val="both"/>
        <w:rPr>
          <w:rFonts w:ascii="Arial" w:hAnsi="Arial" w:cs="Arial"/>
          <w:color w:val="1A1818" w:themeColor="text1"/>
          <w:sz w:val="22"/>
          <w:szCs w:val="22"/>
        </w:rPr>
      </w:pPr>
      <w:r w:rsidRPr="00A173C8">
        <w:rPr>
          <w:rFonts w:ascii="Arial" w:hAnsi="Arial" w:cs="Arial"/>
          <w:b/>
          <w:bCs/>
          <w:color w:val="1A1818" w:themeColor="text1"/>
          <w:sz w:val="22"/>
          <w:szCs w:val="22"/>
        </w:rPr>
        <w:t>Garantía de Pluralidad de Oferentes y Capacidad Regional:</w:t>
      </w:r>
      <w:r w:rsidRPr="00A173C8">
        <w:rPr>
          <w:rFonts w:ascii="Arial" w:hAnsi="Arial" w:cs="Arial"/>
          <w:color w:val="1A1818" w:themeColor="text1"/>
          <w:sz w:val="22"/>
          <w:szCs w:val="22"/>
        </w:rPr>
        <w:t xml:space="preserve"> La revisión de los datos del Modelo de Abastecimiento Estratégico (EMAE) para Cundinamarca, Bogotá y Amazonas demuestra la existencia de un mercado maduro, atomizado y altamente competitivo. Al no evidenciarse monopolios ni concentración de contratos en un solo proveedor, se concluye que el presente proceso gozará de una amplia concurrencia de proponentes idóneos que cuentan con la infraestructura, el músculo financiero y la logística necesaria para atender las sedes judiciales, incluyendo los retos de desplazamiento aéreo hacia la ciudad de Leticia.</w:t>
      </w:r>
    </w:p>
    <w:p w14:paraId="6E09DF27" w14:textId="77777777" w:rsidR="00A173C8" w:rsidRPr="00A173C8" w:rsidRDefault="00A173C8" w:rsidP="00A173C8">
      <w:pPr>
        <w:ind w:left="-2520"/>
        <w:jc w:val="both"/>
        <w:rPr>
          <w:rFonts w:ascii="Arial" w:hAnsi="Arial" w:cs="Arial"/>
          <w:color w:val="1A1818" w:themeColor="text1"/>
          <w:sz w:val="22"/>
          <w:szCs w:val="22"/>
        </w:rPr>
      </w:pPr>
    </w:p>
    <w:p w14:paraId="741B465E" w14:textId="1BE13ED9" w:rsidR="00A173C8" w:rsidRPr="00A173C8" w:rsidRDefault="00A173C8" w:rsidP="00A173C8">
      <w:pPr>
        <w:pStyle w:val="Prrafodelista"/>
        <w:numPr>
          <w:ilvl w:val="3"/>
          <w:numId w:val="1"/>
        </w:numPr>
        <w:ind w:left="360"/>
        <w:jc w:val="both"/>
        <w:rPr>
          <w:rFonts w:ascii="Arial" w:hAnsi="Arial" w:cs="Arial"/>
          <w:color w:val="1A1818" w:themeColor="text1"/>
          <w:sz w:val="22"/>
          <w:szCs w:val="22"/>
        </w:rPr>
      </w:pPr>
      <w:r w:rsidRPr="00A173C8">
        <w:rPr>
          <w:rFonts w:ascii="Arial" w:hAnsi="Arial" w:cs="Arial"/>
          <w:b/>
          <w:bCs/>
          <w:color w:val="1A1818" w:themeColor="text1"/>
          <w:sz w:val="22"/>
          <w:szCs w:val="22"/>
        </w:rPr>
        <w:t>Viabilidad de las Exigencias Técnicas y Asignación de Costos:</w:t>
      </w:r>
      <w:r w:rsidRPr="00A173C8">
        <w:rPr>
          <w:rFonts w:ascii="Arial" w:hAnsi="Arial" w:cs="Arial"/>
          <w:color w:val="1A1818" w:themeColor="text1"/>
          <w:sz w:val="22"/>
          <w:szCs w:val="22"/>
        </w:rPr>
        <w:t xml:space="preserve"> Se concluye que las normativas exigidas por la Entidad (NTC 4576 para lavado de tanques, RETIE para componentes eléctricos y normatividad en trabajo seguro en alturas/espacios confinados) no constituyen barreras de acceso, sino que son estándares plenamente asimilados y costeados por la industria formal. Así mismo, el mercado está en capacidad de absorber dentro de sus precios unitarios todos los costos directos e indirectos (incluyendo viáticos, peajes, tiquetes aéreos y logística), validando la regla financiera de la Entidad de no reconocer rubros independientes por concepto de desplazamiento.</w:t>
      </w:r>
    </w:p>
    <w:p w14:paraId="6674538F" w14:textId="77777777" w:rsidR="00A173C8" w:rsidRPr="00A173C8" w:rsidRDefault="00A173C8" w:rsidP="00A173C8">
      <w:pPr>
        <w:jc w:val="both"/>
        <w:rPr>
          <w:rFonts w:ascii="Arial" w:hAnsi="Arial" w:cs="Arial"/>
          <w:color w:val="1A1818" w:themeColor="text1"/>
          <w:sz w:val="22"/>
          <w:szCs w:val="22"/>
        </w:rPr>
      </w:pPr>
    </w:p>
    <w:p w14:paraId="5567681A" w14:textId="77777777" w:rsidR="00A173C8" w:rsidRPr="00A173C8" w:rsidRDefault="00A173C8" w:rsidP="00A173C8">
      <w:pPr>
        <w:jc w:val="both"/>
        <w:rPr>
          <w:rFonts w:ascii="Arial" w:hAnsi="Arial" w:cs="Arial"/>
          <w:color w:val="1A1818" w:themeColor="text1"/>
          <w:sz w:val="22"/>
          <w:szCs w:val="22"/>
        </w:rPr>
      </w:pPr>
      <w:r w:rsidRPr="00A173C8">
        <w:rPr>
          <w:rFonts w:ascii="Arial" w:hAnsi="Arial" w:cs="Arial"/>
          <w:color w:val="1A1818" w:themeColor="text1"/>
          <w:sz w:val="22"/>
          <w:szCs w:val="22"/>
        </w:rPr>
        <w:t>En consecuencia, el presente Estudio Previo y Análisis del Sector cumple con el principio de planeación y brinda plena certeza y seguridad jurídica a la Dirección Seccional para dar apertura al proceso de selección, garantizando la continuidad en la prestación del servicio público de administración de justicia.</w:t>
      </w:r>
    </w:p>
    <w:p w14:paraId="2CEF6935" w14:textId="77777777" w:rsidR="00A173C8" w:rsidRDefault="00A173C8" w:rsidP="00F30895">
      <w:pPr>
        <w:jc w:val="both"/>
        <w:rPr>
          <w:rFonts w:ascii="Arial" w:hAnsi="Arial" w:cs="Arial"/>
          <w:color w:val="1A1818" w:themeColor="text1"/>
          <w:sz w:val="22"/>
          <w:szCs w:val="22"/>
        </w:rPr>
      </w:pPr>
    </w:p>
    <w:sectPr w:rsidR="00A173C8" w:rsidSect="006C3172">
      <w:headerReference w:type="even" r:id="rId25"/>
      <w:headerReference w:type="default" r:id="rId26"/>
      <w:footerReference w:type="default" r:id="rId27"/>
      <w:headerReference w:type="first" r:id="rId28"/>
      <w:footerReference w:type="first" r:id="rId29"/>
      <w:pgSz w:w="12240" w:h="18720" w:code="119"/>
      <w:pgMar w:top="851" w:right="1701" w:bottom="851" w:left="1701" w:header="510" w:footer="510" w:gutter="0"/>
      <w:pgNumType w:start="1"/>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1" w:author="Heidy Rodriguez Lezama" w:date="2026-08-05T14:37:00Z" w:initials="HRL">
    <w:p w14:paraId="5AB7CEC9" w14:textId="5DE7E90F" w:rsidR="008A51C1" w:rsidRDefault="008A51C1">
      <w:pPr>
        <w:pStyle w:val="Textocomentario"/>
      </w:pPr>
      <w:r>
        <w:rPr>
          <w:rStyle w:val="Refdecomentario"/>
        </w:rPr>
        <w:annotationRef/>
      </w:r>
      <w:r>
        <w:t>Se incluyen precios contrato 042 de 2023</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AB7CEC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E1DC93B" w16cex:dateUtc="2026-08-05T19: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B7CEC9" w16cid:durableId="2E1DC93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05C37" w14:textId="77777777" w:rsidR="00DE45AD" w:rsidRDefault="00DE45AD">
      <w:r>
        <w:separator/>
      </w:r>
    </w:p>
  </w:endnote>
  <w:endnote w:type="continuationSeparator" w:id="0">
    <w:p w14:paraId="4407E519" w14:textId="77777777" w:rsidR="00DE45AD" w:rsidRDefault="00DE45AD">
      <w:r>
        <w:continuationSeparator/>
      </w:r>
    </w:p>
  </w:endnote>
  <w:endnote w:type="continuationNotice" w:id="1">
    <w:p w14:paraId="027DD838" w14:textId="77777777" w:rsidR="00DE45AD" w:rsidRDefault="00DE45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altName w:val="Calibri"/>
    <w:panose1 w:val="020F0502020204030204"/>
    <w:charset w:val="00"/>
    <w:family w:val="swiss"/>
    <w:pitch w:val="variable"/>
    <w:sig w:usb0="E0002AFF" w:usb1="4000ACFF" w:usb2="00000001" w:usb3="00000000" w:csb0="000001FF" w:csb1="00000000"/>
  </w:font>
  <w:font w:name="Arial MT">
    <w:altName w:val="Arial"/>
    <w:charset w:val="01"/>
    <w:family w:val="swiss"/>
    <w:pitch w:val="variable"/>
  </w:font>
  <w:font w:name="Footlight MT Light">
    <w:panose1 w:val="0204060206030A020304"/>
    <w:charset w:val="00"/>
    <w:family w:val="roman"/>
    <w:pitch w:val="variable"/>
    <w:sig w:usb0="00000003" w:usb1="00000000" w:usb2="00000000" w:usb3="00000000" w:csb0="00000001" w:csb1="00000000"/>
  </w:font>
  <w:font w:name="Berylium">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9EBA3" w14:textId="77777777" w:rsidR="002E06CE" w:rsidRDefault="002E06CE">
    <w:pPr>
      <w:pBdr>
        <w:top w:val="nil"/>
        <w:left w:val="nil"/>
        <w:bottom w:val="nil"/>
        <w:right w:val="nil"/>
        <w:between w:val="nil"/>
      </w:pBdr>
      <w:tabs>
        <w:tab w:val="center" w:pos="4419"/>
        <w:tab w:val="right" w:pos="8838"/>
      </w:tabs>
      <w:rPr>
        <w:color w:val="4E4D4D"/>
        <w:sz w:val="16"/>
        <w:szCs w:val="16"/>
      </w:rPr>
    </w:pPr>
  </w:p>
  <w:p w14:paraId="6921EA35" w14:textId="77777777" w:rsidR="00F17C1C" w:rsidRPr="00E74DF6" w:rsidRDefault="00F17C1C" w:rsidP="00F17C1C">
    <w:pPr>
      <w:pStyle w:val="Piedepgina"/>
      <w:jc w:val="center"/>
      <w:rPr>
        <w:rFonts w:ascii="Arial Narrow" w:hAnsi="Arial Narrow"/>
        <w:szCs w:val="22"/>
      </w:rPr>
    </w:pPr>
    <w:r w:rsidRPr="0052017C">
      <w:rPr>
        <w:rFonts w:ascii="Arial Narrow" w:hAnsi="Arial Narrow"/>
        <w:szCs w:val="22"/>
      </w:rPr>
      <w:t>Carrera</w:t>
    </w:r>
    <w:r w:rsidRPr="0052017C">
      <w:rPr>
        <w:rFonts w:ascii="Arial Narrow" w:hAnsi="Arial Narrow"/>
        <w:bCs/>
        <w:iCs/>
        <w:noProof/>
        <w:szCs w:val="22"/>
      </w:rPr>
      <mc:AlternateContent>
        <mc:Choice Requires="wps">
          <w:drawing>
            <wp:anchor distT="0" distB="0" distL="114300" distR="114300" simplePos="0" relativeHeight="251658244" behindDoc="0" locked="0" layoutInCell="0" allowOverlap="1" wp14:anchorId="34C3B0A4" wp14:editId="525C46DD">
              <wp:simplePos x="0" y="0"/>
              <wp:positionH relativeFrom="rightMargin">
                <wp:posOffset>4420870</wp:posOffset>
              </wp:positionH>
              <wp:positionV relativeFrom="margin">
                <wp:align>bottom</wp:align>
              </wp:positionV>
              <wp:extent cx="600075" cy="285750"/>
              <wp:effectExtent l="0" t="0" r="9525"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28"/>
                            </w:rPr>
                            <w:id w:val="-67958044"/>
                            <w:docPartObj>
                              <w:docPartGallery w:val="Page Numbers (Margins)"/>
                              <w:docPartUnique/>
                            </w:docPartObj>
                          </w:sdtPr>
                          <w:sdtEndPr/>
                          <w:sdtContent>
                            <w:p w14:paraId="70BD4ECC" w14:textId="77777777" w:rsidR="00F17C1C" w:rsidRPr="00743C21" w:rsidRDefault="00F17C1C" w:rsidP="00F17C1C">
                              <w:pPr>
                                <w:jc w:val="center"/>
                                <w:rPr>
                                  <w:rFonts w:asciiTheme="majorHAnsi" w:eastAsiaTheme="majorEastAsia" w:hAnsiTheme="majorHAnsi" w:cstheme="majorBidi"/>
                                  <w:sz w:val="28"/>
                                </w:rPr>
                              </w:pPr>
                              <w:r w:rsidRPr="00743C21">
                                <w:rPr>
                                  <w:rFonts w:asciiTheme="minorHAnsi" w:eastAsiaTheme="minorEastAsia" w:hAnsiTheme="minorHAnsi"/>
                                  <w:sz w:val="28"/>
                                </w:rPr>
                                <w:fldChar w:fldCharType="begin"/>
                              </w:r>
                              <w:r w:rsidRPr="00743C21">
                                <w:rPr>
                                  <w:sz w:val="28"/>
                                </w:rPr>
                                <w:instrText>PAGE  \* MERGEFORMAT</w:instrText>
                              </w:r>
                              <w:r w:rsidRPr="00743C21">
                                <w:rPr>
                                  <w:rFonts w:asciiTheme="minorHAnsi" w:eastAsiaTheme="minorEastAsia" w:hAnsiTheme="minorHAnsi"/>
                                  <w:sz w:val="28"/>
                                </w:rPr>
                                <w:fldChar w:fldCharType="separate"/>
                              </w:r>
                              <w:r w:rsidRPr="009A10E1">
                                <w:rPr>
                                  <w:rFonts w:asciiTheme="majorHAnsi" w:eastAsiaTheme="majorEastAsia" w:hAnsiTheme="majorHAnsi" w:cstheme="majorBidi"/>
                                  <w:noProof/>
                                  <w:sz w:val="28"/>
                                </w:rPr>
                                <w:t>81</w:t>
                              </w:r>
                              <w:r w:rsidRPr="00743C21">
                                <w:rPr>
                                  <w:rFonts w:asciiTheme="majorHAnsi" w:eastAsiaTheme="majorEastAsia" w:hAnsiTheme="majorHAnsi" w:cstheme="majorBidi"/>
                                  <w:sz w:val="28"/>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34C3B0A4" id="Rectángulo 7" o:spid="_x0000_s1029" style="position:absolute;left:0;text-align:left;margin-left:348.1pt;margin-top:0;width:47.25pt;height:22.5pt;z-index:251658244;visibility:visible;mso-wrap-style:square;mso-width-percent:0;mso-height-percent:0;mso-wrap-distance-left:9pt;mso-wrap-distance-top:0;mso-wrap-distance-right:9pt;mso-wrap-distance-bottom:0;mso-position-horizontal:absolute;mso-position-horizontal-relative:right-margin-area;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" o:allowincell="f" stroked="f">
              <v:textbox>
                <w:txbxContent>
                  <w:sdt>
                    <w:sdtPr>
                      <w:rPr>
                        <w:rFonts w:asciiTheme="majorHAnsi" w:eastAsiaTheme="majorEastAsia" w:hAnsiTheme="majorHAnsi" w:cstheme="majorBidi"/>
                        <w:sz w:val="28"/>
                      </w:rPr>
                      <w:id w:val="-67958044"/>
                      <w:docPartObj>
                        <w:docPartGallery w:val="Page Numbers (Margins)"/>
                        <w:docPartUnique/>
                      </w:docPartObj>
                    </w:sdtPr>
                    <w:sdtContent>
                      <w:p w14:paraId="70BD4ECC" w14:textId="77777777" w:rsidR="00F17C1C" w:rsidRPr="00743C21" w:rsidRDefault="00F17C1C" w:rsidP="00F17C1C">
                        <w:pPr>
                          <w:jc w:val="center"/>
                          <w:rPr>
                            <w:rFonts w:asciiTheme="majorHAnsi" w:eastAsiaTheme="majorEastAsia" w:hAnsiTheme="majorHAnsi" w:cstheme="majorBidi"/>
                            <w:sz w:val="28"/>
                          </w:rPr>
                        </w:pPr>
                        <w:r w:rsidRPr="00743C21">
                          <w:rPr>
                            <w:rFonts w:asciiTheme="minorHAnsi" w:eastAsiaTheme="minorEastAsia" w:hAnsiTheme="minorHAnsi"/>
                            <w:sz w:val="28"/>
                          </w:rPr>
                          <w:fldChar w:fldCharType="begin"/>
                        </w:r>
                        <w:r w:rsidRPr="00743C21">
                          <w:rPr>
                            <w:sz w:val="28"/>
                          </w:rPr>
                          <w:instrText>PAGE  \* MERGEFORMAT</w:instrText>
                        </w:r>
                        <w:r w:rsidRPr="00743C21">
                          <w:rPr>
                            <w:rFonts w:asciiTheme="minorHAnsi" w:eastAsiaTheme="minorEastAsia" w:hAnsiTheme="minorHAnsi"/>
                            <w:sz w:val="28"/>
                          </w:rPr>
                          <w:fldChar w:fldCharType="separate"/>
                        </w:r>
                        <w:r w:rsidRPr="009A10E1">
                          <w:rPr>
                            <w:rFonts w:asciiTheme="majorHAnsi" w:eastAsiaTheme="majorEastAsia" w:hAnsiTheme="majorHAnsi" w:cstheme="majorBidi"/>
                            <w:noProof/>
                            <w:sz w:val="28"/>
                          </w:rPr>
                          <w:t>81</w:t>
                        </w:r>
                        <w:r w:rsidRPr="00743C21">
                          <w:rPr>
                            <w:rFonts w:asciiTheme="majorHAnsi" w:eastAsiaTheme="majorEastAsia" w:hAnsiTheme="majorHAnsi" w:cstheme="majorBidi"/>
                            <w:sz w:val="28"/>
                          </w:rPr>
                          <w:fldChar w:fldCharType="end"/>
                        </w:r>
                      </w:p>
                    </w:sdtContent>
                  </w:sdt>
                </w:txbxContent>
              </v:textbox>
              <w10:wrap anchorx="margin" anchory="margin"/>
            </v:rect>
          </w:pict>
        </mc:Fallback>
      </mc:AlternateContent>
    </w:r>
    <w:r>
      <w:rPr>
        <w:rFonts w:ascii="Arial Narrow" w:hAnsi="Arial Narrow"/>
        <w:szCs w:val="22"/>
      </w:rPr>
      <w:t xml:space="preserve"> </w:t>
    </w:r>
    <w:r w:rsidRPr="0052017C">
      <w:rPr>
        <w:rFonts w:ascii="Arial Narrow" w:hAnsi="Arial Narrow"/>
        <w:szCs w:val="22"/>
      </w:rPr>
      <w:t xml:space="preserve">7 # 27-18 Edificio </w:t>
    </w:r>
    <w:r w:rsidRPr="00E74DF6">
      <w:rPr>
        <w:rFonts w:ascii="Arial Narrow" w:hAnsi="Arial Narrow"/>
        <w:szCs w:val="22"/>
      </w:rPr>
      <w:t xml:space="preserve">Banco de Crédito Piso 7º  </w:t>
    </w:r>
  </w:p>
  <w:p w14:paraId="644BCCEE" w14:textId="5522D7F5" w:rsidR="002E06CE" w:rsidRDefault="00F17C1C" w:rsidP="00F17C1C">
    <w:pPr>
      <w:pBdr>
        <w:top w:val="nil"/>
        <w:left w:val="nil"/>
        <w:bottom w:val="nil"/>
        <w:right w:val="nil"/>
        <w:between w:val="nil"/>
      </w:pBdr>
      <w:tabs>
        <w:tab w:val="center" w:pos="4419"/>
        <w:tab w:val="right" w:pos="8838"/>
      </w:tabs>
      <w:jc w:val="center"/>
      <w:rPr>
        <w:b/>
        <w:i/>
        <w:color w:val="4E4D4D"/>
        <w:u w:val="single"/>
      </w:rPr>
    </w:pPr>
    <w:r w:rsidRPr="00E74DF6">
      <w:rPr>
        <w:rFonts w:ascii="Arial Narrow" w:hAnsi="Arial Narrow"/>
        <w:szCs w:val="22"/>
      </w:rPr>
      <w:t xml:space="preserve"> </w:t>
    </w:r>
    <w:r>
      <w:rPr>
        <w:rFonts w:ascii="Arial Narrow" w:hAnsi="Arial Narrow"/>
        <w:szCs w:val="22"/>
      </w:rPr>
      <w:t>www.ramajudicial.gov.co</w:t>
    </w:r>
    <w:r w:rsidRPr="00E74DF6">
      <w:rPr>
        <w:rFonts w:ascii="Arial Narrow" w:hAnsi="Arial Narrow"/>
        <w:szCs w:val="22"/>
      </w:rPr>
      <w:t xml:space="preserve">, E-mail: </w:t>
    </w:r>
    <w:hyperlink r:id="rId1" w:history="1">
      <w:r w:rsidRPr="00C918C3">
        <w:rPr>
          <w:rStyle w:val="Hipervnculo"/>
          <w:rFonts w:ascii="Arial Narrow" w:hAnsi="Arial Narrow"/>
          <w:szCs w:val="22"/>
        </w:rPr>
        <w:t>dirseccmarca-amazonas@cendoj.ramajudicial.gov.co</w:t>
      </w:r>
    </w:hyperlink>
  </w:p>
  <w:p w14:paraId="4B01BD12" w14:textId="12898B17" w:rsidR="002E06CE" w:rsidRPr="00625E44" w:rsidRDefault="00625E44" w:rsidP="00625E44">
    <w:pPr>
      <w:pBdr>
        <w:top w:val="nil"/>
        <w:left w:val="nil"/>
        <w:bottom w:val="nil"/>
        <w:right w:val="nil"/>
        <w:between w:val="nil"/>
      </w:pBdr>
      <w:tabs>
        <w:tab w:val="center" w:pos="4419"/>
        <w:tab w:val="right" w:pos="8838"/>
      </w:tabs>
      <w:jc w:val="right"/>
      <w:rPr>
        <w:rFonts w:ascii="Arial Narrow" w:hAnsi="Arial Narrow"/>
        <w:color w:val="4E4D4D"/>
        <w:sz w:val="16"/>
        <w:szCs w:val="16"/>
      </w:rPr>
    </w:pPr>
    <w:r w:rsidRPr="00625E44">
      <w:rPr>
        <w:rFonts w:ascii="Arial Narrow" w:hAnsi="Arial Narrow"/>
        <w:color w:val="4E4D4D"/>
        <w:sz w:val="16"/>
        <w:szCs w:val="16"/>
      </w:rPr>
      <w:fldChar w:fldCharType="begin"/>
    </w:r>
    <w:r w:rsidRPr="00625E44">
      <w:rPr>
        <w:rFonts w:ascii="Arial Narrow" w:hAnsi="Arial Narrow"/>
        <w:color w:val="4E4D4D"/>
        <w:sz w:val="16"/>
        <w:szCs w:val="16"/>
      </w:rPr>
      <w:instrText>PAGE   \* MERGEFORMAT</w:instrText>
    </w:r>
    <w:r w:rsidRPr="00625E44">
      <w:rPr>
        <w:rFonts w:ascii="Arial Narrow" w:hAnsi="Arial Narrow"/>
        <w:color w:val="4E4D4D"/>
        <w:sz w:val="16"/>
        <w:szCs w:val="16"/>
      </w:rPr>
      <w:fldChar w:fldCharType="separate"/>
    </w:r>
    <w:r w:rsidRPr="00625E44">
      <w:rPr>
        <w:rFonts w:ascii="Arial Narrow" w:hAnsi="Arial Narrow"/>
        <w:color w:val="4E4D4D"/>
        <w:sz w:val="16"/>
        <w:szCs w:val="16"/>
        <w:lang w:val="es-ES"/>
      </w:rPr>
      <w:t>1</w:t>
    </w:r>
    <w:r w:rsidRPr="00625E44">
      <w:rPr>
        <w:rFonts w:ascii="Arial Narrow" w:hAnsi="Arial Narrow"/>
        <w:color w:val="4E4D4D"/>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D7932" w14:textId="77777777" w:rsidR="002E06CE" w:rsidRDefault="002E06CE">
    <w:pPr>
      <w:pBdr>
        <w:top w:val="nil"/>
        <w:left w:val="nil"/>
        <w:bottom w:val="nil"/>
        <w:right w:val="nil"/>
        <w:between w:val="nil"/>
      </w:pBdr>
      <w:tabs>
        <w:tab w:val="center" w:pos="4419"/>
        <w:tab w:val="right" w:pos="8838"/>
      </w:tabs>
      <w:jc w:val="center"/>
      <w:rPr>
        <w:color w:val="4E4D4D"/>
      </w:rPr>
    </w:pPr>
    <w:r>
      <w:rPr>
        <w:rFonts w:ascii="Arial Narrow" w:eastAsia="Arial Narrow" w:hAnsi="Arial Narrow" w:cs="Arial Narrow"/>
        <w:noProof/>
        <w:color w:val="4E4D4D"/>
        <w:sz w:val="16"/>
        <w:szCs w:val="16"/>
        <w:lang w:eastAsia="es-CO"/>
      </w:rPr>
      <w:drawing>
        <wp:inline distT="0" distB="0" distL="0" distR="0" wp14:anchorId="4CA2D5D6" wp14:editId="1DF25CFE">
          <wp:extent cx="1562642" cy="365821"/>
          <wp:effectExtent l="0" t="0" r="0" b="0"/>
          <wp:docPr id="193718482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
                  <a:srcRect/>
                  <a:stretch>
                    <a:fillRect/>
                  </a:stretch>
                </pic:blipFill>
                <pic:spPr>
                  <a:xfrm>
                    <a:off x="0" y="0"/>
                    <a:ext cx="1562642" cy="365821"/>
                  </a:xfrm>
                  <a:prstGeom prst="rect">
                    <a:avLst/>
                  </a:prstGeom>
                  <a:ln/>
                </pic:spPr>
              </pic:pic>
            </a:graphicData>
          </a:graphic>
        </wp:inline>
      </w:drawing>
    </w:r>
  </w:p>
  <w:p w14:paraId="126F3F38" w14:textId="77777777" w:rsidR="002E06CE" w:rsidRDefault="002E06CE">
    <w:pPr>
      <w:pBdr>
        <w:top w:val="nil"/>
        <w:left w:val="nil"/>
        <w:bottom w:val="nil"/>
        <w:right w:val="nil"/>
        <w:between w:val="nil"/>
      </w:pBdr>
      <w:tabs>
        <w:tab w:val="center" w:pos="4419"/>
        <w:tab w:val="right" w:pos="8838"/>
      </w:tabs>
      <w:rPr>
        <w:color w:val="4E4D4D"/>
      </w:rPr>
    </w:pPr>
    <w:r>
      <w:rPr>
        <w:rFonts w:ascii="Arial Narrow" w:eastAsia="Arial Narrow" w:hAnsi="Arial Narrow" w:cs="Arial Narrow"/>
        <w:noProof/>
        <w:color w:val="4E4D4D"/>
        <w:sz w:val="16"/>
        <w:szCs w:val="16"/>
        <w:lang w:eastAsia="es-CO"/>
      </w:rPr>
      <w:drawing>
        <wp:inline distT="0" distB="0" distL="0" distR="0" wp14:anchorId="75E6457A" wp14:editId="1E0444EB">
          <wp:extent cx="5607050" cy="362585"/>
          <wp:effectExtent l="0" t="0" r="0" b="0"/>
          <wp:docPr id="105168044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5607050" cy="362585"/>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23B65" w14:textId="77777777" w:rsidR="00DE45AD" w:rsidRDefault="00DE45AD">
      <w:r>
        <w:separator/>
      </w:r>
    </w:p>
  </w:footnote>
  <w:footnote w:type="continuationSeparator" w:id="0">
    <w:p w14:paraId="33FED807" w14:textId="77777777" w:rsidR="00DE45AD" w:rsidRDefault="00DE45AD">
      <w:r>
        <w:continuationSeparator/>
      </w:r>
    </w:p>
  </w:footnote>
  <w:footnote w:type="continuationNotice" w:id="1">
    <w:p w14:paraId="1F742BEE" w14:textId="77777777" w:rsidR="00DE45AD" w:rsidRDefault="00DE45AD"/>
  </w:footnote>
  <w:footnote w:id="2">
    <w:p w14:paraId="6EC71B39" w14:textId="77777777" w:rsidR="006C3172" w:rsidRPr="00BC536B" w:rsidRDefault="006C3172" w:rsidP="006C3172">
      <w:pPr>
        <w:pStyle w:val="Textonotapie"/>
        <w:ind w:firstLine="720"/>
        <w:jc w:val="both"/>
        <w:rPr>
          <w:sz w:val="16"/>
          <w:szCs w:val="16"/>
          <w:lang w:val="es-CO"/>
        </w:rPr>
      </w:pPr>
      <w:r w:rsidRPr="00BC536B">
        <w:rPr>
          <w:rStyle w:val="Refdenotaalpie"/>
          <w:sz w:val="16"/>
          <w:szCs w:val="16"/>
        </w:rPr>
        <w:footnoteRef/>
      </w:r>
      <w:r w:rsidRPr="00D072BE">
        <w:rPr>
          <w:sz w:val="16"/>
          <w:szCs w:val="16"/>
          <w:lang w:val="es-CO"/>
        </w:rPr>
        <w:t xml:space="preserve"> </w:t>
      </w:r>
      <w:r w:rsidRPr="00BB7116">
        <w:rPr>
          <w:rFonts w:ascii="Arial" w:eastAsia="Times New Roman" w:hAnsi="Arial" w:cs="Arial"/>
          <w:color w:val="1A1818" w:themeColor="text1"/>
          <w:sz w:val="16"/>
          <w:szCs w:val="16"/>
          <w:lang w:val="es-CO"/>
        </w:rPr>
        <w:t xml:space="preserve">Decreto 1082 de 2015 Sector Administrativo de Planeación Nacional - Gestor Normativo. (s/f). Gov.co. Recuperado el 29 de septiembre de 2023, de </w:t>
      </w:r>
      <w:hyperlink r:id="rId1" w:history="1">
        <w:r w:rsidRPr="00BB7116">
          <w:rPr>
            <w:rFonts w:ascii="Arial" w:eastAsia="Times New Roman" w:hAnsi="Arial" w:cs="Arial"/>
            <w:color w:val="1A1818" w:themeColor="text1"/>
            <w:sz w:val="16"/>
            <w:szCs w:val="16"/>
            <w:lang w:val="es-CO"/>
          </w:rPr>
          <w:t>https://www.funcionpublica.gov.co/eva/gestornormativo/norma.php?i=77653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C17B6" w14:textId="77777777" w:rsidR="002E06CE" w:rsidRDefault="002E06CE">
    <w:pPr>
      <w:pBdr>
        <w:top w:val="nil"/>
        <w:left w:val="nil"/>
        <w:bottom w:val="nil"/>
        <w:right w:val="nil"/>
        <w:between w:val="nil"/>
      </w:pBdr>
      <w:tabs>
        <w:tab w:val="center" w:pos="4419"/>
        <w:tab w:val="right" w:pos="8838"/>
      </w:tabs>
      <w:rPr>
        <w:color w:val="4E4D4D"/>
      </w:rPr>
    </w:pPr>
    <w:r>
      <w:rPr>
        <w:noProof/>
        <w:color w:val="4E4D4D"/>
        <w:lang w:eastAsia="es-CO"/>
      </w:rPr>
      <mc:AlternateContent>
        <mc:Choice Requires="wps">
          <w:drawing>
            <wp:anchor distT="0" distB="0" distL="0" distR="0" simplePos="0" relativeHeight="251658240" behindDoc="1" locked="0" layoutInCell="1" hidden="0" allowOverlap="1" wp14:anchorId="4B7BDF4F" wp14:editId="6A32C79E">
              <wp:simplePos x="0" y="0"/>
              <wp:positionH relativeFrom="margin">
                <wp:align>center</wp:align>
              </wp:positionH>
              <wp:positionV relativeFrom="margin">
                <wp:align>center</wp:align>
              </wp:positionV>
              <wp:extent cx="5608169" cy="5608169"/>
              <wp:effectExtent l="0" t="0" r="0" b="0"/>
              <wp:wrapNone/>
              <wp:docPr id="53" name="Rectángulo 53"/>
              <wp:cNvGraphicFramePr/>
              <a:graphic xmlns:a="http://schemas.openxmlformats.org/drawingml/2006/main">
                <a:graphicData uri="http://schemas.microsoft.com/office/word/2010/wordprocessingShape">
                  <wps:wsp>
                    <wps:cNvSpPr/>
                    <wps:spPr>
                      <a:xfrm rot="-2700000">
                        <a:off x="2049080" y="3120870"/>
                        <a:ext cx="6593840" cy="1318260"/>
                      </a:xfrm>
                      <a:prstGeom prst="rect">
                        <a:avLst/>
                      </a:prstGeom>
                    </wps:spPr>
                    <wps:txbx>
                      <w:txbxContent>
                        <w:p w14:paraId="77760955" w14:textId="77777777" w:rsidR="002E06CE" w:rsidRDefault="002E06CE">
                          <w:pPr>
                            <w:jc w:val="center"/>
                            <w:textDirection w:val="btLr"/>
                          </w:pPr>
                          <w:r>
                            <w:rPr>
                              <w:color w:val="CDCCCC"/>
                              <w:sz w:val="144"/>
                            </w:rPr>
                            <w:t>BORRADOR</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du="http://schemas.microsoft.com/office/word/2023/wordml/word16du" xmlns:oel="http://schemas.microsoft.com/office/2019/extlst">
          <w:pict>
            <v:rect w14:anchorId="4B7BDF4F" id="Rectángulo 53" o:spid="_x0000_s1026" style="position:absolute;margin-left:0;margin-top:0;width:441.6pt;height:441.6pt;rotation:-45;z-index:-251658240;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" filled="f" stroked="f">
              <v:textbox inset="2.53958mm,2.53958mm,2.53958mm,2.53958mm">
                <w:txbxContent>
                  <w:p w14:paraId="77760955" w14:textId="77777777" w:rsidR="002E06CE" w:rsidRDefault="002E06CE">
                    <w:pPr>
                      <w:jc w:val="center"/>
                      <w:textDirection w:val="btLr"/>
                    </w:pPr>
                    <w:r>
                      <w:rPr>
                        <w:color w:val="CDCCCC"/>
                        <w:sz w:val="144"/>
                      </w:rPr>
                      <w:t>BORRADOR</w:t>
                    </w:r>
                  </w:p>
                </w:txbxContent>
              </v:textbox>
              <w10:wrap anchorx="margin" anchory="margin"/>
            </v:rect>
          </w:pict>
        </mc:Fallback>
      </mc:AlternateContent>
    </w:r>
    <w:r>
      <w:rPr>
        <w:noProof/>
        <w:color w:val="4E4D4D"/>
        <w:lang w:eastAsia="es-CO"/>
      </w:rPr>
      <mc:AlternateContent>
        <mc:Choice Requires="wps">
          <w:drawing>
            <wp:anchor distT="0" distB="0" distL="0" distR="0" simplePos="0" relativeHeight="251658241" behindDoc="1" locked="0" layoutInCell="1" hidden="0" allowOverlap="1" wp14:anchorId="3920E425" wp14:editId="3DDD40EC">
              <wp:simplePos x="0" y="0"/>
              <wp:positionH relativeFrom="margin">
                <wp:align>center</wp:align>
              </wp:positionH>
              <wp:positionV relativeFrom="margin">
                <wp:align>center</wp:align>
              </wp:positionV>
              <wp:extent cx="5608169" cy="5608169"/>
              <wp:effectExtent l="0" t="0" r="0" b="0"/>
              <wp:wrapNone/>
              <wp:docPr id="55" name="Rectángulo 55"/>
              <wp:cNvGraphicFramePr/>
              <a:graphic xmlns:a="http://schemas.openxmlformats.org/drawingml/2006/main">
                <a:graphicData uri="http://schemas.microsoft.com/office/word/2010/wordprocessingShape">
                  <wps:wsp>
                    <wps:cNvSpPr/>
                    <wps:spPr>
                      <a:xfrm rot="-2700000">
                        <a:off x="2049080" y="3120870"/>
                        <a:ext cx="6593840" cy="1318260"/>
                      </a:xfrm>
                      <a:prstGeom prst="rect">
                        <a:avLst/>
                      </a:prstGeom>
                    </wps:spPr>
                    <wps:txbx>
                      <w:txbxContent>
                        <w:p w14:paraId="6DF783B8" w14:textId="77777777" w:rsidR="002E06CE" w:rsidRDefault="002E06CE">
                          <w:pPr>
                            <w:jc w:val="center"/>
                            <w:textDirection w:val="btLr"/>
                          </w:pPr>
                          <w:r>
                            <w:rPr>
                              <w:color w:val="C0C0C0"/>
                              <w:sz w:val="144"/>
                            </w:rPr>
                            <w:t>BORRADOR</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du="http://schemas.microsoft.com/office/word/2023/wordml/word16du" xmlns:oel="http://schemas.microsoft.com/office/2019/extlst">
          <w:pict>
            <v:rect w14:anchorId="3920E425" id="Rectángulo 55" o:spid="_x0000_s1027" style="position:absolute;margin-left:0;margin-top:0;width:441.6pt;height:441.6pt;rotation:-45;z-index:-251658239;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" filled="f" stroked="f">
              <v:textbox inset="2.53958mm,2.53958mm,2.53958mm,2.53958mm">
                <w:txbxContent>
                  <w:p w14:paraId="6DF783B8" w14:textId="77777777" w:rsidR="002E06CE" w:rsidRDefault="002E06CE">
                    <w:pPr>
                      <w:jc w:val="center"/>
                      <w:textDirection w:val="btLr"/>
                    </w:pPr>
                    <w:r>
                      <w:rPr>
                        <w:color w:val="C0C0C0"/>
                        <w:sz w:val="144"/>
                      </w:rPr>
                      <w:t>BORRADOR</w:t>
                    </w:r>
                  </w:p>
                </w:txbxContent>
              </v:textbox>
              <w10:wrap anchorx="margin" anchory="margin"/>
            </v:rect>
          </w:pict>
        </mc:Fallback>
      </mc:AlternateContent>
    </w:r>
    <w:r>
      <w:rPr>
        <w:noProof/>
        <w:color w:val="4E4D4D"/>
        <w:lang w:eastAsia="es-CO"/>
      </w:rPr>
      <mc:AlternateContent>
        <mc:Choice Requires="wps">
          <w:drawing>
            <wp:anchor distT="0" distB="0" distL="0" distR="0" simplePos="0" relativeHeight="251658242" behindDoc="1" locked="0" layoutInCell="1" hidden="0" allowOverlap="1" wp14:anchorId="6C1083A2" wp14:editId="5096DF41">
              <wp:simplePos x="0" y="0"/>
              <wp:positionH relativeFrom="margin">
                <wp:align>center</wp:align>
              </wp:positionH>
              <wp:positionV relativeFrom="margin">
                <wp:align>center</wp:align>
              </wp:positionV>
              <wp:extent cx="4751004" cy="4751004"/>
              <wp:effectExtent l="0" t="0" r="0" b="0"/>
              <wp:wrapNone/>
              <wp:docPr id="52" name="Rectángulo 52"/>
              <wp:cNvGraphicFramePr/>
              <a:graphic xmlns:a="http://schemas.openxmlformats.org/drawingml/2006/main">
                <a:graphicData uri="http://schemas.microsoft.com/office/word/2010/wordprocessingShape">
                  <wps:wsp>
                    <wps:cNvSpPr/>
                    <wps:spPr>
                      <a:xfrm rot="-2700000">
                        <a:off x="2049080" y="3726978"/>
                        <a:ext cx="6593840" cy="106045"/>
                      </a:xfrm>
                      <a:prstGeom prst="rect">
                        <a:avLst/>
                      </a:prstGeom>
                    </wps:spPr>
                    <wps:txbx>
                      <w:txbxContent>
                        <w:p w14:paraId="4CFE9373" w14:textId="77777777" w:rsidR="002E06CE" w:rsidRDefault="002E06CE">
                          <w:pPr>
                            <w:jc w:val="center"/>
                            <w:textDirection w:val="btLr"/>
                          </w:pPr>
                          <w:r>
                            <w:rPr>
                              <w:color w:val="C0C0C0"/>
                              <w:sz w:val="144"/>
                            </w:rPr>
                            <w:t>BORRADOR</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du="http://schemas.microsoft.com/office/word/2023/wordml/word16du" xmlns:oel="http://schemas.microsoft.com/office/2019/extlst">
          <w:pict>
            <v:rect w14:anchorId="6C1083A2" id="Rectángulo 52" o:spid="_x0000_s1028" style="position:absolute;margin-left:0;margin-top:0;width:374.1pt;height:374.1pt;rotation:-45;z-index:-25165823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" filled="f" stroked="f">
              <v:textbox inset="2.53958mm,2.53958mm,2.53958mm,2.53958mm">
                <w:txbxContent>
                  <w:p w14:paraId="4CFE9373" w14:textId="77777777" w:rsidR="002E06CE" w:rsidRDefault="002E06CE">
                    <w:pPr>
                      <w:jc w:val="center"/>
                      <w:textDirection w:val="btLr"/>
                    </w:pPr>
                    <w:r>
                      <w:rPr>
                        <w:color w:val="C0C0C0"/>
                        <w:sz w:val="144"/>
                      </w:rPr>
                      <w:t>BORRADOR</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705DB" w14:textId="77777777" w:rsidR="006C3172" w:rsidRPr="004169F4" w:rsidRDefault="006C3172" w:rsidP="006C3172">
    <w:pPr>
      <w:pStyle w:val="Encabezado"/>
      <w:jc w:val="center"/>
      <w:rPr>
        <w:rFonts w:ascii="Berylium" w:hAnsi="Berylium"/>
      </w:rPr>
    </w:pPr>
    <w:bookmarkStart w:id="13" w:name="_Hlk163566217"/>
    <w:r w:rsidRPr="006537E3">
      <w:rPr>
        <w:rFonts w:ascii="Berylium" w:hAnsi="Berylium"/>
        <w:bCs/>
        <w:iCs/>
        <w:noProof/>
        <w:sz w:val="22"/>
        <w:szCs w:val="22"/>
        <w:lang w:eastAsia="es-CO"/>
      </w:rPr>
      <w:drawing>
        <wp:anchor distT="0" distB="0" distL="114300" distR="114300" simplePos="0" relativeHeight="251660292" behindDoc="1" locked="0" layoutInCell="1" allowOverlap="1" wp14:anchorId="5676CD3F" wp14:editId="26ACD470">
          <wp:simplePos x="0" y="0"/>
          <wp:positionH relativeFrom="column">
            <wp:posOffset>-819150</wp:posOffset>
          </wp:positionH>
          <wp:positionV relativeFrom="paragraph">
            <wp:posOffset>-172085</wp:posOffset>
          </wp:positionV>
          <wp:extent cx="2390775" cy="789305"/>
          <wp:effectExtent l="0" t="0" r="9525" b="0"/>
          <wp:wrapNone/>
          <wp:docPr id="31" name="Imagen 3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p>
  <w:p w14:paraId="51D8A5AF" w14:textId="77777777" w:rsidR="006C3172" w:rsidRDefault="006C3172" w:rsidP="006C3172">
    <w:pPr>
      <w:pBdr>
        <w:top w:val="nil"/>
        <w:left w:val="nil"/>
        <w:bottom w:val="nil"/>
        <w:right w:val="nil"/>
        <w:between w:val="nil"/>
      </w:pBdr>
      <w:tabs>
        <w:tab w:val="center" w:pos="4419"/>
        <w:tab w:val="right" w:pos="8838"/>
      </w:tabs>
      <w:rPr>
        <w:color w:val="4E4D4D"/>
      </w:rPr>
    </w:pPr>
  </w:p>
  <w:p w14:paraId="7F58FF9D" w14:textId="77777777" w:rsidR="006C3172" w:rsidRPr="006537E3" w:rsidRDefault="006C3172" w:rsidP="006C3172">
    <w:pPr>
      <w:pStyle w:val="Encabezado"/>
      <w:jc w:val="center"/>
      <w:rPr>
        <w:rFonts w:ascii="Berylium" w:hAnsi="Berylium"/>
        <w:bCs/>
        <w:iCs/>
        <w:sz w:val="22"/>
        <w:szCs w:val="22"/>
      </w:rPr>
    </w:pPr>
    <w:r w:rsidRPr="006537E3">
      <w:rPr>
        <w:rFonts w:ascii="Berylium" w:hAnsi="Berylium"/>
        <w:bCs/>
        <w:iCs/>
        <w:sz w:val="22"/>
        <w:szCs w:val="22"/>
      </w:rPr>
      <w:t>Consejo Superior de la Judicatura</w:t>
    </w:r>
  </w:p>
  <w:p w14:paraId="14533076" w14:textId="77777777" w:rsidR="006C3172" w:rsidRPr="00F80F3B" w:rsidRDefault="006C3172" w:rsidP="006C3172">
    <w:pPr>
      <w:pStyle w:val="Encabezado"/>
      <w:jc w:val="center"/>
      <w:rPr>
        <w:rFonts w:ascii="Berylium" w:hAnsi="Berylium"/>
        <w:bCs/>
        <w:iCs/>
        <w:sz w:val="22"/>
        <w:szCs w:val="22"/>
        <w:lang w:eastAsia="ar-SA"/>
      </w:rPr>
    </w:pPr>
    <w:r w:rsidRPr="006537E3">
      <w:rPr>
        <w:rFonts w:ascii="Berylium" w:hAnsi="Berylium"/>
        <w:bCs/>
        <w:iCs/>
        <w:sz w:val="22"/>
        <w:szCs w:val="22"/>
      </w:rPr>
      <w:t xml:space="preserve">Dirección </w:t>
    </w:r>
    <w:r w:rsidRPr="0096624D">
      <w:rPr>
        <w:rFonts w:ascii="Berylium" w:hAnsi="Berylium"/>
        <w:bCs/>
        <w:iCs/>
        <w:sz w:val="22"/>
        <w:szCs w:val="22"/>
        <w:lang w:eastAsia="ar-SA"/>
      </w:rPr>
      <w:t>Seccional de Administración Judicial</w:t>
    </w:r>
    <w:r>
      <w:rPr>
        <w:rFonts w:ascii="Berylium" w:hAnsi="Berylium"/>
        <w:bCs/>
        <w:iCs/>
        <w:sz w:val="22"/>
        <w:szCs w:val="22"/>
        <w:lang w:eastAsia="ar-SA"/>
      </w:rPr>
      <w:t xml:space="preserve"> </w:t>
    </w:r>
    <w:r w:rsidRPr="0096624D">
      <w:rPr>
        <w:rFonts w:ascii="Berylium" w:hAnsi="Berylium"/>
        <w:bCs/>
        <w:iCs/>
        <w:sz w:val="22"/>
        <w:szCs w:val="22"/>
        <w:lang w:eastAsia="ar-SA"/>
      </w:rPr>
      <w:t>Cundinamarca - Amazonas</w:t>
    </w:r>
  </w:p>
  <w:bookmarkEnd w:id="13"/>
  <w:p w14:paraId="05ACF783" w14:textId="77777777" w:rsidR="002E06CE" w:rsidRDefault="002E06CE">
    <w:pPr>
      <w:pBdr>
        <w:top w:val="nil"/>
        <w:left w:val="nil"/>
        <w:bottom w:val="nil"/>
        <w:right w:val="nil"/>
        <w:between w:val="nil"/>
      </w:pBdr>
      <w:tabs>
        <w:tab w:val="center" w:pos="4419"/>
        <w:tab w:val="right" w:pos="8838"/>
      </w:tabs>
      <w:rPr>
        <w:color w:val="4E4D4D"/>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0D2F7" w14:textId="77777777" w:rsidR="002E06CE" w:rsidRDefault="002E06CE">
    <w:pPr>
      <w:pBdr>
        <w:top w:val="nil"/>
        <w:left w:val="nil"/>
        <w:bottom w:val="nil"/>
        <w:right w:val="nil"/>
        <w:between w:val="nil"/>
      </w:pBdr>
      <w:tabs>
        <w:tab w:val="center" w:pos="4419"/>
        <w:tab w:val="right" w:pos="8838"/>
      </w:tabs>
      <w:jc w:val="right"/>
      <w:rPr>
        <w:b/>
        <w:color w:val="4E4D4D"/>
      </w:rPr>
    </w:pPr>
    <w:r>
      <w:rPr>
        <w:noProof/>
        <w:color w:val="4E4D4D"/>
        <w:lang w:eastAsia="es-CO"/>
      </w:rPr>
      <w:drawing>
        <wp:inline distT="0" distB="0" distL="0" distR="0" wp14:anchorId="172FEF03" wp14:editId="24F1003C">
          <wp:extent cx="1500803" cy="616644"/>
          <wp:effectExtent l="0" t="0" r="0" b="0"/>
          <wp:docPr id="34045429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1500803" cy="616644"/>
                  </a:xfrm>
                  <a:prstGeom prst="rect">
                    <a:avLst/>
                  </a:prstGeom>
                  <a:ln/>
                </pic:spPr>
              </pic:pic>
            </a:graphicData>
          </a:graphic>
        </wp:inline>
      </w:drawing>
    </w:r>
  </w:p>
  <w:p w14:paraId="5D8A3641" w14:textId="77777777" w:rsidR="002E06CE" w:rsidRDefault="002E06CE" w:rsidP="004B626A">
    <w:pPr>
      <w:pStyle w:val="Ttulo1"/>
      <w:numPr>
        <w:ilvl w:val="0"/>
        <w:numId w:val="1"/>
      </w:numPr>
    </w:pPr>
    <w:r>
      <w:t>TÍTULO DEL DOCUMENTO</w:t>
    </w:r>
  </w:p>
  <w:p w14:paraId="1A50445E" w14:textId="77777777" w:rsidR="002E06CE" w:rsidRDefault="002E06CE">
    <w: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1DA1"/>
    <w:multiLevelType w:val="multilevel"/>
    <w:tmpl w:val="E200B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62380"/>
    <w:multiLevelType w:val="multilevel"/>
    <w:tmpl w:val="5506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45CB6"/>
    <w:multiLevelType w:val="multilevel"/>
    <w:tmpl w:val="E80EEACA"/>
    <w:lvl w:ilvl="0">
      <w:start w:val="1"/>
      <w:numFmt w:val="decimal"/>
      <w:pStyle w:val="Titulo-4"/>
      <w:lvlText w:val="%1."/>
      <w:lvlJc w:val="left"/>
      <w:pPr>
        <w:tabs>
          <w:tab w:val="num" w:pos="785"/>
        </w:tabs>
        <w:ind w:left="785" w:hanging="720"/>
      </w:pPr>
    </w:lvl>
    <w:lvl w:ilvl="1">
      <w:start w:val="1"/>
      <w:numFmt w:val="decimal"/>
      <w:lvlText w:val="%2."/>
      <w:lvlJc w:val="left"/>
      <w:pPr>
        <w:tabs>
          <w:tab w:val="num" w:pos="1505"/>
        </w:tabs>
        <w:ind w:left="1505" w:hanging="720"/>
      </w:pPr>
    </w:lvl>
    <w:lvl w:ilvl="2">
      <w:start w:val="1"/>
      <w:numFmt w:val="decimal"/>
      <w:lvlText w:val="%3."/>
      <w:lvlJc w:val="left"/>
      <w:pPr>
        <w:tabs>
          <w:tab w:val="num" w:pos="2225"/>
        </w:tabs>
        <w:ind w:left="2225" w:hanging="720"/>
      </w:pPr>
    </w:lvl>
    <w:lvl w:ilvl="3">
      <w:start w:val="1"/>
      <w:numFmt w:val="decimal"/>
      <w:lvlText w:val="%4."/>
      <w:lvlJc w:val="left"/>
      <w:pPr>
        <w:tabs>
          <w:tab w:val="num" w:pos="2945"/>
        </w:tabs>
        <w:ind w:left="2945" w:hanging="720"/>
      </w:pPr>
    </w:lvl>
    <w:lvl w:ilvl="4">
      <w:start w:val="1"/>
      <w:numFmt w:val="decimal"/>
      <w:lvlText w:val="%5."/>
      <w:lvlJc w:val="left"/>
      <w:pPr>
        <w:tabs>
          <w:tab w:val="num" w:pos="3665"/>
        </w:tabs>
        <w:ind w:left="3665" w:hanging="720"/>
      </w:pPr>
    </w:lvl>
    <w:lvl w:ilvl="5">
      <w:start w:val="1"/>
      <w:numFmt w:val="decimal"/>
      <w:lvlText w:val="%6."/>
      <w:lvlJc w:val="left"/>
      <w:pPr>
        <w:tabs>
          <w:tab w:val="num" w:pos="4385"/>
        </w:tabs>
        <w:ind w:left="4385" w:hanging="720"/>
      </w:pPr>
    </w:lvl>
    <w:lvl w:ilvl="6">
      <w:start w:val="1"/>
      <w:numFmt w:val="decimal"/>
      <w:lvlText w:val="%7."/>
      <w:lvlJc w:val="left"/>
      <w:pPr>
        <w:tabs>
          <w:tab w:val="num" w:pos="5105"/>
        </w:tabs>
        <w:ind w:left="5105" w:hanging="720"/>
      </w:pPr>
    </w:lvl>
    <w:lvl w:ilvl="7">
      <w:start w:val="1"/>
      <w:numFmt w:val="decimal"/>
      <w:lvlText w:val="%8."/>
      <w:lvlJc w:val="left"/>
      <w:pPr>
        <w:tabs>
          <w:tab w:val="num" w:pos="5825"/>
        </w:tabs>
        <w:ind w:left="5825" w:hanging="720"/>
      </w:pPr>
    </w:lvl>
    <w:lvl w:ilvl="8">
      <w:start w:val="1"/>
      <w:numFmt w:val="decimal"/>
      <w:lvlText w:val="%9."/>
      <w:lvlJc w:val="left"/>
      <w:pPr>
        <w:tabs>
          <w:tab w:val="num" w:pos="6545"/>
        </w:tabs>
        <w:ind w:left="6545" w:hanging="720"/>
      </w:pPr>
    </w:lvl>
  </w:abstractNum>
  <w:abstractNum w:abstractNumId="3" w15:restartNumberingAfterBreak="0">
    <w:nsid w:val="068E292E"/>
    <w:multiLevelType w:val="multilevel"/>
    <w:tmpl w:val="EAC4F934"/>
    <w:lvl w:ilvl="0">
      <w:start w:val="1"/>
      <w:numFmt w:val="upperLetter"/>
      <w:lvlText w:val="%1."/>
      <w:lvlJc w:val="left"/>
      <w:pPr>
        <w:ind w:left="720" w:hanging="360"/>
      </w:p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B16DAC"/>
    <w:multiLevelType w:val="multilevel"/>
    <w:tmpl w:val="8306E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B74F97"/>
    <w:multiLevelType w:val="multilevel"/>
    <w:tmpl w:val="EAC4F934"/>
    <w:lvl w:ilvl="0">
      <w:start w:val="1"/>
      <w:numFmt w:val="upperLetter"/>
      <w:lvlText w:val="%1."/>
      <w:lvlJc w:val="left"/>
      <w:pPr>
        <w:ind w:left="720" w:hanging="360"/>
      </w:p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FE68A7"/>
    <w:multiLevelType w:val="multilevel"/>
    <w:tmpl w:val="2700B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6C4030"/>
    <w:multiLevelType w:val="multilevel"/>
    <w:tmpl w:val="66F40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54659E"/>
    <w:multiLevelType w:val="multilevel"/>
    <w:tmpl w:val="5D2E1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0D0CEC"/>
    <w:multiLevelType w:val="multilevel"/>
    <w:tmpl w:val="F306D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777DBD"/>
    <w:multiLevelType w:val="multilevel"/>
    <w:tmpl w:val="270A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8E77B8"/>
    <w:multiLevelType w:val="multilevel"/>
    <w:tmpl w:val="507C1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8E424C"/>
    <w:multiLevelType w:val="multilevel"/>
    <w:tmpl w:val="33AE0AD0"/>
    <w:lvl w:ilvl="0">
      <w:start w:val="1"/>
      <w:numFmt w:val="upperLetter"/>
      <w:pStyle w:val="Ttulo1"/>
      <w:lvlText w:val="%1."/>
      <w:lvlJc w:val="left"/>
      <w:pPr>
        <w:ind w:left="720" w:hanging="360"/>
      </w:p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C957E74"/>
    <w:multiLevelType w:val="multilevel"/>
    <w:tmpl w:val="E98E8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2C32BB"/>
    <w:multiLevelType w:val="multilevel"/>
    <w:tmpl w:val="D58AC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990FB1"/>
    <w:multiLevelType w:val="multilevel"/>
    <w:tmpl w:val="445A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8D6FD9"/>
    <w:multiLevelType w:val="multilevel"/>
    <w:tmpl w:val="6DA0F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3D1598"/>
    <w:multiLevelType w:val="multilevel"/>
    <w:tmpl w:val="46CC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095BA0"/>
    <w:multiLevelType w:val="multilevel"/>
    <w:tmpl w:val="C24C8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BF55B6"/>
    <w:multiLevelType w:val="hybridMultilevel"/>
    <w:tmpl w:val="CEB0B6FC"/>
    <w:lvl w:ilvl="0" w:tplc="09B261EA">
      <w:start w:val="1"/>
      <w:numFmt w:val="decimal"/>
      <w:lvlText w:val="%1."/>
      <w:lvlJc w:val="left"/>
      <w:pPr>
        <w:ind w:left="1069" w:hanging="360"/>
      </w:pPr>
      <w:rPr>
        <w:rFonts w:hint="default"/>
        <w:b/>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0" w15:restartNumberingAfterBreak="0">
    <w:nsid w:val="4A6B36F6"/>
    <w:multiLevelType w:val="multilevel"/>
    <w:tmpl w:val="57001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2F1993"/>
    <w:multiLevelType w:val="multilevel"/>
    <w:tmpl w:val="A3324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6D5981"/>
    <w:multiLevelType w:val="multilevel"/>
    <w:tmpl w:val="0BFC16F6"/>
    <w:lvl w:ilvl="0">
      <w:start w:val="1"/>
      <w:numFmt w:val="decimal"/>
      <w:pStyle w:val="Ttulo"/>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51377FD5"/>
    <w:multiLevelType w:val="multilevel"/>
    <w:tmpl w:val="C44AC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72455E"/>
    <w:multiLevelType w:val="multilevel"/>
    <w:tmpl w:val="B6881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E44303"/>
    <w:multiLevelType w:val="multilevel"/>
    <w:tmpl w:val="1040C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76126F"/>
    <w:multiLevelType w:val="multilevel"/>
    <w:tmpl w:val="B91E6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A62464"/>
    <w:multiLevelType w:val="multilevel"/>
    <w:tmpl w:val="9848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B80A81"/>
    <w:multiLevelType w:val="multilevel"/>
    <w:tmpl w:val="61D20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7A1706"/>
    <w:multiLevelType w:val="multilevel"/>
    <w:tmpl w:val="FCE0D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665E80"/>
    <w:multiLevelType w:val="multilevel"/>
    <w:tmpl w:val="BC9ADC04"/>
    <w:lvl w:ilvl="0">
      <w:start w:val="1"/>
      <w:numFmt w:val="decimal"/>
      <w:pStyle w:val="Estilo3"/>
      <w:lvlText w:val="9. %1."/>
      <w:lvlJc w:val="left"/>
      <w:pPr>
        <w:ind w:left="1210" w:hanging="360"/>
      </w:pPr>
      <w:rPr>
        <w:rFonts w:hint="default"/>
      </w:rPr>
    </w:lvl>
    <w:lvl w:ilvl="1">
      <w:start w:val="1"/>
      <w:numFmt w:val="decimal"/>
      <w:lvlText w:val="9.%2."/>
      <w:lvlJc w:val="left"/>
      <w:pPr>
        <w:ind w:left="1642" w:hanging="432"/>
      </w:pPr>
      <w:rPr>
        <w:rFonts w:ascii="Arial Narrow" w:hAnsi="Arial Narrow" w:hint="default"/>
        <w:b w:val="0"/>
        <w:i w:val="0"/>
        <w:sz w:val="24"/>
      </w:rPr>
    </w:lvl>
    <w:lvl w:ilvl="2">
      <w:start w:val="1"/>
      <w:numFmt w:val="decimal"/>
      <w:lvlText w:val="%1.%2.%3."/>
      <w:lvlJc w:val="left"/>
      <w:pPr>
        <w:ind w:left="2074" w:hanging="504"/>
      </w:pPr>
      <w:rPr>
        <w:rFonts w:hint="default"/>
      </w:rPr>
    </w:lvl>
    <w:lvl w:ilvl="3">
      <w:start w:val="1"/>
      <w:numFmt w:val="decimal"/>
      <w:lvlText w:val="%1.%2.%3.%4."/>
      <w:lvlJc w:val="left"/>
      <w:pPr>
        <w:ind w:left="2578" w:hanging="648"/>
      </w:pPr>
      <w:rPr>
        <w:rFonts w:hint="default"/>
      </w:rPr>
    </w:lvl>
    <w:lvl w:ilvl="4">
      <w:start w:val="1"/>
      <w:numFmt w:val="decimal"/>
      <w:lvlText w:val="%1.%2.%3.%4.%5."/>
      <w:lvlJc w:val="left"/>
      <w:pPr>
        <w:ind w:left="3082" w:hanging="792"/>
      </w:pPr>
      <w:rPr>
        <w:rFonts w:hint="default"/>
      </w:rPr>
    </w:lvl>
    <w:lvl w:ilvl="5">
      <w:start w:val="1"/>
      <w:numFmt w:val="decimal"/>
      <w:lvlText w:val="%1.%2.%3.%4.%5.%6."/>
      <w:lvlJc w:val="left"/>
      <w:pPr>
        <w:ind w:left="3586" w:hanging="936"/>
      </w:pPr>
      <w:rPr>
        <w:rFonts w:hint="default"/>
      </w:rPr>
    </w:lvl>
    <w:lvl w:ilvl="6">
      <w:start w:val="1"/>
      <w:numFmt w:val="decimal"/>
      <w:lvlText w:val="%1.%2.%3.%4.%5.%6.%7."/>
      <w:lvlJc w:val="left"/>
      <w:pPr>
        <w:ind w:left="4090" w:hanging="1080"/>
      </w:pPr>
      <w:rPr>
        <w:rFonts w:hint="default"/>
      </w:rPr>
    </w:lvl>
    <w:lvl w:ilvl="7">
      <w:start w:val="1"/>
      <w:numFmt w:val="decimal"/>
      <w:lvlText w:val="%1.%2.%3.%4.%5.%6.%7.%8."/>
      <w:lvlJc w:val="left"/>
      <w:pPr>
        <w:ind w:left="4594" w:hanging="1224"/>
      </w:pPr>
      <w:rPr>
        <w:rFonts w:hint="default"/>
      </w:rPr>
    </w:lvl>
    <w:lvl w:ilvl="8">
      <w:start w:val="1"/>
      <w:numFmt w:val="decimal"/>
      <w:lvlText w:val="%1.%2.%3.%4.%5.%6.%7.%8.%9."/>
      <w:lvlJc w:val="left"/>
      <w:pPr>
        <w:ind w:left="5170" w:hanging="1440"/>
      </w:pPr>
      <w:rPr>
        <w:rFonts w:hint="default"/>
      </w:rPr>
    </w:lvl>
  </w:abstractNum>
  <w:abstractNum w:abstractNumId="31" w15:restartNumberingAfterBreak="0">
    <w:nsid w:val="65606616"/>
    <w:multiLevelType w:val="multilevel"/>
    <w:tmpl w:val="362C7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6F166C"/>
    <w:multiLevelType w:val="multilevel"/>
    <w:tmpl w:val="B6DE1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906E13"/>
    <w:multiLevelType w:val="multilevel"/>
    <w:tmpl w:val="49964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ED6FDF"/>
    <w:multiLevelType w:val="hybridMultilevel"/>
    <w:tmpl w:val="2B083B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7601E87"/>
    <w:multiLevelType w:val="multilevel"/>
    <w:tmpl w:val="9E084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E8260F"/>
    <w:multiLevelType w:val="multilevel"/>
    <w:tmpl w:val="7ED40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801135"/>
    <w:multiLevelType w:val="multilevel"/>
    <w:tmpl w:val="9BFA6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98412D"/>
    <w:multiLevelType w:val="multilevel"/>
    <w:tmpl w:val="8CC4A238"/>
    <w:lvl w:ilvl="0">
      <w:start w:val="1"/>
      <w:numFmt w:val="upperRoman"/>
      <w:pStyle w:val="Ttulo2"/>
      <w:lvlText w:val="%1."/>
      <w:lvlJc w:val="left"/>
      <w:pPr>
        <w:ind w:left="720" w:hanging="360"/>
      </w:pPr>
      <w:rPr>
        <w:rFonts w:ascii="Arial" w:eastAsia="Arial" w:hAnsi="Arial" w:cs="Arial"/>
        <w:color w:val="auto"/>
        <w:sz w:val="20"/>
        <w:szCs w:val="20"/>
      </w:r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8"/>
  </w:num>
  <w:num w:numId="2">
    <w:abstractNumId w:val="22"/>
  </w:num>
  <w:num w:numId="3">
    <w:abstractNumId w:val="12"/>
  </w:num>
  <w:num w:numId="4">
    <w:abstractNumId w:val="3"/>
  </w:num>
  <w:num w:numId="5">
    <w:abstractNumId w:val="2"/>
  </w:num>
  <w:num w:numId="6">
    <w:abstractNumId w:val="30"/>
  </w:num>
  <w:num w:numId="7">
    <w:abstractNumId w:val="28"/>
  </w:num>
  <w:num w:numId="8">
    <w:abstractNumId w:val="21"/>
  </w:num>
  <w:num w:numId="9">
    <w:abstractNumId w:val="15"/>
  </w:num>
  <w:num w:numId="10">
    <w:abstractNumId w:val="4"/>
  </w:num>
  <w:num w:numId="11">
    <w:abstractNumId w:val="17"/>
  </w:num>
  <w:num w:numId="12">
    <w:abstractNumId w:val="1"/>
  </w:num>
  <w:num w:numId="13">
    <w:abstractNumId w:val="11"/>
  </w:num>
  <w:num w:numId="14">
    <w:abstractNumId w:val="9"/>
  </w:num>
  <w:num w:numId="15">
    <w:abstractNumId w:val="31"/>
  </w:num>
  <w:num w:numId="16">
    <w:abstractNumId w:val="32"/>
  </w:num>
  <w:num w:numId="17">
    <w:abstractNumId w:val="13"/>
  </w:num>
  <w:num w:numId="18">
    <w:abstractNumId w:val="37"/>
  </w:num>
  <w:num w:numId="19">
    <w:abstractNumId w:val="16"/>
  </w:num>
  <w:num w:numId="20">
    <w:abstractNumId w:val="27"/>
  </w:num>
  <w:num w:numId="21">
    <w:abstractNumId w:val="24"/>
  </w:num>
  <w:num w:numId="22">
    <w:abstractNumId w:val="20"/>
  </w:num>
  <w:num w:numId="23">
    <w:abstractNumId w:val="19"/>
  </w:num>
  <w:num w:numId="24">
    <w:abstractNumId w:val="23"/>
  </w:num>
  <w:num w:numId="25">
    <w:abstractNumId w:val="26"/>
  </w:num>
  <w:num w:numId="26">
    <w:abstractNumId w:val="5"/>
  </w:num>
  <w:num w:numId="27">
    <w:abstractNumId w:val="36"/>
  </w:num>
  <w:num w:numId="28">
    <w:abstractNumId w:val="14"/>
  </w:num>
  <w:num w:numId="29">
    <w:abstractNumId w:val="0"/>
  </w:num>
  <w:num w:numId="30">
    <w:abstractNumId w:val="35"/>
  </w:num>
  <w:num w:numId="31">
    <w:abstractNumId w:val="10"/>
  </w:num>
  <w:num w:numId="32">
    <w:abstractNumId w:val="25"/>
  </w:num>
  <w:num w:numId="33">
    <w:abstractNumId w:val="7"/>
  </w:num>
  <w:num w:numId="34">
    <w:abstractNumId w:val="34"/>
  </w:num>
  <w:num w:numId="35">
    <w:abstractNumId w:val="33"/>
  </w:num>
  <w:num w:numId="36">
    <w:abstractNumId w:val="6"/>
  </w:num>
  <w:num w:numId="37">
    <w:abstractNumId w:val="8"/>
  </w:num>
  <w:num w:numId="38">
    <w:abstractNumId w:val="29"/>
  </w:num>
  <w:num w:numId="39">
    <w:abstractNumId w:val="18"/>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eidy Rodriguez Lezama">
    <w15:presenceInfo w15:providerId="AD" w15:userId="S::hrodrile@cendoj.ramajudicial.gov.co::13fdc182-4a0e-4c44-b819-b3dc4d42cc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28A"/>
    <w:rsid w:val="00000385"/>
    <w:rsid w:val="000007E8"/>
    <w:rsid w:val="0000090A"/>
    <w:rsid w:val="00001F93"/>
    <w:rsid w:val="00003543"/>
    <w:rsid w:val="0000608B"/>
    <w:rsid w:val="0000651D"/>
    <w:rsid w:val="000121E2"/>
    <w:rsid w:val="00012569"/>
    <w:rsid w:val="00012CFD"/>
    <w:rsid w:val="0001475D"/>
    <w:rsid w:val="0001548E"/>
    <w:rsid w:val="00020914"/>
    <w:rsid w:val="00023A08"/>
    <w:rsid w:val="000240B9"/>
    <w:rsid w:val="000258C6"/>
    <w:rsid w:val="00026B5B"/>
    <w:rsid w:val="00026C4D"/>
    <w:rsid w:val="00027E46"/>
    <w:rsid w:val="0003091B"/>
    <w:rsid w:val="00030AEF"/>
    <w:rsid w:val="00030BB7"/>
    <w:rsid w:val="00031585"/>
    <w:rsid w:val="00035DD6"/>
    <w:rsid w:val="00036E3E"/>
    <w:rsid w:val="00036F9A"/>
    <w:rsid w:val="0003704D"/>
    <w:rsid w:val="00041C64"/>
    <w:rsid w:val="00041E4E"/>
    <w:rsid w:val="00042030"/>
    <w:rsid w:val="00043AD8"/>
    <w:rsid w:val="00043AEA"/>
    <w:rsid w:val="00046BFA"/>
    <w:rsid w:val="00046E7B"/>
    <w:rsid w:val="00046EBB"/>
    <w:rsid w:val="00050B90"/>
    <w:rsid w:val="00050E4A"/>
    <w:rsid w:val="00050F2D"/>
    <w:rsid w:val="00054435"/>
    <w:rsid w:val="00060D75"/>
    <w:rsid w:val="000632B0"/>
    <w:rsid w:val="0006554E"/>
    <w:rsid w:val="00066E16"/>
    <w:rsid w:val="00067D16"/>
    <w:rsid w:val="000716A0"/>
    <w:rsid w:val="00072A28"/>
    <w:rsid w:val="00073659"/>
    <w:rsid w:val="000748DF"/>
    <w:rsid w:val="000757DE"/>
    <w:rsid w:val="00080CF0"/>
    <w:rsid w:val="00080E69"/>
    <w:rsid w:val="00082913"/>
    <w:rsid w:val="00087D09"/>
    <w:rsid w:val="00090AC9"/>
    <w:rsid w:val="00091104"/>
    <w:rsid w:val="000914D6"/>
    <w:rsid w:val="00093757"/>
    <w:rsid w:val="00093A7A"/>
    <w:rsid w:val="00093DF5"/>
    <w:rsid w:val="000948AD"/>
    <w:rsid w:val="00095339"/>
    <w:rsid w:val="00096784"/>
    <w:rsid w:val="000A2093"/>
    <w:rsid w:val="000A2939"/>
    <w:rsid w:val="000A6E8E"/>
    <w:rsid w:val="000A771E"/>
    <w:rsid w:val="000B08B1"/>
    <w:rsid w:val="000B0945"/>
    <w:rsid w:val="000B1781"/>
    <w:rsid w:val="000B1A3B"/>
    <w:rsid w:val="000B24E6"/>
    <w:rsid w:val="000B47FE"/>
    <w:rsid w:val="000B4F38"/>
    <w:rsid w:val="000C0FD1"/>
    <w:rsid w:val="000C119A"/>
    <w:rsid w:val="000C2079"/>
    <w:rsid w:val="000C229D"/>
    <w:rsid w:val="000C2563"/>
    <w:rsid w:val="000C2EFC"/>
    <w:rsid w:val="000C3526"/>
    <w:rsid w:val="000C3EE1"/>
    <w:rsid w:val="000C52CA"/>
    <w:rsid w:val="000C5541"/>
    <w:rsid w:val="000C599F"/>
    <w:rsid w:val="000C6F0C"/>
    <w:rsid w:val="000D09B4"/>
    <w:rsid w:val="000D0C73"/>
    <w:rsid w:val="000D489F"/>
    <w:rsid w:val="000D55A6"/>
    <w:rsid w:val="000D7A68"/>
    <w:rsid w:val="000E1333"/>
    <w:rsid w:val="000E1882"/>
    <w:rsid w:val="000E2797"/>
    <w:rsid w:val="000E2840"/>
    <w:rsid w:val="000E392F"/>
    <w:rsid w:val="000E4845"/>
    <w:rsid w:val="000E556B"/>
    <w:rsid w:val="000F1E76"/>
    <w:rsid w:val="000F1E95"/>
    <w:rsid w:val="000F2F24"/>
    <w:rsid w:val="000F3177"/>
    <w:rsid w:val="000F44CF"/>
    <w:rsid w:val="000F4515"/>
    <w:rsid w:val="000F4A2E"/>
    <w:rsid w:val="000F66CF"/>
    <w:rsid w:val="000F6C0C"/>
    <w:rsid w:val="00105561"/>
    <w:rsid w:val="00106CB5"/>
    <w:rsid w:val="0010CB7A"/>
    <w:rsid w:val="00110D10"/>
    <w:rsid w:val="001142D4"/>
    <w:rsid w:val="00114E7D"/>
    <w:rsid w:val="00115A8C"/>
    <w:rsid w:val="0011646F"/>
    <w:rsid w:val="00121F40"/>
    <w:rsid w:val="00122222"/>
    <w:rsid w:val="0012333A"/>
    <w:rsid w:val="001257EB"/>
    <w:rsid w:val="00125914"/>
    <w:rsid w:val="00126A49"/>
    <w:rsid w:val="00130B9A"/>
    <w:rsid w:val="001317CF"/>
    <w:rsid w:val="0013315D"/>
    <w:rsid w:val="00133269"/>
    <w:rsid w:val="00133BE5"/>
    <w:rsid w:val="00133C3F"/>
    <w:rsid w:val="00133F33"/>
    <w:rsid w:val="0013681E"/>
    <w:rsid w:val="001421ED"/>
    <w:rsid w:val="00142AAD"/>
    <w:rsid w:val="00145286"/>
    <w:rsid w:val="001470D3"/>
    <w:rsid w:val="00147686"/>
    <w:rsid w:val="001478B0"/>
    <w:rsid w:val="00150385"/>
    <w:rsid w:val="001530DC"/>
    <w:rsid w:val="001538C0"/>
    <w:rsid w:val="0015685B"/>
    <w:rsid w:val="001607B0"/>
    <w:rsid w:val="00162688"/>
    <w:rsid w:val="00163811"/>
    <w:rsid w:val="001641A3"/>
    <w:rsid w:val="00164714"/>
    <w:rsid w:val="00164E53"/>
    <w:rsid w:val="0016594C"/>
    <w:rsid w:val="00167C5C"/>
    <w:rsid w:val="0017001A"/>
    <w:rsid w:val="001714F6"/>
    <w:rsid w:val="00172526"/>
    <w:rsid w:val="0017283E"/>
    <w:rsid w:val="00172F10"/>
    <w:rsid w:val="00177DDD"/>
    <w:rsid w:val="001806DF"/>
    <w:rsid w:val="00181BDC"/>
    <w:rsid w:val="00182295"/>
    <w:rsid w:val="0018414B"/>
    <w:rsid w:val="001845A7"/>
    <w:rsid w:val="00184689"/>
    <w:rsid w:val="0018609E"/>
    <w:rsid w:val="00186FE8"/>
    <w:rsid w:val="001903D1"/>
    <w:rsid w:val="00191BF0"/>
    <w:rsid w:val="00192641"/>
    <w:rsid w:val="001931C8"/>
    <w:rsid w:val="00193519"/>
    <w:rsid w:val="00193554"/>
    <w:rsid w:val="0019397C"/>
    <w:rsid w:val="00195948"/>
    <w:rsid w:val="001A387B"/>
    <w:rsid w:val="001A4A35"/>
    <w:rsid w:val="001A5154"/>
    <w:rsid w:val="001B4D32"/>
    <w:rsid w:val="001C057D"/>
    <w:rsid w:val="001C0AD3"/>
    <w:rsid w:val="001C175C"/>
    <w:rsid w:val="001C1921"/>
    <w:rsid w:val="001C1D7C"/>
    <w:rsid w:val="001E3CA5"/>
    <w:rsid w:val="001E4C19"/>
    <w:rsid w:val="001E68B6"/>
    <w:rsid w:val="001E6F58"/>
    <w:rsid w:val="001E7F84"/>
    <w:rsid w:val="001F3CD6"/>
    <w:rsid w:val="001F4FC8"/>
    <w:rsid w:val="001F58B1"/>
    <w:rsid w:val="001F61B4"/>
    <w:rsid w:val="001F6381"/>
    <w:rsid w:val="001F7093"/>
    <w:rsid w:val="00201BDD"/>
    <w:rsid w:val="00201DBB"/>
    <w:rsid w:val="00203638"/>
    <w:rsid w:val="00204B5D"/>
    <w:rsid w:val="002053E6"/>
    <w:rsid w:val="00205652"/>
    <w:rsid w:val="00210187"/>
    <w:rsid w:val="00211166"/>
    <w:rsid w:val="00211A82"/>
    <w:rsid w:val="0021316E"/>
    <w:rsid w:val="00213C6A"/>
    <w:rsid w:val="0021507C"/>
    <w:rsid w:val="002151CD"/>
    <w:rsid w:val="002152A9"/>
    <w:rsid w:val="002157D6"/>
    <w:rsid w:val="00215BB2"/>
    <w:rsid w:val="00216D27"/>
    <w:rsid w:val="00217031"/>
    <w:rsid w:val="0022083B"/>
    <w:rsid w:val="00222BE2"/>
    <w:rsid w:val="002236A0"/>
    <w:rsid w:val="00224456"/>
    <w:rsid w:val="0022445A"/>
    <w:rsid w:val="00224792"/>
    <w:rsid w:val="00224862"/>
    <w:rsid w:val="002257E0"/>
    <w:rsid w:val="00226649"/>
    <w:rsid w:val="00227372"/>
    <w:rsid w:val="00232711"/>
    <w:rsid w:val="002338D1"/>
    <w:rsid w:val="00234442"/>
    <w:rsid w:val="00234B73"/>
    <w:rsid w:val="00236E28"/>
    <w:rsid w:val="00237E01"/>
    <w:rsid w:val="00241C1E"/>
    <w:rsid w:val="00241FC8"/>
    <w:rsid w:val="0024337C"/>
    <w:rsid w:val="00244035"/>
    <w:rsid w:val="002469EC"/>
    <w:rsid w:val="00246A2B"/>
    <w:rsid w:val="002532D0"/>
    <w:rsid w:val="002537C0"/>
    <w:rsid w:val="00253D49"/>
    <w:rsid w:val="00256F6A"/>
    <w:rsid w:val="002572A1"/>
    <w:rsid w:val="002605E6"/>
    <w:rsid w:val="00261002"/>
    <w:rsid w:val="00262B4D"/>
    <w:rsid w:val="0026325F"/>
    <w:rsid w:val="00264707"/>
    <w:rsid w:val="00265FDD"/>
    <w:rsid w:val="00267DBC"/>
    <w:rsid w:val="0027029A"/>
    <w:rsid w:val="00272B2E"/>
    <w:rsid w:val="00272BC8"/>
    <w:rsid w:val="00272D9A"/>
    <w:rsid w:val="002737D9"/>
    <w:rsid w:val="002737F1"/>
    <w:rsid w:val="00274C6A"/>
    <w:rsid w:val="0027505F"/>
    <w:rsid w:val="0027516A"/>
    <w:rsid w:val="002757E3"/>
    <w:rsid w:val="00276969"/>
    <w:rsid w:val="00281334"/>
    <w:rsid w:val="00283A9E"/>
    <w:rsid w:val="0028525D"/>
    <w:rsid w:val="002854F6"/>
    <w:rsid w:val="00285DDE"/>
    <w:rsid w:val="00286430"/>
    <w:rsid w:val="00286CFA"/>
    <w:rsid w:val="002939C6"/>
    <w:rsid w:val="00293CBA"/>
    <w:rsid w:val="00294200"/>
    <w:rsid w:val="00294584"/>
    <w:rsid w:val="002951F5"/>
    <w:rsid w:val="002954E0"/>
    <w:rsid w:val="002A019E"/>
    <w:rsid w:val="002A150B"/>
    <w:rsid w:val="002A15BA"/>
    <w:rsid w:val="002A3F86"/>
    <w:rsid w:val="002A557B"/>
    <w:rsid w:val="002A5AF0"/>
    <w:rsid w:val="002B3717"/>
    <w:rsid w:val="002B44F9"/>
    <w:rsid w:val="002B5ADA"/>
    <w:rsid w:val="002B7399"/>
    <w:rsid w:val="002B7902"/>
    <w:rsid w:val="002C05B0"/>
    <w:rsid w:val="002C1A7C"/>
    <w:rsid w:val="002C57FA"/>
    <w:rsid w:val="002D3C69"/>
    <w:rsid w:val="002D4C30"/>
    <w:rsid w:val="002D794E"/>
    <w:rsid w:val="002E01CF"/>
    <w:rsid w:val="002E06CE"/>
    <w:rsid w:val="002E0789"/>
    <w:rsid w:val="002E2A8D"/>
    <w:rsid w:val="002E2F6E"/>
    <w:rsid w:val="002E5236"/>
    <w:rsid w:val="002E5BCB"/>
    <w:rsid w:val="002E7BA8"/>
    <w:rsid w:val="002F0370"/>
    <w:rsid w:val="002F305C"/>
    <w:rsid w:val="00304AA0"/>
    <w:rsid w:val="00307227"/>
    <w:rsid w:val="00310158"/>
    <w:rsid w:val="003105EA"/>
    <w:rsid w:val="00310973"/>
    <w:rsid w:val="00310BF8"/>
    <w:rsid w:val="00314AD3"/>
    <w:rsid w:val="003162F3"/>
    <w:rsid w:val="00321AF3"/>
    <w:rsid w:val="00321C01"/>
    <w:rsid w:val="0032637C"/>
    <w:rsid w:val="00327847"/>
    <w:rsid w:val="003327A5"/>
    <w:rsid w:val="00334FF9"/>
    <w:rsid w:val="00336342"/>
    <w:rsid w:val="0033718A"/>
    <w:rsid w:val="003407F9"/>
    <w:rsid w:val="00341EDE"/>
    <w:rsid w:val="00351F30"/>
    <w:rsid w:val="00353423"/>
    <w:rsid w:val="00353AA0"/>
    <w:rsid w:val="00355708"/>
    <w:rsid w:val="00356A28"/>
    <w:rsid w:val="00357B07"/>
    <w:rsid w:val="003603D5"/>
    <w:rsid w:val="0036314F"/>
    <w:rsid w:val="00363B08"/>
    <w:rsid w:val="00364679"/>
    <w:rsid w:val="003650D2"/>
    <w:rsid w:val="00366A21"/>
    <w:rsid w:val="00370067"/>
    <w:rsid w:val="0037153E"/>
    <w:rsid w:val="00374BC2"/>
    <w:rsid w:val="003752AF"/>
    <w:rsid w:val="003812AD"/>
    <w:rsid w:val="00385727"/>
    <w:rsid w:val="003875C5"/>
    <w:rsid w:val="0039154E"/>
    <w:rsid w:val="003942F9"/>
    <w:rsid w:val="003956F9"/>
    <w:rsid w:val="003A083E"/>
    <w:rsid w:val="003A107E"/>
    <w:rsid w:val="003B11C0"/>
    <w:rsid w:val="003B11D3"/>
    <w:rsid w:val="003B22D0"/>
    <w:rsid w:val="003B3449"/>
    <w:rsid w:val="003B3D09"/>
    <w:rsid w:val="003B607D"/>
    <w:rsid w:val="003B6872"/>
    <w:rsid w:val="003B6B4B"/>
    <w:rsid w:val="003B6E7F"/>
    <w:rsid w:val="003C0E49"/>
    <w:rsid w:val="003C17CE"/>
    <w:rsid w:val="003C2E6D"/>
    <w:rsid w:val="003C6F92"/>
    <w:rsid w:val="003C75C5"/>
    <w:rsid w:val="003D124E"/>
    <w:rsid w:val="003D13A1"/>
    <w:rsid w:val="003D50C3"/>
    <w:rsid w:val="003D5F40"/>
    <w:rsid w:val="003D6571"/>
    <w:rsid w:val="003D72AD"/>
    <w:rsid w:val="003E00E7"/>
    <w:rsid w:val="003E0139"/>
    <w:rsid w:val="003E0554"/>
    <w:rsid w:val="003E09AE"/>
    <w:rsid w:val="003E0C45"/>
    <w:rsid w:val="003E0FF3"/>
    <w:rsid w:val="003E5EFB"/>
    <w:rsid w:val="003E72F9"/>
    <w:rsid w:val="003F1471"/>
    <w:rsid w:val="003F35CE"/>
    <w:rsid w:val="003F383D"/>
    <w:rsid w:val="003F5CC5"/>
    <w:rsid w:val="003F60B7"/>
    <w:rsid w:val="003F7144"/>
    <w:rsid w:val="003F7743"/>
    <w:rsid w:val="00405CFD"/>
    <w:rsid w:val="00406E54"/>
    <w:rsid w:val="0040734C"/>
    <w:rsid w:val="00407355"/>
    <w:rsid w:val="00410539"/>
    <w:rsid w:val="00411C56"/>
    <w:rsid w:val="0041246A"/>
    <w:rsid w:val="00414F3D"/>
    <w:rsid w:val="004161A0"/>
    <w:rsid w:val="00421764"/>
    <w:rsid w:val="00421FD8"/>
    <w:rsid w:val="00423048"/>
    <w:rsid w:val="004252BF"/>
    <w:rsid w:val="004260C9"/>
    <w:rsid w:val="004306B3"/>
    <w:rsid w:val="0043598D"/>
    <w:rsid w:val="0043611E"/>
    <w:rsid w:val="004369F5"/>
    <w:rsid w:val="0043751D"/>
    <w:rsid w:val="00441ADB"/>
    <w:rsid w:val="00441CB5"/>
    <w:rsid w:val="00443555"/>
    <w:rsid w:val="0044384B"/>
    <w:rsid w:val="0044441C"/>
    <w:rsid w:val="00454802"/>
    <w:rsid w:val="00455B45"/>
    <w:rsid w:val="00457365"/>
    <w:rsid w:val="004574F4"/>
    <w:rsid w:val="004579D3"/>
    <w:rsid w:val="00457E45"/>
    <w:rsid w:val="0046115E"/>
    <w:rsid w:val="00463265"/>
    <w:rsid w:val="004652B3"/>
    <w:rsid w:val="004655BA"/>
    <w:rsid w:val="004656E4"/>
    <w:rsid w:val="00465F37"/>
    <w:rsid w:val="004665A0"/>
    <w:rsid w:val="00474511"/>
    <w:rsid w:val="00474C1C"/>
    <w:rsid w:val="004755B8"/>
    <w:rsid w:val="00477E3C"/>
    <w:rsid w:val="0048141D"/>
    <w:rsid w:val="004829DF"/>
    <w:rsid w:val="00482D0C"/>
    <w:rsid w:val="00483502"/>
    <w:rsid w:val="00485427"/>
    <w:rsid w:val="004875AE"/>
    <w:rsid w:val="00487F97"/>
    <w:rsid w:val="00491EE5"/>
    <w:rsid w:val="00492996"/>
    <w:rsid w:val="004957CD"/>
    <w:rsid w:val="00495E22"/>
    <w:rsid w:val="004A0011"/>
    <w:rsid w:val="004A15EC"/>
    <w:rsid w:val="004A29D0"/>
    <w:rsid w:val="004A3581"/>
    <w:rsid w:val="004A5DF4"/>
    <w:rsid w:val="004A63AE"/>
    <w:rsid w:val="004A78D7"/>
    <w:rsid w:val="004A7B16"/>
    <w:rsid w:val="004B040E"/>
    <w:rsid w:val="004B1542"/>
    <w:rsid w:val="004B1A63"/>
    <w:rsid w:val="004B24E8"/>
    <w:rsid w:val="004B4459"/>
    <w:rsid w:val="004B488C"/>
    <w:rsid w:val="004B4A4F"/>
    <w:rsid w:val="004B626A"/>
    <w:rsid w:val="004C0C4D"/>
    <w:rsid w:val="004C0EA6"/>
    <w:rsid w:val="004C295E"/>
    <w:rsid w:val="004C357D"/>
    <w:rsid w:val="004C4A9D"/>
    <w:rsid w:val="004C54F8"/>
    <w:rsid w:val="004C6711"/>
    <w:rsid w:val="004C6770"/>
    <w:rsid w:val="004D010E"/>
    <w:rsid w:val="004D0145"/>
    <w:rsid w:val="004D0360"/>
    <w:rsid w:val="004D0A7F"/>
    <w:rsid w:val="004D25C3"/>
    <w:rsid w:val="004D32BF"/>
    <w:rsid w:val="004D4EBD"/>
    <w:rsid w:val="004D59C2"/>
    <w:rsid w:val="004D6541"/>
    <w:rsid w:val="004D65C8"/>
    <w:rsid w:val="004D67C8"/>
    <w:rsid w:val="004D78D9"/>
    <w:rsid w:val="004E080A"/>
    <w:rsid w:val="004E0FCC"/>
    <w:rsid w:val="004E15CE"/>
    <w:rsid w:val="004E1E59"/>
    <w:rsid w:val="004E2E70"/>
    <w:rsid w:val="004E3315"/>
    <w:rsid w:val="004E4242"/>
    <w:rsid w:val="004E43B3"/>
    <w:rsid w:val="004E4D26"/>
    <w:rsid w:val="004E5C26"/>
    <w:rsid w:val="004E6D68"/>
    <w:rsid w:val="004E75EF"/>
    <w:rsid w:val="004F032A"/>
    <w:rsid w:val="004F1CB0"/>
    <w:rsid w:val="004F2AD1"/>
    <w:rsid w:val="004F589E"/>
    <w:rsid w:val="004F59DF"/>
    <w:rsid w:val="004F6E06"/>
    <w:rsid w:val="004F71B5"/>
    <w:rsid w:val="00504987"/>
    <w:rsid w:val="00505CB3"/>
    <w:rsid w:val="0050681A"/>
    <w:rsid w:val="00506C69"/>
    <w:rsid w:val="00507322"/>
    <w:rsid w:val="00510CD5"/>
    <w:rsid w:val="005111CB"/>
    <w:rsid w:val="00511DD6"/>
    <w:rsid w:val="00512609"/>
    <w:rsid w:val="0051313A"/>
    <w:rsid w:val="00514611"/>
    <w:rsid w:val="0051561B"/>
    <w:rsid w:val="00522D86"/>
    <w:rsid w:val="00523ADF"/>
    <w:rsid w:val="00524FB7"/>
    <w:rsid w:val="005251A8"/>
    <w:rsid w:val="0052527A"/>
    <w:rsid w:val="00525D78"/>
    <w:rsid w:val="00527B88"/>
    <w:rsid w:val="0053241E"/>
    <w:rsid w:val="005326B8"/>
    <w:rsid w:val="00532881"/>
    <w:rsid w:val="005346D3"/>
    <w:rsid w:val="0053598F"/>
    <w:rsid w:val="005362FB"/>
    <w:rsid w:val="00536485"/>
    <w:rsid w:val="005372CA"/>
    <w:rsid w:val="0054055A"/>
    <w:rsid w:val="00540E03"/>
    <w:rsid w:val="00541594"/>
    <w:rsid w:val="0054268D"/>
    <w:rsid w:val="005450D3"/>
    <w:rsid w:val="00545FFA"/>
    <w:rsid w:val="00555034"/>
    <w:rsid w:val="0055651E"/>
    <w:rsid w:val="00557326"/>
    <w:rsid w:val="00561161"/>
    <w:rsid w:val="005637D1"/>
    <w:rsid w:val="00563D3E"/>
    <w:rsid w:val="005649C7"/>
    <w:rsid w:val="00564FF2"/>
    <w:rsid w:val="00565018"/>
    <w:rsid w:val="0056553A"/>
    <w:rsid w:val="00565E7B"/>
    <w:rsid w:val="0056760D"/>
    <w:rsid w:val="00567DEB"/>
    <w:rsid w:val="00571FD9"/>
    <w:rsid w:val="00572180"/>
    <w:rsid w:val="00573492"/>
    <w:rsid w:val="00573F7D"/>
    <w:rsid w:val="00574472"/>
    <w:rsid w:val="00574974"/>
    <w:rsid w:val="00575CF2"/>
    <w:rsid w:val="00575FB1"/>
    <w:rsid w:val="00576119"/>
    <w:rsid w:val="00582EAF"/>
    <w:rsid w:val="00587237"/>
    <w:rsid w:val="00591E2B"/>
    <w:rsid w:val="00592526"/>
    <w:rsid w:val="00592609"/>
    <w:rsid w:val="00593225"/>
    <w:rsid w:val="00594456"/>
    <w:rsid w:val="0059466A"/>
    <w:rsid w:val="00596B4C"/>
    <w:rsid w:val="005A15FF"/>
    <w:rsid w:val="005A2725"/>
    <w:rsid w:val="005A2DCA"/>
    <w:rsid w:val="005A3074"/>
    <w:rsid w:val="005A4B99"/>
    <w:rsid w:val="005A66E7"/>
    <w:rsid w:val="005A772D"/>
    <w:rsid w:val="005B15A3"/>
    <w:rsid w:val="005B179C"/>
    <w:rsid w:val="005B1F50"/>
    <w:rsid w:val="005B36D5"/>
    <w:rsid w:val="005B37E3"/>
    <w:rsid w:val="005B6075"/>
    <w:rsid w:val="005B671E"/>
    <w:rsid w:val="005B7EC2"/>
    <w:rsid w:val="005C005D"/>
    <w:rsid w:val="005C225D"/>
    <w:rsid w:val="005C365B"/>
    <w:rsid w:val="005C376B"/>
    <w:rsid w:val="005C507B"/>
    <w:rsid w:val="005C6116"/>
    <w:rsid w:val="005C6925"/>
    <w:rsid w:val="005C6DD8"/>
    <w:rsid w:val="005C6E92"/>
    <w:rsid w:val="005C7364"/>
    <w:rsid w:val="005C73B2"/>
    <w:rsid w:val="005C776A"/>
    <w:rsid w:val="005C7A06"/>
    <w:rsid w:val="005D0006"/>
    <w:rsid w:val="005D2F8A"/>
    <w:rsid w:val="005D383B"/>
    <w:rsid w:val="005D65A9"/>
    <w:rsid w:val="005E0590"/>
    <w:rsid w:val="005E0D83"/>
    <w:rsid w:val="005E5209"/>
    <w:rsid w:val="005E75F6"/>
    <w:rsid w:val="005F0C90"/>
    <w:rsid w:val="005F0F96"/>
    <w:rsid w:val="005F25DA"/>
    <w:rsid w:val="005F3241"/>
    <w:rsid w:val="005F4CC1"/>
    <w:rsid w:val="005F4F97"/>
    <w:rsid w:val="005F58A8"/>
    <w:rsid w:val="005F659F"/>
    <w:rsid w:val="00601C8F"/>
    <w:rsid w:val="00602EF8"/>
    <w:rsid w:val="00603944"/>
    <w:rsid w:val="00604966"/>
    <w:rsid w:val="0060551D"/>
    <w:rsid w:val="00605A47"/>
    <w:rsid w:val="006068ED"/>
    <w:rsid w:val="00610C82"/>
    <w:rsid w:val="0061240D"/>
    <w:rsid w:val="0061472C"/>
    <w:rsid w:val="00616BAA"/>
    <w:rsid w:val="00617716"/>
    <w:rsid w:val="00620A11"/>
    <w:rsid w:val="0062124F"/>
    <w:rsid w:val="0062195E"/>
    <w:rsid w:val="006248E3"/>
    <w:rsid w:val="00624ACC"/>
    <w:rsid w:val="00625E44"/>
    <w:rsid w:val="006303AA"/>
    <w:rsid w:val="0063105F"/>
    <w:rsid w:val="00632390"/>
    <w:rsid w:val="0063256B"/>
    <w:rsid w:val="006327D5"/>
    <w:rsid w:val="00633E8C"/>
    <w:rsid w:val="0063415A"/>
    <w:rsid w:val="006348EB"/>
    <w:rsid w:val="00642102"/>
    <w:rsid w:val="00642261"/>
    <w:rsid w:val="0064245C"/>
    <w:rsid w:val="006425DF"/>
    <w:rsid w:val="00644509"/>
    <w:rsid w:val="0064493C"/>
    <w:rsid w:val="00644A35"/>
    <w:rsid w:val="006460D5"/>
    <w:rsid w:val="00647258"/>
    <w:rsid w:val="00650727"/>
    <w:rsid w:val="00650E47"/>
    <w:rsid w:val="00651E3C"/>
    <w:rsid w:val="00651F83"/>
    <w:rsid w:val="0065217C"/>
    <w:rsid w:val="00653B92"/>
    <w:rsid w:val="00653BFB"/>
    <w:rsid w:val="006545D0"/>
    <w:rsid w:val="00654EC1"/>
    <w:rsid w:val="00660F9D"/>
    <w:rsid w:val="00662B35"/>
    <w:rsid w:val="00662D14"/>
    <w:rsid w:val="00664791"/>
    <w:rsid w:val="00665CCF"/>
    <w:rsid w:val="00665E81"/>
    <w:rsid w:val="00667896"/>
    <w:rsid w:val="00667E78"/>
    <w:rsid w:val="00670C1C"/>
    <w:rsid w:val="006713F8"/>
    <w:rsid w:val="00672266"/>
    <w:rsid w:val="00674C36"/>
    <w:rsid w:val="0067573C"/>
    <w:rsid w:val="00675882"/>
    <w:rsid w:val="00676CED"/>
    <w:rsid w:val="00680782"/>
    <w:rsid w:val="0068095B"/>
    <w:rsid w:val="00681117"/>
    <w:rsid w:val="00681676"/>
    <w:rsid w:val="00681775"/>
    <w:rsid w:val="00682848"/>
    <w:rsid w:val="00686286"/>
    <w:rsid w:val="00686E0F"/>
    <w:rsid w:val="0068762B"/>
    <w:rsid w:val="006904C5"/>
    <w:rsid w:val="00691887"/>
    <w:rsid w:val="00693053"/>
    <w:rsid w:val="00693A7D"/>
    <w:rsid w:val="00694640"/>
    <w:rsid w:val="00695BEE"/>
    <w:rsid w:val="00696D7B"/>
    <w:rsid w:val="006A2432"/>
    <w:rsid w:val="006A25FA"/>
    <w:rsid w:val="006A2BF8"/>
    <w:rsid w:val="006A2F72"/>
    <w:rsid w:val="006A3A35"/>
    <w:rsid w:val="006A4FF5"/>
    <w:rsid w:val="006A5D75"/>
    <w:rsid w:val="006A7ACE"/>
    <w:rsid w:val="006B2557"/>
    <w:rsid w:val="006B3120"/>
    <w:rsid w:val="006B3418"/>
    <w:rsid w:val="006B511E"/>
    <w:rsid w:val="006B72E9"/>
    <w:rsid w:val="006C0FD5"/>
    <w:rsid w:val="006C1915"/>
    <w:rsid w:val="006C3172"/>
    <w:rsid w:val="006D0558"/>
    <w:rsid w:val="006D497D"/>
    <w:rsid w:val="006D5D58"/>
    <w:rsid w:val="006D69B1"/>
    <w:rsid w:val="006D797A"/>
    <w:rsid w:val="006E08BA"/>
    <w:rsid w:val="006E08D7"/>
    <w:rsid w:val="006E0E43"/>
    <w:rsid w:val="006E296D"/>
    <w:rsid w:val="006E2CE8"/>
    <w:rsid w:val="006E3C5A"/>
    <w:rsid w:val="006E4CD2"/>
    <w:rsid w:val="006E525B"/>
    <w:rsid w:val="006E639A"/>
    <w:rsid w:val="006F3954"/>
    <w:rsid w:val="006F3E1D"/>
    <w:rsid w:val="006F3FF8"/>
    <w:rsid w:val="006F451D"/>
    <w:rsid w:val="00702BFA"/>
    <w:rsid w:val="00710976"/>
    <w:rsid w:val="0071147D"/>
    <w:rsid w:val="00712CBA"/>
    <w:rsid w:val="007132CE"/>
    <w:rsid w:val="007221AA"/>
    <w:rsid w:val="00723070"/>
    <w:rsid w:val="007276E4"/>
    <w:rsid w:val="007307C8"/>
    <w:rsid w:val="00730B2F"/>
    <w:rsid w:val="00732918"/>
    <w:rsid w:val="00732B08"/>
    <w:rsid w:val="00732F7B"/>
    <w:rsid w:val="00733CC3"/>
    <w:rsid w:val="00741744"/>
    <w:rsid w:val="007427E6"/>
    <w:rsid w:val="00742A80"/>
    <w:rsid w:val="00742CE1"/>
    <w:rsid w:val="0074453E"/>
    <w:rsid w:val="00744D9F"/>
    <w:rsid w:val="007454F4"/>
    <w:rsid w:val="0074561E"/>
    <w:rsid w:val="00745CD9"/>
    <w:rsid w:val="0074617A"/>
    <w:rsid w:val="0075366B"/>
    <w:rsid w:val="00753E32"/>
    <w:rsid w:val="00755C61"/>
    <w:rsid w:val="0075637B"/>
    <w:rsid w:val="007601FB"/>
    <w:rsid w:val="0076120D"/>
    <w:rsid w:val="00761B2B"/>
    <w:rsid w:val="007620EC"/>
    <w:rsid w:val="00763B03"/>
    <w:rsid w:val="00765986"/>
    <w:rsid w:val="00766B46"/>
    <w:rsid w:val="007707C1"/>
    <w:rsid w:val="00770CE4"/>
    <w:rsid w:val="00771958"/>
    <w:rsid w:val="00772FE9"/>
    <w:rsid w:val="00774315"/>
    <w:rsid w:val="00774CA7"/>
    <w:rsid w:val="007771B3"/>
    <w:rsid w:val="00777C7E"/>
    <w:rsid w:val="0078201B"/>
    <w:rsid w:val="00782313"/>
    <w:rsid w:val="00785329"/>
    <w:rsid w:val="00786A11"/>
    <w:rsid w:val="0078716A"/>
    <w:rsid w:val="007902D5"/>
    <w:rsid w:val="00791085"/>
    <w:rsid w:val="007915B3"/>
    <w:rsid w:val="00792425"/>
    <w:rsid w:val="00792C5C"/>
    <w:rsid w:val="00794491"/>
    <w:rsid w:val="0079690B"/>
    <w:rsid w:val="007A062A"/>
    <w:rsid w:val="007A0DB3"/>
    <w:rsid w:val="007A6C34"/>
    <w:rsid w:val="007A73BA"/>
    <w:rsid w:val="007A7AED"/>
    <w:rsid w:val="007B0EC5"/>
    <w:rsid w:val="007B10FD"/>
    <w:rsid w:val="007B1977"/>
    <w:rsid w:val="007B29B5"/>
    <w:rsid w:val="007B4251"/>
    <w:rsid w:val="007B4597"/>
    <w:rsid w:val="007B6CA7"/>
    <w:rsid w:val="007C3A52"/>
    <w:rsid w:val="007C3A70"/>
    <w:rsid w:val="007C5805"/>
    <w:rsid w:val="007C709B"/>
    <w:rsid w:val="007D0395"/>
    <w:rsid w:val="007D11FA"/>
    <w:rsid w:val="007D1292"/>
    <w:rsid w:val="007D1418"/>
    <w:rsid w:val="007D2079"/>
    <w:rsid w:val="007D2E4C"/>
    <w:rsid w:val="007D3A00"/>
    <w:rsid w:val="007D4624"/>
    <w:rsid w:val="007D4686"/>
    <w:rsid w:val="007D4B06"/>
    <w:rsid w:val="007D51B1"/>
    <w:rsid w:val="007E0D72"/>
    <w:rsid w:val="007E0D93"/>
    <w:rsid w:val="007E10AE"/>
    <w:rsid w:val="007E1795"/>
    <w:rsid w:val="007E1BFD"/>
    <w:rsid w:val="007E28B5"/>
    <w:rsid w:val="007E42BD"/>
    <w:rsid w:val="007E61C9"/>
    <w:rsid w:val="007F03D8"/>
    <w:rsid w:val="007F0FD3"/>
    <w:rsid w:val="007F20CD"/>
    <w:rsid w:val="007F24BC"/>
    <w:rsid w:val="007F297E"/>
    <w:rsid w:val="007F2C21"/>
    <w:rsid w:val="007F35B1"/>
    <w:rsid w:val="007F5B3F"/>
    <w:rsid w:val="007F5C91"/>
    <w:rsid w:val="007F6769"/>
    <w:rsid w:val="007F6B4A"/>
    <w:rsid w:val="008025CB"/>
    <w:rsid w:val="008028C9"/>
    <w:rsid w:val="008039B4"/>
    <w:rsid w:val="0080625D"/>
    <w:rsid w:val="00806AF8"/>
    <w:rsid w:val="00806E1A"/>
    <w:rsid w:val="008101A4"/>
    <w:rsid w:val="00810DBB"/>
    <w:rsid w:val="00812ACC"/>
    <w:rsid w:val="00813CF5"/>
    <w:rsid w:val="00815D32"/>
    <w:rsid w:val="008200CA"/>
    <w:rsid w:val="008200E9"/>
    <w:rsid w:val="0082018F"/>
    <w:rsid w:val="0082043F"/>
    <w:rsid w:val="00823833"/>
    <w:rsid w:val="008249AA"/>
    <w:rsid w:val="00825622"/>
    <w:rsid w:val="00834514"/>
    <w:rsid w:val="008405EB"/>
    <w:rsid w:val="0084065B"/>
    <w:rsid w:val="0084065D"/>
    <w:rsid w:val="0084185C"/>
    <w:rsid w:val="008445CE"/>
    <w:rsid w:val="00846E7A"/>
    <w:rsid w:val="00847356"/>
    <w:rsid w:val="008475A2"/>
    <w:rsid w:val="008479DD"/>
    <w:rsid w:val="0085015F"/>
    <w:rsid w:val="00853211"/>
    <w:rsid w:val="008533E4"/>
    <w:rsid w:val="0085526B"/>
    <w:rsid w:val="00855C2D"/>
    <w:rsid w:val="00856D96"/>
    <w:rsid w:val="00857E88"/>
    <w:rsid w:val="008607B7"/>
    <w:rsid w:val="008615D9"/>
    <w:rsid w:val="00862E0C"/>
    <w:rsid w:val="00866388"/>
    <w:rsid w:val="008679EC"/>
    <w:rsid w:val="00870739"/>
    <w:rsid w:val="008711CD"/>
    <w:rsid w:val="00872488"/>
    <w:rsid w:val="0087492E"/>
    <w:rsid w:val="00875B17"/>
    <w:rsid w:val="00875E67"/>
    <w:rsid w:val="00876A05"/>
    <w:rsid w:val="00877985"/>
    <w:rsid w:val="00877F28"/>
    <w:rsid w:val="008808A9"/>
    <w:rsid w:val="00881B12"/>
    <w:rsid w:val="00882C5D"/>
    <w:rsid w:val="008833CC"/>
    <w:rsid w:val="008842A5"/>
    <w:rsid w:val="00887631"/>
    <w:rsid w:val="008927A3"/>
    <w:rsid w:val="00896741"/>
    <w:rsid w:val="008A07DA"/>
    <w:rsid w:val="008A204C"/>
    <w:rsid w:val="008A3FC0"/>
    <w:rsid w:val="008A4749"/>
    <w:rsid w:val="008A4C28"/>
    <w:rsid w:val="008A51C1"/>
    <w:rsid w:val="008A55DF"/>
    <w:rsid w:val="008A5F14"/>
    <w:rsid w:val="008A66EF"/>
    <w:rsid w:val="008A7836"/>
    <w:rsid w:val="008A7859"/>
    <w:rsid w:val="008B09CB"/>
    <w:rsid w:val="008B09F3"/>
    <w:rsid w:val="008B0D9A"/>
    <w:rsid w:val="008B5047"/>
    <w:rsid w:val="008B554C"/>
    <w:rsid w:val="008B5D0C"/>
    <w:rsid w:val="008C0D0E"/>
    <w:rsid w:val="008C2FC7"/>
    <w:rsid w:val="008C31E8"/>
    <w:rsid w:val="008C473D"/>
    <w:rsid w:val="008C5695"/>
    <w:rsid w:val="008C5ADE"/>
    <w:rsid w:val="008C7254"/>
    <w:rsid w:val="008C725F"/>
    <w:rsid w:val="008D2690"/>
    <w:rsid w:val="008D3375"/>
    <w:rsid w:val="008E0C58"/>
    <w:rsid w:val="008E1584"/>
    <w:rsid w:val="008E2176"/>
    <w:rsid w:val="008E3DF0"/>
    <w:rsid w:val="008E3EBF"/>
    <w:rsid w:val="008E3FD7"/>
    <w:rsid w:val="008F4A2B"/>
    <w:rsid w:val="008F53B3"/>
    <w:rsid w:val="008F6C1F"/>
    <w:rsid w:val="0090083B"/>
    <w:rsid w:val="00900A61"/>
    <w:rsid w:val="00900E81"/>
    <w:rsid w:val="00901001"/>
    <w:rsid w:val="00901BFA"/>
    <w:rsid w:val="00902D1F"/>
    <w:rsid w:val="00903B97"/>
    <w:rsid w:val="00904E56"/>
    <w:rsid w:val="00905632"/>
    <w:rsid w:val="009060CF"/>
    <w:rsid w:val="00906742"/>
    <w:rsid w:val="00912667"/>
    <w:rsid w:val="0091378A"/>
    <w:rsid w:val="00913E91"/>
    <w:rsid w:val="00913F62"/>
    <w:rsid w:val="00914536"/>
    <w:rsid w:val="00915066"/>
    <w:rsid w:val="00916E6F"/>
    <w:rsid w:val="00917A0D"/>
    <w:rsid w:val="009201AD"/>
    <w:rsid w:val="00922E4A"/>
    <w:rsid w:val="00922E4E"/>
    <w:rsid w:val="00924A65"/>
    <w:rsid w:val="009250FA"/>
    <w:rsid w:val="0092592E"/>
    <w:rsid w:val="00925F28"/>
    <w:rsid w:val="0092747D"/>
    <w:rsid w:val="009307CF"/>
    <w:rsid w:val="0093316A"/>
    <w:rsid w:val="00933AB4"/>
    <w:rsid w:val="00934705"/>
    <w:rsid w:val="0093542E"/>
    <w:rsid w:val="00935BAD"/>
    <w:rsid w:val="00937B5E"/>
    <w:rsid w:val="009400AE"/>
    <w:rsid w:val="00941FDB"/>
    <w:rsid w:val="0094220E"/>
    <w:rsid w:val="00942E69"/>
    <w:rsid w:val="009457C3"/>
    <w:rsid w:val="009518FE"/>
    <w:rsid w:val="00953202"/>
    <w:rsid w:val="0095749D"/>
    <w:rsid w:val="00960E56"/>
    <w:rsid w:val="00963238"/>
    <w:rsid w:val="009635BE"/>
    <w:rsid w:val="00963A79"/>
    <w:rsid w:val="0096522C"/>
    <w:rsid w:val="00966D8B"/>
    <w:rsid w:val="00972AA9"/>
    <w:rsid w:val="009730C2"/>
    <w:rsid w:val="0097398E"/>
    <w:rsid w:val="00974A42"/>
    <w:rsid w:val="00974AF9"/>
    <w:rsid w:val="00975601"/>
    <w:rsid w:val="00981636"/>
    <w:rsid w:val="00983A0C"/>
    <w:rsid w:val="00984A50"/>
    <w:rsid w:val="00984E3F"/>
    <w:rsid w:val="00985081"/>
    <w:rsid w:val="009865F5"/>
    <w:rsid w:val="009869D6"/>
    <w:rsid w:val="00991024"/>
    <w:rsid w:val="0099130E"/>
    <w:rsid w:val="0099268D"/>
    <w:rsid w:val="00993C21"/>
    <w:rsid w:val="00995758"/>
    <w:rsid w:val="00997295"/>
    <w:rsid w:val="009A16BE"/>
    <w:rsid w:val="009A3DBF"/>
    <w:rsid w:val="009A56AB"/>
    <w:rsid w:val="009A63D4"/>
    <w:rsid w:val="009A7C86"/>
    <w:rsid w:val="009B7AFB"/>
    <w:rsid w:val="009C2843"/>
    <w:rsid w:val="009C683A"/>
    <w:rsid w:val="009C7061"/>
    <w:rsid w:val="009D0907"/>
    <w:rsid w:val="009D1155"/>
    <w:rsid w:val="009D2125"/>
    <w:rsid w:val="009D22B5"/>
    <w:rsid w:val="009D32A0"/>
    <w:rsid w:val="009D38B8"/>
    <w:rsid w:val="009E3B1A"/>
    <w:rsid w:val="009E5171"/>
    <w:rsid w:val="009E6C39"/>
    <w:rsid w:val="009E7022"/>
    <w:rsid w:val="009E77C9"/>
    <w:rsid w:val="009F0625"/>
    <w:rsid w:val="009F0AA7"/>
    <w:rsid w:val="009F14CF"/>
    <w:rsid w:val="009F1E58"/>
    <w:rsid w:val="009F1F5E"/>
    <w:rsid w:val="009F2BF9"/>
    <w:rsid w:val="009F33E0"/>
    <w:rsid w:val="009F5D09"/>
    <w:rsid w:val="009F7FFE"/>
    <w:rsid w:val="00A0075C"/>
    <w:rsid w:val="00A0411B"/>
    <w:rsid w:val="00A041C9"/>
    <w:rsid w:val="00A042A9"/>
    <w:rsid w:val="00A06204"/>
    <w:rsid w:val="00A072CD"/>
    <w:rsid w:val="00A10D9F"/>
    <w:rsid w:val="00A11748"/>
    <w:rsid w:val="00A11C0F"/>
    <w:rsid w:val="00A12076"/>
    <w:rsid w:val="00A12102"/>
    <w:rsid w:val="00A12E20"/>
    <w:rsid w:val="00A14719"/>
    <w:rsid w:val="00A1513A"/>
    <w:rsid w:val="00A16340"/>
    <w:rsid w:val="00A16883"/>
    <w:rsid w:val="00A173C8"/>
    <w:rsid w:val="00A20EEB"/>
    <w:rsid w:val="00A23EDA"/>
    <w:rsid w:val="00A2641A"/>
    <w:rsid w:val="00A27236"/>
    <w:rsid w:val="00A303AD"/>
    <w:rsid w:val="00A30E76"/>
    <w:rsid w:val="00A32B54"/>
    <w:rsid w:val="00A3522E"/>
    <w:rsid w:val="00A364FC"/>
    <w:rsid w:val="00A36A64"/>
    <w:rsid w:val="00A371A8"/>
    <w:rsid w:val="00A43826"/>
    <w:rsid w:val="00A44A93"/>
    <w:rsid w:val="00A4721D"/>
    <w:rsid w:val="00A505AC"/>
    <w:rsid w:val="00A608B3"/>
    <w:rsid w:val="00A6228C"/>
    <w:rsid w:val="00A63EB3"/>
    <w:rsid w:val="00A64DDA"/>
    <w:rsid w:val="00A65661"/>
    <w:rsid w:val="00A66C0A"/>
    <w:rsid w:val="00A71DB4"/>
    <w:rsid w:val="00A72244"/>
    <w:rsid w:val="00A72BE8"/>
    <w:rsid w:val="00A73942"/>
    <w:rsid w:val="00A742FB"/>
    <w:rsid w:val="00A80D46"/>
    <w:rsid w:val="00A84F8E"/>
    <w:rsid w:val="00A85E3F"/>
    <w:rsid w:val="00A87353"/>
    <w:rsid w:val="00A92797"/>
    <w:rsid w:val="00A94DCA"/>
    <w:rsid w:val="00A95242"/>
    <w:rsid w:val="00A952EB"/>
    <w:rsid w:val="00A96EF8"/>
    <w:rsid w:val="00A976F8"/>
    <w:rsid w:val="00AA2830"/>
    <w:rsid w:val="00AA398D"/>
    <w:rsid w:val="00AA3DE2"/>
    <w:rsid w:val="00AA3F6C"/>
    <w:rsid w:val="00AA4E04"/>
    <w:rsid w:val="00AA5051"/>
    <w:rsid w:val="00AA59BF"/>
    <w:rsid w:val="00AB25DB"/>
    <w:rsid w:val="00AB3CE1"/>
    <w:rsid w:val="00AB5175"/>
    <w:rsid w:val="00AC0F0B"/>
    <w:rsid w:val="00AC1299"/>
    <w:rsid w:val="00AC29AD"/>
    <w:rsid w:val="00AC2C2D"/>
    <w:rsid w:val="00AD08E0"/>
    <w:rsid w:val="00AD0A3D"/>
    <w:rsid w:val="00AD1C48"/>
    <w:rsid w:val="00AD40BD"/>
    <w:rsid w:val="00AD5AA2"/>
    <w:rsid w:val="00AD6904"/>
    <w:rsid w:val="00AD7013"/>
    <w:rsid w:val="00AD7BB7"/>
    <w:rsid w:val="00AE0198"/>
    <w:rsid w:val="00AE0E81"/>
    <w:rsid w:val="00AE1A4A"/>
    <w:rsid w:val="00AE1A76"/>
    <w:rsid w:val="00AE1C1E"/>
    <w:rsid w:val="00AE2F70"/>
    <w:rsid w:val="00AE4031"/>
    <w:rsid w:val="00AE45CB"/>
    <w:rsid w:val="00AE675E"/>
    <w:rsid w:val="00AE71A8"/>
    <w:rsid w:val="00AE7B5A"/>
    <w:rsid w:val="00AE7D6F"/>
    <w:rsid w:val="00AF1318"/>
    <w:rsid w:val="00AF2127"/>
    <w:rsid w:val="00AF2E0A"/>
    <w:rsid w:val="00AF423E"/>
    <w:rsid w:val="00B0063A"/>
    <w:rsid w:val="00B01C1E"/>
    <w:rsid w:val="00B0336C"/>
    <w:rsid w:val="00B05272"/>
    <w:rsid w:val="00B05D08"/>
    <w:rsid w:val="00B06373"/>
    <w:rsid w:val="00B06BFA"/>
    <w:rsid w:val="00B15C64"/>
    <w:rsid w:val="00B17137"/>
    <w:rsid w:val="00B20381"/>
    <w:rsid w:val="00B22939"/>
    <w:rsid w:val="00B22940"/>
    <w:rsid w:val="00B22C2E"/>
    <w:rsid w:val="00B2348A"/>
    <w:rsid w:val="00B23E99"/>
    <w:rsid w:val="00B24CB9"/>
    <w:rsid w:val="00B26735"/>
    <w:rsid w:val="00B26A2F"/>
    <w:rsid w:val="00B27A44"/>
    <w:rsid w:val="00B3582C"/>
    <w:rsid w:val="00B36AFE"/>
    <w:rsid w:val="00B40D15"/>
    <w:rsid w:val="00B41424"/>
    <w:rsid w:val="00B45679"/>
    <w:rsid w:val="00B45C22"/>
    <w:rsid w:val="00B46145"/>
    <w:rsid w:val="00B46F51"/>
    <w:rsid w:val="00B555B0"/>
    <w:rsid w:val="00B56653"/>
    <w:rsid w:val="00B568A6"/>
    <w:rsid w:val="00B568C5"/>
    <w:rsid w:val="00B56CE0"/>
    <w:rsid w:val="00B61DEF"/>
    <w:rsid w:val="00B66153"/>
    <w:rsid w:val="00B7017A"/>
    <w:rsid w:val="00B723F8"/>
    <w:rsid w:val="00B72674"/>
    <w:rsid w:val="00B72DB6"/>
    <w:rsid w:val="00B7718A"/>
    <w:rsid w:val="00B773BF"/>
    <w:rsid w:val="00B83CD5"/>
    <w:rsid w:val="00B8437F"/>
    <w:rsid w:val="00B850F2"/>
    <w:rsid w:val="00B850FA"/>
    <w:rsid w:val="00B871A1"/>
    <w:rsid w:val="00B87BA1"/>
    <w:rsid w:val="00B92ABB"/>
    <w:rsid w:val="00B9368B"/>
    <w:rsid w:val="00B93B59"/>
    <w:rsid w:val="00B93D09"/>
    <w:rsid w:val="00B94A4F"/>
    <w:rsid w:val="00B959AC"/>
    <w:rsid w:val="00B95C85"/>
    <w:rsid w:val="00B96A1F"/>
    <w:rsid w:val="00B976DF"/>
    <w:rsid w:val="00BA053E"/>
    <w:rsid w:val="00BA40C5"/>
    <w:rsid w:val="00BA49DD"/>
    <w:rsid w:val="00BA68FC"/>
    <w:rsid w:val="00BA7B09"/>
    <w:rsid w:val="00BB11C7"/>
    <w:rsid w:val="00BB236B"/>
    <w:rsid w:val="00BB4D1F"/>
    <w:rsid w:val="00BB52D5"/>
    <w:rsid w:val="00BB5F01"/>
    <w:rsid w:val="00BB7116"/>
    <w:rsid w:val="00BC1FCC"/>
    <w:rsid w:val="00BC29AD"/>
    <w:rsid w:val="00BC536B"/>
    <w:rsid w:val="00BC55CF"/>
    <w:rsid w:val="00BC67F0"/>
    <w:rsid w:val="00BD3813"/>
    <w:rsid w:val="00BD3E10"/>
    <w:rsid w:val="00BD412F"/>
    <w:rsid w:val="00BD5019"/>
    <w:rsid w:val="00BD66B7"/>
    <w:rsid w:val="00BD6D70"/>
    <w:rsid w:val="00BD6E22"/>
    <w:rsid w:val="00BE0B18"/>
    <w:rsid w:val="00BE0FFC"/>
    <w:rsid w:val="00BE6B54"/>
    <w:rsid w:val="00BE75FA"/>
    <w:rsid w:val="00BE7B5F"/>
    <w:rsid w:val="00BF24BB"/>
    <w:rsid w:val="00BF412B"/>
    <w:rsid w:val="00BF546A"/>
    <w:rsid w:val="00C0054A"/>
    <w:rsid w:val="00C00CF9"/>
    <w:rsid w:val="00C01272"/>
    <w:rsid w:val="00C0447E"/>
    <w:rsid w:val="00C058F4"/>
    <w:rsid w:val="00C05BEE"/>
    <w:rsid w:val="00C07EEA"/>
    <w:rsid w:val="00C11318"/>
    <w:rsid w:val="00C12113"/>
    <w:rsid w:val="00C12E59"/>
    <w:rsid w:val="00C132DD"/>
    <w:rsid w:val="00C14981"/>
    <w:rsid w:val="00C150C0"/>
    <w:rsid w:val="00C15259"/>
    <w:rsid w:val="00C15F3C"/>
    <w:rsid w:val="00C16942"/>
    <w:rsid w:val="00C17D7A"/>
    <w:rsid w:val="00C200E0"/>
    <w:rsid w:val="00C202AC"/>
    <w:rsid w:val="00C21D00"/>
    <w:rsid w:val="00C22136"/>
    <w:rsid w:val="00C23951"/>
    <w:rsid w:val="00C24141"/>
    <w:rsid w:val="00C24507"/>
    <w:rsid w:val="00C24B3F"/>
    <w:rsid w:val="00C27042"/>
    <w:rsid w:val="00C278F3"/>
    <w:rsid w:val="00C303B3"/>
    <w:rsid w:val="00C30B46"/>
    <w:rsid w:val="00C30FEA"/>
    <w:rsid w:val="00C31E51"/>
    <w:rsid w:val="00C358DF"/>
    <w:rsid w:val="00C35B8F"/>
    <w:rsid w:val="00C371FE"/>
    <w:rsid w:val="00C41B02"/>
    <w:rsid w:val="00C423ED"/>
    <w:rsid w:val="00C4256A"/>
    <w:rsid w:val="00C42C69"/>
    <w:rsid w:val="00C443B9"/>
    <w:rsid w:val="00C444BC"/>
    <w:rsid w:val="00C460B2"/>
    <w:rsid w:val="00C46206"/>
    <w:rsid w:val="00C4674E"/>
    <w:rsid w:val="00C469AF"/>
    <w:rsid w:val="00C5016F"/>
    <w:rsid w:val="00C53128"/>
    <w:rsid w:val="00C5378B"/>
    <w:rsid w:val="00C538AC"/>
    <w:rsid w:val="00C55519"/>
    <w:rsid w:val="00C61350"/>
    <w:rsid w:val="00C628F6"/>
    <w:rsid w:val="00C62C3A"/>
    <w:rsid w:val="00C66598"/>
    <w:rsid w:val="00C70377"/>
    <w:rsid w:val="00C7095B"/>
    <w:rsid w:val="00C721DB"/>
    <w:rsid w:val="00C733BC"/>
    <w:rsid w:val="00C73CFA"/>
    <w:rsid w:val="00C77713"/>
    <w:rsid w:val="00C80584"/>
    <w:rsid w:val="00C806C4"/>
    <w:rsid w:val="00C80BB4"/>
    <w:rsid w:val="00C817D1"/>
    <w:rsid w:val="00C837DC"/>
    <w:rsid w:val="00C85A69"/>
    <w:rsid w:val="00C86422"/>
    <w:rsid w:val="00C92119"/>
    <w:rsid w:val="00C9281E"/>
    <w:rsid w:val="00C941EE"/>
    <w:rsid w:val="00C94662"/>
    <w:rsid w:val="00C94BCC"/>
    <w:rsid w:val="00C95222"/>
    <w:rsid w:val="00C962A5"/>
    <w:rsid w:val="00CA0A74"/>
    <w:rsid w:val="00CA230A"/>
    <w:rsid w:val="00CA2DDD"/>
    <w:rsid w:val="00CA384C"/>
    <w:rsid w:val="00CA3923"/>
    <w:rsid w:val="00CA3DBA"/>
    <w:rsid w:val="00CA476B"/>
    <w:rsid w:val="00CB1D18"/>
    <w:rsid w:val="00CB219A"/>
    <w:rsid w:val="00CB219D"/>
    <w:rsid w:val="00CB292B"/>
    <w:rsid w:val="00CB44CE"/>
    <w:rsid w:val="00CB47D8"/>
    <w:rsid w:val="00CB5298"/>
    <w:rsid w:val="00CB7296"/>
    <w:rsid w:val="00CC1835"/>
    <w:rsid w:val="00CC1A9C"/>
    <w:rsid w:val="00CC200F"/>
    <w:rsid w:val="00CC23C4"/>
    <w:rsid w:val="00CC34CF"/>
    <w:rsid w:val="00CC7442"/>
    <w:rsid w:val="00CD02CD"/>
    <w:rsid w:val="00CD0F63"/>
    <w:rsid w:val="00CD1AF5"/>
    <w:rsid w:val="00CD20F9"/>
    <w:rsid w:val="00CD31FE"/>
    <w:rsid w:val="00CD527E"/>
    <w:rsid w:val="00CD5ABE"/>
    <w:rsid w:val="00CD5ECD"/>
    <w:rsid w:val="00CE0C9F"/>
    <w:rsid w:val="00CE14BB"/>
    <w:rsid w:val="00CE16C1"/>
    <w:rsid w:val="00CE1F1F"/>
    <w:rsid w:val="00CE4B9F"/>
    <w:rsid w:val="00CE4D07"/>
    <w:rsid w:val="00CE77E2"/>
    <w:rsid w:val="00CF2A01"/>
    <w:rsid w:val="00CF425F"/>
    <w:rsid w:val="00CF443D"/>
    <w:rsid w:val="00CF491F"/>
    <w:rsid w:val="00CF5B6A"/>
    <w:rsid w:val="00D0231E"/>
    <w:rsid w:val="00D0534B"/>
    <w:rsid w:val="00D062D4"/>
    <w:rsid w:val="00D072BE"/>
    <w:rsid w:val="00D07D74"/>
    <w:rsid w:val="00D155AC"/>
    <w:rsid w:val="00D15784"/>
    <w:rsid w:val="00D200C4"/>
    <w:rsid w:val="00D2052A"/>
    <w:rsid w:val="00D206E9"/>
    <w:rsid w:val="00D2366D"/>
    <w:rsid w:val="00D24E87"/>
    <w:rsid w:val="00D253A6"/>
    <w:rsid w:val="00D2660A"/>
    <w:rsid w:val="00D271B2"/>
    <w:rsid w:val="00D32131"/>
    <w:rsid w:val="00D3248C"/>
    <w:rsid w:val="00D324E7"/>
    <w:rsid w:val="00D34A0B"/>
    <w:rsid w:val="00D355FA"/>
    <w:rsid w:val="00D3730D"/>
    <w:rsid w:val="00D416D6"/>
    <w:rsid w:val="00D41931"/>
    <w:rsid w:val="00D42AEB"/>
    <w:rsid w:val="00D47ABB"/>
    <w:rsid w:val="00D50B53"/>
    <w:rsid w:val="00D50BFB"/>
    <w:rsid w:val="00D51D4F"/>
    <w:rsid w:val="00D53C96"/>
    <w:rsid w:val="00D5425F"/>
    <w:rsid w:val="00D56863"/>
    <w:rsid w:val="00D56E53"/>
    <w:rsid w:val="00D60CBD"/>
    <w:rsid w:val="00D654EE"/>
    <w:rsid w:val="00D66F04"/>
    <w:rsid w:val="00D7028A"/>
    <w:rsid w:val="00D72182"/>
    <w:rsid w:val="00D72B64"/>
    <w:rsid w:val="00D76518"/>
    <w:rsid w:val="00D76717"/>
    <w:rsid w:val="00D821C3"/>
    <w:rsid w:val="00D82EF3"/>
    <w:rsid w:val="00D834CC"/>
    <w:rsid w:val="00D86E23"/>
    <w:rsid w:val="00D91C79"/>
    <w:rsid w:val="00D92DC7"/>
    <w:rsid w:val="00D93E16"/>
    <w:rsid w:val="00D93F7F"/>
    <w:rsid w:val="00D943E3"/>
    <w:rsid w:val="00D96337"/>
    <w:rsid w:val="00D96369"/>
    <w:rsid w:val="00D97208"/>
    <w:rsid w:val="00D97400"/>
    <w:rsid w:val="00D97F62"/>
    <w:rsid w:val="00DA083C"/>
    <w:rsid w:val="00DA1357"/>
    <w:rsid w:val="00DA6123"/>
    <w:rsid w:val="00DA777F"/>
    <w:rsid w:val="00DB03D9"/>
    <w:rsid w:val="00DB13CE"/>
    <w:rsid w:val="00DB2D6C"/>
    <w:rsid w:val="00DC00B9"/>
    <w:rsid w:val="00DC1F02"/>
    <w:rsid w:val="00DC22FA"/>
    <w:rsid w:val="00DC26E4"/>
    <w:rsid w:val="00DC4067"/>
    <w:rsid w:val="00DC5C07"/>
    <w:rsid w:val="00DC5FD4"/>
    <w:rsid w:val="00DC62A9"/>
    <w:rsid w:val="00DC6448"/>
    <w:rsid w:val="00DC6A1F"/>
    <w:rsid w:val="00DD28D7"/>
    <w:rsid w:val="00DD36E6"/>
    <w:rsid w:val="00DD38D6"/>
    <w:rsid w:val="00DD4359"/>
    <w:rsid w:val="00DD5E2B"/>
    <w:rsid w:val="00DD6719"/>
    <w:rsid w:val="00DE0308"/>
    <w:rsid w:val="00DE0B57"/>
    <w:rsid w:val="00DE16A2"/>
    <w:rsid w:val="00DE2197"/>
    <w:rsid w:val="00DE42DB"/>
    <w:rsid w:val="00DE45AD"/>
    <w:rsid w:val="00DE49AF"/>
    <w:rsid w:val="00DF081A"/>
    <w:rsid w:val="00DF085F"/>
    <w:rsid w:val="00DF4F28"/>
    <w:rsid w:val="00DF5535"/>
    <w:rsid w:val="00E0041C"/>
    <w:rsid w:val="00E009D3"/>
    <w:rsid w:val="00E01DEC"/>
    <w:rsid w:val="00E03A91"/>
    <w:rsid w:val="00E04782"/>
    <w:rsid w:val="00E0492C"/>
    <w:rsid w:val="00E05AF7"/>
    <w:rsid w:val="00E068B4"/>
    <w:rsid w:val="00E10798"/>
    <w:rsid w:val="00E113BB"/>
    <w:rsid w:val="00E11DDE"/>
    <w:rsid w:val="00E12C15"/>
    <w:rsid w:val="00E139DD"/>
    <w:rsid w:val="00E14621"/>
    <w:rsid w:val="00E147FB"/>
    <w:rsid w:val="00E1495C"/>
    <w:rsid w:val="00E171E5"/>
    <w:rsid w:val="00E21822"/>
    <w:rsid w:val="00E24F29"/>
    <w:rsid w:val="00E2638B"/>
    <w:rsid w:val="00E2713B"/>
    <w:rsid w:val="00E310DF"/>
    <w:rsid w:val="00E3570E"/>
    <w:rsid w:val="00E35D38"/>
    <w:rsid w:val="00E36B2A"/>
    <w:rsid w:val="00E377AC"/>
    <w:rsid w:val="00E377C8"/>
    <w:rsid w:val="00E4019D"/>
    <w:rsid w:val="00E4057F"/>
    <w:rsid w:val="00E4187F"/>
    <w:rsid w:val="00E42AD2"/>
    <w:rsid w:val="00E441FB"/>
    <w:rsid w:val="00E47BEA"/>
    <w:rsid w:val="00E47DD0"/>
    <w:rsid w:val="00E502D6"/>
    <w:rsid w:val="00E51E6A"/>
    <w:rsid w:val="00E52614"/>
    <w:rsid w:val="00E5462F"/>
    <w:rsid w:val="00E57CB2"/>
    <w:rsid w:val="00E60CED"/>
    <w:rsid w:val="00E63E31"/>
    <w:rsid w:val="00E64898"/>
    <w:rsid w:val="00E6496E"/>
    <w:rsid w:val="00E6623D"/>
    <w:rsid w:val="00E67673"/>
    <w:rsid w:val="00E67EEA"/>
    <w:rsid w:val="00E70007"/>
    <w:rsid w:val="00E71425"/>
    <w:rsid w:val="00E71FA2"/>
    <w:rsid w:val="00E72BEC"/>
    <w:rsid w:val="00E74FA9"/>
    <w:rsid w:val="00E757AD"/>
    <w:rsid w:val="00E75E73"/>
    <w:rsid w:val="00E7638B"/>
    <w:rsid w:val="00E7678E"/>
    <w:rsid w:val="00E77062"/>
    <w:rsid w:val="00E7712D"/>
    <w:rsid w:val="00E81808"/>
    <w:rsid w:val="00E82E45"/>
    <w:rsid w:val="00E833E7"/>
    <w:rsid w:val="00E8580A"/>
    <w:rsid w:val="00E9181A"/>
    <w:rsid w:val="00E92521"/>
    <w:rsid w:val="00E92791"/>
    <w:rsid w:val="00E958C0"/>
    <w:rsid w:val="00E96371"/>
    <w:rsid w:val="00E97302"/>
    <w:rsid w:val="00EA0BFD"/>
    <w:rsid w:val="00EA2C09"/>
    <w:rsid w:val="00EA392F"/>
    <w:rsid w:val="00EA4520"/>
    <w:rsid w:val="00EA7658"/>
    <w:rsid w:val="00EB0BEF"/>
    <w:rsid w:val="00EB13DF"/>
    <w:rsid w:val="00EB1C7E"/>
    <w:rsid w:val="00EB2100"/>
    <w:rsid w:val="00EB3FD1"/>
    <w:rsid w:val="00EB4A0C"/>
    <w:rsid w:val="00EB6956"/>
    <w:rsid w:val="00EB6ADB"/>
    <w:rsid w:val="00EC0FBB"/>
    <w:rsid w:val="00EC4FE6"/>
    <w:rsid w:val="00EC54E4"/>
    <w:rsid w:val="00EC5EDF"/>
    <w:rsid w:val="00EC7B17"/>
    <w:rsid w:val="00ED07F0"/>
    <w:rsid w:val="00ED0AB4"/>
    <w:rsid w:val="00ED204A"/>
    <w:rsid w:val="00ED3D31"/>
    <w:rsid w:val="00ED4A5F"/>
    <w:rsid w:val="00ED714A"/>
    <w:rsid w:val="00EE21D6"/>
    <w:rsid w:val="00EE2200"/>
    <w:rsid w:val="00EE40B0"/>
    <w:rsid w:val="00EE4485"/>
    <w:rsid w:val="00EE4887"/>
    <w:rsid w:val="00EE774C"/>
    <w:rsid w:val="00EE7ACE"/>
    <w:rsid w:val="00EF1972"/>
    <w:rsid w:val="00EF2068"/>
    <w:rsid w:val="00EF27D9"/>
    <w:rsid w:val="00EF2BC5"/>
    <w:rsid w:val="00EF395E"/>
    <w:rsid w:val="00EF46AD"/>
    <w:rsid w:val="00EF4EA5"/>
    <w:rsid w:val="00EF4FBC"/>
    <w:rsid w:val="00F00C56"/>
    <w:rsid w:val="00F01081"/>
    <w:rsid w:val="00F03800"/>
    <w:rsid w:val="00F05647"/>
    <w:rsid w:val="00F14CD9"/>
    <w:rsid w:val="00F15612"/>
    <w:rsid w:val="00F170B5"/>
    <w:rsid w:val="00F172E3"/>
    <w:rsid w:val="00F17C1C"/>
    <w:rsid w:val="00F27B5D"/>
    <w:rsid w:val="00F306CF"/>
    <w:rsid w:val="00F307DB"/>
    <w:rsid w:val="00F30895"/>
    <w:rsid w:val="00F30F31"/>
    <w:rsid w:val="00F31129"/>
    <w:rsid w:val="00F32022"/>
    <w:rsid w:val="00F3229B"/>
    <w:rsid w:val="00F32D1A"/>
    <w:rsid w:val="00F33276"/>
    <w:rsid w:val="00F338D3"/>
    <w:rsid w:val="00F36F53"/>
    <w:rsid w:val="00F37AF7"/>
    <w:rsid w:val="00F41839"/>
    <w:rsid w:val="00F42A7A"/>
    <w:rsid w:val="00F4424F"/>
    <w:rsid w:val="00F46831"/>
    <w:rsid w:val="00F47615"/>
    <w:rsid w:val="00F50643"/>
    <w:rsid w:val="00F54453"/>
    <w:rsid w:val="00F54DCF"/>
    <w:rsid w:val="00F56200"/>
    <w:rsid w:val="00F5660F"/>
    <w:rsid w:val="00F57F9F"/>
    <w:rsid w:val="00F66BA8"/>
    <w:rsid w:val="00F751EA"/>
    <w:rsid w:val="00F808B0"/>
    <w:rsid w:val="00F8575C"/>
    <w:rsid w:val="00F86539"/>
    <w:rsid w:val="00F90A31"/>
    <w:rsid w:val="00F92081"/>
    <w:rsid w:val="00F929D2"/>
    <w:rsid w:val="00F93B5D"/>
    <w:rsid w:val="00F952FB"/>
    <w:rsid w:val="00F95793"/>
    <w:rsid w:val="00F964F7"/>
    <w:rsid w:val="00FA0F9E"/>
    <w:rsid w:val="00FA13A0"/>
    <w:rsid w:val="00FA3C40"/>
    <w:rsid w:val="00FA675F"/>
    <w:rsid w:val="00FA6B7E"/>
    <w:rsid w:val="00FB0D3F"/>
    <w:rsid w:val="00FB1444"/>
    <w:rsid w:val="00FB2231"/>
    <w:rsid w:val="00FB3FC1"/>
    <w:rsid w:val="00FB6AE6"/>
    <w:rsid w:val="00FB6BE0"/>
    <w:rsid w:val="00FB7BC7"/>
    <w:rsid w:val="00FC392A"/>
    <w:rsid w:val="00FC3E0C"/>
    <w:rsid w:val="00FC5116"/>
    <w:rsid w:val="00FC5687"/>
    <w:rsid w:val="00FC5A89"/>
    <w:rsid w:val="00FC6FE8"/>
    <w:rsid w:val="00FC7C00"/>
    <w:rsid w:val="00FC7E31"/>
    <w:rsid w:val="00FD49E3"/>
    <w:rsid w:val="00FD4A60"/>
    <w:rsid w:val="00FD7D9D"/>
    <w:rsid w:val="00FE07FB"/>
    <w:rsid w:val="00FE0F34"/>
    <w:rsid w:val="00FE1459"/>
    <w:rsid w:val="00FE160B"/>
    <w:rsid w:val="00FE1A64"/>
    <w:rsid w:val="00FE36CD"/>
    <w:rsid w:val="00FE4ADA"/>
    <w:rsid w:val="00FF25F7"/>
    <w:rsid w:val="00FF27B1"/>
    <w:rsid w:val="00FF49C6"/>
    <w:rsid w:val="00FF7849"/>
    <w:rsid w:val="0129FCD0"/>
    <w:rsid w:val="014CEEAF"/>
    <w:rsid w:val="04BEF0C0"/>
    <w:rsid w:val="0536DA0C"/>
    <w:rsid w:val="078FA159"/>
    <w:rsid w:val="07DBEC90"/>
    <w:rsid w:val="0830FAF3"/>
    <w:rsid w:val="0931A6C2"/>
    <w:rsid w:val="09B1C99D"/>
    <w:rsid w:val="0C0B92F8"/>
    <w:rsid w:val="0C38326C"/>
    <w:rsid w:val="0C9150FC"/>
    <w:rsid w:val="0CDC6739"/>
    <w:rsid w:val="0CFE2D94"/>
    <w:rsid w:val="0E2D957E"/>
    <w:rsid w:val="12668095"/>
    <w:rsid w:val="14504169"/>
    <w:rsid w:val="145B6F94"/>
    <w:rsid w:val="14B3A722"/>
    <w:rsid w:val="15F52768"/>
    <w:rsid w:val="16A50E29"/>
    <w:rsid w:val="17B9098F"/>
    <w:rsid w:val="18205929"/>
    <w:rsid w:val="1893B8FD"/>
    <w:rsid w:val="1923B28C"/>
    <w:rsid w:val="1B345175"/>
    <w:rsid w:val="1EA35EF5"/>
    <w:rsid w:val="1EE3D656"/>
    <w:rsid w:val="2021C089"/>
    <w:rsid w:val="20EBE89E"/>
    <w:rsid w:val="236EA25F"/>
    <w:rsid w:val="23A1EB54"/>
    <w:rsid w:val="24D188C0"/>
    <w:rsid w:val="24E169F7"/>
    <w:rsid w:val="2526AFAF"/>
    <w:rsid w:val="281CC7BB"/>
    <w:rsid w:val="292E67F0"/>
    <w:rsid w:val="29CF946F"/>
    <w:rsid w:val="2C59E03B"/>
    <w:rsid w:val="2DDB37AB"/>
    <w:rsid w:val="2E16CEBD"/>
    <w:rsid w:val="2EE40717"/>
    <w:rsid w:val="2FCFD185"/>
    <w:rsid w:val="32B31154"/>
    <w:rsid w:val="35C49648"/>
    <w:rsid w:val="3611FF6F"/>
    <w:rsid w:val="394BDE1F"/>
    <w:rsid w:val="39DDEB59"/>
    <w:rsid w:val="3A728002"/>
    <w:rsid w:val="3B344D16"/>
    <w:rsid w:val="3B47CF8E"/>
    <w:rsid w:val="3B9CD301"/>
    <w:rsid w:val="4101C62D"/>
    <w:rsid w:val="417AFC95"/>
    <w:rsid w:val="41D21316"/>
    <w:rsid w:val="433C7950"/>
    <w:rsid w:val="437C7426"/>
    <w:rsid w:val="43B0F98C"/>
    <w:rsid w:val="44248194"/>
    <w:rsid w:val="455059DD"/>
    <w:rsid w:val="46B436AE"/>
    <w:rsid w:val="4733B760"/>
    <w:rsid w:val="493CDC61"/>
    <w:rsid w:val="4BB9E7AE"/>
    <w:rsid w:val="4D24962C"/>
    <w:rsid w:val="4EBA241B"/>
    <w:rsid w:val="4F4BD637"/>
    <w:rsid w:val="50D4E8FA"/>
    <w:rsid w:val="53FDBB7D"/>
    <w:rsid w:val="547F5989"/>
    <w:rsid w:val="55153FF4"/>
    <w:rsid w:val="584CE0B6"/>
    <w:rsid w:val="5878E965"/>
    <w:rsid w:val="5AA9930B"/>
    <w:rsid w:val="5B50938A"/>
    <w:rsid w:val="5B5FB6D3"/>
    <w:rsid w:val="5BC525AC"/>
    <w:rsid w:val="5E23D67E"/>
    <w:rsid w:val="5FF28837"/>
    <w:rsid w:val="60DF8299"/>
    <w:rsid w:val="61370D70"/>
    <w:rsid w:val="61A691B2"/>
    <w:rsid w:val="62355554"/>
    <w:rsid w:val="632B9239"/>
    <w:rsid w:val="65089943"/>
    <w:rsid w:val="657006D6"/>
    <w:rsid w:val="6B2044D9"/>
    <w:rsid w:val="6B61163B"/>
    <w:rsid w:val="6D88EC48"/>
    <w:rsid w:val="6EB33F49"/>
    <w:rsid w:val="6FBAEFC3"/>
    <w:rsid w:val="7126975B"/>
    <w:rsid w:val="74D460BB"/>
    <w:rsid w:val="7708606B"/>
    <w:rsid w:val="78DEF258"/>
    <w:rsid w:val="7A75C4A3"/>
    <w:rsid w:val="7C607029"/>
    <w:rsid w:val="7DC2EE94"/>
    <w:rsid w:val="7DDC16F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F29DD5"/>
  <w15:docId w15:val="{E6599536-5CF1-0A4E-B524-F836802EE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4E4D4D"/>
        <w:lang w:val="es-CO" w:eastAsia="es-ES_tradnl"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FE8"/>
    <w:pPr>
      <w:jc w:val="left"/>
    </w:pPr>
    <w:rPr>
      <w:rFonts w:ascii="Times New Roman" w:eastAsia="Times New Roman" w:hAnsi="Times New Roman" w:cs="Times New Roman"/>
      <w:color w:val="auto"/>
      <w:sz w:val="24"/>
      <w:szCs w:val="24"/>
    </w:rPr>
  </w:style>
  <w:style w:type="paragraph" w:styleId="Ttulo1">
    <w:name w:val="heading 1"/>
    <w:basedOn w:val="Normal"/>
    <w:next w:val="Sangradetextonormal"/>
    <w:link w:val="Ttulo1Car"/>
    <w:uiPriority w:val="9"/>
    <w:qFormat/>
    <w:rsid w:val="005877D9"/>
    <w:pPr>
      <w:keepNext/>
      <w:keepLines/>
      <w:numPr>
        <w:numId w:val="3"/>
      </w:numPr>
      <w:pBdr>
        <w:bottom w:val="single" w:sz="8" w:space="1" w:color="4E4D4D" w:themeColor="background2"/>
      </w:pBdr>
      <w:spacing w:before="720" w:after="240"/>
      <w:outlineLvl w:val="0"/>
    </w:pPr>
    <w:rPr>
      <w:rFonts w:eastAsiaTheme="majorEastAsia" w:cstheme="majorBidi"/>
      <w:b/>
      <w:bCs/>
      <w:color w:val="4E4D4D"/>
      <w:szCs w:val="28"/>
    </w:rPr>
  </w:style>
  <w:style w:type="paragraph" w:styleId="Ttulo2">
    <w:name w:val="heading 2"/>
    <w:aliases w:val="Título 2 CCE"/>
    <w:basedOn w:val="Normal"/>
    <w:next w:val="Normal"/>
    <w:link w:val="Ttulo2Car"/>
    <w:uiPriority w:val="9"/>
    <w:unhideWhenUsed/>
    <w:qFormat/>
    <w:rsid w:val="00535979"/>
    <w:pPr>
      <w:keepNext/>
      <w:keepLines/>
      <w:numPr>
        <w:numId w:val="1"/>
      </w:numPr>
      <w:pBdr>
        <w:bottom w:val="single" w:sz="8" w:space="1" w:color="4E4D4D" w:themeColor="background2"/>
      </w:pBdr>
      <w:spacing w:before="440" w:after="360"/>
      <w:outlineLvl w:val="1"/>
    </w:pPr>
    <w:rPr>
      <w:rFonts w:eastAsiaTheme="majorEastAsia" w:cstheme="majorBidi"/>
      <w:b/>
      <w:bCs/>
      <w:sz w:val="22"/>
      <w:szCs w:val="26"/>
    </w:rPr>
  </w:style>
  <w:style w:type="paragraph" w:styleId="Ttulo3">
    <w:name w:val="heading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semiHidden/>
    <w:unhideWhenUsed/>
    <w:qFormat/>
    <w:rsid w:val="00A10520"/>
    <w:pPr>
      <w:keepNext/>
      <w:keepLines/>
      <w:spacing w:before="40"/>
      <w:outlineLvl w:val="3"/>
    </w:pPr>
    <w:rPr>
      <w:rFonts w:asciiTheme="majorHAnsi" w:eastAsiaTheme="majorEastAsia" w:hAnsiTheme="majorHAnsi" w:cstheme="majorBidi"/>
      <w:i/>
      <w:iCs/>
      <w:color w:val="131212"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qFormat/>
    <w:tblPr>
      <w:tblCellMar>
        <w:top w:w="0" w:type="dxa"/>
        <w:left w:w="0" w:type="dxa"/>
        <w:bottom w:w="0" w:type="dxa"/>
        <w:right w:w="0" w:type="dxa"/>
      </w:tblCellMar>
    </w:tblPr>
  </w:style>
  <w:style w:type="paragraph" w:styleId="Ttulo">
    <w:name w:val="Title"/>
    <w:aliases w:val="Título 3 CCE,Puesto,Cláusula 9"/>
    <w:basedOn w:val="Ttulo3"/>
    <w:next w:val="Normal"/>
    <w:link w:val="TtuloCar"/>
    <w:uiPriority w:val="10"/>
    <w:qFormat/>
    <w:rsid w:val="00535979"/>
    <w:pPr>
      <w:numPr>
        <w:numId w:val="2"/>
      </w:numPr>
      <w:pBdr>
        <w:bottom w:val="single" w:sz="8" w:space="1" w:color="4E4D4D" w:themeColor="background2"/>
      </w:pBdr>
      <w:spacing w:after="300"/>
      <w:contextualSpacing/>
    </w:pPr>
    <w:rPr>
      <w:rFonts w:ascii="Arial" w:hAnsi="Arial"/>
      <w:color w:val="4E4D4D" w:themeColor="background2"/>
      <w:spacing w:val="5"/>
      <w:kern w:val="28"/>
      <w:szCs w:val="52"/>
    </w:rPr>
  </w:style>
  <w:style w:type="paragraph" w:styleId="Sangradetextonormal">
    <w:name w:val="Body Text Indent"/>
    <w:basedOn w:val="Normal"/>
    <w:link w:val="SangradetextonormalCar"/>
    <w:uiPriority w:val="99"/>
    <w:unhideWhenUsed/>
    <w:rsid w:val="005B1600"/>
    <w:pPr>
      <w:spacing w:after="120"/>
      <w:ind w:left="283"/>
    </w:pPr>
  </w:style>
  <w:style w:type="character" w:customStyle="1" w:styleId="SangradetextonormalCar">
    <w:name w:val="Sangría de texto normal Car"/>
    <w:basedOn w:val="Fuentedeprrafopredeter"/>
    <w:link w:val="Sangradetextonormal"/>
    <w:uiPriority w:val="99"/>
    <w:rsid w:val="005B1600"/>
    <w:rPr>
      <w:sz w:val="20"/>
    </w:rPr>
  </w:style>
  <w:style w:type="character" w:customStyle="1" w:styleId="Ttulo1Car">
    <w:name w:val="Título 1 Car"/>
    <w:basedOn w:val="Fuentedeprrafopredeter"/>
    <w:link w:val="Ttulo1"/>
    <w:uiPriority w:val="9"/>
    <w:rsid w:val="005877D9"/>
    <w:rPr>
      <w:rFonts w:ascii="Times New Roman" w:eastAsiaTheme="majorEastAsia" w:hAnsi="Times New Roman" w:cstheme="majorBidi"/>
      <w:b/>
      <w:bCs/>
      <w:sz w:val="24"/>
      <w:szCs w:val="28"/>
    </w:rPr>
  </w:style>
  <w:style w:type="character" w:customStyle="1" w:styleId="Ttulo2Car">
    <w:name w:val="Título 2 Car"/>
    <w:aliases w:val="Título 2 CCE Car"/>
    <w:basedOn w:val="Fuentedeprrafopredeter"/>
    <w:link w:val="Ttulo2"/>
    <w:uiPriority w:val="9"/>
    <w:rsid w:val="00535979"/>
    <w:rPr>
      <w:rFonts w:ascii="Times New Roman" w:eastAsiaTheme="majorEastAsia" w:hAnsi="Times New Roman" w:cstheme="majorBidi"/>
      <w:b/>
      <w:bCs/>
      <w:color w:val="auto"/>
      <w:sz w:val="22"/>
      <w:szCs w:val="26"/>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character" w:customStyle="1" w:styleId="Ttulo4Car">
    <w:name w:val="Título 4 Car"/>
    <w:basedOn w:val="Fuentedeprrafopredeter"/>
    <w:link w:val="Ttulo4"/>
    <w:uiPriority w:val="9"/>
    <w:semiHidden/>
    <w:rsid w:val="00A10520"/>
    <w:rPr>
      <w:rFonts w:asciiTheme="majorHAnsi" w:eastAsiaTheme="majorEastAsia" w:hAnsiTheme="majorHAnsi" w:cstheme="majorBidi"/>
      <w:i/>
      <w:iCs/>
      <w:color w:val="131212" w:themeColor="accent1" w:themeShade="BF"/>
      <w:sz w:val="20"/>
    </w:rPr>
  </w:style>
  <w:style w:type="paragraph" w:styleId="Encabezado">
    <w:name w:val="header"/>
    <w:aliases w:val="Header Bold,h,TENDER,*Header,*Header1,*Header2,*Header3,Encabezado1,Encabezado11,Encabezado111 Car Car,Encabezado1 Car Car,*Header3 Car1 Car Car Car,*Header3 Car1 Car Car,Car Car Car,Car Car,*Header21 Car,*Header3 Car Car1,h1,encabezado,h8,h9"/>
    <w:basedOn w:val="Normal"/>
    <w:link w:val="EncabezadoCar"/>
    <w:uiPriority w:val="99"/>
    <w:unhideWhenUsed/>
    <w:rsid w:val="004F2C35"/>
    <w:pPr>
      <w:tabs>
        <w:tab w:val="center" w:pos="4419"/>
        <w:tab w:val="right" w:pos="8838"/>
      </w:tabs>
    </w:pPr>
  </w:style>
  <w:style w:type="character" w:customStyle="1" w:styleId="EncabezadoCar">
    <w:name w:val="Encabezado Car"/>
    <w:aliases w:val="Header Bold Car,h Car,TENDER Car,*Header Car,*Header1 Car,*Header2 Car,*Header3 Car,Encabezado1 Car,Encabezado11 Car,Encabezado111 Car Car Car,Encabezado1 Car Car Car,*Header3 Car1 Car Car Car Car,*Header3 Car1 Car Car Car1,Car Car Car1"/>
    <w:basedOn w:val="Fuentedeprrafopredeter"/>
    <w:link w:val="Encabezado"/>
    <w:uiPriority w:val="99"/>
    <w:qFormat/>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Car">
    <w:name w:val="Título Car"/>
    <w:aliases w:val="Título 3 CCE Car,Puesto Car,Cláusula 9 Car"/>
    <w:basedOn w:val="Fuentedeprrafopredeter"/>
    <w:link w:val="Ttulo"/>
    <w:uiPriority w:val="10"/>
    <w:rsid w:val="00535979"/>
    <w:rPr>
      <w:rFonts w:eastAsiaTheme="majorEastAsia" w:cstheme="majorBidi"/>
      <w:b/>
      <w:bCs/>
      <w:color w:val="4E4D4D" w:themeColor="background2"/>
      <w:spacing w:val="5"/>
      <w:kern w:val="28"/>
      <w:sz w:val="24"/>
      <w:szCs w:val="52"/>
    </w:rPr>
  </w:style>
  <w:style w:type="paragraph" w:styleId="Subttulo">
    <w:name w:val="Subtitle"/>
    <w:basedOn w:val="Normal"/>
    <w:next w:val="Normal"/>
    <w:link w:val="SubttuloCar"/>
    <w:uiPriority w:val="11"/>
    <w:qFormat/>
    <w:rPr>
      <w:i/>
      <w:color w:val="1A1818"/>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List Paragraph,Párrafo de lista4,BOLADEF,Párrafo de lista3,Párrafo de lista21,BOLA,Nivel 1 OS,Colorful List Accent 1,Colorful List - Accent 11,Ha,Bullet List,FooterText,numbered,List Paragraph1,Paragraphe de liste1,lp1,Foot"/>
    <w:basedOn w:val="Normal"/>
    <w:link w:val="PrrafodelistaCar"/>
    <w:uiPriority w:val="34"/>
    <w:qFormat/>
    <w:rsid w:val="00B30435"/>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Bullet List Car,lp1 Car"/>
    <w:basedOn w:val="Fuentedeprrafopredeter"/>
    <w:link w:val="Prrafodelista"/>
    <w:uiPriority w:val="34"/>
    <w:qFormat/>
    <w:rsid w:val="00471B68"/>
    <w:rPr>
      <w:rFonts w:ascii="Arial" w:hAnsi="Arial"/>
      <w:color w:val="4E4D4D" w:themeColor="background2"/>
      <w:sz w:val="20"/>
    </w:rPr>
  </w:style>
  <w:style w:type="character" w:styleId="Hipervnculo">
    <w:name w:val="Hyperlink"/>
    <w:basedOn w:val="Fuentedeprrafopredeter"/>
    <w:uiPriority w:val="99"/>
    <w:unhideWhenUsed/>
    <w:rsid w:val="008161D6"/>
    <w:rPr>
      <w:color w:val="0078AE" w:themeColor="hyperlink"/>
      <w:u w:val="single"/>
    </w:rPr>
  </w:style>
  <w:style w:type="paragraph" w:styleId="TDC1">
    <w:name w:val="toc 1"/>
    <w:basedOn w:val="Normal"/>
    <w:next w:val="Normal"/>
    <w:autoRedefine/>
    <w:uiPriority w:val="39"/>
    <w:unhideWhenUsed/>
    <w:qFormat/>
    <w:rsid w:val="009A7C86"/>
    <w:pPr>
      <w:tabs>
        <w:tab w:val="left" w:pos="426"/>
        <w:tab w:val="left" w:pos="660"/>
        <w:tab w:val="right" w:leader="dot" w:pos="8828"/>
      </w:tabs>
      <w:spacing w:after="100"/>
    </w:pPr>
    <w:rPr>
      <w:rFonts w:asciiTheme="majorHAnsi" w:eastAsia="Arial" w:hAnsiTheme="majorHAnsi" w:cstheme="majorHAnsi"/>
      <w:b/>
      <w:bCs/>
      <w:noProof/>
    </w:rPr>
  </w:style>
  <w:style w:type="paragraph" w:styleId="TDC2">
    <w:name w:val="toc 2"/>
    <w:basedOn w:val="Normal"/>
    <w:next w:val="Normal"/>
    <w:autoRedefine/>
    <w:uiPriority w:val="39"/>
    <w:unhideWhenUsed/>
    <w:qFormat/>
    <w:rsid w:val="008161D6"/>
    <w:pPr>
      <w:spacing w:after="100"/>
      <w:ind w:left="200"/>
    </w:pPr>
    <w:rPr>
      <w:rFonts w:eastAsiaTheme="minorEastAsia"/>
    </w:rPr>
  </w:style>
  <w:style w:type="paragraph" w:styleId="TDC3">
    <w:name w:val="toc 3"/>
    <w:basedOn w:val="Normal"/>
    <w:next w:val="Normal"/>
    <w:autoRedefine/>
    <w:uiPriority w:val="39"/>
    <w:unhideWhenUsed/>
    <w:qFormat/>
    <w:rsid w:val="008161D6"/>
    <w:pPr>
      <w:spacing w:after="100"/>
      <w:ind w:left="400"/>
    </w:pPr>
    <w:rPr>
      <w:rFonts w:eastAsiaTheme="minorEastAsia"/>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nhideWhenUsed/>
    <w:qFormat/>
    <w:rsid w:val="002E6B1E"/>
    <w:rPr>
      <w:rFonts w:eastAsia="Cambria"/>
      <w:lang w:val="en-US"/>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qFormat/>
    <w:rsid w:val="002E6B1E"/>
    <w:rPr>
      <w:rFonts w:ascii="Arial" w:eastAsia="Cambria" w:hAnsi="Arial" w:cs="Times New Roman"/>
      <w:sz w:val="20"/>
      <w:szCs w:val="20"/>
      <w:lang w:val="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2E6B1E"/>
    <w:rPr>
      <w:vertAlign w:val="superscript"/>
    </w:rPr>
  </w:style>
  <w:style w:type="character" w:styleId="Refdecomentario">
    <w:name w:val="annotation reference"/>
    <w:basedOn w:val="Fuentedeprrafopredeter"/>
    <w:uiPriority w:val="99"/>
    <w:semiHidden/>
    <w:rsid w:val="002B29E1"/>
    <w:rPr>
      <w:sz w:val="16"/>
      <w:szCs w:val="16"/>
    </w:rPr>
  </w:style>
  <w:style w:type="paragraph" w:styleId="Textocomentario">
    <w:name w:val="annotation text"/>
    <w:basedOn w:val="Normal"/>
    <w:link w:val="TextocomentarioCar"/>
    <w:uiPriority w:val="99"/>
    <w:rsid w:val="002B29E1"/>
    <w:rPr>
      <w:rFonts w:eastAsia="Calibri"/>
      <w:lang w:eastAsia="es-ES"/>
    </w:rPr>
  </w:style>
  <w:style w:type="character" w:customStyle="1" w:styleId="TextocomentarioCar">
    <w:name w:val="Texto comentario Car"/>
    <w:basedOn w:val="Fuentedeprrafopredeter"/>
    <w:link w:val="Textocomentario"/>
    <w:uiPriority w:val="99"/>
    <w:rsid w:val="002B29E1"/>
    <w:rPr>
      <w:rFonts w:eastAsia="Calibri" w:cs="Times New Roman"/>
      <w:sz w:val="20"/>
      <w:szCs w:val="20"/>
      <w:lang w:eastAsia="es-ES"/>
    </w:rPr>
  </w:style>
  <w:style w:type="paragraph" w:customStyle="1" w:styleId="CCE">
    <w:name w:val="CCE"/>
    <w:basedOn w:val="Normal"/>
    <w:rsid w:val="008B705D"/>
  </w:style>
  <w:style w:type="paragraph" w:styleId="Descripcin">
    <w:name w:val="caption"/>
    <w:basedOn w:val="Normal"/>
    <w:next w:val="Normal"/>
    <w:link w:val="DescripcinCar"/>
    <w:uiPriority w:val="35"/>
    <w:unhideWhenUsed/>
    <w:qFormat/>
    <w:rsid w:val="002A2FA7"/>
    <w:pPr>
      <w:spacing w:after="80"/>
      <w:jc w:val="center"/>
    </w:pPr>
    <w:rPr>
      <w:b/>
      <w:iCs/>
      <w:sz w:val="16"/>
      <w:szCs w:val="18"/>
    </w:rPr>
  </w:style>
  <w:style w:type="character" w:customStyle="1" w:styleId="DescripcinCar">
    <w:name w:val="Descripción Car"/>
    <w:basedOn w:val="Fuentedeprrafopredeter"/>
    <w:link w:val="Descripcin"/>
    <w:uiPriority w:val="35"/>
    <w:rsid w:val="0078187E"/>
    <w:rPr>
      <w:rFonts w:ascii="Arial" w:hAnsi="Arial"/>
      <w:b/>
      <w:iCs/>
      <w:color w:val="4E4D4D" w:themeColor="background2"/>
      <w:sz w:val="16"/>
      <w:szCs w:val="18"/>
    </w:rPr>
  </w:style>
  <w:style w:type="character" w:styleId="nfasis">
    <w:name w:val="Emphasis"/>
    <w:basedOn w:val="Fuentedeprrafopredeter"/>
    <w:uiPriority w:val="20"/>
    <w:qFormat/>
    <w:rsid w:val="002D0FCD"/>
    <w:rPr>
      <w:rFonts w:asciiTheme="minorHAnsi" w:hAnsiTheme="minorHAnsi"/>
      <w:b/>
      <w:i w:val="0"/>
      <w:iCs/>
      <w:sz w:val="20"/>
    </w:rPr>
  </w:style>
  <w:style w:type="paragraph" w:styleId="Cita">
    <w:name w:val="Quote"/>
    <w:basedOn w:val="Normal"/>
    <w:next w:val="Normal"/>
    <w:link w:val="CitaCar"/>
    <w:uiPriority w:val="29"/>
    <w:qFormat/>
    <w:rsid w:val="002D0FCD"/>
    <w:pPr>
      <w:spacing w:before="200" w:after="160"/>
      <w:ind w:left="864" w:right="864"/>
      <w:jc w:val="center"/>
    </w:pPr>
    <w:rPr>
      <w:b/>
      <w:iCs/>
      <w:color w:val="554F4F" w:themeColor="text1" w:themeTint="BF"/>
    </w:rPr>
  </w:style>
  <w:style w:type="character" w:customStyle="1" w:styleId="CitaCar">
    <w:name w:val="Cita Car"/>
    <w:basedOn w:val="Fuentedeprrafopredeter"/>
    <w:link w:val="Cita"/>
    <w:uiPriority w:val="29"/>
    <w:rsid w:val="002D0FCD"/>
    <w:rPr>
      <w:b/>
      <w:iCs/>
      <w:color w:val="554F4F" w:themeColor="text1" w:themeTint="BF"/>
      <w:sz w:val="20"/>
    </w:rPr>
  </w:style>
  <w:style w:type="table" w:styleId="Tablaconcuadrcula">
    <w:name w:val="Table Grid"/>
    <w:aliases w:val="Ecotabla-3"/>
    <w:basedOn w:val="Tablanormal"/>
    <w:uiPriority w:val="59"/>
    <w:qFormat/>
    <w:rsid w:val="00660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CF5741"/>
    <w:rPr>
      <w:color w:val="808080"/>
    </w:rPr>
  </w:style>
  <w:style w:type="paragraph" w:styleId="TtuloTDC">
    <w:name w:val="TOC Heading"/>
    <w:basedOn w:val="Ttulo1"/>
    <w:next w:val="Normal"/>
    <w:uiPriority w:val="39"/>
    <w:unhideWhenUsed/>
    <w:qFormat/>
    <w:rsid w:val="00966982"/>
    <w:pPr>
      <w:pBdr>
        <w:bottom w:val="none" w:sz="0" w:space="0" w:color="auto"/>
      </w:pBdr>
      <w:spacing w:before="240" w:after="0" w:line="259" w:lineRule="auto"/>
      <w:outlineLvl w:val="9"/>
    </w:pPr>
    <w:rPr>
      <w:rFonts w:asciiTheme="majorHAnsi" w:hAnsiTheme="majorHAnsi"/>
      <w:bCs w:val="0"/>
      <w:color w:val="4E4D4D" w:themeColor="background2"/>
      <w:sz w:val="20"/>
      <w:szCs w:val="32"/>
      <w:lang w:eastAsia="es-CO"/>
    </w:rPr>
  </w:style>
  <w:style w:type="character" w:styleId="nfasissutil">
    <w:name w:val="Subtle Emphasis"/>
    <w:basedOn w:val="Fuentedeprrafopredeter"/>
    <w:uiPriority w:val="19"/>
    <w:qFormat/>
    <w:rsid w:val="00514CB3"/>
    <w:rPr>
      <w:i/>
      <w:iCs/>
      <w:color w:val="554F4F" w:themeColor="text1" w:themeTint="BF"/>
    </w:rPr>
  </w:style>
  <w:style w:type="paragraph" w:styleId="Textonotaalfinal">
    <w:name w:val="endnote text"/>
    <w:basedOn w:val="Normal"/>
    <w:link w:val="TextonotaalfinalCar"/>
    <w:uiPriority w:val="99"/>
    <w:semiHidden/>
    <w:unhideWhenUsed/>
    <w:rsid w:val="007215DB"/>
  </w:style>
  <w:style w:type="character" w:customStyle="1" w:styleId="TextonotaalfinalCar">
    <w:name w:val="Texto nota al final Car"/>
    <w:basedOn w:val="Fuentedeprrafopredeter"/>
    <w:link w:val="Textonotaalfinal"/>
    <w:uiPriority w:val="99"/>
    <w:semiHidden/>
    <w:rsid w:val="007215DB"/>
    <w:rPr>
      <w:sz w:val="20"/>
      <w:szCs w:val="20"/>
    </w:rPr>
  </w:style>
  <w:style w:type="character" w:styleId="Refdenotaalfinal">
    <w:name w:val="endnote reference"/>
    <w:basedOn w:val="Fuentedeprrafopredeter"/>
    <w:uiPriority w:val="99"/>
    <w:semiHidden/>
    <w:unhideWhenUsed/>
    <w:rsid w:val="007215DB"/>
    <w:rPr>
      <w:vertAlign w:val="superscript"/>
    </w:rPr>
  </w:style>
  <w:style w:type="paragraph" w:customStyle="1" w:styleId="Titulo-4">
    <w:name w:val="Titulo -4"/>
    <w:basedOn w:val="Ttulo4"/>
    <w:next w:val="Normal"/>
    <w:link w:val="Titulo-4Car"/>
    <w:autoRedefine/>
    <w:qFormat/>
    <w:rsid w:val="00C90B3A"/>
    <w:pPr>
      <w:numPr>
        <w:numId w:val="5"/>
      </w:numPr>
      <w:spacing w:before="360" w:after="120"/>
      <w:contextualSpacing/>
      <w:jc w:val="right"/>
    </w:pPr>
    <w:rPr>
      <w:rFonts w:ascii="Arial" w:hAnsi="Arial"/>
      <w:b/>
      <w:bCs/>
      <w:i w:val="0"/>
      <w:iCs w:val="0"/>
      <w:color w:val="4E4D4D" w:themeColor="background2"/>
      <w:u w:val="single"/>
      <w:lang w:val="es-ES_tradnl" w:eastAsia="es-ES"/>
    </w:rPr>
  </w:style>
  <w:style w:type="character" w:customStyle="1" w:styleId="Titulo-4Car">
    <w:name w:val="Titulo -4 Car"/>
    <w:basedOn w:val="Ttulo4Car"/>
    <w:link w:val="Titulo-4"/>
    <w:rsid w:val="00C90B3A"/>
    <w:rPr>
      <w:rFonts w:asciiTheme="majorHAnsi" w:eastAsiaTheme="majorEastAsia" w:hAnsiTheme="majorHAnsi" w:cstheme="majorBidi"/>
      <w:b/>
      <w:bCs/>
      <w:i w:val="0"/>
      <w:iCs w:val="0"/>
      <w:color w:val="4E4D4D" w:themeColor="background2"/>
      <w:sz w:val="24"/>
      <w:szCs w:val="24"/>
      <w:u w:val="single"/>
      <w:lang w:val="es-ES_tradnl" w:eastAsia="es-ES"/>
    </w:rPr>
  </w:style>
  <w:style w:type="paragraph" w:styleId="Asuntodelcomentario">
    <w:name w:val="annotation subject"/>
    <w:basedOn w:val="Textocomentario"/>
    <w:next w:val="Textocomentario"/>
    <w:link w:val="AsuntodelcomentarioCar"/>
    <w:uiPriority w:val="99"/>
    <w:semiHidden/>
    <w:unhideWhenUsed/>
    <w:rsid w:val="00FD561D"/>
    <w:rPr>
      <w:rFonts w:eastAsia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FD561D"/>
    <w:rPr>
      <w:rFonts w:ascii="Arial" w:eastAsia="Calibri" w:hAnsi="Arial" w:cs="Times New Roman"/>
      <w:b/>
      <w:bCs/>
      <w:color w:val="4E4D4D" w:themeColor="background2"/>
      <w:sz w:val="20"/>
      <w:szCs w:val="20"/>
      <w:lang w:eastAsia="es-ES"/>
    </w:rPr>
  </w:style>
  <w:style w:type="paragraph" w:styleId="Revisin">
    <w:name w:val="Revision"/>
    <w:hidden/>
    <w:uiPriority w:val="99"/>
    <w:semiHidden/>
    <w:rsid w:val="00973750"/>
    <w:rPr>
      <w:color w:val="4E4D4D" w:themeColor="background2"/>
    </w:rPr>
  </w:style>
  <w:style w:type="character" w:styleId="Hipervnculovisitado">
    <w:name w:val="FollowedHyperlink"/>
    <w:basedOn w:val="Fuentedeprrafopredeter"/>
    <w:uiPriority w:val="99"/>
    <w:semiHidden/>
    <w:unhideWhenUsed/>
    <w:rsid w:val="000B60DD"/>
    <w:rPr>
      <w:color w:val="652D89" w:themeColor="followedHyperlink"/>
      <w:u w:val="single"/>
    </w:rPr>
  </w:style>
  <w:style w:type="paragraph" w:customStyle="1" w:styleId="default">
    <w:name w:val="default"/>
    <w:basedOn w:val="Normal"/>
    <w:rsid w:val="006C0A05"/>
    <w:rPr>
      <w:rFonts w:ascii="Calibri" w:hAnsi="Calibri" w:cs="Calibri"/>
      <w:sz w:val="22"/>
      <w:lang w:eastAsia="es-CO"/>
    </w:rPr>
  </w:style>
  <w:style w:type="character" w:customStyle="1" w:styleId="Mencinsinresolver1">
    <w:name w:val="Mención sin resolver1"/>
    <w:basedOn w:val="Fuentedeprrafopredeter"/>
    <w:uiPriority w:val="99"/>
    <w:semiHidden/>
    <w:unhideWhenUsed/>
    <w:rsid w:val="00DE28A9"/>
    <w:rPr>
      <w:color w:val="605E5C"/>
      <w:shd w:val="clear" w:color="auto" w:fill="E1DFDD"/>
    </w:rPr>
  </w:style>
  <w:style w:type="paragraph" w:styleId="Textoindependiente">
    <w:name w:val="Body Text"/>
    <w:basedOn w:val="Normal"/>
    <w:link w:val="TextoindependienteCar"/>
    <w:uiPriority w:val="99"/>
    <w:unhideWhenUsed/>
    <w:rsid w:val="005A2466"/>
    <w:pPr>
      <w:spacing w:after="120"/>
    </w:pPr>
  </w:style>
  <w:style w:type="character" w:customStyle="1" w:styleId="TextoindependienteCar">
    <w:name w:val="Texto independiente Car"/>
    <w:basedOn w:val="Fuentedeprrafopredeter"/>
    <w:link w:val="Textoindependiente"/>
    <w:uiPriority w:val="99"/>
    <w:rsid w:val="005A2466"/>
    <w:rPr>
      <w:rFonts w:ascii="Arial" w:hAnsi="Arial"/>
      <w:color w:val="4E4D4D" w:themeColor="background2"/>
      <w:sz w:val="20"/>
    </w:rPr>
  </w:style>
  <w:style w:type="paragraph" w:customStyle="1" w:styleId="mt-3">
    <w:name w:val="mt-3"/>
    <w:basedOn w:val="Normal"/>
    <w:rsid w:val="00883C9B"/>
    <w:pPr>
      <w:spacing w:before="100" w:beforeAutospacing="1" w:after="100" w:afterAutospacing="1"/>
    </w:pPr>
    <w:rPr>
      <w:lang w:eastAsia="es-CO"/>
    </w:rPr>
  </w:style>
  <w:style w:type="character" w:styleId="Textoennegrita">
    <w:name w:val="Strong"/>
    <w:basedOn w:val="Fuentedeprrafopredeter"/>
    <w:uiPriority w:val="22"/>
    <w:qFormat/>
    <w:rsid w:val="00AE6770"/>
    <w:rPr>
      <w:b/>
      <w:bCs/>
    </w:rPr>
  </w:style>
  <w:style w:type="paragraph" w:customStyle="1" w:styleId="Default0">
    <w:name w:val="Default"/>
    <w:link w:val="DefaultCar"/>
    <w:rsid w:val="00D846E5"/>
    <w:pPr>
      <w:autoSpaceDE w:val="0"/>
      <w:autoSpaceDN w:val="0"/>
      <w:adjustRightInd w:val="0"/>
    </w:pPr>
    <w:rPr>
      <w:color w:val="000000"/>
      <w:sz w:val="24"/>
      <w:szCs w:val="24"/>
    </w:rPr>
  </w:style>
  <w:style w:type="character" w:customStyle="1" w:styleId="normaltextrun">
    <w:name w:val="normaltextrun"/>
    <w:basedOn w:val="Fuentedeprrafopredeter"/>
    <w:rsid w:val="00FB5ECF"/>
  </w:style>
  <w:style w:type="character" w:customStyle="1" w:styleId="eop">
    <w:name w:val="eop"/>
    <w:basedOn w:val="Fuentedeprrafopredeter"/>
    <w:rsid w:val="00FB5ECF"/>
  </w:style>
  <w:style w:type="table" w:customStyle="1" w:styleId="a">
    <w:basedOn w:val="NormalTable0"/>
    <w:tblPr>
      <w:tblStyleRowBandSize w:val="1"/>
      <w:tblStyleColBandSize w:val="1"/>
      <w:tblCellMar>
        <w:left w:w="70" w:type="dxa"/>
        <w:right w:w="70" w:type="dxa"/>
      </w:tblCellMar>
    </w:tblPr>
  </w:style>
  <w:style w:type="table" w:customStyle="1" w:styleId="a0">
    <w:basedOn w:val="NormalTable0"/>
    <w:tblPr>
      <w:tblStyleRowBandSize w:val="1"/>
      <w:tblStyleColBandSize w:val="1"/>
      <w:tblCellMar>
        <w:left w:w="70" w:type="dxa"/>
        <w:right w:w="70" w:type="dxa"/>
      </w:tblCellMar>
    </w:tblPr>
  </w:style>
  <w:style w:type="table" w:customStyle="1" w:styleId="a1">
    <w:basedOn w:val="NormalTable0"/>
    <w:tblPr>
      <w:tblStyleRowBandSize w:val="1"/>
      <w:tblStyleColBandSize w:val="1"/>
      <w:tblCellMar>
        <w:left w:w="70" w:type="dxa"/>
        <w:right w:w="70" w:type="dxa"/>
      </w:tblCellMar>
    </w:tblPr>
  </w:style>
  <w:style w:type="table" w:customStyle="1" w:styleId="a2">
    <w:basedOn w:val="NormalTable0"/>
    <w:tblPr>
      <w:tblStyleRowBandSize w:val="1"/>
      <w:tblStyleColBandSize w:val="1"/>
      <w:tblCellMar>
        <w:left w:w="70" w:type="dxa"/>
        <w:right w:w="70" w:type="dxa"/>
      </w:tblCellMar>
    </w:tblPr>
  </w:style>
  <w:style w:type="table" w:customStyle="1" w:styleId="a3">
    <w:basedOn w:val="NormalTable0"/>
    <w:tblPr>
      <w:tblStyleRowBandSize w:val="1"/>
      <w:tblStyleColBandSize w:val="1"/>
      <w:tblCellMar>
        <w:left w:w="70" w:type="dxa"/>
        <w:right w:w="70" w:type="dxa"/>
      </w:tblCellMar>
    </w:tblPr>
  </w:style>
  <w:style w:type="table" w:customStyle="1" w:styleId="a4">
    <w:basedOn w:val="NormalTable0"/>
    <w:tblPr>
      <w:tblStyleRowBandSize w:val="1"/>
      <w:tblStyleColBandSize w:val="1"/>
      <w:tblCellMar>
        <w:left w:w="70" w:type="dxa"/>
        <w:right w:w="70" w:type="dxa"/>
      </w:tblCellMar>
    </w:tblPr>
  </w:style>
  <w:style w:type="table" w:customStyle="1" w:styleId="a5">
    <w:basedOn w:val="NormalTable0"/>
    <w:tblPr>
      <w:tblStyleRowBandSize w:val="1"/>
      <w:tblStyleColBandSize w:val="1"/>
      <w:tblCellMar>
        <w:left w:w="70" w:type="dxa"/>
        <w:right w:w="70" w:type="dxa"/>
      </w:tblCellMar>
    </w:tblPr>
  </w:style>
  <w:style w:type="table" w:customStyle="1" w:styleId="a6">
    <w:basedOn w:val="NormalTable0"/>
    <w:tblPr>
      <w:tblStyleRowBandSize w:val="1"/>
      <w:tblStyleColBandSize w:val="1"/>
      <w:tblCellMar>
        <w:left w:w="70" w:type="dxa"/>
        <w:right w:w="70" w:type="dxa"/>
      </w:tblCellMar>
    </w:tblPr>
  </w:style>
  <w:style w:type="table" w:customStyle="1" w:styleId="a7">
    <w:basedOn w:val="NormalTable0"/>
    <w:tblPr>
      <w:tblStyleRowBandSize w:val="1"/>
      <w:tblStyleColBandSize w:val="1"/>
      <w:tblCellMar>
        <w:left w:w="70" w:type="dxa"/>
        <w:right w:w="70" w:type="dxa"/>
      </w:tblCellMar>
    </w:tblPr>
  </w:style>
  <w:style w:type="table" w:customStyle="1" w:styleId="a8">
    <w:basedOn w:val="NormalTable0"/>
    <w:tblPr>
      <w:tblStyleRowBandSize w:val="1"/>
      <w:tblStyleColBandSize w:val="1"/>
      <w:tblCellMar>
        <w:left w:w="70" w:type="dxa"/>
        <w:right w:w="70" w:type="dxa"/>
      </w:tblCellMar>
    </w:tblPr>
  </w:style>
  <w:style w:type="table" w:customStyle="1" w:styleId="a9">
    <w:basedOn w:val="NormalTable0"/>
    <w:tblPr>
      <w:tblStyleRowBandSize w:val="1"/>
      <w:tblStyleColBandSize w:val="1"/>
      <w:tblCellMar>
        <w:left w:w="70" w:type="dxa"/>
        <w:right w:w="70" w:type="dxa"/>
      </w:tblCellMar>
    </w:tblPr>
  </w:style>
  <w:style w:type="table" w:customStyle="1" w:styleId="aa">
    <w:basedOn w:val="NormalTable0"/>
    <w:tblPr>
      <w:tblStyleRowBandSize w:val="1"/>
      <w:tblStyleColBandSize w:val="1"/>
      <w:tblCellMar>
        <w:left w:w="70" w:type="dxa"/>
        <w:right w:w="70" w:type="dxa"/>
      </w:tblCellMar>
    </w:tblPr>
  </w:style>
  <w:style w:type="table" w:customStyle="1" w:styleId="ab">
    <w:basedOn w:val="NormalTable0"/>
    <w:tblPr>
      <w:tblStyleRowBandSize w:val="1"/>
      <w:tblStyleColBandSize w:val="1"/>
      <w:tblCellMar>
        <w:left w:w="108" w:type="dxa"/>
        <w:right w:w="108" w:type="dxa"/>
      </w:tblCellMar>
    </w:tblPr>
  </w:style>
  <w:style w:type="paragraph" w:customStyle="1" w:styleId="TableParagraph">
    <w:name w:val="Table Paragraph"/>
    <w:basedOn w:val="Normal"/>
    <w:uiPriority w:val="1"/>
    <w:qFormat/>
    <w:rsid w:val="00660F9D"/>
    <w:pPr>
      <w:widowControl w:val="0"/>
      <w:autoSpaceDE w:val="0"/>
      <w:autoSpaceDN w:val="0"/>
    </w:pPr>
    <w:rPr>
      <w:rFonts w:ascii="Arial MT" w:eastAsia="Arial MT" w:hAnsi="Arial MT" w:cs="Arial MT"/>
      <w:sz w:val="22"/>
      <w:szCs w:val="22"/>
      <w:lang w:val="es-ES" w:eastAsia="en-US"/>
    </w:rPr>
  </w:style>
  <w:style w:type="character" w:customStyle="1" w:styleId="vortalnumericbox">
    <w:name w:val="vortalnumericbox"/>
    <w:basedOn w:val="Fuentedeprrafopredeter"/>
    <w:rsid w:val="00F50643"/>
  </w:style>
  <w:style w:type="character" w:customStyle="1" w:styleId="requesttypeandstate">
    <w:name w:val="requesttypeandstate"/>
    <w:basedOn w:val="Fuentedeprrafopredeter"/>
    <w:rsid w:val="00D91C79"/>
  </w:style>
  <w:style w:type="character" w:customStyle="1" w:styleId="requestreference">
    <w:name w:val="requestreference"/>
    <w:basedOn w:val="Fuentedeprrafopredeter"/>
    <w:rsid w:val="00D91C79"/>
  </w:style>
  <w:style w:type="paragraph" w:customStyle="1" w:styleId="Estilo3">
    <w:name w:val="Estilo3"/>
    <w:basedOn w:val="Ttulo3"/>
    <w:qFormat/>
    <w:rsid w:val="000F1E76"/>
    <w:pPr>
      <w:keepLines w:val="0"/>
      <w:numPr>
        <w:numId w:val="6"/>
      </w:numPr>
      <w:spacing w:before="240"/>
      <w:ind w:left="720"/>
    </w:pPr>
    <w:rPr>
      <w:rFonts w:ascii="Arial Narrow" w:eastAsia="Times New Roman" w:hAnsi="Arial Narrow" w:cs="Times New Roman"/>
      <w:color w:val="auto"/>
      <w:lang w:val="es-MX" w:eastAsia="en-US"/>
    </w:rPr>
  </w:style>
  <w:style w:type="character" w:customStyle="1" w:styleId="DefaultCar">
    <w:name w:val="Default Car"/>
    <w:link w:val="Default0"/>
    <w:locked/>
    <w:rsid w:val="000F1E76"/>
    <w:rPr>
      <w:color w:val="000000"/>
      <w:sz w:val="24"/>
      <w:szCs w:val="24"/>
    </w:rPr>
  </w:style>
  <w:style w:type="character" w:customStyle="1" w:styleId="ui-provider">
    <w:name w:val="ui-provider"/>
    <w:basedOn w:val="Fuentedeprrafopredeter"/>
    <w:rsid w:val="00527B88"/>
  </w:style>
  <w:style w:type="paragraph" w:customStyle="1" w:styleId="paragraph">
    <w:name w:val="paragraph"/>
    <w:basedOn w:val="Normal"/>
    <w:rsid w:val="00205652"/>
    <w:pPr>
      <w:spacing w:before="100" w:beforeAutospacing="1" w:after="100" w:afterAutospacing="1"/>
    </w:pPr>
    <w:rPr>
      <w:lang w:eastAsia="es-CO"/>
    </w:rPr>
  </w:style>
  <w:style w:type="table" w:customStyle="1" w:styleId="TableGrid0">
    <w:name w:val="Table Grid0"/>
    <w:rsid w:val="00605A47"/>
    <w:pPr>
      <w:jc w:val="left"/>
    </w:pPr>
    <w:rPr>
      <w:rFonts w:asciiTheme="minorHAnsi" w:eastAsiaTheme="minorEastAsia" w:hAnsiTheme="minorHAnsi" w:cstheme="minorBidi"/>
      <w:color w:val="auto"/>
      <w:sz w:val="22"/>
      <w:szCs w:val="22"/>
      <w:lang w:eastAsia="es-CO"/>
    </w:rPr>
    <w:tblPr>
      <w:tblCellMar>
        <w:top w:w="0" w:type="dxa"/>
        <w:left w:w="0" w:type="dxa"/>
        <w:bottom w:w="0" w:type="dxa"/>
        <w:right w:w="0" w:type="dxa"/>
      </w:tblCellMar>
    </w:tblPr>
  </w:style>
  <w:style w:type="table" w:styleId="Tablaconcuadrcula2-nfasis2">
    <w:name w:val="Grid Table 2 Accent 2"/>
    <w:basedOn w:val="Tablanormal"/>
    <w:uiPriority w:val="47"/>
    <w:rsid w:val="00F46831"/>
    <w:tblPr>
      <w:tblStyleRowBandSize w:val="1"/>
      <w:tblStyleColBandSize w:val="1"/>
      <w:tblBorders>
        <w:top w:val="single" w:sz="2" w:space="0" w:color="959393" w:themeColor="accent2" w:themeTint="99"/>
        <w:bottom w:val="single" w:sz="2" w:space="0" w:color="959393" w:themeColor="accent2" w:themeTint="99"/>
        <w:insideH w:val="single" w:sz="2" w:space="0" w:color="959393" w:themeColor="accent2" w:themeTint="99"/>
        <w:insideV w:val="single" w:sz="2" w:space="0" w:color="959393" w:themeColor="accent2" w:themeTint="99"/>
      </w:tblBorders>
    </w:tblPr>
    <w:tblStylePr w:type="firstRow">
      <w:rPr>
        <w:b/>
        <w:bCs/>
      </w:rPr>
      <w:tblPr/>
      <w:tcPr>
        <w:tcBorders>
          <w:top w:val="nil"/>
          <w:bottom w:val="single" w:sz="12" w:space="0" w:color="959393" w:themeColor="accent2" w:themeTint="99"/>
          <w:insideH w:val="nil"/>
          <w:insideV w:val="nil"/>
        </w:tcBorders>
        <w:shd w:val="clear" w:color="auto" w:fill="FFFFFF" w:themeFill="background1"/>
      </w:tcPr>
    </w:tblStylePr>
    <w:tblStylePr w:type="lastRow">
      <w:rPr>
        <w:b/>
        <w:bCs/>
      </w:rPr>
      <w:tblPr/>
      <w:tcPr>
        <w:tcBorders>
          <w:top w:val="double" w:sz="2" w:space="0" w:color="95939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2" w:themeFillTint="33"/>
      </w:tcPr>
    </w:tblStylePr>
    <w:tblStylePr w:type="band1Horz">
      <w:tblPr/>
      <w:tcPr>
        <w:shd w:val="clear" w:color="auto" w:fill="DBDBDB" w:themeFill="accent2" w:themeFillTint="33"/>
      </w:tcPr>
    </w:tblStylePr>
  </w:style>
  <w:style w:type="table" w:styleId="Tablaconcuadrcula1Claro-nfasis2">
    <w:name w:val="Grid Table 1 Light Accent 2"/>
    <w:basedOn w:val="Tablanormal"/>
    <w:uiPriority w:val="46"/>
    <w:rsid w:val="001F58B1"/>
    <w:tblPr>
      <w:tblStyleRowBandSize w:val="1"/>
      <w:tblStyleColBandSize w:val="1"/>
      <w:tblBorders>
        <w:top w:val="single" w:sz="4" w:space="0" w:color="B8B7B7" w:themeColor="accent2" w:themeTint="66"/>
        <w:left w:val="single" w:sz="4" w:space="0" w:color="B8B7B7" w:themeColor="accent2" w:themeTint="66"/>
        <w:bottom w:val="single" w:sz="4" w:space="0" w:color="B8B7B7" w:themeColor="accent2" w:themeTint="66"/>
        <w:right w:val="single" w:sz="4" w:space="0" w:color="B8B7B7" w:themeColor="accent2" w:themeTint="66"/>
        <w:insideH w:val="single" w:sz="4" w:space="0" w:color="B8B7B7" w:themeColor="accent2" w:themeTint="66"/>
        <w:insideV w:val="single" w:sz="4" w:space="0" w:color="B8B7B7" w:themeColor="accent2" w:themeTint="66"/>
      </w:tblBorders>
    </w:tblPr>
    <w:tblStylePr w:type="firstRow">
      <w:rPr>
        <w:b/>
        <w:bCs/>
      </w:rPr>
      <w:tblPr/>
      <w:tcPr>
        <w:tcBorders>
          <w:bottom w:val="single" w:sz="12" w:space="0" w:color="959393" w:themeColor="accent2" w:themeTint="99"/>
        </w:tcBorders>
      </w:tcPr>
    </w:tblStylePr>
    <w:tblStylePr w:type="lastRow">
      <w:rPr>
        <w:b/>
        <w:bCs/>
      </w:rPr>
      <w:tblPr/>
      <w:tcPr>
        <w:tcBorders>
          <w:top w:val="double" w:sz="2" w:space="0" w:color="959393" w:themeColor="accent2" w:themeTint="99"/>
        </w:tcBorders>
      </w:tcPr>
    </w:tblStylePr>
    <w:tblStylePr w:type="firstCol">
      <w:rPr>
        <w:b/>
        <w:bCs/>
      </w:rPr>
    </w:tblStylePr>
    <w:tblStylePr w:type="lastCol">
      <w:rPr>
        <w:b/>
        <w:bCs/>
      </w:rPr>
    </w:tblStylePr>
  </w:style>
  <w:style w:type="character" w:customStyle="1" w:styleId="scxw190885979">
    <w:name w:val="scxw190885979"/>
    <w:basedOn w:val="Fuentedeprrafopredeter"/>
    <w:rsid w:val="00A11748"/>
  </w:style>
  <w:style w:type="character" w:customStyle="1" w:styleId="superscript">
    <w:name w:val="superscript"/>
    <w:basedOn w:val="Fuentedeprrafopredeter"/>
    <w:rsid w:val="00A11748"/>
  </w:style>
  <w:style w:type="character" w:customStyle="1" w:styleId="tabchar">
    <w:name w:val="tabchar"/>
    <w:basedOn w:val="Fuentedeprrafopredeter"/>
    <w:rsid w:val="00A11748"/>
  </w:style>
  <w:style w:type="character" w:customStyle="1" w:styleId="scxw144788689">
    <w:name w:val="scxw144788689"/>
    <w:basedOn w:val="Fuentedeprrafopredeter"/>
    <w:rsid w:val="00A32B54"/>
  </w:style>
  <w:style w:type="character" w:customStyle="1" w:styleId="Mencinsinresolver2">
    <w:name w:val="Mención sin resolver2"/>
    <w:basedOn w:val="Fuentedeprrafopredeter"/>
    <w:uiPriority w:val="99"/>
    <w:semiHidden/>
    <w:unhideWhenUsed/>
    <w:rsid w:val="006E08BA"/>
    <w:rPr>
      <w:color w:val="605E5C"/>
      <w:shd w:val="clear" w:color="auto" w:fill="E1DFDD"/>
    </w:rPr>
  </w:style>
  <w:style w:type="character" w:customStyle="1" w:styleId="wacimagecontainer">
    <w:name w:val="wacimagecontainer"/>
    <w:basedOn w:val="Fuentedeprrafopredeter"/>
    <w:rsid w:val="00474C1C"/>
  </w:style>
  <w:style w:type="character" w:customStyle="1" w:styleId="findhit">
    <w:name w:val="findhit"/>
    <w:basedOn w:val="Fuentedeprrafopredeter"/>
    <w:rsid w:val="00F32D1A"/>
  </w:style>
  <w:style w:type="character" w:customStyle="1" w:styleId="Mencionar1">
    <w:name w:val="Mencionar1"/>
    <w:basedOn w:val="Fuentedeprrafopredeter"/>
    <w:uiPriority w:val="99"/>
    <w:unhideWhenUsed/>
    <w:rsid w:val="00C469AF"/>
    <w:rPr>
      <w:color w:val="2B579A"/>
      <w:shd w:val="clear" w:color="auto" w:fill="E1DFDD"/>
    </w:rPr>
  </w:style>
  <w:style w:type="table" w:customStyle="1" w:styleId="TableGrid">
    <w:name w:val="TableGrid"/>
    <w:rsid w:val="004F2AD1"/>
    <w:pPr>
      <w:jc w:val="left"/>
    </w:pPr>
    <w:rPr>
      <w:rFonts w:ascii="Calibri" w:eastAsia="Times New Roman" w:hAnsi="Calibri" w:cs="Times New Roman"/>
      <w:color w:val="auto"/>
      <w:sz w:val="22"/>
      <w:szCs w:val="22"/>
      <w:lang w:eastAsia="es-CO"/>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0C3EE1"/>
    <w:rPr>
      <w:color w:val="605E5C"/>
      <w:shd w:val="clear" w:color="auto" w:fill="E1DFDD"/>
    </w:rPr>
  </w:style>
  <w:style w:type="table" w:styleId="Tablaconcuadrcula4-nfasis1">
    <w:name w:val="Grid Table 4 Accent 1"/>
    <w:basedOn w:val="Tablanormal"/>
    <w:uiPriority w:val="49"/>
    <w:rsid w:val="007D2079"/>
    <w:tblPr>
      <w:tblStyleRowBandSize w:val="1"/>
      <w:tblStyleColBandSize w:val="1"/>
      <w:tblBorders>
        <w:top w:val="single" w:sz="4" w:space="0" w:color="797070" w:themeColor="accent1" w:themeTint="99"/>
        <w:left w:val="single" w:sz="4" w:space="0" w:color="797070" w:themeColor="accent1" w:themeTint="99"/>
        <w:bottom w:val="single" w:sz="4" w:space="0" w:color="797070" w:themeColor="accent1" w:themeTint="99"/>
        <w:right w:val="single" w:sz="4" w:space="0" w:color="797070" w:themeColor="accent1" w:themeTint="99"/>
        <w:insideH w:val="single" w:sz="4" w:space="0" w:color="797070" w:themeColor="accent1" w:themeTint="99"/>
        <w:insideV w:val="single" w:sz="4" w:space="0" w:color="797070" w:themeColor="accent1" w:themeTint="99"/>
      </w:tblBorders>
    </w:tblPr>
    <w:tblStylePr w:type="firstRow">
      <w:rPr>
        <w:b/>
        <w:bCs/>
        <w:color w:val="FFFFFF" w:themeColor="background1"/>
      </w:rPr>
      <w:tblPr/>
      <w:tcPr>
        <w:tcBorders>
          <w:top w:val="single" w:sz="4" w:space="0" w:color="1A1818" w:themeColor="accent1"/>
          <w:left w:val="single" w:sz="4" w:space="0" w:color="1A1818" w:themeColor="accent1"/>
          <w:bottom w:val="single" w:sz="4" w:space="0" w:color="1A1818" w:themeColor="accent1"/>
          <w:right w:val="single" w:sz="4" w:space="0" w:color="1A1818" w:themeColor="accent1"/>
          <w:insideH w:val="nil"/>
          <w:insideV w:val="nil"/>
        </w:tcBorders>
        <w:shd w:val="clear" w:color="auto" w:fill="1A1818" w:themeFill="accent1"/>
      </w:tcPr>
    </w:tblStylePr>
    <w:tblStylePr w:type="lastRow">
      <w:rPr>
        <w:b/>
        <w:bCs/>
      </w:rPr>
      <w:tblPr/>
      <w:tcPr>
        <w:tcBorders>
          <w:top w:val="double" w:sz="4" w:space="0" w:color="1A1818" w:themeColor="accent1"/>
        </w:tcBorders>
      </w:tcPr>
    </w:tblStylePr>
    <w:tblStylePr w:type="firstCol">
      <w:rPr>
        <w:b/>
        <w:bCs/>
      </w:rPr>
    </w:tblStylePr>
    <w:tblStylePr w:type="lastCol">
      <w:rPr>
        <w:b/>
        <w:bCs/>
      </w:rPr>
    </w:tblStylePr>
    <w:tblStylePr w:type="band1Vert">
      <w:tblPr/>
      <w:tcPr>
        <w:shd w:val="clear" w:color="auto" w:fill="D3CFCF" w:themeFill="accent1" w:themeFillTint="33"/>
      </w:tcPr>
    </w:tblStylePr>
    <w:tblStylePr w:type="band1Horz">
      <w:tblPr/>
      <w:tcPr>
        <w:shd w:val="clear" w:color="auto" w:fill="D3CFCF" w:themeFill="accent1" w:themeFillTint="33"/>
      </w:tcPr>
    </w:tblStylePr>
  </w:style>
  <w:style w:type="table" w:styleId="Tablaconcuadrcula6concolores-nfasis3">
    <w:name w:val="Grid Table 6 Colorful Accent 3"/>
    <w:basedOn w:val="Tablanormal"/>
    <w:uiPriority w:val="51"/>
    <w:rsid w:val="00C200E0"/>
    <w:rPr>
      <w:color w:val="9A9898" w:themeColor="accent3" w:themeShade="BF"/>
    </w:rPr>
    <w:tblPr>
      <w:tblStyleRowBandSize w:val="1"/>
      <w:tblStyleColBandSize w:val="1"/>
      <w:tblBorders>
        <w:top w:val="single" w:sz="4" w:space="0" w:color="E1E0E0" w:themeColor="accent3" w:themeTint="99"/>
        <w:left w:val="single" w:sz="4" w:space="0" w:color="E1E0E0" w:themeColor="accent3" w:themeTint="99"/>
        <w:bottom w:val="single" w:sz="4" w:space="0" w:color="E1E0E0" w:themeColor="accent3" w:themeTint="99"/>
        <w:right w:val="single" w:sz="4" w:space="0" w:color="E1E0E0" w:themeColor="accent3" w:themeTint="99"/>
        <w:insideH w:val="single" w:sz="4" w:space="0" w:color="E1E0E0" w:themeColor="accent3" w:themeTint="99"/>
        <w:insideV w:val="single" w:sz="4" w:space="0" w:color="E1E0E0" w:themeColor="accent3" w:themeTint="99"/>
      </w:tblBorders>
    </w:tblPr>
    <w:tblStylePr w:type="firstRow">
      <w:rPr>
        <w:b/>
        <w:bCs/>
      </w:rPr>
      <w:tblPr/>
      <w:tcPr>
        <w:tcBorders>
          <w:bottom w:val="single" w:sz="12" w:space="0" w:color="E1E0E0" w:themeColor="accent3" w:themeTint="99"/>
        </w:tcBorders>
      </w:tcPr>
    </w:tblStylePr>
    <w:tblStylePr w:type="lastRow">
      <w:rPr>
        <w:b/>
        <w:bCs/>
      </w:rPr>
      <w:tblPr/>
      <w:tcPr>
        <w:tcBorders>
          <w:top w:val="double" w:sz="4" w:space="0" w:color="E1E0E0" w:themeColor="accent3" w:themeTint="99"/>
        </w:tcBorders>
      </w:tcPr>
    </w:tblStylePr>
    <w:tblStylePr w:type="firstCol">
      <w:rPr>
        <w:b/>
        <w:bCs/>
      </w:rPr>
    </w:tblStylePr>
    <w:tblStylePr w:type="lastCol">
      <w:rPr>
        <w:b/>
        <w:bCs/>
      </w:rPr>
    </w:tblStylePr>
    <w:tblStylePr w:type="band1Vert">
      <w:tblPr/>
      <w:tcPr>
        <w:shd w:val="clear" w:color="auto" w:fill="F5F4F4" w:themeFill="accent3" w:themeFillTint="33"/>
      </w:tcPr>
    </w:tblStylePr>
    <w:tblStylePr w:type="band1Horz">
      <w:tblPr/>
      <w:tcPr>
        <w:shd w:val="clear" w:color="auto" w:fill="F5F4F4" w:themeFill="accent3" w:themeFillTint="33"/>
      </w:tcPr>
    </w:tblStylePr>
  </w:style>
  <w:style w:type="table" w:styleId="Tablaconcuadrcula6concolores-nfasis1">
    <w:name w:val="Grid Table 6 Colorful Accent 1"/>
    <w:basedOn w:val="Tablanormal"/>
    <w:uiPriority w:val="51"/>
    <w:rsid w:val="00C200E0"/>
    <w:rPr>
      <w:color w:val="131212" w:themeColor="accent1" w:themeShade="BF"/>
    </w:rPr>
    <w:tblPr>
      <w:tblStyleRowBandSize w:val="1"/>
      <w:tblStyleColBandSize w:val="1"/>
      <w:tblBorders>
        <w:top w:val="single" w:sz="4" w:space="0" w:color="797070" w:themeColor="accent1" w:themeTint="99"/>
        <w:left w:val="single" w:sz="4" w:space="0" w:color="797070" w:themeColor="accent1" w:themeTint="99"/>
        <w:bottom w:val="single" w:sz="4" w:space="0" w:color="797070" w:themeColor="accent1" w:themeTint="99"/>
        <w:right w:val="single" w:sz="4" w:space="0" w:color="797070" w:themeColor="accent1" w:themeTint="99"/>
        <w:insideH w:val="single" w:sz="4" w:space="0" w:color="797070" w:themeColor="accent1" w:themeTint="99"/>
        <w:insideV w:val="single" w:sz="4" w:space="0" w:color="797070" w:themeColor="accent1" w:themeTint="99"/>
      </w:tblBorders>
    </w:tblPr>
    <w:tblStylePr w:type="firstRow">
      <w:rPr>
        <w:b/>
        <w:bCs/>
      </w:rPr>
      <w:tblPr/>
      <w:tcPr>
        <w:tcBorders>
          <w:bottom w:val="single" w:sz="12" w:space="0" w:color="797070" w:themeColor="accent1" w:themeTint="99"/>
        </w:tcBorders>
      </w:tcPr>
    </w:tblStylePr>
    <w:tblStylePr w:type="lastRow">
      <w:rPr>
        <w:b/>
        <w:bCs/>
      </w:rPr>
      <w:tblPr/>
      <w:tcPr>
        <w:tcBorders>
          <w:top w:val="double" w:sz="4" w:space="0" w:color="797070" w:themeColor="accent1" w:themeTint="99"/>
        </w:tcBorders>
      </w:tcPr>
    </w:tblStylePr>
    <w:tblStylePr w:type="firstCol">
      <w:rPr>
        <w:b/>
        <w:bCs/>
      </w:rPr>
    </w:tblStylePr>
    <w:tblStylePr w:type="lastCol">
      <w:rPr>
        <w:b/>
        <w:bCs/>
      </w:rPr>
    </w:tblStylePr>
    <w:tblStylePr w:type="band1Vert">
      <w:tblPr/>
      <w:tcPr>
        <w:shd w:val="clear" w:color="auto" w:fill="D3CFCF" w:themeFill="accent1" w:themeFillTint="33"/>
      </w:tcPr>
    </w:tblStylePr>
    <w:tblStylePr w:type="band1Horz">
      <w:tblPr/>
      <w:tcPr>
        <w:shd w:val="clear" w:color="auto" w:fill="D3CFCF" w:themeFill="accent1" w:themeFillTint="33"/>
      </w:tcPr>
    </w:tblStylePr>
  </w:style>
  <w:style w:type="paragraph" w:styleId="Lista">
    <w:name w:val="List"/>
    <w:basedOn w:val="Textoindependiente"/>
    <w:rsid w:val="002157D6"/>
    <w:pPr>
      <w:suppressAutoHyphens/>
      <w:spacing w:after="0"/>
      <w:jc w:val="both"/>
    </w:pPr>
    <w:rPr>
      <w:rFonts w:ascii="Footlight MT Light" w:hAnsi="Footlight MT Light" w:cs="Tahoma"/>
      <w:sz w:val="26"/>
      <w:szCs w:val="20"/>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1498">
      <w:marLeft w:val="0"/>
      <w:marRight w:val="0"/>
      <w:marTop w:val="0"/>
      <w:marBottom w:val="0"/>
      <w:divBdr>
        <w:top w:val="none" w:sz="0" w:space="0" w:color="auto"/>
        <w:left w:val="none" w:sz="0" w:space="0" w:color="auto"/>
        <w:bottom w:val="none" w:sz="0" w:space="0" w:color="auto"/>
        <w:right w:val="none" w:sz="0" w:space="0" w:color="auto"/>
      </w:divBdr>
      <w:divsChild>
        <w:div w:id="2085295999">
          <w:marLeft w:val="0"/>
          <w:marRight w:val="0"/>
          <w:marTop w:val="0"/>
          <w:marBottom w:val="0"/>
          <w:divBdr>
            <w:top w:val="none" w:sz="0" w:space="0" w:color="auto"/>
            <w:left w:val="none" w:sz="0" w:space="0" w:color="auto"/>
            <w:bottom w:val="none" w:sz="0" w:space="0" w:color="auto"/>
            <w:right w:val="none" w:sz="0" w:space="0" w:color="auto"/>
          </w:divBdr>
        </w:div>
      </w:divsChild>
    </w:div>
    <w:div w:id="51469157">
      <w:bodyDiv w:val="1"/>
      <w:marLeft w:val="0"/>
      <w:marRight w:val="0"/>
      <w:marTop w:val="0"/>
      <w:marBottom w:val="0"/>
      <w:divBdr>
        <w:top w:val="none" w:sz="0" w:space="0" w:color="auto"/>
        <w:left w:val="none" w:sz="0" w:space="0" w:color="auto"/>
        <w:bottom w:val="none" w:sz="0" w:space="0" w:color="auto"/>
        <w:right w:val="none" w:sz="0" w:space="0" w:color="auto"/>
      </w:divBdr>
    </w:div>
    <w:div w:id="51929047">
      <w:bodyDiv w:val="1"/>
      <w:marLeft w:val="0"/>
      <w:marRight w:val="0"/>
      <w:marTop w:val="0"/>
      <w:marBottom w:val="0"/>
      <w:divBdr>
        <w:top w:val="none" w:sz="0" w:space="0" w:color="auto"/>
        <w:left w:val="none" w:sz="0" w:space="0" w:color="auto"/>
        <w:bottom w:val="none" w:sz="0" w:space="0" w:color="auto"/>
        <w:right w:val="none" w:sz="0" w:space="0" w:color="auto"/>
      </w:divBdr>
    </w:div>
    <w:div w:id="54358636">
      <w:bodyDiv w:val="1"/>
      <w:marLeft w:val="0"/>
      <w:marRight w:val="0"/>
      <w:marTop w:val="0"/>
      <w:marBottom w:val="0"/>
      <w:divBdr>
        <w:top w:val="none" w:sz="0" w:space="0" w:color="auto"/>
        <w:left w:val="none" w:sz="0" w:space="0" w:color="auto"/>
        <w:bottom w:val="none" w:sz="0" w:space="0" w:color="auto"/>
        <w:right w:val="none" w:sz="0" w:space="0" w:color="auto"/>
      </w:divBdr>
    </w:div>
    <w:div w:id="56823198">
      <w:bodyDiv w:val="1"/>
      <w:marLeft w:val="0"/>
      <w:marRight w:val="0"/>
      <w:marTop w:val="0"/>
      <w:marBottom w:val="0"/>
      <w:divBdr>
        <w:top w:val="none" w:sz="0" w:space="0" w:color="auto"/>
        <w:left w:val="none" w:sz="0" w:space="0" w:color="auto"/>
        <w:bottom w:val="none" w:sz="0" w:space="0" w:color="auto"/>
        <w:right w:val="none" w:sz="0" w:space="0" w:color="auto"/>
      </w:divBdr>
    </w:div>
    <w:div w:id="69087690">
      <w:bodyDiv w:val="1"/>
      <w:marLeft w:val="0"/>
      <w:marRight w:val="0"/>
      <w:marTop w:val="0"/>
      <w:marBottom w:val="0"/>
      <w:divBdr>
        <w:top w:val="none" w:sz="0" w:space="0" w:color="auto"/>
        <w:left w:val="none" w:sz="0" w:space="0" w:color="auto"/>
        <w:bottom w:val="none" w:sz="0" w:space="0" w:color="auto"/>
        <w:right w:val="none" w:sz="0" w:space="0" w:color="auto"/>
      </w:divBdr>
    </w:div>
    <w:div w:id="105934370">
      <w:bodyDiv w:val="1"/>
      <w:marLeft w:val="0"/>
      <w:marRight w:val="0"/>
      <w:marTop w:val="0"/>
      <w:marBottom w:val="0"/>
      <w:divBdr>
        <w:top w:val="none" w:sz="0" w:space="0" w:color="auto"/>
        <w:left w:val="none" w:sz="0" w:space="0" w:color="auto"/>
        <w:bottom w:val="none" w:sz="0" w:space="0" w:color="auto"/>
        <w:right w:val="none" w:sz="0" w:space="0" w:color="auto"/>
      </w:divBdr>
      <w:divsChild>
        <w:div w:id="822046344">
          <w:marLeft w:val="0"/>
          <w:marRight w:val="0"/>
          <w:marTop w:val="0"/>
          <w:marBottom w:val="0"/>
          <w:divBdr>
            <w:top w:val="none" w:sz="0" w:space="0" w:color="auto"/>
            <w:left w:val="none" w:sz="0" w:space="0" w:color="auto"/>
            <w:bottom w:val="none" w:sz="0" w:space="0" w:color="auto"/>
            <w:right w:val="none" w:sz="0" w:space="0" w:color="auto"/>
          </w:divBdr>
          <w:divsChild>
            <w:div w:id="140857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48490">
      <w:bodyDiv w:val="1"/>
      <w:marLeft w:val="0"/>
      <w:marRight w:val="0"/>
      <w:marTop w:val="0"/>
      <w:marBottom w:val="0"/>
      <w:divBdr>
        <w:top w:val="none" w:sz="0" w:space="0" w:color="auto"/>
        <w:left w:val="none" w:sz="0" w:space="0" w:color="auto"/>
        <w:bottom w:val="none" w:sz="0" w:space="0" w:color="auto"/>
        <w:right w:val="none" w:sz="0" w:space="0" w:color="auto"/>
      </w:divBdr>
      <w:divsChild>
        <w:div w:id="747847721">
          <w:marLeft w:val="0"/>
          <w:marRight w:val="0"/>
          <w:marTop w:val="0"/>
          <w:marBottom w:val="0"/>
          <w:divBdr>
            <w:top w:val="none" w:sz="0" w:space="0" w:color="auto"/>
            <w:left w:val="none" w:sz="0" w:space="0" w:color="auto"/>
            <w:bottom w:val="none" w:sz="0" w:space="0" w:color="auto"/>
            <w:right w:val="none" w:sz="0" w:space="0" w:color="auto"/>
          </w:divBdr>
        </w:div>
        <w:div w:id="2138061908">
          <w:marLeft w:val="0"/>
          <w:marRight w:val="0"/>
          <w:marTop w:val="0"/>
          <w:marBottom w:val="0"/>
          <w:divBdr>
            <w:top w:val="none" w:sz="0" w:space="0" w:color="auto"/>
            <w:left w:val="none" w:sz="0" w:space="0" w:color="auto"/>
            <w:bottom w:val="none" w:sz="0" w:space="0" w:color="auto"/>
            <w:right w:val="none" w:sz="0" w:space="0" w:color="auto"/>
          </w:divBdr>
        </w:div>
        <w:div w:id="11421673">
          <w:marLeft w:val="0"/>
          <w:marRight w:val="0"/>
          <w:marTop w:val="0"/>
          <w:marBottom w:val="0"/>
          <w:divBdr>
            <w:top w:val="none" w:sz="0" w:space="0" w:color="auto"/>
            <w:left w:val="none" w:sz="0" w:space="0" w:color="auto"/>
            <w:bottom w:val="none" w:sz="0" w:space="0" w:color="auto"/>
            <w:right w:val="none" w:sz="0" w:space="0" w:color="auto"/>
          </w:divBdr>
        </w:div>
        <w:div w:id="1251305793">
          <w:marLeft w:val="0"/>
          <w:marRight w:val="0"/>
          <w:marTop w:val="0"/>
          <w:marBottom w:val="0"/>
          <w:divBdr>
            <w:top w:val="none" w:sz="0" w:space="0" w:color="auto"/>
            <w:left w:val="none" w:sz="0" w:space="0" w:color="auto"/>
            <w:bottom w:val="none" w:sz="0" w:space="0" w:color="auto"/>
            <w:right w:val="none" w:sz="0" w:space="0" w:color="auto"/>
          </w:divBdr>
        </w:div>
        <w:div w:id="287203578">
          <w:marLeft w:val="0"/>
          <w:marRight w:val="0"/>
          <w:marTop w:val="0"/>
          <w:marBottom w:val="0"/>
          <w:divBdr>
            <w:top w:val="none" w:sz="0" w:space="0" w:color="auto"/>
            <w:left w:val="none" w:sz="0" w:space="0" w:color="auto"/>
            <w:bottom w:val="none" w:sz="0" w:space="0" w:color="auto"/>
            <w:right w:val="none" w:sz="0" w:space="0" w:color="auto"/>
          </w:divBdr>
        </w:div>
        <w:div w:id="1820419910">
          <w:marLeft w:val="0"/>
          <w:marRight w:val="0"/>
          <w:marTop w:val="0"/>
          <w:marBottom w:val="0"/>
          <w:divBdr>
            <w:top w:val="none" w:sz="0" w:space="0" w:color="auto"/>
            <w:left w:val="none" w:sz="0" w:space="0" w:color="auto"/>
            <w:bottom w:val="none" w:sz="0" w:space="0" w:color="auto"/>
            <w:right w:val="none" w:sz="0" w:space="0" w:color="auto"/>
          </w:divBdr>
        </w:div>
      </w:divsChild>
    </w:div>
    <w:div w:id="123547279">
      <w:bodyDiv w:val="1"/>
      <w:marLeft w:val="0"/>
      <w:marRight w:val="0"/>
      <w:marTop w:val="0"/>
      <w:marBottom w:val="0"/>
      <w:divBdr>
        <w:top w:val="none" w:sz="0" w:space="0" w:color="auto"/>
        <w:left w:val="none" w:sz="0" w:space="0" w:color="auto"/>
        <w:bottom w:val="none" w:sz="0" w:space="0" w:color="auto"/>
        <w:right w:val="none" w:sz="0" w:space="0" w:color="auto"/>
      </w:divBdr>
    </w:div>
    <w:div w:id="123886309">
      <w:bodyDiv w:val="1"/>
      <w:marLeft w:val="0"/>
      <w:marRight w:val="0"/>
      <w:marTop w:val="0"/>
      <w:marBottom w:val="0"/>
      <w:divBdr>
        <w:top w:val="none" w:sz="0" w:space="0" w:color="auto"/>
        <w:left w:val="none" w:sz="0" w:space="0" w:color="auto"/>
        <w:bottom w:val="none" w:sz="0" w:space="0" w:color="auto"/>
        <w:right w:val="none" w:sz="0" w:space="0" w:color="auto"/>
      </w:divBdr>
    </w:div>
    <w:div w:id="143664919">
      <w:bodyDiv w:val="1"/>
      <w:marLeft w:val="0"/>
      <w:marRight w:val="0"/>
      <w:marTop w:val="0"/>
      <w:marBottom w:val="0"/>
      <w:divBdr>
        <w:top w:val="none" w:sz="0" w:space="0" w:color="auto"/>
        <w:left w:val="none" w:sz="0" w:space="0" w:color="auto"/>
        <w:bottom w:val="none" w:sz="0" w:space="0" w:color="auto"/>
        <w:right w:val="none" w:sz="0" w:space="0" w:color="auto"/>
      </w:divBdr>
    </w:div>
    <w:div w:id="144591694">
      <w:bodyDiv w:val="1"/>
      <w:marLeft w:val="0"/>
      <w:marRight w:val="0"/>
      <w:marTop w:val="0"/>
      <w:marBottom w:val="0"/>
      <w:divBdr>
        <w:top w:val="none" w:sz="0" w:space="0" w:color="auto"/>
        <w:left w:val="none" w:sz="0" w:space="0" w:color="auto"/>
        <w:bottom w:val="none" w:sz="0" w:space="0" w:color="auto"/>
        <w:right w:val="none" w:sz="0" w:space="0" w:color="auto"/>
      </w:divBdr>
      <w:divsChild>
        <w:div w:id="1441293302">
          <w:marLeft w:val="0"/>
          <w:marRight w:val="0"/>
          <w:marTop w:val="0"/>
          <w:marBottom w:val="0"/>
          <w:divBdr>
            <w:top w:val="none" w:sz="0" w:space="0" w:color="auto"/>
            <w:left w:val="none" w:sz="0" w:space="0" w:color="auto"/>
            <w:bottom w:val="none" w:sz="0" w:space="0" w:color="auto"/>
            <w:right w:val="none" w:sz="0" w:space="0" w:color="auto"/>
          </w:divBdr>
        </w:div>
        <w:div w:id="198712131">
          <w:marLeft w:val="0"/>
          <w:marRight w:val="0"/>
          <w:marTop w:val="0"/>
          <w:marBottom w:val="0"/>
          <w:divBdr>
            <w:top w:val="none" w:sz="0" w:space="0" w:color="auto"/>
            <w:left w:val="none" w:sz="0" w:space="0" w:color="auto"/>
            <w:bottom w:val="none" w:sz="0" w:space="0" w:color="auto"/>
            <w:right w:val="none" w:sz="0" w:space="0" w:color="auto"/>
          </w:divBdr>
        </w:div>
        <w:div w:id="1619221288">
          <w:marLeft w:val="0"/>
          <w:marRight w:val="0"/>
          <w:marTop w:val="0"/>
          <w:marBottom w:val="0"/>
          <w:divBdr>
            <w:top w:val="none" w:sz="0" w:space="0" w:color="auto"/>
            <w:left w:val="none" w:sz="0" w:space="0" w:color="auto"/>
            <w:bottom w:val="none" w:sz="0" w:space="0" w:color="auto"/>
            <w:right w:val="none" w:sz="0" w:space="0" w:color="auto"/>
          </w:divBdr>
        </w:div>
        <w:div w:id="1092966587">
          <w:marLeft w:val="0"/>
          <w:marRight w:val="0"/>
          <w:marTop w:val="0"/>
          <w:marBottom w:val="0"/>
          <w:divBdr>
            <w:top w:val="none" w:sz="0" w:space="0" w:color="auto"/>
            <w:left w:val="none" w:sz="0" w:space="0" w:color="auto"/>
            <w:bottom w:val="none" w:sz="0" w:space="0" w:color="auto"/>
            <w:right w:val="none" w:sz="0" w:space="0" w:color="auto"/>
          </w:divBdr>
        </w:div>
        <w:div w:id="804470135">
          <w:marLeft w:val="0"/>
          <w:marRight w:val="0"/>
          <w:marTop w:val="0"/>
          <w:marBottom w:val="0"/>
          <w:divBdr>
            <w:top w:val="none" w:sz="0" w:space="0" w:color="auto"/>
            <w:left w:val="none" w:sz="0" w:space="0" w:color="auto"/>
            <w:bottom w:val="none" w:sz="0" w:space="0" w:color="auto"/>
            <w:right w:val="none" w:sz="0" w:space="0" w:color="auto"/>
          </w:divBdr>
        </w:div>
      </w:divsChild>
    </w:div>
    <w:div w:id="149489437">
      <w:bodyDiv w:val="1"/>
      <w:marLeft w:val="0"/>
      <w:marRight w:val="0"/>
      <w:marTop w:val="0"/>
      <w:marBottom w:val="0"/>
      <w:divBdr>
        <w:top w:val="none" w:sz="0" w:space="0" w:color="auto"/>
        <w:left w:val="none" w:sz="0" w:space="0" w:color="auto"/>
        <w:bottom w:val="none" w:sz="0" w:space="0" w:color="auto"/>
        <w:right w:val="none" w:sz="0" w:space="0" w:color="auto"/>
      </w:divBdr>
      <w:divsChild>
        <w:div w:id="1658610969">
          <w:marLeft w:val="0"/>
          <w:marRight w:val="0"/>
          <w:marTop w:val="0"/>
          <w:marBottom w:val="0"/>
          <w:divBdr>
            <w:top w:val="none" w:sz="0" w:space="0" w:color="auto"/>
            <w:left w:val="none" w:sz="0" w:space="0" w:color="auto"/>
            <w:bottom w:val="none" w:sz="0" w:space="0" w:color="auto"/>
            <w:right w:val="none" w:sz="0" w:space="0" w:color="auto"/>
          </w:divBdr>
        </w:div>
        <w:div w:id="56364583">
          <w:marLeft w:val="0"/>
          <w:marRight w:val="0"/>
          <w:marTop w:val="0"/>
          <w:marBottom w:val="0"/>
          <w:divBdr>
            <w:top w:val="none" w:sz="0" w:space="0" w:color="auto"/>
            <w:left w:val="none" w:sz="0" w:space="0" w:color="auto"/>
            <w:bottom w:val="none" w:sz="0" w:space="0" w:color="auto"/>
            <w:right w:val="none" w:sz="0" w:space="0" w:color="auto"/>
          </w:divBdr>
        </w:div>
        <w:div w:id="1821461976">
          <w:marLeft w:val="0"/>
          <w:marRight w:val="0"/>
          <w:marTop w:val="0"/>
          <w:marBottom w:val="0"/>
          <w:divBdr>
            <w:top w:val="none" w:sz="0" w:space="0" w:color="auto"/>
            <w:left w:val="none" w:sz="0" w:space="0" w:color="auto"/>
            <w:bottom w:val="none" w:sz="0" w:space="0" w:color="auto"/>
            <w:right w:val="none" w:sz="0" w:space="0" w:color="auto"/>
          </w:divBdr>
        </w:div>
      </w:divsChild>
    </w:div>
    <w:div w:id="156383480">
      <w:bodyDiv w:val="1"/>
      <w:marLeft w:val="0"/>
      <w:marRight w:val="0"/>
      <w:marTop w:val="0"/>
      <w:marBottom w:val="0"/>
      <w:divBdr>
        <w:top w:val="none" w:sz="0" w:space="0" w:color="auto"/>
        <w:left w:val="none" w:sz="0" w:space="0" w:color="auto"/>
        <w:bottom w:val="none" w:sz="0" w:space="0" w:color="auto"/>
        <w:right w:val="none" w:sz="0" w:space="0" w:color="auto"/>
      </w:divBdr>
    </w:div>
    <w:div w:id="187257385">
      <w:bodyDiv w:val="1"/>
      <w:marLeft w:val="0"/>
      <w:marRight w:val="0"/>
      <w:marTop w:val="0"/>
      <w:marBottom w:val="0"/>
      <w:divBdr>
        <w:top w:val="none" w:sz="0" w:space="0" w:color="auto"/>
        <w:left w:val="none" w:sz="0" w:space="0" w:color="auto"/>
        <w:bottom w:val="none" w:sz="0" w:space="0" w:color="auto"/>
        <w:right w:val="none" w:sz="0" w:space="0" w:color="auto"/>
      </w:divBdr>
    </w:div>
    <w:div w:id="200440869">
      <w:bodyDiv w:val="1"/>
      <w:marLeft w:val="0"/>
      <w:marRight w:val="0"/>
      <w:marTop w:val="0"/>
      <w:marBottom w:val="0"/>
      <w:divBdr>
        <w:top w:val="none" w:sz="0" w:space="0" w:color="auto"/>
        <w:left w:val="none" w:sz="0" w:space="0" w:color="auto"/>
        <w:bottom w:val="none" w:sz="0" w:space="0" w:color="auto"/>
        <w:right w:val="none" w:sz="0" w:space="0" w:color="auto"/>
      </w:divBdr>
    </w:div>
    <w:div w:id="241452091">
      <w:marLeft w:val="0"/>
      <w:marRight w:val="0"/>
      <w:marTop w:val="0"/>
      <w:marBottom w:val="0"/>
      <w:divBdr>
        <w:top w:val="none" w:sz="0" w:space="0" w:color="auto"/>
        <w:left w:val="none" w:sz="0" w:space="0" w:color="auto"/>
        <w:bottom w:val="none" w:sz="0" w:space="0" w:color="auto"/>
        <w:right w:val="none" w:sz="0" w:space="0" w:color="auto"/>
      </w:divBdr>
      <w:divsChild>
        <w:div w:id="1313870172">
          <w:marLeft w:val="0"/>
          <w:marRight w:val="0"/>
          <w:marTop w:val="0"/>
          <w:marBottom w:val="0"/>
          <w:divBdr>
            <w:top w:val="none" w:sz="0" w:space="0" w:color="auto"/>
            <w:left w:val="none" w:sz="0" w:space="0" w:color="auto"/>
            <w:bottom w:val="none" w:sz="0" w:space="0" w:color="auto"/>
            <w:right w:val="none" w:sz="0" w:space="0" w:color="auto"/>
          </w:divBdr>
        </w:div>
      </w:divsChild>
    </w:div>
    <w:div w:id="244994698">
      <w:bodyDiv w:val="1"/>
      <w:marLeft w:val="0"/>
      <w:marRight w:val="0"/>
      <w:marTop w:val="0"/>
      <w:marBottom w:val="0"/>
      <w:divBdr>
        <w:top w:val="none" w:sz="0" w:space="0" w:color="auto"/>
        <w:left w:val="none" w:sz="0" w:space="0" w:color="auto"/>
        <w:bottom w:val="none" w:sz="0" w:space="0" w:color="auto"/>
        <w:right w:val="none" w:sz="0" w:space="0" w:color="auto"/>
      </w:divBdr>
    </w:div>
    <w:div w:id="261381370">
      <w:bodyDiv w:val="1"/>
      <w:marLeft w:val="0"/>
      <w:marRight w:val="0"/>
      <w:marTop w:val="0"/>
      <w:marBottom w:val="0"/>
      <w:divBdr>
        <w:top w:val="none" w:sz="0" w:space="0" w:color="auto"/>
        <w:left w:val="none" w:sz="0" w:space="0" w:color="auto"/>
        <w:bottom w:val="none" w:sz="0" w:space="0" w:color="auto"/>
        <w:right w:val="none" w:sz="0" w:space="0" w:color="auto"/>
      </w:divBdr>
    </w:div>
    <w:div w:id="263272716">
      <w:bodyDiv w:val="1"/>
      <w:marLeft w:val="0"/>
      <w:marRight w:val="0"/>
      <w:marTop w:val="0"/>
      <w:marBottom w:val="0"/>
      <w:divBdr>
        <w:top w:val="none" w:sz="0" w:space="0" w:color="auto"/>
        <w:left w:val="none" w:sz="0" w:space="0" w:color="auto"/>
        <w:bottom w:val="none" w:sz="0" w:space="0" w:color="auto"/>
        <w:right w:val="none" w:sz="0" w:space="0" w:color="auto"/>
      </w:divBdr>
    </w:div>
    <w:div w:id="277374683">
      <w:marLeft w:val="0"/>
      <w:marRight w:val="0"/>
      <w:marTop w:val="0"/>
      <w:marBottom w:val="0"/>
      <w:divBdr>
        <w:top w:val="none" w:sz="0" w:space="0" w:color="auto"/>
        <w:left w:val="none" w:sz="0" w:space="0" w:color="auto"/>
        <w:bottom w:val="none" w:sz="0" w:space="0" w:color="auto"/>
        <w:right w:val="none" w:sz="0" w:space="0" w:color="auto"/>
      </w:divBdr>
      <w:divsChild>
        <w:div w:id="1806311103">
          <w:marLeft w:val="0"/>
          <w:marRight w:val="0"/>
          <w:marTop w:val="0"/>
          <w:marBottom w:val="0"/>
          <w:divBdr>
            <w:top w:val="none" w:sz="0" w:space="0" w:color="auto"/>
            <w:left w:val="none" w:sz="0" w:space="0" w:color="auto"/>
            <w:bottom w:val="none" w:sz="0" w:space="0" w:color="auto"/>
            <w:right w:val="none" w:sz="0" w:space="0" w:color="auto"/>
          </w:divBdr>
        </w:div>
      </w:divsChild>
    </w:div>
    <w:div w:id="281810611">
      <w:bodyDiv w:val="1"/>
      <w:marLeft w:val="0"/>
      <w:marRight w:val="0"/>
      <w:marTop w:val="0"/>
      <w:marBottom w:val="0"/>
      <w:divBdr>
        <w:top w:val="none" w:sz="0" w:space="0" w:color="auto"/>
        <w:left w:val="none" w:sz="0" w:space="0" w:color="auto"/>
        <w:bottom w:val="none" w:sz="0" w:space="0" w:color="auto"/>
        <w:right w:val="none" w:sz="0" w:space="0" w:color="auto"/>
      </w:divBdr>
    </w:div>
    <w:div w:id="288359405">
      <w:bodyDiv w:val="1"/>
      <w:marLeft w:val="0"/>
      <w:marRight w:val="0"/>
      <w:marTop w:val="0"/>
      <w:marBottom w:val="0"/>
      <w:divBdr>
        <w:top w:val="none" w:sz="0" w:space="0" w:color="auto"/>
        <w:left w:val="none" w:sz="0" w:space="0" w:color="auto"/>
        <w:bottom w:val="none" w:sz="0" w:space="0" w:color="auto"/>
        <w:right w:val="none" w:sz="0" w:space="0" w:color="auto"/>
      </w:divBdr>
      <w:divsChild>
        <w:div w:id="1075055740">
          <w:marLeft w:val="0"/>
          <w:marRight w:val="0"/>
          <w:marTop w:val="0"/>
          <w:marBottom w:val="0"/>
          <w:divBdr>
            <w:top w:val="none" w:sz="0" w:space="0" w:color="auto"/>
            <w:left w:val="none" w:sz="0" w:space="0" w:color="auto"/>
            <w:bottom w:val="none" w:sz="0" w:space="0" w:color="auto"/>
            <w:right w:val="none" w:sz="0" w:space="0" w:color="auto"/>
          </w:divBdr>
          <w:divsChild>
            <w:div w:id="2063752714">
              <w:marLeft w:val="0"/>
              <w:marRight w:val="0"/>
              <w:marTop w:val="0"/>
              <w:marBottom w:val="0"/>
              <w:divBdr>
                <w:top w:val="none" w:sz="0" w:space="0" w:color="auto"/>
                <w:left w:val="none" w:sz="0" w:space="0" w:color="auto"/>
                <w:bottom w:val="none" w:sz="0" w:space="0" w:color="auto"/>
                <w:right w:val="none" w:sz="0" w:space="0" w:color="auto"/>
              </w:divBdr>
            </w:div>
          </w:divsChild>
        </w:div>
        <w:div w:id="1654791183">
          <w:marLeft w:val="0"/>
          <w:marRight w:val="0"/>
          <w:marTop w:val="0"/>
          <w:marBottom w:val="0"/>
          <w:divBdr>
            <w:top w:val="none" w:sz="0" w:space="0" w:color="auto"/>
            <w:left w:val="none" w:sz="0" w:space="0" w:color="auto"/>
            <w:bottom w:val="none" w:sz="0" w:space="0" w:color="auto"/>
            <w:right w:val="none" w:sz="0" w:space="0" w:color="auto"/>
          </w:divBdr>
          <w:divsChild>
            <w:div w:id="1954634380">
              <w:marLeft w:val="0"/>
              <w:marRight w:val="0"/>
              <w:marTop w:val="0"/>
              <w:marBottom w:val="0"/>
              <w:divBdr>
                <w:top w:val="none" w:sz="0" w:space="0" w:color="auto"/>
                <w:left w:val="none" w:sz="0" w:space="0" w:color="auto"/>
                <w:bottom w:val="none" w:sz="0" w:space="0" w:color="auto"/>
                <w:right w:val="none" w:sz="0" w:space="0" w:color="auto"/>
              </w:divBdr>
            </w:div>
          </w:divsChild>
        </w:div>
        <w:div w:id="1785080084">
          <w:marLeft w:val="0"/>
          <w:marRight w:val="0"/>
          <w:marTop w:val="0"/>
          <w:marBottom w:val="0"/>
          <w:divBdr>
            <w:top w:val="none" w:sz="0" w:space="0" w:color="auto"/>
            <w:left w:val="none" w:sz="0" w:space="0" w:color="auto"/>
            <w:bottom w:val="none" w:sz="0" w:space="0" w:color="auto"/>
            <w:right w:val="none" w:sz="0" w:space="0" w:color="auto"/>
          </w:divBdr>
          <w:divsChild>
            <w:div w:id="2019770819">
              <w:marLeft w:val="0"/>
              <w:marRight w:val="0"/>
              <w:marTop w:val="0"/>
              <w:marBottom w:val="0"/>
              <w:divBdr>
                <w:top w:val="none" w:sz="0" w:space="0" w:color="auto"/>
                <w:left w:val="none" w:sz="0" w:space="0" w:color="auto"/>
                <w:bottom w:val="none" w:sz="0" w:space="0" w:color="auto"/>
                <w:right w:val="none" w:sz="0" w:space="0" w:color="auto"/>
              </w:divBdr>
            </w:div>
          </w:divsChild>
        </w:div>
        <w:div w:id="2053840091">
          <w:marLeft w:val="0"/>
          <w:marRight w:val="0"/>
          <w:marTop w:val="0"/>
          <w:marBottom w:val="0"/>
          <w:divBdr>
            <w:top w:val="none" w:sz="0" w:space="0" w:color="auto"/>
            <w:left w:val="none" w:sz="0" w:space="0" w:color="auto"/>
            <w:bottom w:val="none" w:sz="0" w:space="0" w:color="auto"/>
            <w:right w:val="none" w:sz="0" w:space="0" w:color="auto"/>
          </w:divBdr>
          <w:divsChild>
            <w:div w:id="1945452975">
              <w:marLeft w:val="0"/>
              <w:marRight w:val="0"/>
              <w:marTop w:val="0"/>
              <w:marBottom w:val="0"/>
              <w:divBdr>
                <w:top w:val="none" w:sz="0" w:space="0" w:color="auto"/>
                <w:left w:val="none" w:sz="0" w:space="0" w:color="auto"/>
                <w:bottom w:val="none" w:sz="0" w:space="0" w:color="auto"/>
                <w:right w:val="none" w:sz="0" w:space="0" w:color="auto"/>
              </w:divBdr>
            </w:div>
          </w:divsChild>
        </w:div>
        <w:div w:id="896016964">
          <w:marLeft w:val="0"/>
          <w:marRight w:val="0"/>
          <w:marTop w:val="0"/>
          <w:marBottom w:val="0"/>
          <w:divBdr>
            <w:top w:val="none" w:sz="0" w:space="0" w:color="auto"/>
            <w:left w:val="none" w:sz="0" w:space="0" w:color="auto"/>
            <w:bottom w:val="none" w:sz="0" w:space="0" w:color="auto"/>
            <w:right w:val="none" w:sz="0" w:space="0" w:color="auto"/>
          </w:divBdr>
          <w:divsChild>
            <w:div w:id="184908453">
              <w:marLeft w:val="0"/>
              <w:marRight w:val="0"/>
              <w:marTop w:val="0"/>
              <w:marBottom w:val="0"/>
              <w:divBdr>
                <w:top w:val="none" w:sz="0" w:space="0" w:color="auto"/>
                <w:left w:val="none" w:sz="0" w:space="0" w:color="auto"/>
                <w:bottom w:val="none" w:sz="0" w:space="0" w:color="auto"/>
                <w:right w:val="none" w:sz="0" w:space="0" w:color="auto"/>
              </w:divBdr>
            </w:div>
          </w:divsChild>
        </w:div>
        <w:div w:id="425078975">
          <w:marLeft w:val="0"/>
          <w:marRight w:val="0"/>
          <w:marTop w:val="0"/>
          <w:marBottom w:val="0"/>
          <w:divBdr>
            <w:top w:val="none" w:sz="0" w:space="0" w:color="auto"/>
            <w:left w:val="none" w:sz="0" w:space="0" w:color="auto"/>
            <w:bottom w:val="none" w:sz="0" w:space="0" w:color="auto"/>
            <w:right w:val="none" w:sz="0" w:space="0" w:color="auto"/>
          </w:divBdr>
          <w:divsChild>
            <w:div w:id="479813909">
              <w:marLeft w:val="0"/>
              <w:marRight w:val="0"/>
              <w:marTop w:val="0"/>
              <w:marBottom w:val="0"/>
              <w:divBdr>
                <w:top w:val="none" w:sz="0" w:space="0" w:color="auto"/>
                <w:left w:val="none" w:sz="0" w:space="0" w:color="auto"/>
                <w:bottom w:val="none" w:sz="0" w:space="0" w:color="auto"/>
                <w:right w:val="none" w:sz="0" w:space="0" w:color="auto"/>
              </w:divBdr>
            </w:div>
          </w:divsChild>
        </w:div>
        <w:div w:id="877157668">
          <w:marLeft w:val="0"/>
          <w:marRight w:val="0"/>
          <w:marTop w:val="0"/>
          <w:marBottom w:val="0"/>
          <w:divBdr>
            <w:top w:val="none" w:sz="0" w:space="0" w:color="auto"/>
            <w:left w:val="none" w:sz="0" w:space="0" w:color="auto"/>
            <w:bottom w:val="none" w:sz="0" w:space="0" w:color="auto"/>
            <w:right w:val="none" w:sz="0" w:space="0" w:color="auto"/>
          </w:divBdr>
          <w:divsChild>
            <w:div w:id="947396021">
              <w:marLeft w:val="0"/>
              <w:marRight w:val="0"/>
              <w:marTop w:val="0"/>
              <w:marBottom w:val="0"/>
              <w:divBdr>
                <w:top w:val="none" w:sz="0" w:space="0" w:color="auto"/>
                <w:left w:val="none" w:sz="0" w:space="0" w:color="auto"/>
                <w:bottom w:val="none" w:sz="0" w:space="0" w:color="auto"/>
                <w:right w:val="none" w:sz="0" w:space="0" w:color="auto"/>
              </w:divBdr>
            </w:div>
          </w:divsChild>
        </w:div>
        <w:div w:id="1362781251">
          <w:marLeft w:val="0"/>
          <w:marRight w:val="0"/>
          <w:marTop w:val="0"/>
          <w:marBottom w:val="0"/>
          <w:divBdr>
            <w:top w:val="none" w:sz="0" w:space="0" w:color="auto"/>
            <w:left w:val="none" w:sz="0" w:space="0" w:color="auto"/>
            <w:bottom w:val="none" w:sz="0" w:space="0" w:color="auto"/>
            <w:right w:val="none" w:sz="0" w:space="0" w:color="auto"/>
          </w:divBdr>
          <w:divsChild>
            <w:div w:id="1514144887">
              <w:marLeft w:val="0"/>
              <w:marRight w:val="0"/>
              <w:marTop w:val="0"/>
              <w:marBottom w:val="0"/>
              <w:divBdr>
                <w:top w:val="none" w:sz="0" w:space="0" w:color="auto"/>
                <w:left w:val="none" w:sz="0" w:space="0" w:color="auto"/>
                <w:bottom w:val="none" w:sz="0" w:space="0" w:color="auto"/>
                <w:right w:val="none" w:sz="0" w:space="0" w:color="auto"/>
              </w:divBdr>
            </w:div>
          </w:divsChild>
        </w:div>
        <w:div w:id="69237975">
          <w:marLeft w:val="0"/>
          <w:marRight w:val="0"/>
          <w:marTop w:val="0"/>
          <w:marBottom w:val="0"/>
          <w:divBdr>
            <w:top w:val="none" w:sz="0" w:space="0" w:color="auto"/>
            <w:left w:val="none" w:sz="0" w:space="0" w:color="auto"/>
            <w:bottom w:val="none" w:sz="0" w:space="0" w:color="auto"/>
            <w:right w:val="none" w:sz="0" w:space="0" w:color="auto"/>
          </w:divBdr>
          <w:divsChild>
            <w:div w:id="19166460">
              <w:marLeft w:val="0"/>
              <w:marRight w:val="0"/>
              <w:marTop w:val="0"/>
              <w:marBottom w:val="0"/>
              <w:divBdr>
                <w:top w:val="none" w:sz="0" w:space="0" w:color="auto"/>
                <w:left w:val="none" w:sz="0" w:space="0" w:color="auto"/>
                <w:bottom w:val="none" w:sz="0" w:space="0" w:color="auto"/>
                <w:right w:val="none" w:sz="0" w:space="0" w:color="auto"/>
              </w:divBdr>
            </w:div>
          </w:divsChild>
        </w:div>
        <w:div w:id="213346573">
          <w:marLeft w:val="0"/>
          <w:marRight w:val="0"/>
          <w:marTop w:val="0"/>
          <w:marBottom w:val="0"/>
          <w:divBdr>
            <w:top w:val="none" w:sz="0" w:space="0" w:color="auto"/>
            <w:left w:val="none" w:sz="0" w:space="0" w:color="auto"/>
            <w:bottom w:val="none" w:sz="0" w:space="0" w:color="auto"/>
            <w:right w:val="none" w:sz="0" w:space="0" w:color="auto"/>
          </w:divBdr>
          <w:divsChild>
            <w:div w:id="16388931">
              <w:marLeft w:val="0"/>
              <w:marRight w:val="0"/>
              <w:marTop w:val="0"/>
              <w:marBottom w:val="0"/>
              <w:divBdr>
                <w:top w:val="none" w:sz="0" w:space="0" w:color="auto"/>
                <w:left w:val="none" w:sz="0" w:space="0" w:color="auto"/>
                <w:bottom w:val="none" w:sz="0" w:space="0" w:color="auto"/>
                <w:right w:val="none" w:sz="0" w:space="0" w:color="auto"/>
              </w:divBdr>
            </w:div>
          </w:divsChild>
        </w:div>
        <w:div w:id="842234032">
          <w:marLeft w:val="0"/>
          <w:marRight w:val="0"/>
          <w:marTop w:val="0"/>
          <w:marBottom w:val="0"/>
          <w:divBdr>
            <w:top w:val="none" w:sz="0" w:space="0" w:color="auto"/>
            <w:left w:val="none" w:sz="0" w:space="0" w:color="auto"/>
            <w:bottom w:val="none" w:sz="0" w:space="0" w:color="auto"/>
            <w:right w:val="none" w:sz="0" w:space="0" w:color="auto"/>
          </w:divBdr>
          <w:divsChild>
            <w:div w:id="1351688039">
              <w:marLeft w:val="0"/>
              <w:marRight w:val="0"/>
              <w:marTop w:val="0"/>
              <w:marBottom w:val="0"/>
              <w:divBdr>
                <w:top w:val="none" w:sz="0" w:space="0" w:color="auto"/>
                <w:left w:val="none" w:sz="0" w:space="0" w:color="auto"/>
                <w:bottom w:val="none" w:sz="0" w:space="0" w:color="auto"/>
                <w:right w:val="none" w:sz="0" w:space="0" w:color="auto"/>
              </w:divBdr>
            </w:div>
          </w:divsChild>
        </w:div>
        <w:div w:id="126363260">
          <w:marLeft w:val="0"/>
          <w:marRight w:val="0"/>
          <w:marTop w:val="0"/>
          <w:marBottom w:val="0"/>
          <w:divBdr>
            <w:top w:val="none" w:sz="0" w:space="0" w:color="auto"/>
            <w:left w:val="none" w:sz="0" w:space="0" w:color="auto"/>
            <w:bottom w:val="none" w:sz="0" w:space="0" w:color="auto"/>
            <w:right w:val="none" w:sz="0" w:space="0" w:color="auto"/>
          </w:divBdr>
          <w:divsChild>
            <w:div w:id="386999532">
              <w:marLeft w:val="0"/>
              <w:marRight w:val="0"/>
              <w:marTop w:val="0"/>
              <w:marBottom w:val="0"/>
              <w:divBdr>
                <w:top w:val="none" w:sz="0" w:space="0" w:color="auto"/>
                <w:left w:val="none" w:sz="0" w:space="0" w:color="auto"/>
                <w:bottom w:val="none" w:sz="0" w:space="0" w:color="auto"/>
                <w:right w:val="none" w:sz="0" w:space="0" w:color="auto"/>
              </w:divBdr>
            </w:div>
          </w:divsChild>
        </w:div>
        <w:div w:id="1597440878">
          <w:marLeft w:val="0"/>
          <w:marRight w:val="0"/>
          <w:marTop w:val="0"/>
          <w:marBottom w:val="0"/>
          <w:divBdr>
            <w:top w:val="none" w:sz="0" w:space="0" w:color="auto"/>
            <w:left w:val="none" w:sz="0" w:space="0" w:color="auto"/>
            <w:bottom w:val="none" w:sz="0" w:space="0" w:color="auto"/>
            <w:right w:val="none" w:sz="0" w:space="0" w:color="auto"/>
          </w:divBdr>
          <w:divsChild>
            <w:div w:id="1829520748">
              <w:marLeft w:val="0"/>
              <w:marRight w:val="0"/>
              <w:marTop w:val="0"/>
              <w:marBottom w:val="0"/>
              <w:divBdr>
                <w:top w:val="none" w:sz="0" w:space="0" w:color="auto"/>
                <w:left w:val="none" w:sz="0" w:space="0" w:color="auto"/>
                <w:bottom w:val="none" w:sz="0" w:space="0" w:color="auto"/>
                <w:right w:val="none" w:sz="0" w:space="0" w:color="auto"/>
              </w:divBdr>
            </w:div>
          </w:divsChild>
        </w:div>
        <w:div w:id="1342467697">
          <w:marLeft w:val="0"/>
          <w:marRight w:val="0"/>
          <w:marTop w:val="0"/>
          <w:marBottom w:val="0"/>
          <w:divBdr>
            <w:top w:val="none" w:sz="0" w:space="0" w:color="auto"/>
            <w:left w:val="none" w:sz="0" w:space="0" w:color="auto"/>
            <w:bottom w:val="none" w:sz="0" w:space="0" w:color="auto"/>
            <w:right w:val="none" w:sz="0" w:space="0" w:color="auto"/>
          </w:divBdr>
          <w:divsChild>
            <w:div w:id="603997217">
              <w:marLeft w:val="0"/>
              <w:marRight w:val="0"/>
              <w:marTop w:val="0"/>
              <w:marBottom w:val="0"/>
              <w:divBdr>
                <w:top w:val="none" w:sz="0" w:space="0" w:color="auto"/>
                <w:left w:val="none" w:sz="0" w:space="0" w:color="auto"/>
                <w:bottom w:val="none" w:sz="0" w:space="0" w:color="auto"/>
                <w:right w:val="none" w:sz="0" w:space="0" w:color="auto"/>
              </w:divBdr>
            </w:div>
          </w:divsChild>
        </w:div>
        <w:div w:id="826437673">
          <w:marLeft w:val="0"/>
          <w:marRight w:val="0"/>
          <w:marTop w:val="0"/>
          <w:marBottom w:val="0"/>
          <w:divBdr>
            <w:top w:val="none" w:sz="0" w:space="0" w:color="auto"/>
            <w:left w:val="none" w:sz="0" w:space="0" w:color="auto"/>
            <w:bottom w:val="none" w:sz="0" w:space="0" w:color="auto"/>
            <w:right w:val="none" w:sz="0" w:space="0" w:color="auto"/>
          </w:divBdr>
          <w:divsChild>
            <w:div w:id="8145503">
              <w:marLeft w:val="0"/>
              <w:marRight w:val="0"/>
              <w:marTop w:val="0"/>
              <w:marBottom w:val="0"/>
              <w:divBdr>
                <w:top w:val="none" w:sz="0" w:space="0" w:color="auto"/>
                <w:left w:val="none" w:sz="0" w:space="0" w:color="auto"/>
                <w:bottom w:val="none" w:sz="0" w:space="0" w:color="auto"/>
                <w:right w:val="none" w:sz="0" w:space="0" w:color="auto"/>
              </w:divBdr>
            </w:div>
          </w:divsChild>
        </w:div>
        <w:div w:id="538204409">
          <w:marLeft w:val="0"/>
          <w:marRight w:val="0"/>
          <w:marTop w:val="0"/>
          <w:marBottom w:val="0"/>
          <w:divBdr>
            <w:top w:val="none" w:sz="0" w:space="0" w:color="auto"/>
            <w:left w:val="none" w:sz="0" w:space="0" w:color="auto"/>
            <w:bottom w:val="none" w:sz="0" w:space="0" w:color="auto"/>
            <w:right w:val="none" w:sz="0" w:space="0" w:color="auto"/>
          </w:divBdr>
          <w:divsChild>
            <w:div w:id="1957252769">
              <w:marLeft w:val="0"/>
              <w:marRight w:val="0"/>
              <w:marTop w:val="0"/>
              <w:marBottom w:val="0"/>
              <w:divBdr>
                <w:top w:val="none" w:sz="0" w:space="0" w:color="auto"/>
                <w:left w:val="none" w:sz="0" w:space="0" w:color="auto"/>
                <w:bottom w:val="none" w:sz="0" w:space="0" w:color="auto"/>
                <w:right w:val="none" w:sz="0" w:space="0" w:color="auto"/>
              </w:divBdr>
            </w:div>
          </w:divsChild>
        </w:div>
        <w:div w:id="787242643">
          <w:marLeft w:val="0"/>
          <w:marRight w:val="0"/>
          <w:marTop w:val="0"/>
          <w:marBottom w:val="0"/>
          <w:divBdr>
            <w:top w:val="none" w:sz="0" w:space="0" w:color="auto"/>
            <w:left w:val="none" w:sz="0" w:space="0" w:color="auto"/>
            <w:bottom w:val="none" w:sz="0" w:space="0" w:color="auto"/>
            <w:right w:val="none" w:sz="0" w:space="0" w:color="auto"/>
          </w:divBdr>
          <w:divsChild>
            <w:div w:id="1559366424">
              <w:marLeft w:val="0"/>
              <w:marRight w:val="0"/>
              <w:marTop w:val="0"/>
              <w:marBottom w:val="0"/>
              <w:divBdr>
                <w:top w:val="none" w:sz="0" w:space="0" w:color="auto"/>
                <w:left w:val="none" w:sz="0" w:space="0" w:color="auto"/>
                <w:bottom w:val="none" w:sz="0" w:space="0" w:color="auto"/>
                <w:right w:val="none" w:sz="0" w:space="0" w:color="auto"/>
              </w:divBdr>
            </w:div>
          </w:divsChild>
        </w:div>
        <w:div w:id="654603869">
          <w:marLeft w:val="0"/>
          <w:marRight w:val="0"/>
          <w:marTop w:val="0"/>
          <w:marBottom w:val="0"/>
          <w:divBdr>
            <w:top w:val="none" w:sz="0" w:space="0" w:color="auto"/>
            <w:left w:val="none" w:sz="0" w:space="0" w:color="auto"/>
            <w:bottom w:val="none" w:sz="0" w:space="0" w:color="auto"/>
            <w:right w:val="none" w:sz="0" w:space="0" w:color="auto"/>
          </w:divBdr>
          <w:divsChild>
            <w:div w:id="1098524102">
              <w:marLeft w:val="0"/>
              <w:marRight w:val="0"/>
              <w:marTop w:val="0"/>
              <w:marBottom w:val="0"/>
              <w:divBdr>
                <w:top w:val="none" w:sz="0" w:space="0" w:color="auto"/>
                <w:left w:val="none" w:sz="0" w:space="0" w:color="auto"/>
                <w:bottom w:val="none" w:sz="0" w:space="0" w:color="auto"/>
                <w:right w:val="none" w:sz="0" w:space="0" w:color="auto"/>
              </w:divBdr>
            </w:div>
          </w:divsChild>
        </w:div>
        <w:div w:id="572544221">
          <w:marLeft w:val="0"/>
          <w:marRight w:val="0"/>
          <w:marTop w:val="0"/>
          <w:marBottom w:val="0"/>
          <w:divBdr>
            <w:top w:val="none" w:sz="0" w:space="0" w:color="auto"/>
            <w:left w:val="none" w:sz="0" w:space="0" w:color="auto"/>
            <w:bottom w:val="none" w:sz="0" w:space="0" w:color="auto"/>
            <w:right w:val="none" w:sz="0" w:space="0" w:color="auto"/>
          </w:divBdr>
          <w:divsChild>
            <w:div w:id="1972444990">
              <w:marLeft w:val="0"/>
              <w:marRight w:val="0"/>
              <w:marTop w:val="0"/>
              <w:marBottom w:val="0"/>
              <w:divBdr>
                <w:top w:val="none" w:sz="0" w:space="0" w:color="auto"/>
                <w:left w:val="none" w:sz="0" w:space="0" w:color="auto"/>
                <w:bottom w:val="none" w:sz="0" w:space="0" w:color="auto"/>
                <w:right w:val="none" w:sz="0" w:space="0" w:color="auto"/>
              </w:divBdr>
            </w:div>
          </w:divsChild>
        </w:div>
        <w:div w:id="203100715">
          <w:marLeft w:val="0"/>
          <w:marRight w:val="0"/>
          <w:marTop w:val="0"/>
          <w:marBottom w:val="0"/>
          <w:divBdr>
            <w:top w:val="none" w:sz="0" w:space="0" w:color="auto"/>
            <w:left w:val="none" w:sz="0" w:space="0" w:color="auto"/>
            <w:bottom w:val="none" w:sz="0" w:space="0" w:color="auto"/>
            <w:right w:val="none" w:sz="0" w:space="0" w:color="auto"/>
          </w:divBdr>
          <w:divsChild>
            <w:div w:id="915018080">
              <w:marLeft w:val="0"/>
              <w:marRight w:val="0"/>
              <w:marTop w:val="0"/>
              <w:marBottom w:val="0"/>
              <w:divBdr>
                <w:top w:val="none" w:sz="0" w:space="0" w:color="auto"/>
                <w:left w:val="none" w:sz="0" w:space="0" w:color="auto"/>
                <w:bottom w:val="none" w:sz="0" w:space="0" w:color="auto"/>
                <w:right w:val="none" w:sz="0" w:space="0" w:color="auto"/>
              </w:divBdr>
            </w:div>
          </w:divsChild>
        </w:div>
        <w:div w:id="603348664">
          <w:marLeft w:val="0"/>
          <w:marRight w:val="0"/>
          <w:marTop w:val="0"/>
          <w:marBottom w:val="0"/>
          <w:divBdr>
            <w:top w:val="none" w:sz="0" w:space="0" w:color="auto"/>
            <w:left w:val="none" w:sz="0" w:space="0" w:color="auto"/>
            <w:bottom w:val="none" w:sz="0" w:space="0" w:color="auto"/>
            <w:right w:val="none" w:sz="0" w:space="0" w:color="auto"/>
          </w:divBdr>
          <w:divsChild>
            <w:div w:id="397828894">
              <w:marLeft w:val="0"/>
              <w:marRight w:val="0"/>
              <w:marTop w:val="0"/>
              <w:marBottom w:val="0"/>
              <w:divBdr>
                <w:top w:val="none" w:sz="0" w:space="0" w:color="auto"/>
                <w:left w:val="none" w:sz="0" w:space="0" w:color="auto"/>
                <w:bottom w:val="none" w:sz="0" w:space="0" w:color="auto"/>
                <w:right w:val="none" w:sz="0" w:space="0" w:color="auto"/>
              </w:divBdr>
            </w:div>
          </w:divsChild>
        </w:div>
        <w:div w:id="112134984">
          <w:marLeft w:val="0"/>
          <w:marRight w:val="0"/>
          <w:marTop w:val="0"/>
          <w:marBottom w:val="0"/>
          <w:divBdr>
            <w:top w:val="none" w:sz="0" w:space="0" w:color="auto"/>
            <w:left w:val="none" w:sz="0" w:space="0" w:color="auto"/>
            <w:bottom w:val="none" w:sz="0" w:space="0" w:color="auto"/>
            <w:right w:val="none" w:sz="0" w:space="0" w:color="auto"/>
          </w:divBdr>
          <w:divsChild>
            <w:div w:id="1771394254">
              <w:marLeft w:val="0"/>
              <w:marRight w:val="0"/>
              <w:marTop w:val="0"/>
              <w:marBottom w:val="0"/>
              <w:divBdr>
                <w:top w:val="none" w:sz="0" w:space="0" w:color="auto"/>
                <w:left w:val="none" w:sz="0" w:space="0" w:color="auto"/>
                <w:bottom w:val="none" w:sz="0" w:space="0" w:color="auto"/>
                <w:right w:val="none" w:sz="0" w:space="0" w:color="auto"/>
              </w:divBdr>
            </w:div>
          </w:divsChild>
        </w:div>
        <w:div w:id="1961642318">
          <w:marLeft w:val="0"/>
          <w:marRight w:val="0"/>
          <w:marTop w:val="0"/>
          <w:marBottom w:val="0"/>
          <w:divBdr>
            <w:top w:val="none" w:sz="0" w:space="0" w:color="auto"/>
            <w:left w:val="none" w:sz="0" w:space="0" w:color="auto"/>
            <w:bottom w:val="none" w:sz="0" w:space="0" w:color="auto"/>
            <w:right w:val="none" w:sz="0" w:space="0" w:color="auto"/>
          </w:divBdr>
          <w:divsChild>
            <w:div w:id="1219122832">
              <w:marLeft w:val="0"/>
              <w:marRight w:val="0"/>
              <w:marTop w:val="0"/>
              <w:marBottom w:val="0"/>
              <w:divBdr>
                <w:top w:val="none" w:sz="0" w:space="0" w:color="auto"/>
                <w:left w:val="none" w:sz="0" w:space="0" w:color="auto"/>
                <w:bottom w:val="none" w:sz="0" w:space="0" w:color="auto"/>
                <w:right w:val="none" w:sz="0" w:space="0" w:color="auto"/>
              </w:divBdr>
            </w:div>
          </w:divsChild>
        </w:div>
        <w:div w:id="1071004030">
          <w:marLeft w:val="0"/>
          <w:marRight w:val="0"/>
          <w:marTop w:val="0"/>
          <w:marBottom w:val="0"/>
          <w:divBdr>
            <w:top w:val="none" w:sz="0" w:space="0" w:color="auto"/>
            <w:left w:val="none" w:sz="0" w:space="0" w:color="auto"/>
            <w:bottom w:val="none" w:sz="0" w:space="0" w:color="auto"/>
            <w:right w:val="none" w:sz="0" w:space="0" w:color="auto"/>
          </w:divBdr>
          <w:divsChild>
            <w:div w:id="1547447454">
              <w:marLeft w:val="0"/>
              <w:marRight w:val="0"/>
              <w:marTop w:val="0"/>
              <w:marBottom w:val="0"/>
              <w:divBdr>
                <w:top w:val="none" w:sz="0" w:space="0" w:color="auto"/>
                <w:left w:val="none" w:sz="0" w:space="0" w:color="auto"/>
                <w:bottom w:val="none" w:sz="0" w:space="0" w:color="auto"/>
                <w:right w:val="none" w:sz="0" w:space="0" w:color="auto"/>
              </w:divBdr>
            </w:div>
          </w:divsChild>
        </w:div>
        <w:div w:id="220215557">
          <w:marLeft w:val="0"/>
          <w:marRight w:val="0"/>
          <w:marTop w:val="0"/>
          <w:marBottom w:val="0"/>
          <w:divBdr>
            <w:top w:val="none" w:sz="0" w:space="0" w:color="auto"/>
            <w:left w:val="none" w:sz="0" w:space="0" w:color="auto"/>
            <w:bottom w:val="none" w:sz="0" w:space="0" w:color="auto"/>
            <w:right w:val="none" w:sz="0" w:space="0" w:color="auto"/>
          </w:divBdr>
          <w:divsChild>
            <w:div w:id="763308429">
              <w:marLeft w:val="0"/>
              <w:marRight w:val="0"/>
              <w:marTop w:val="0"/>
              <w:marBottom w:val="0"/>
              <w:divBdr>
                <w:top w:val="none" w:sz="0" w:space="0" w:color="auto"/>
                <w:left w:val="none" w:sz="0" w:space="0" w:color="auto"/>
                <w:bottom w:val="none" w:sz="0" w:space="0" w:color="auto"/>
                <w:right w:val="none" w:sz="0" w:space="0" w:color="auto"/>
              </w:divBdr>
            </w:div>
          </w:divsChild>
        </w:div>
        <w:div w:id="786120131">
          <w:marLeft w:val="0"/>
          <w:marRight w:val="0"/>
          <w:marTop w:val="0"/>
          <w:marBottom w:val="0"/>
          <w:divBdr>
            <w:top w:val="none" w:sz="0" w:space="0" w:color="auto"/>
            <w:left w:val="none" w:sz="0" w:space="0" w:color="auto"/>
            <w:bottom w:val="none" w:sz="0" w:space="0" w:color="auto"/>
            <w:right w:val="none" w:sz="0" w:space="0" w:color="auto"/>
          </w:divBdr>
          <w:divsChild>
            <w:div w:id="527792855">
              <w:marLeft w:val="0"/>
              <w:marRight w:val="0"/>
              <w:marTop w:val="0"/>
              <w:marBottom w:val="0"/>
              <w:divBdr>
                <w:top w:val="none" w:sz="0" w:space="0" w:color="auto"/>
                <w:left w:val="none" w:sz="0" w:space="0" w:color="auto"/>
                <w:bottom w:val="none" w:sz="0" w:space="0" w:color="auto"/>
                <w:right w:val="none" w:sz="0" w:space="0" w:color="auto"/>
              </w:divBdr>
            </w:div>
          </w:divsChild>
        </w:div>
        <w:div w:id="450591559">
          <w:marLeft w:val="0"/>
          <w:marRight w:val="0"/>
          <w:marTop w:val="0"/>
          <w:marBottom w:val="0"/>
          <w:divBdr>
            <w:top w:val="none" w:sz="0" w:space="0" w:color="auto"/>
            <w:left w:val="none" w:sz="0" w:space="0" w:color="auto"/>
            <w:bottom w:val="none" w:sz="0" w:space="0" w:color="auto"/>
            <w:right w:val="none" w:sz="0" w:space="0" w:color="auto"/>
          </w:divBdr>
          <w:divsChild>
            <w:div w:id="1770391593">
              <w:marLeft w:val="0"/>
              <w:marRight w:val="0"/>
              <w:marTop w:val="0"/>
              <w:marBottom w:val="0"/>
              <w:divBdr>
                <w:top w:val="none" w:sz="0" w:space="0" w:color="auto"/>
                <w:left w:val="none" w:sz="0" w:space="0" w:color="auto"/>
                <w:bottom w:val="none" w:sz="0" w:space="0" w:color="auto"/>
                <w:right w:val="none" w:sz="0" w:space="0" w:color="auto"/>
              </w:divBdr>
            </w:div>
          </w:divsChild>
        </w:div>
        <w:div w:id="1562597472">
          <w:marLeft w:val="0"/>
          <w:marRight w:val="0"/>
          <w:marTop w:val="0"/>
          <w:marBottom w:val="0"/>
          <w:divBdr>
            <w:top w:val="none" w:sz="0" w:space="0" w:color="auto"/>
            <w:left w:val="none" w:sz="0" w:space="0" w:color="auto"/>
            <w:bottom w:val="none" w:sz="0" w:space="0" w:color="auto"/>
            <w:right w:val="none" w:sz="0" w:space="0" w:color="auto"/>
          </w:divBdr>
          <w:divsChild>
            <w:div w:id="183373030">
              <w:marLeft w:val="0"/>
              <w:marRight w:val="0"/>
              <w:marTop w:val="0"/>
              <w:marBottom w:val="0"/>
              <w:divBdr>
                <w:top w:val="none" w:sz="0" w:space="0" w:color="auto"/>
                <w:left w:val="none" w:sz="0" w:space="0" w:color="auto"/>
                <w:bottom w:val="none" w:sz="0" w:space="0" w:color="auto"/>
                <w:right w:val="none" w:sz="0" w:space="0" w:color="auto"/>
              </w:divBdr>
            </w:div>
          </w:divsChild>
        </w:div>
        <w:div w:id="1903635643">
          <w:marLeft w:val="0"/>
          <w:marRight w:val="0"/>
          <w:marTop w:val="0"/>
          <w:marBottom w:val="0"/>
          <w:divBdr>
            <w:top w:val="none" w:sz="0" w:space="0" w:color="auto"/>
            <w:left w:val="none" w:sz="0" w:space="0" w:color="auto"/>
            <w:bottom w:val="none" w:sz="0" w:space="0" w:color="auto"/>
            <w:right w:val="none" w:sz="0" w:space="0" w:color="auto"/>
          </w:divBdr>
          <w:divsChild>
            <w:div w:id="1963609907">
              <w:marLeft w:val="0"/>
              <w:marRight w:val="0"/>
              <w:marTop w:val="0"/>
              <w:marBottom w:val="0"/>
              <w:divBdr>
                <w:top w:val="none" w:sz="0" w:space="0" w:color="auto"/>
                <w:left w:val="none" w:sz="0" w:space="0" w:color="auto"/>
                <w:bottom w:val="none" w:sz="0" w:space="0" w:color="auto"/>
                <w:right w:val="none" w:sz="0" w:space="0" w:color="auto"/>
              </w:divBdr>
            </w:div>
          </w:divsChild>
        </w:div>
        <w:div w:id="1404571735">
          <w:marLeft w:val="0"/>
          <w:marRight w:val="0"/>
          <w:marTop w:val="0"/>
          <w:marBottom w:val="0"/>
          <w:divBdr>
            <w:top w:val="none" w:sz="0" w:space="0" w:color="auto"/>
            <w:left w:val="none" w:sz="0" w:space="0" w:color="auto"/>
            <w:bottom w:val="none" w:sz="0" w:space="0" w:color="auto"/>
            <w:right w:val="none" w:sz="0" w:space="0" w:color="auto"/>
          </w:divBdr>
          <w:divsChild>
            <w:div w:id="413430000">
              <w:marLeft w:val="0"/>
              <w:marRight w:val="0"/>
              <w:marTop w:val="0"/>
              <w:marBottom w:val="0"/>
              <w:divBdr>
                <w:top w:val="none" w:sz="0" w:space="0" w:color="auto"/>
                <w:left w:val="none" w:sz="0" w:space="0" w:color="auto"/>
                <w:bottom w:val="none" w:sz="0" w:space="0" w:color="auto"/>
                <w:right w:val="none" w:sz="0" w:space="0" w:color="auto"/>
              </w:divBdr>
            </w:div>
          </w:divsChild>
        </w:div>
        <w:div w:id="207574475">
          <w:marLeft w:val="0"/>
          <w:marRight w:val="0"/>
          <w:marTop w:val="0"/>
          <w:marBottom w:val="0"/>
          <w:divBdr>
            <w:top w:val="none" w:sz="0" w:space="0" w:color="auto"/>
            <w:left w:val="none" w:sz="0" w:space="0" w:color="auto"/>
            <w:bottom w:val="none" w:sz="0" w:space="0" w:color="auto"/>
            <w:right w:val="none" w:sz="0" w:space="0" w:color="auto"/>
          </w:divBdr>
          <w:divsChild>
            <w:div w:id="1866819575">
              <w:marLeft w:val="0"/>
              <w:marRight w:val="0"/>
              <w:marTop w:val="0"/>
              <w:marBottom w:val="0"/>
              <w:divBdr>
                <w:top w:val="none" w:sz="0" w:space="0" w:color="auto"/>
                <w:left w:val="none" w:sz="0" w:space="0" w:color="auto"/>
                <w:bottom w:val="none" w:sz="0" w:space="0" w:color="auto"/>
                <w:right w:val="none" w:sz="0" w:space="0" w:color="auto"/>
              </w:divBdr>
            </w:div>
          </w:divsChild>
        </w:div>
        <w:div w:id="348609369">
          <w:marLeft w:val="0"/>
          <w:marRight w:val="0"/>
          <w:marTop w:val="0"/>
          <w:marBottom w:val="0"/>
          <w:divBdr>
            <w:top w:val="none" w:sz="0" w:space="0" w:color="auto"/>
            <w:left w:val="none" w:sz="0" w:space="0" w:color="auto"/>
            <w:bottom w:val="none" w:sz="0" w:space="0" w:color="auto"/>
            <w:right w:val="none" w:sz="0" w:space="0" w:color="auto"/>
          </w:divBdr>
          <w:divsChild>
            <w:div w:id="1894463819">
              <w:marLeft w:val="0"/>
              <w:marRight w:val="0"/>
              <w:marTop w:val="0"/>
              <w:marBottom w:val="0"/>
              <w:divBdr>
                <w:top w:val="none" w:sz="0" w:space="0" w:color="auto"/>
                <w:left w:val="none" w:sz="0" w:space="0" w:color="auto"/>
                <w:bottom w:val="none" w:sz="0" w:space="0" w:color="auto"/>
                <w:right w:val="none" w:sz="0" w:space="0" w:color="auto"/>
              </w:divBdr>
            </w:div>
          </w:divsChild>
        </w:div>
        <w:div w:id="362638819">
          <w:marLeft w:val="0"/>
          <w:marRight w:val="0"/>
          <w:marTop w:val="0"/>
          <w:marBottom w:val="0"/>
          <w:divBdr>
            <w:top w:val="none" w:sz="0" w:space="0" w:color="auto"/>
            <w:left w:val="none" w:sz="0" w:space="0" w:color="auto"/>
            <w:bottom w:val="none" w:sz="0" w:space="0" w:color="auto"/>
            <w:right w:val="none" w:sz="0" w:space="0" w:color="auto"/>
          </w:divBdr>
          <w:divsChild>
            <w:div w:id="290868173">
              <w:marLeft w:val="0"/>
              <w:marRight w:val="0"/>
              <w:marTop w:val="0"/>
              <w:marBottom w:val="0"/>
              <w:divBdr>
                <w:top w:val="none" w:sz="0" w:space="0" w:color="auto"/>
                <w:left w:val="none" w:sz="0" w:space="0" w:color="auto"/>
                <w:bottom w:val="none" w:sz="0" w:space="0" w:color="auto"/>
                <w:right w:val="none" w:sz="0" w:space="0" w:color="auto"/>
              </w:divBdr>
            </w:div>
          </w:divsChild>
        </w:div>
        <w:div w:id="110444406">
          <w:marLeft w:val="0"/>
          <w:marRight w:val="0"/>
          <w:marTop w:val="0"/>
          <w:marBottom w:val="0"/>
          <w:divBdr>
            <w:top w:val="none" w:sz="0" w:space="0" w:color="auto"/>
            <w:left w:val="none" w:sz="0" w:space="0" w:color="auto"/>
            <w:bottom w:val="none" w:sz="0" w:space="0" w:color="auto"/>
            <w:right w:val="none" w:sz="0" w:space="0" w:color="auto"/>
          </w:divBdr>
          <w:divsChild>
            <w:div w:id="899829379">
              <w:marLeft w:val="0"/>
              <w:marRight w:val="0"/>
              <w:marTop w:val="0"/>
              <w:marBottom w:val="0"/>
              <w:divBdr>
                <w:top w:val="none" w:sz="0" w:space="0" w:color="auto"/>
                <w:left w:val="none" w:sz="0" w:space="0" w:color="auto"/>
                <w:bottom w:val="none" w:sz="0" w:space="0" w:color="auto"/>
                <w:right w:val="none" w:sz="0" w:space="0" w:color="auto"/>
              </w:divBdr>
            </w:div>
          </w:divsChild>
        </w:div>
        <w:div w:id="1803689777">
          <w:marLeft w:val="0"/>
          <w:marRight w:val="0"/>
          <w:marTop w:val="0"/>
          <w:marBottom w:val="0"/>
          <w:divBdr>
            <w:top w:val="none" w:sz="0" w:space="0" w:color="auto"/>
            <w:left w:val="none" w:sz="0" w:space="0" w:color="auto"/>
            <w:bottom w:val="none" w:sz="0" w:space="0" w:color="auto"/>
            <w:right w:val="none" w:sz="0" w:space="0" w:color="auto"/>
          </w:divBdr>
          <w:divsChild>
            <w:div w:id="491719980">
              <w:marLeft w:val="0"/>
              <w:marRight w:val="0"/>
              <w:marTop w:val="0"/>
              <w:marBottom w:val="0"/>
              <w:divBdr>
                <w:top w:val="none" w:sz="0" w:space="0" w:color="auto"/>
                <w:left w:val="none" w:sz="0" w:space="0" w:color="auto"/>
                <w:bottom w:val="none" w:sz="0" w:space="0" w:color="auto"/>
                <w:right w:val="none" w:sz="0" w:space="0" w:color="auto"/>
              </w:divBdr>
            </w:div>
          </w:divsChild>
        </w:div>
        <w:div w:id="531069917">
          <w:marLeft w:val="0"/>
          <w:marRight w:val="0"/>
          <w:marTop w:val="0"/>
          <w:marBottom w:val="0"/>
          <w:divBdr>
            <w:top w:val="none" w:sz="0" w:space="0" w:color="auto"/>
            <w:left w:val="none" w:sz="0" w:space="0" w:color="auto"/>
            <w:bottom w:val="none" w:sz="0" w:space="0" w:color="auto"/>
            <w:right w:val="none" w:sz="0" w:space="0" w:color="auto"/>
          </w:divBdr>
          <w:divsChild>
            <w:div w:id="653484263">
              <w:marLeft w:val="0"/>
              <w:marRight w:val="0"/>
              <w:marTop w:val="0"/>
              <w:marBottom w:val="0"/>
              <w:divBdr>
                <w:top w:val="none" w:sz="0" w:space="0" w:color="auto"/>
                <w:left w:val="none" w:sz="0" w:space="0" w:color="auto"/>
                <w:bottom w:val="none" w:sz="0" w:space="0" w:color="auto"/>
                <w:right w:val="none" w:sz="0" w:space="0" w:color="auto"/>
              </w:divBdr>
            </w:div>
          </w:divsChild>
        </w:div>
        <w:div w:id="583760482">
          <w:marLeft w:val="0"/>
          <w:marRight w:val="0"/>
          <w:marTop w:val="0"/>
          <w:marBottom w:val="0"/>
          <w:divBdr>
            <w:top w:val="none" w:sz="0" w:space="0" w:color="auto"/>
            <w:left w:val="none" w:sz="0" w:space="0" w:color="auto"/>
            <w:bottom w:val="none" w:sz="0" w:space="0" w:color="auto"/>
            <w:right w:val="none" w:sz="0" w:space="0" w:color="auto"/>
          </w:divBdr>
          <w:divsChild>
            <w:div w:id="17127594">
              <w:marLeft w:val="0"/>
              <w:marRight w:val="0"/>
              <w:marTop w:val="0"/>
              <w:marBottom w:val="0"/>
              <w:divBdr>
                <w:top w:val="none" w:sz="0" w:space="0" w:color="auto"/>
                <w:left w:val="none" w:sz="0" w:space="0" w:color="auto"/>
                <w:bottom w:val="none" w:sz="0" w:space="0" w:color="auto"/>
                <w:right w:val="none" w:sz="0" w:space="0" w:color="auto"/>
              </w:divBdr>
            </w:div>
          </w:divsChild>
        </w:div>
        <w:div w:id="1909918427">
          <w:marLeft w:val="0"/>
          <w:marRight w:val="0"/>
          <w:marTop w:val="0"/>
          <w:marBottom w:val="0"/>
          <w:divBdr>
            <w:top w:val="none" w:sz="0" w:space="0" w:color="auto"/>
            <w:left w:val="none" w:sz="0" w:space="0" w:color="auto"/>
            <w:bottom w:val="none" w:sz="0" w:space="0" w:color="auto"/>
            <w:right w:val="none" w:sz="0" w:space="0" w:color="auto"/>
          </w:divBdr>
          <w:divsChild>
            <w:div w:id="950360927">
              <w:marLeft w:val="0"/>
              <w:marRight w:val="0"/>
              <w:marTop w:val="0"/>
              <w:marBottom w:val="0"/>
              <w:divBdr>
                <w:top w:val="none" w:sz="0" w:space="0" w:color="auto"/>
                <w:left w:val="none" w:sz="0" w:space="0" w:color="auto"/>
                <w:bottom w:val="none" w:sz="0" w:space="0" w:color="auto"/>
                <w:right w:val="none" w:sz="0" w:space="0" w:color="auto"/>
              </w:divBdr>
            </w:div>
          </w:divsChild>
        </w:div>
        <w:div w:id="658077016">
          <w:marLeft w:val="0"/>
          <w:marRight w:val="0"/>
          <w:marTop w:val="0"/>
          <w:marBottom w:val="0"/>
          <w:divBdr>
            <w:top w:val="none" w:sz="0" w:space="0" w:color="auto"/>
            <w:left w:val="none" w:sz="0" w:space="0" w:color="auto"/>
            <w:bottom w:val="none" w:sz="0" w:space="0" w:color="auto"/>
            <w:right w:val="none" w:sz="0" w:space="0" w:color="auto"/>
          </w:divBdr>
          <w:divsChild>
            <w:div w:id="1825127002">
              <w:marLeft w:val="0"/>
              <w:marRight w:val="0"/>
              <w:marTop w:val="0"/>
              <w:marBottom w:val="0"/>
              <w:divBdr>
                <w:top w:val="none" w:sz="0" w:space="0" w:color="auto"/>
                <w:left w:val="none" w:sz="0" w:space="0" w:color="auto"/>
                <w:bottom w:val="none" w:sz="0" w:space="0" w:color="auto"/>
                <w:right w:val="none" w:sz="0" w:space="0" w:color="auto"/>
              </w:divBdr>
            </w:div>
          </w:divsChild>
        </w:div>
        <w:div w:id="316230488">
          <w:marLeft w:val="0"/>
          <w:marRight w:val="0"/>
          <w:marTop w:val="0"/>
          <w:marBottom w:val="0"/>
          <w:divBdr>
            <w:top w:val="none" w:sz="0" w:space="0" w:color="auto"/>
            <w:left w:val="none" w:sz="0" w:space="0" w:color="auto"/>
            <w:bottom w:val="none" w:sz="0" w:space="0" w:color="auto"/>
            <w:right w:val="none" w:sz="0" w:space="0" w:color="auto"/>
          </w:divBdr>
          <w:divsChild>
            <w:div w:id="1571232647">
              <w:marLeft w:val="0"/>
              <w:marRight w:val="0"/>
              <w:marTop w:val="0"/>
              <w:marBottom w:val="0"/>
              <w:divBdr>
                <w:top w:val="none" w:sz="0" w:space="0" w:color="auto"/>
                <w:left w:val="none" w:sz="0" w:space="0" w:color="auto"/>
                <w:bottom w:val="none" w:sz="0" w:space="0" w:color="auto"/>
                <w:right w:val="none" w:sz="0" w:space="0" w:color="auto"/>
              </w:divBdr>
            </w:div>
          </w:divsChild>
        </w:div>
        <w:div w:id="1594238068">
          <w:marLeft w:val="0"/>
          <w:marRight w:val="0"/>
          <w:marTop w:val="0"/>
          <w:marBottom w:val="0"/>
          <w:divBdr>
            <w:top w:val="none" w:sz="0" w:space="0" w:color="auto"/>
            <w:left w:val="none" w:sz="0" w:space="0" w:color="auto"/>
            <w:bottom w:val="none" w:sz="0" w:space="0" w:color="auto"/>
            <w:right w:val="none" w:sz="0" w:space="0" w:color="auto"/>
          </w:divBdr>
          <w:divsChild>
            <w:div w:id="2062292042">
              <w:marLeft w:val="0"/>
              <w:marRight w:val="0"/>
              <w:marTop w:val="0"/>
              <w:marBottom w:val="0"/>
              <w:divBdr>
                <w:top w:val="none" w:sz="0" w:space="0" w:color="auto"/>
                <w:left w:val="none" w:sz="0" w:space="0" w:color="auto"/>
                <w:bottom w:val="none" w:sz="0" w:space="0" w:color="auto"/>
                <w:right w:val="none" w:sz="0" w:space="0" w:color="auto"/>
              </w:divBdr>
            </w:div>
          </w:divsChild>
        </w:div>
        <w:div w:id="876356739">
          <w:marLeft w:val="0"/>
          <w:marRight w:val="0"/>
          <w:marTop w:val="0"/>
          <w:marBottom w:val="0"/>
          <w:divBdr>
            <w:top w:val="none" w:sz="0" w:space="0" w:color="auto"/>
            <w:left w:val="none" w:sz="0" w:space="0" w:color="auto"/>
            <w:bottom w:val="none" w:sz="0" w:space="0" w:color="auto"/>
            <w:right w:val="none" w:sz="0" w:space="0" w:color="auto"/>
          </w:divBdr>
          <w:divsChild>
            <w:div w:id="208418868">
              <w:marLeft w:val="0"/>
              <w:marRight w:val="0"/>
              <w:marTop w:val="0"/>
              <w:marBottom w:val="0"/>
              <w:divBdr>
                <w:top w:val="none" w:sz="0" w:space="0" w:color="auto"/>
                <w:left w:val="none" w:sz="0" w:space="0" w:color="auto"/>
                <w:bottom w:val="none" w:sz="0" w:space="0" w:color="auto"/>
                <w:right w:val="none" w:sz="0" w:space="0" w:color="auto"/>
              </w:divBdr>
            </w:div>
          </w:divsChild>
        </w:div>
        <w:div w:id="583101562">
          <w:marLeft w:val="0"/>
          <w:marRight w:val="0"/>
          <w:marTop w:val="0"/>
          <w:marBottom w:val="0"/>
          <w:divBdr>
            <w:top w:val="none" w:sz="0" w:space="0" w:color="auto"/>
            <w:left w:val="none" w:sz="0" w:space="0" w:color="auto"/>
            <w:bottom w:val="none" w:sz="0" w:space="0" w:color="auto"/>
            <w:right w:val="none" w:sz="0" w:space="0" w:color="auto"/>
          </w:divBdr>
          <w:divsChild>
            <w:div w:id="1466584904">
              <w:marLeft w:val="0"/>
              <w:marRight w:val="0"/>
              <w:marTop w:val="0"/>
              <w:marBottom w:val="0"/>
              <w:divBdr>
                <w:top w:val="none" w:sz="0" w:space="0" w:color="auto"/>
                <w:left w:val="none" w:sz="0" w:space="0" w:color="auto"/>
                <w:bottom w:val="none" w:sz="0" w:space="0" w:color="auto"/>
                <w:right w:val="none" w:sz="0" w:space="0" w:color="auto"/>
              </w:divBdr>
            </w:div>
          </w:divsChild>
        </w:div>
        <w:div w:id="1862163965">
          <w:marLeft w:val="0"/>
          <w:marRight w:val="0"/>
          <w:marTop w:val="0"/>
          <w:marBottom w:val="0"/>
          <w:divBdr>
            <w:top w:val="none" w:sz="0" w:space="0" w:color="auto"/>
            <w:left w:val="none" w:sz="0" w:space="0" w:color="auto"/>
            <w:bottom w:val="none" w:sz="0" w:space="0" w:color="auto"/>
            <w:right w:val="none" w:sz="0" w:space="0" w:color="auto"/>
          </w:divBdr>
          <w:divsChild>
            <w:div w:id="955217884">
              <w:marLeft w:val="0"/>
              <w:marRight w:val="0"/>
              <w:marTop w:val="0"/>
              <w:marBottom w:val="0"/>
              <w:divBdr>
                <w:top w:val="none" w:sz="0" w:space="0" w:color="auto"/>
                <w:left w:val="none" w:sz="0" w:space="0" w:color="auto"/>
                <w:bottom w:val="none" w:sz="0" w:space="0" w:color="auto"/>
                <w:right w:val="none" w:sz="0" w:space="0" w:color="auto"/>
              </w:divBdr>
            </w:div>
          </w:divsChild>
        </w:div>
        <w:div w:id="1407339990">
          <w:marLeft w:val="0"/>
          <w:marRight w:val="0"/>
          <w:marTop w:val="0"/>
          <w:marBottom w:val="0"/>
          <w:divBdr>
            <w:top w:val="none" w:sz="0" w:space="0" w:color="auto"/>
            <w:left w:val="none" w:sz="0" w:space="0" w:color="auto"/>
            <w:bottom w:val="none" w:sz="0" w:space="0" w:color="auto"/>
            <w:right w:val="none" w:sz="0" w:space="0" w:color="auto"/>
          </w:divBdr>
          <w:divsChild>
            <w:div w:id="1739550596">
              <w:marLeft w:val="0"/>
              <w:marRight w:val="0"/>
              <w:marTop w:val="0"/>
              <w:marBottom w:val="0"/>
              <w:divBdr>
                <w:top w:val="none" w:sz="0" w:space="0" w:color="auto"/>
                <w:left w:val="none" w:sz="0" w:space="0" w:color="auto"/>
                <w:bottom w:val="none" w:sz="0" w:space="0" w:color="auto"/>
                <w:right w:val="none" w:sz="0" w:space="0" w:color="auto"/>
              </w:divBdr>
            </w:div>
          </w:divsChild>
        </w:div>
        <w:div w:id="1067453275">
          <w:marLeft w:val="0"/>
          <w:marRight w:val="0"/>
          <w:marTop w:val="0"/>
          <w:marBottom w:val="0"/>
          <w:divBdr>
            <w:top w:val="none" w:sz="0" w:space="0" w:color="auto"/>
            <w:left w:val="none" w:sz="0" w:space="0" w:color="auto"/>
            <w:bottom w:val="none" w:sz="0" w:space="0" w:color="auto"/>
            <w:right w:val="none" w:sz="0" w:space="0" w:color="auto"/>
          </w:divBdr>
          <w:divsChild>
            <w:div w:id="743187233">
              <w:marLeft w:val="0"/>
              <w:marRight w:val="0"/>
              <w:marTop w:val="0"/>
              <w:marBottom w:val="0"/>
              <w:divBdr>
                <w:top w:val="none" w:sz="0" w:space="0" w:color="auto"/>
                <w:left w:val="none" w:sz="0" w:space="0" w:color="auto"/>
                <w:bottom w:val="none" w:sz="0" w:space="0" w:color="auto"/>
                <w:right w:val="none" w:sz="0" w:space="0" w:color="auto"/>
              </w:divBdr>
            </w:div>
          </w:divsChild>
        </w:div>
        <w:div w:id="386877166">
          <w:marLeft w:val="0"/>
          <w:marRight w:val="0"/>
          <w:marTop w:val="0"/>
          <w:marBottom w:val="0"/>
          <w:divBdr>
            <w:top w:val="none" w:sz="0" w:space="0" w:color="auto"/>
            <w:left w:val="none" w:sz="0" w:space="0" w:color="auto"/>
            <w:bottom w:val="none" w:sz="0" w:space="0" w:color="auto"/>
            <w:right w:val="none" w:sz="0" w:space="0" w:color="auto"/>
          </w:divBdr>
          <w:divsChild>
            <w:div w:id="864101205">
              <w:marLeft w:val="0"/>
              <w:marRight w:val="0"/>
              <w:marTop w:val="0"/>
              <w:marBottom w:val="0"/>
              <w:divBdr>
                <w:top w:val="none" w:sz="0" w:space="0" w:color="auto"/>
                <w:left w:val="none" w:sz="0" w:space="0" w:color="auto"/>
                <w:bottom w:val="none" w:sz="0" w:space="0" w:color="auto"/>
                <w:right w:val="none" w:sz="0" w:space="0" w:color="auto"/>
              </w:divBdr>
            </w:div>
          </w:divsChild>
        </w:div>
        <w:div w:id="333607343">
          <w:marLeft w:val="0"/>
          <w:marRight w:val="0"/>
          <w:marTop w:val="0"/>
          <w:marBottom w:val="0"/>
          <w:divBdr>
            <w:top w:val="none" w:sz="0" w:space="0" w:color="auto"/>
            <w:left w:val="none" w:sz="0" w:space="0" w:color="auto"/>
            <w:bottom w:val="none" w:sz="0" w:space="0" w:color="auto"/>
            <w:right w:val="none" w:sz="0" w:space="0" w:color="auto"/>
          </w:divBdr>
          <w:divsChild>
            <w:div w:id="965507314">
              <w:marLeft w:val="0"/>
              <w:marRight w:val="0"/>
              <w:marTop w:val="0"/>
              <w:marBottom w:val="0"/>
              <w:divBdr>
                <w:top w:val="none" w:sz="0" w:space="0" w:color="auto"/>
                <w:left w:val="none" w:sz="0" w:space="0" w:color="auto"/>
                <w:bottom w:val="none" w:sz="0" w:space="0" w:color="auto"/>
                <w:right w:val="none" w:sz="0" w:space="0" w:color="auto"/>
              </w:divBdr>
            </w:div>
          </w:divsChild>
        </w:div>
        <w:div w:id="1142693486">
          <w:marLeft w:val="0"/>
          <w:marRight w:val="0"/>
          <w:marTop w:val="0"/>
          <w:marBottom w:val="0"/>
          <w:divBdr>
            <w:top w:val="none" w:sz="0" w:space="0" w:color="auto"/>
            <w:left w:val="none" w:sz="0" w:space="0" w:color="auto"/>
            <w:bottom w:val="none" w:sz="0" w:space="0" w:color="auto"/>
            <w:right w:val="none" w:sz="0" w:space="0" w:color="auto"/>
          </w:divBdr>
          <w:divsChild>
            <w:div w:id="1577589403">
              <w:marLeft w:val="0"/>
              <w:marRight w:val="0"/>
              <w:marTop w:val="0"/>
              <w:marBottom w:val="0"/>
              <w:divBdr>
                <w:top w:val="none" w:sz="0" w:space="0" w:color="auto"/>
                <w:left w:val="none" w:sz="0" w:space="0" w:color="auto"/>
                <w:bottom w:val="none" w:sz="0" w:space="0" w:color="auto"/>
                <w:right w:val="none" w:sz="0" w:space="0" w:color="auto"/>
              </w:divBdr>
            </w:div>
          </w:divsChild>
        </w:div>
        <w:div w:id="64498165">
          <w:marLeft w:val="0"/>
          <w:marRight w:val="0"/>
          <w:marTop w:val="0"/>
          <w:marBottom w:val="0"/>
          <w:divBdr>
            <w:top w:val="none" w:sz="0" w:space="0" w:color="auto"/>
            <w:left w:val="none" w:sz="0" w:space="0" w:color="auto"/>
            <w:bottom w:val="none" w:sz="0" w:space="0" w:color="auto"/>
            <w:right w:val="none" w:sz="0" w:space="0" w:color="auto"/>
          </w:divBdr>
          <w:divsChild>
            <w:div w:id="2066367112">
              <w:marLeft w:val="0"/>
              <w:marRight w:val="0"/>
              <w:marTop w:val="0"/>
              <w:marBottom w:val="0"/>
              <w:divBdr>
                <w:top w:val="none" w:sz="0" w:space="0" w:color="auto"/>
                <w:left w:val="none" w:sz="0" w:space="0" w:color="auto"/>
                <w:bottom w:val="none" w:sz="0" w:space="0" w:color="auto"/>
                <w:right w:val="none" w:sz="0" w:space="0" w:color="auto"/>
              </w:divBdr>
            </w:div>
          </w:divsChild>
        </w:div>
        <w:div w:id="1606885747">
          <w:marLeft w:val="0"/>
          <w:marRight w:val="0"/>
          <w:marTop w:val="0"/>
          <w:marBottom w:val="0"/>
          <w:divBdr>
            <w:top w:val="none" w:sz="0" w:space="0" w:color="auto"/>
            <w:left w:val="none" w:sz="0" w:space="0" w:color="auto"/>
            <w:bottom w:val="none" w:sz="0" w:space="0" w:color="auto"/>
            <w:right w:val="none" w:sz="0" w:space="0" w:color="auto"/>
          </w:divBdr>
          <w:divsChild>
            <w:div w:id="590622255">
              <w:marLeft w:val="0"/>
              <w:marRight w:val="0"/>
              <w:marTop w:val="0"/>
              <w:marBottom w:val="0"/>
              <w:divBdr>
                <w:top w:val="none" w:sz="0" w:space="0" w:color="auto"/>
                <w:left w:val="none" w:sz="0" w:space="0" w:color="auto"/>
                <w:bottom w:val="none" w:sz="0" w:space="0" w:color="auto"/>
                <w:right w:val="none" w:sz="0" w:space="0" w:color="auto"/>
              </w:divBdr>
            </w:div>
          </w:divsChild>
        </w:div>
        <w:div w:id="452288203">
          <w:marLeft w:val="0"/>
          <w:marRight w:val="0"/>
          <w:marTop w:val="0"/>
          <w:marBottom w:val="0"/>
          <w:divBdr>
            <w:top w:val="none" w:sz="0" w:space="0" w:color="auto"/>
            <w:left w:val="none" w:sz="0" w:space="0" w:color="auto"/>
            <w:bottom w:val="none" w:sz="0" w:space="0" w:color="auto"/>
            <w:right w:val="none" w:sz="0" w:space="0" w:color="auto"/>
          </w:divBdr>
          <w:divsChild>
            <w:div w:id="1469395885">
              <w:marLeft w:val="0"/>
              <w:marRight w:val="0"/>
              <w:marTop w:val="0"/>
              <w:marBottom w:val="0"/>
              <w:divBdr>
                <w:top w:val="none" w:sz="0" w:space="0" w:color="auto"/>
                <w:left w:val="none" w:sz="0" w:space="0" w:color="auto"/>
                <w:bottom w:val="none" w:sz="0" w:space="0" w:color="auto"/>
                <w:right w:val="none" w:sz="0" w:space="0" w:color="auto"/>
              </w:divBdr>
            </w:div>
          </w:divsChild>
        </w:div>
        <w:div w:id="1324355567">
          <w:marLeft w:val="0"/>
          <w:marRight w:val="0"/>
          <w:marTop w:val="0"/>
          <w:marBottom w:val="0"/>
          <w:divBdr>
            <w:top w:val="none" w:sz="0" w:space="0" w:color="auto"/>
            <w:left w:val="none" w:sz="0" w:space="0" w:color="auto"/>
            <w:bottom w:val="none" w:sz="0" w:space="0" w:color="auto"/>
            <w:right w:val="none" w:sz="0" w:space="0" w:color="auto"/>
          </w:divBdr>
          <w:divsChild>
            <w:div w:id="920337995">
              <w:marLeft w:val="0"/>
              <w:marRight w:val="0"/>
              <w:marTop w:val="0"/>
              <w:marBottom w:val="0"/>
              <w:divBdr>
                <w:top w:val="none" w:sz="0" w:space="0" w:color="auto"/>
                <w:left w:val="none" w:sz="0" w:space="0" w:color="auto"/>
                <w:bottom w:val="none" w:sz="0" w:space="0" w:color="auto"/>
                <w:right w:val="none" w:sz="0" w:space="0" w:color="auto"/>
              </w:divBdr>
            </w:div>
          </w:divsChild>
        </w:div>
        <w:div w:id="420684555">
          <w:marLeft w:val="0"/>
          <w:marRight w:val="0"/>
          <w:marTop w:val="0"/>
          <w:marBottom w:val="0"/>
          <w:divBdr>
            <w:top w:val="none" w:sz="0" w:space="0" w:color="auto"/>
            <w:left w:val="none" w:sz="0" w:space="0" w:color="auto"/>
            <w:bottom w:val="none" w:sz="0" w:space="0" w:color="auto"/>
            <w:right w:val="none" w:sz="0" w:space="0" w:color="auto"/>
          </w:divBdr>
          <w:divsChild>
            <w:div w:id="1553422556">
              <w:marLeft w:val="0"/>
              <w:marRight w:val="0"/>
              <w:marTop w:val="0"/>
              <w:marBottom w:val="0"/>
              <w:divBdr>
                <w:top w:val="none" w:sz="0" w:space="0" w:color="auto"/>
                <w:left w:val="none" w:sz="0" w:space="0" w:color="auto"/>
                <w:bottom w:val="none" w:sz="0" w:space="0" w:color="auto"/>
                <w:right w:val="none" w:sz="0" w:space="0" w:color="auto"/>
              </w:divBdr>
            </w:div>
          </w:divsChild>
        </w:div>
        <w:div w:id="1013990246">
          <w:marLeft w:val="0"/>
          <w:marRight w:val="0"/>
          <w:marTop w:val="0"/>
          <w:marBottom w:val="0"/>
          <w:divBdr>
            <w:top w:val="none" w:sz="0" w:space="0" w:color="auto"/>
            <w:left w:val="none" w:sz="0" w:space="0" w:color="auto"/>
            <w:bottom w:val="none" w:sz="0" w:space="0" w:color="auto"/>
            <w:right w:val="none" w:sz="0" w:space="0" w:color="auto"/>
          </w:divBdr>
          <w:divsChild>
            <w:div w:id="1754006720">
              <w:marLeft w:val="0"/>
              <w:marRight w:val="0"/>
              <w:marTop w:val="0"/>
              <w:marBottom w:val="0"/>
              <w:divBdr>
                <w:top w:val="none" w:sz="0" w:space="0" w:color="auto"/>
                <w:left w:val="none" w:sz="0" w:space="0" w:color="auto"/>
                <w:bottom w:val="none" w:sz="0" w:space="0" w:color="auto"/>
                <w:right w:val="none" w:sz="0" w:space="0" w:color="auto"/>
              </w:divBdr>
            </w:div>
          </w:divsChild>
        </w:div>
        <w:div w:id="1044912996">
          <w:marLeft w:val="0"/>
          <w:marRight w:val="0"/>
          <w:marTop w:val="0"/>
          <w:marBottom w:val="0"/>
          <w:divBdr>
            <w:top w:val="none" w:sz="0" w:space="0" w:color="auto"/>
            <w:left w:val="none" w:sz="0" w:space="0" w:color="auto"/>
            <w:bottom w:val="none" w:sz="0" w:space="0" w:color="auto"/>
            <w:right w:val="none" w:sz="0" w:space="0" w:color="auto"/>
          </w:divBdr>
          <w:divsChild>
            <w:div w:id="1159618265">
              <w:marLeft w:val="0"/>
              <w:marRight w:val="0"/>
              <w:marTop w:val="0"/>
              <w:marBottom w:val="0"/>
              <w:divBdr>
                <w:top w:val="none" w:sz="0" w:space="0" w:color="auto"/>
                <w:left w:val="none" w:sz="0" w:space="0" w:color="auto"/>
                <w:bottom w:val="none" w:sz="0" w:space="0" w:color="auto"/>
                <w:right w:val="none" w:sz="0" w:space="0" w:color="auto"/>
              </w:divBdr>
            </w:div>
          </w:divsChild>
        </w:div>
        <w:div w:id="420611897">
          <w:marLeft w:val="0"/>
          <w:marRight w:val="0"/>
          <w:marTop w:val="0"/>
          <w:marBottom w:val="0"/>
          <w:divBdr>
            <w:top w:val="none" w:sz="0" w:space="0" w:color="auto"/>
            <w:left w:val="none" w:sz="0" w:space="0" w:color="auto"/>
            <w:bottom w:val="none" w:sz="0" w:space="0" w:color="auto"/>
            <w:right w:val="none" w:sz="0" w:space="0" w:color="auto"/>
          </w:divBdr>
          <w:divsChild>
            <w:div w:id="1223297586">
              <w:marLeft w:val="0"/>
              <w:marRight w:val="0"/>
              <w:marTop w:val="0"/>
              <w:marBottom w:val="0"/>
              <w:divBdr>
                <w:top w:val="none" w:sz="0" w:space="0" w:color="auto"/>
                <w:left w:val="none" w:sz="0" w:space="0" w:color="auto"/>
                <w:bottom w:val="none" w:sz="0" w:space="0" w:color="auto"/>
                <w:right w:val="none" w:sz="0" w:space="0" w:color="auto"/>
              </w:divBdr>
            </w:div>
          </w:divsChild>
        </w:div>
        <w:div w:id="1882326448">
          <w:marLeft w:val="0"/>
          <w:marRight w:val="0"/>
          <w:marTop w:val="0"/>
          <w:marBottom w:val="0"/>
          <w:divBdr>
            <w:top w:val="none" w:sz="0" w:space="0" w:color="auto"/>
            <w:left w:val="none" w:sz="0" w:space="0" w:color="auto"/>
            <w:bottom w:val="none" w:sz="0" w:space="0" w:color="auto"/>
            <w:right w:val="none" w:sz="0" w:space="0" w:color="auto"/>
          </w:divBdr>
          <w:divsChild>
            <w:div w:id="425344090">
              <w:marLeft w:val="0"/>
              <w:marRight w:val="0"/>
              <w:marTop w:val="0"/>
              <w:marBottom w:val="0"/>
              <w:divBdr>
                <w:top w:val="none" w:sz="0" w:space="0" w:color="auto"/>
                <w:left w:val="none" w:sz="0" w:space="0" w:color="auto"/>
                <w:bottom w:val="none" w:sz="0" w:space="0" w:color="auto"/>
                <w:right w:val="none" w:sz="0" w:space="0" w:color="auto"/>
              </w:divBdr>
            </w:div>
          </w:divsChild>
        </w:div>
        <w:div w:id="860819036">
          <w:marLeft w:val="0"/>
          <w:marRight w:val="0"/>
          <w:marTop w:val="0"/>
          <w:marBottom w:val="0"/>
          <w:divBdr>
            <w:top w:val="none" w:sz="0" w:space="0" w:color="auto"/>
            <w:left w:val="none" w:sz="0" w:space="0" w:color="auto"/>
            <w:bottom w:val="none" w:sz="0" w:space="0" w:color="auto"/>
            <w:right w:val="none" w:sz="0" w:space="0" w:color="auto"/>
          </w:divBdr>
          <w:divsChild>
            <w:div w:id="724717178">
              <w:marLeft w:val="0"/>
              <w:marRight w:val="0"/>
              <w:marTop w:val="0"/>
              <w:marBottom w:val="0"/>
              <w:divBdr>
                <w:top w:val="none" w:sz="0" w:space="0" w:color="auto"/>
                <w:left w:val="none" w:sz="0" w:space="0" w:color="auto"/>
                <w:bottom w:val="none" w:sz="0" w:space="0" w:color="auto"/>
                <w:right w:val="none" w:sz="0" w:space="0" w:color="auto"/>
              </w:divBdr>
            </w:div>
          </w:divsChild>
        </w:div>
        <w:div w:id="1407220682">
          <w:marLeft w:val="0"/>
          <w:marRight w:val="0"/>
          <w:marTop w:val="0"/>
          <w:marBottom w:val="0"/>
          <w:divBdr>
            <w:top w:val="none" w:sz="0" w:space="0" w:color="auto"/>
            <w:left w:val="none" w:sz="0" w:space="0" w:color="auto"/>
            <w:bottom w:val="none" w:sz="0" w:space="0" w:color="auto"/>
            <w:right w:val="none" w:sz="0" w:space="0" w:color="auto"/>
          </w:divBdr>
          <w:divsChild>
            <w:div w:id="1820069644">
              <w:marLeft w:val="0"/>
              <w:marRight w:val="0"/>
              <w:marTop w:val="0"/>
              <w:marBottom w:val="0"/>
              <w:divBdr>
                <w:top w:val="none" w:sz="0" w:space="0" w:color="auto"/>
                <w:left w:val="none" w:sz="0" w:space="0" w:color="auto"/>
                <w:bottom w:val="none" w:sz="0" w:space="0" w:color="auto"/>
                <w:right w:val="none" w:sz="0" w:space="0" w:color="auto"/>
              </w:divBdr>
            </w:div>
          </w:divsChild>
        </w:div>
        <w:div w:id="901255193">
          <w:marLeft w:val="0"/>
          <w:marRight w:val="0"/>
          <w:marTop w:val="0"/>
          <w:marBottom w:val="0"/>
          <w:divBdr>
            <w:top w:val="none" w:sz="0" w:space="0" w:color="auto"/>
            <w:left w:val="none" w:sz="0" w:space="0" w:color="auto"/>
            <w:bottom w:val="none" w:sz="0" w:space="0" w:color="auto"/>
            <w:right w:val="none" w:sz="0" w:space="0" w:color="auto"/>
          </w:divBdr>
          <w:divsChild>
            <w:div w:id="829752228">
              <w:marLeft w:val="0"/>
              <w:marRight w:val="0"/>
              <w:marTop w:val="0"/>
              <w:marBottom w:val="0"/>
              <w:divBdr>
                <w:top w:val="none" w:sz="0" w:space="0" w:color="auto"/>
                <w:left w:val="none" w:sz="0" w:space="0" w:color="auto"/>
                <w:bottom w:val="none" w:sz="0" w:space="0" w:color="auto"/>
                <w:right w:val="none" w:sz="0" w:space="0" w:color="auto"/>
              </w:divBdr>
            </w:div>
          </w:divsChild>
        </w:div>
        <w:div w:id="336619098">
          <w:marLeft w:val="0"/>
          <w:marRight w:val="0"/>
          <w:marTop w:val="0"/>
          <w:marBottom w:val="0"/>
          <w:divBdr>
            <w:top w:val="none" w:sz="0" w:space="0" w:color="auto"/>
            <w:left w:val="none" w:sz="0" w:space="0" w:color="auto"/>
            <w:bottom w:val="none" w:sz="0" w:space="0" w:color="auto"/>
            <w:right w:val="none" w:sz="0" w:space="0" w:color="auto"/>
          </w:divBdr>
          <w:divsChild>
            <w:div w:id="367687118">
              <w:marLeft w:val="0"/>
              <w:marRight w:val="0"/>
              <w:marTop w:val="0"/>
              <w:marBottom w:val="0"/>
              <w:divBdr>
                <w:top w:val="none" w:sz="0" w:space="0" w:color="auto"/>
                <w:left w:val="none" w:sz="0" w:space="0" w:color="auto"/>
                <w:bottom w:val="none" w:sz="0" w:space="0" w:color="auto"/>
                <w:right w:val="none" w:sz="0" w:space="0" w:color="auto"/>
              </w:divBdr>
            </w:div>
          </w:divsChild>
        </w:div>
        <w:div w:id="1481113911">
          <w:marLeft w:val="0"/>
          <w:marRight w:val="0"/>
          <w:marTop w:val="0"/>
          <w:marBottom w:val="0"/>
          <w:divBdr>
            <w:top w:val="none" w:sz="0" w:space="0" w:color="auto"/>
            <w:left w:val="none" w:sz="0" w:space="0" w:color="auto"/>
            <w:bottom w:val="none" w:sz="0" w:space="0" w:color="auto"/>
            <w:right w:val="none" w:sz="0" w:space="0" w:color="auto"/>
          </w:divBdr>
          <w:divsChild>
            <w:div w:id="595556146">
              <w:marLeft w:val="0"/>
              <w:marRight w:val="0"/>
              <w:marTop w:val="0"/>
              <w:marBottom w:val="0"/>
              <w:divBdr>
                <w:top w:val="none" w:sz="0" w:space="0" w:color="auto"/>
                <w:left w:val="none" w:sz="0" w:space="0" w:color="auto"/>
                <w:bottom w:val="none" w:sz="0" w:space="0" w:color="auto"/>
                <w:right w:val="none" w:sz="0" w:space="0" w:color="auto"/>
              </w:divBdr>
            </w:div>
          </w:divsChild>
        </w:div>
        <w:div w:id="598606721">
          <w:marLeft w:val="0"/>
          <w:marRight w:val="0"/>
          <w:marTop w:val="0"/>
          <w:marBottom w:val="0"/>
          <w:divBdr>
            <w:top w:val="none" w:sz="0" w:space="0" w:color="auto"/>
            <w:left w:val="none" w:sz="0" w:space="0" w:color="auto"/>
            <w:bottom w:val="none" w:sz="0" w:space="0" w:color="auto"/>
            <w:right w:val="none" w:sz="0" w:space="0" w:color="auto"/>
          </w:divBdr>
          <w:divsChild>
            <w:div w:id="653410997">
              <w:marLeft w:val="0"/>
              <w:marRight w:val="0"/>
              <w:marTop w:val="0"/>
              <w:marBottom w:val="0"/>
              <w:divBdr>
                <w:top w:val="none" w:sz="0" w:space="0" w:color="auto"/>
                <w:left w:val="none" w:sz="0" w:space="0" w:color="auto"/>
                <w:bottom w:val="none" w:sz="0" w:space="0" w:color="auto"/>
                <w:right w:val="none" w:sz="0" w:space="0" w:color="auto"/>
              </w:divBdr>
            </w:div>
          </w:divsChild>
        </w:div>
        <w:div w:id="1121680566">
          <w:marLeft w:val="0"/>
          <w:marRight w:val="0"/>
          <w:marTop w:val="0"/>
          <w:marBottom w:val="0"/>
          <w:divBdr>
            <w:top w:val="none" w:sz="0" w:space="0" w:color="auto"/>
            <w:left w:val="none" w:sz="0" w:space="0" w:color="auto"/>
            <w:bottom w:val="none" w:sz="0" w:space="0" w:color="auto"/>
            <w:right w:val="none" w:sz="0" w:space="0" w:color="auto"/>
          </w:divBdr>
          <w:divsChild>
            <w:div w:id="1750611903">
              <w:marLeft w:val="0"/>
              <w:marRight w:val="0"/>
              <w:marTop w:val="0"/>
              <w:marBottom w:val="0"/>
              <w:divBdr>
                <w:top w:val="none" w:sz="0" w:space="0" w:color="auto"/>
                <w:left w:val="none" w:sz="0" w:space="0" w:color="auto"/>
                <w:bottom w:val="none" w:sz="0" w:space="0" w:color="auto"/>
                <w:right w:val="none" w:sz="0" w:space="0" w:color="auto"/>
              </w:divBdr>
            </w:div>
          </w:divsChild>
        </w:div>
        <w:div w:id="1242448349">
          <w:marLeft w:val="0"/>
          <w:marRight w:val="0"/>
          <w:marTop w:val="0"/>
          <w:marBottom w:val="0"/>
          <w:divBdr>
            <w:top w:val="none" w:sz="0" w:space="0" w:color="auto"/>
            <w:left w:val="none" w:sz="0" w:space="0" w:color="auto"/>
            <w:bottom w:val="none" w:sz="0" w:space="0" w:color="auto"/>
            <w:right w:val="none" w:sz="0" w:space="0" w:color="auto"/>
          </w:divBdr>
          <w:divsChild>
            <w:div w:id="2040352892">
              <w:marLeft w:val="0"/>
              <w:marRight w:val="0"/>
              <w:marTop w:val="0"/>
              <w:marBottom w:val="0"/>
              <w:divBdr>
                <w:top w:val="none" w:sz="0" w:space="0" w:color="auto"/>
                <w:left w:val="none" w:sz="0" w:space="0" w:color="auto"/>
                <w:bottom w:val="none" w:sz="0" w:space="0" w:color="auto"/>
                <w:right w:val="none" w:sz="0" w:space="0" w:color="auto"/>
              </w:divBdr>
            </w:div>
          </w:divsChild>
        </w:div>
        <w:div w:id="1085565859">
          <w:marLeft w:val="0"/>
          <w:marRight w:val="0"/>
          <w:marTop w:val="0"/>
          <w:marBottom w:val="0"/>
          <w:divBdr>
            <w:top w:val="none" w:sz="0" w:space="0" w:color="auto"/>
            <w:left w:val="none" w:sz="0" w:space="0" w:color="auto"/>
            <w:bottom w:val="none" w:sz="0" w:space="0" w:color="auto"/>
            <w:right w:val="none" w:sz="0" w:space="0" w:color="auto"/>
          </w:divBdr>
          <w:divsChild>
            <w:div w:id="1663043756">
              <w:marLeft w:val="0"/>
              <w:marRight w:val="0"/>
              <w:marTop w:val="0"/>
              <w:marBottom w:val="0"/>
              <w:divBdr>
                <w:top w:val="none" w:sz="0" w:space="0" w:color="auto"/>
                <w:left w:val="none" w:sz="0" w:space="0" w:color="auto"/>
                <w:bottom w:val="none" w:sz="0" w:space="0" w:color="auto"/>
                <w:right w:val="none" w:sz="0" w:space="0" w:color="auto"/>
              </w:divBdr>
            </w:div>
          </w:divsChild>
        </w:div>
        <w:div w:id="932543892">
          <w:marLeft w:val="0"/>
          <w:marRight w:val="0"/>
          <w:marTop w:val="0"/>
          <w:marBottom w:val="0"/>
          <w:divBdr>
            <w:top w:val="none" w:sz="0" w:space="0" w:color="auto"/>
            <w:left w:val="none" w:sz="0" w:space="0" w:color="auto"/>
            <w:bottom w:val="none" w:sz="0" w:space="0" w:color="auto"/>
            <w:right w:val="none" w:sz="0" w:space="0" w:color="auto"/>
          </w:divBdr>
          <w:divsChild>
            <w:div w:id="96412829">
              <w:marLeft w:val="0"/>
              <w:marRight w:val="0"/>
              <w:marTop w:val="0"/>
              <w:marBottom w:val="0"/>
              <w:divBdr>
                <w:top w:val="none" w:sz="0" w:space="0" w:color="auto"/>
                <w:left w:val="none" w:sz="0" w:space="0" w:color="auto"/>
                <w:bottom w:val="none" w:sz="0" w:space="0" w:color="auto"/>
                <w:right w:val="none" w:sz="0" w:space="0" w:color="auto"/>
              </w:divBdr>
            </w:div>
          </w:divsChild>
        </w:div>
        <w:div w:id="632296137">
          <w:marLeft w:val="0"/>
          <w:marRight w:val="0"/>
          <w:marTop w:val="0"/>
          <w:marBottom w:val="0"/>
          <w:divBdr>
            <w:top w:val="none" w:sz="0" w:space="0" w:color="auto"/>
            <w:left w:val="none" w:sz="0" w:space="0" w:color="auto"/>
            <w:bottom w:val="none" w:sz="0" w:space="0" w:color="auto"/>
            <w:right w:val="none" w:sz="0" w:space="0" w:color="auto"/>
          </w:divBdr>
          <w:divsChild>
            <w:div w:id="1034572393">
              <w:marLeft w:val="0"/>
              <w:marRight w:val="0"/>
              <w:marTop w:val="0"/>
              <w:marBottom w:val="0"/>
              <w:divBdr>
                <w:top w:val="none" w:sz="0" w:space="0" w:color="auto"/>
                <w:left w:val="none" w:sz="0" w:space="0" w:color="auto"/>
                <w:bottom w:val="none" w:sz="0" w:space="0" w:color="auto"/>
                <w:right w:val="none" w:sz="0" w:space="0" w:color="auto"/>
              </w:divBdr>
            </w:div>
          </w:divsChild>
        </w:div>
        <w:div w:id="1031808902">
          <w:marLeft w:val="0"/>
          <w:marRight w:val="0"/>
          <w:marTop w:val="0"/>
          <w:marBottom w:val="0"/>
          <w:divBdr>
            <w:top w:val="none" w:sz="0" w:space="0" w:color="auto"/>
            <w:left w:val="none" w:sz="0" w:space="0" w:color="auto"/>
            <w:bottom w:val="none" w:sz="0" w:space="0" w:color="auto"/>
            <w:right w:val="none" w:sz="0" w:space="0" w:color="auto"/>
          </w:divBdr>
          <w:divsChild>
            <w:div w:id="1204904578">
              <w:marLeft w:val="0"/>
              <w:marRight w:val="0"/>
              <w:marTop w:val="0"/>
              <w:marBottom w:val="0"/>
              <w:divBdr>
                <w:top w:val="none" w:sz="0" w:space="0" w:color="auto"/>
                <w:left w:val="none" w:sz="0" w:space="0" w:color="auto"/>
                <w:bottom w:val="none" w:sz="0" w:space="0" w:color="auto"/>
                <w:right w:val="none" w:sz="0" w:space="0" w:color="auto"/>
              </w:divBdr>
            </w:div>
          </w:divsChild>
        </w:div>
        <w:div w:id="731276096">
          <w:marLeft w:val="0"/>
          <w:marRight w:val="0"/>
          <w:marTop w:val="0"/>
          <w:marBottom w:val="0"/>
          <w:divBdr>
            <w:top w:val="none" w:sz="0" w:space="0" w:color="auto"/>
            <w:left w:val="none" w:sz="0" w:space="0" w:color="auto"/>
            <w:bottom w:val="none" w:sz="0" w:space="0" w:color="auto"/>
            <w:right w:val="none" w:sz="0" w:space="0" w:color="auto"/>
          </w:divBdr>
          <w:divsChild>
            <w:div w:id="1110590193">
              <w:marLeft w:val="0"/>
              <w:marRight w:val="0"/>
              <w:marTop w:val="0"/>
              <w:marBottom w:val="0"/>
              <w:divBdr>
                <w:top w:val="none" w:sz="0" w:space="0" w:color="auto"/>
                <w:left w:val="none" w:sz="0" w:space="0" w:color="auto"/>
                <w:bottom w:val="none" w:sz="0" w:space="0" w:color="auto"/>
                <w:right w:val="none" w:sz="0" w:space="0" w:color="auto"/>
              </w:divBdr>
            </w:div>
          </w:divsChild>
        </w:div>
        <w:div w:id="1097482157">
          <w:marLeft w:val="0"/>
          <w:marRight w:val="0"/>
          <w:marTop w:val="0"/>
          <w:marBottom w:val="0"/>
          <w:divBdr>
            <w:top w:val="none" w:sz="0" w:space="0" w:color="auto"/>
            <w:left w:val="none" w:sz="0" w:space="0" w:color="auto"/>
            <w:bottom w:val="none" w:sz="0" w:space="0" w:color="auto"/>
            <w:right w:val="none" w:sz="0" w:space="0" w:color="auto"/>
          </w:divBdr>
          <w:divsChild>
            <w:div w:id="1030110307">
              <w:marLeft w:val="0"/>
              <w:marRight w:val="0"/>
              <w:marTop w:val="0"/>
              <w:marBottom w:val="0"/>
              <w:divBdr>
                <w:top w:val="none" w:sz="0" w:space="0" w:color="auto"/>
                <w:left w:val="none" w:sz="0" w:space="0" w:color="auto"/>
                <w:bottom w:val="none" w:sz="0" w:space="0" w:color="auto"/>
                <w:right w:val="none" w:sz="0" w:space="0" w:color="auto"/>
              </w:divBdr>
            </w:div>
          </w:divsChild>
        </w:div>
        <w:div w:id="2105299516">
          <w:marLeft w:val="0"/>
          <w:marRight w:val="0"/>
          <w:marTop w:val="0"/>
          <w:marBottom w:val="0"/>
          <w:divBdr>
            <w:top w:val="none" w:sz="0" w:space="0" w:color="auto"/>
            <w:left w:val="none" w:sz="0" w:space="0" w:color="auto"/>
            <w:bottom w:val="none" w:sz="0" w:space="0" w:color="auto"/>
            <w:right w:val="none" w:sz="0" w:space="0" w:color="auto"/>
          </w:divBdr>
          <w:divsChild>
            <w:div w:id="1855924580">
              <w:marLeft w:val="0"/>
              <w:marRight w:val="0"/>
              <w:marTop w:val="0"/>
              <w:marBottom w:val="0"/>
              <w:divBdr>
                <w:top w:val="none" w:sz="0" w:space="0" w:color="auto"/>
                <w:left w:val="none" w:sz="0" w:space="0" w:color="auto"/>
                <w:bottom w:val="none" w:sz="0" w:space="0" w:color="auto"/>
                <w:right w:val="none" w:sz="0" w:space="0" w:color="auto"/>
              </w:divBdr>
            </w:div>
          </w:divsChild>
        </w:div>
        <w:div w:id="1809467509">
          <w:marLeft w:val="0"/>
          <w:marRight w:val="0"/>
          <w:marTop w:val="0"/>
          <w:marBottom w:val="0"/>
          <w:divBdr>
            <w:top w:val="none" w:sz="0" w:space="0" w:color="auto"/>
            <w:left w:val="none" w:sz="0" w:space="0" w:color="auto"/>
            <w:bottom w:val="none" w:sz="0" w:space="0" w:color="auto"/>
            <w:right w:val="none" w:sz="0" w:space="0" w:color="auto"/>
          </w:divBdr>
          <w:divsChild>
            <w:div w:id="2035182175">
              <w:marLeft w:val="0"/>
              <w:marRight w:val="0"/>
              <w:marTop w:val="0"/>
              <w:marBottom w:val="0"/>
              <w:divBdr>
                <w:top w:val="none" w:sz="0" w:space="0" w:color="auto"/>
                <w:left w:val="none" w:sz="0" w:space="0" w:color="auto"/>
                <w:bottom w:val="none" w:sz="0" w:space="0" w:color="auto"/>
                <w:right w:val="none" w:sz="0" w:space="0" w:color="auto"/>
              </w:divBdr>
            </w:div>
          </w:divsChild>
        </w:div>
        <w:div w:id="137773806">
          <w:marLeft w:val="0"/>
          <w:marRight w:val="0"/>
          <w:marTop w:val="0"/>
          <w:marBottom w:val="0"/>
          <w:divBdr>
            <w:top w:val="none" w:sz="0" w:space="0" w:color="auto"/>
            <w:left w:val="none" w:sz="0" w:space="0" w:color="auto"/>
            <w:bottom w:val="none" w:sz="0" w:space="0" w:color="auto"/>
            <w:right w:val="none" w:sz="0" w:space="0" w:color="auto"/>
          </w:divBdr>
          <w:divsChild>
            <w:div w:id="1215196988">
              <w:marLeft w:val="0"/>
              <w:marRight w:val="0"/>
              <w:marTop w:val="0"/>
              <w:marBottom w:val="0"/>
              <w:divBdr>
                <w:top w:val="none" w:sz="0" w:space="0" w:color="auto"/>
                <w:left w:val="none" w:sz="0" w:space="0" w:color="auto"/>
                <w:bottom w:val="none" w:sz="0" w:space="0" w:color="auto"/>
                <w:right w:val="none" w:sz="0" w:space="0" w:color="auto"/>
              </w:divBdr>
            </w:div>
          </w:divsChild>
        </w:div>
        <w:div w:id="1937203440">
          <w:marLeft w:val="0"/>
          <w:marRight w:val="0"/>
          <w:marTop w:val="0"/>
          <w:marBottom w:val="0"/>
          <w:divBdr>
            <w:top w:val="none" w:sz="0" w:space="0" w:color="auto"/>
            <w:left w:val="none" w:sz="0" w:space="0" w:color="auto"/>
            <w:bottom w:val="none" w:sz="0" w:space="0" w:color="auto"/>
            <w:right w:val="none" w:sz="0" w:space="0" w:color="auto"/>
          </w:divBdr>
          <w:divsChild>
            <w:div w:id="807942241">
              <w:marLeft w:val="0"/>
              <w:marRight w:val="0"/>
              <w:marTop w:val="0"/>
              <w:marBottom w:val="0"/>
              <w:divBdr>
                <w:top w:val="none" w:sz="0" w:space="0" w:color="auto"/>
                <w:left w:val="none" w:sz="0" w:space="0" w:color="auto"/>
                <w:bottom w:val="none" w:sz="0" w:space="0" w:color="auto"/>
                <w:right w:val="none" w:sz="0" w:space="0" w:color="auto"/>
              </w:divBdr>
            </w:div>
          </w:divsChild>
        </w:div>
        <w:div w:id="946154877">
          <w:marLeft w:val="0"/>
          <w:marRight w:val="0"/>
          <w:marTop w:val="0"/>
          <w:marBottom w:val="0"/>
          <w:divBdr>
            <w:top w:val="none" w:sz="0" w:space="0" w:color="auto"/>
            <w:left w:val="none" w:sz="0" w:space="0" w:color="auto"/>
            <w:bottom w:val="none" w:sz="0" w:space="0" w:color="auto"/>
            <w:right w:val="none" w:sz="0" w:space="0" w:color="auto"/>
          </w:divBdr>
          <w:divsChild>
            <w:div w:id="1843929185">
              <w:marLeft w:val="0"/>
              <w:marRight w:val="0"/>
              <w:marTop w:val="0"/>
              <w:marBottom w:val="0"/>
              <w:divBdr>
                <w:top w:val="none" w:sz="0" w:space="0" w:color="auto"/>
                <w:left w:val="none" w:sz="0" w:space="0" w:color="auto"/>
                <w:bottom w:val="none" w:sz="0" w:space="0" w:color="auto"/>
                <w:right w:val="none" w:sz="0" w:space="0" w:color="auto"/>
              </w:divBdr>
            </w:div>
          </w:divsChild>
        </w:div>
        <w:div w:id="1474635843">
          <w:marLeft w:val="0"/>
          <w:marRight w:val="0"/>
          <w:marTop w:val="0"/>
          <w:marBottom w:val="0"/>
          <w:divBdr>
            <w:top w:val="none" w:sz="0" w:space="0" w:color="auto"/>
            <w:left w:val="none" w:sz="0" w:space="0" w:color="auto"/>
            <w:bottom w:val="none" w:sz="0" w:space="0" w:color="auto"/>
            <w:right w:val="none" w:sz="0" w:space="0" w:color="auto"/>
          </w:divBdr>
          <w:divsChild>
            <w:div w:id="603345684">
              <w:marLeft w:val="0"/>
              <w:marRight w:val="0"/>
              <w:marTop w:val="0"/>
              <w:marBottom w:val="0"/>
              <w:divBdr>
                <w:top w:val="none" w:sz="0" w:space="0" w:color="auto"/>
                <w:left w:val="none" w:sz="0" w:space="0" w:color="auto"/>
                <w:bottom w:val="none" w:sz="0" w:space="0" w:color="auto"/>
                <w:right w:val="none" w:sz="0" w:space="0" w:color="auto"/>
              </w:divBdr>
            </w:div>
          </w:divsChild>
        </w:div>
        <w:div w:id="1992975151">
          <w:marLeft w:val="0"/>
          <w:marRight w:val="0"/>
          <w:marTop w:val="0"/>
          <w:marBottom w:val="0"/>
          <w:divBdr>
            <w:top w:val="none" w:sz="0" w:space="0" w:color="auto"/>
            <w:left w:val="none" w:sz="0" w:space="0" w:color="auto"/>
            <w:bottom w:val="none" w:sz="0" w:space="0" w:color="auto"/>
            <w:right w:val="none" w:sz="0" w:space="0" w:color="auto"/>
          </w:divBdr>
          <w:divsChild>
            <w:div w:id="680663995">
              <w:marLeft w:val="0"/>
              <w:marRight w:val="0"/>
              <w:marTop w:val="0"/>
              <w:marBottom w:val="0"/>
              <w:divBdr>
                <w:top w:val="none" w:sz="0" w:space="0" w:color="auto"/>
                <w:left w:val="none" w:sz="0" w:space="0" w:color="auto"/>
                <w:bottom w:val="none" w:sz="0" w:space="0" w:color="auto"/>
                <w:right w:val="none" w:sz="0" w:space="0" w:color="auto"/>
              </w:divBdr>
            </w:div>
          </w:divsChild>
        </w:div>
        <w:div w:id="1399089610">
          <w:marLeft w:val="0"/>
          <w:marRight w:val="0"/>
          <w:marTop w:val="0"/>
          <w:marBottom w:val="0"/>
          <w:divBdr>
            <w:top w:val="none" w:sz="0" w:space="0" w:color="auto"/>
            <w:left w:val="none" w:sz="0" w:space="0" w:color="auto"/>
            <w:bottom w:val="none" w:sz="0" w:space="0" w:color="auto"/>
            <w:right w:val="none" w:sz="0" w:space="0" w:color="auto"/>
          </w:divBdr>
          <w:divsChild>
            <w:div w:id="344214502">
              <w:marLeft w:val="0"/>
              <w:marRight w:val="0"/>
              <w:marTop w:val="0"/>
              <w:marBottom w:val="0"/>
              <w:divBdr>
                <w:top w:val="none" w:sz="0" w:space="0" w:color="auto"/>
                <w:left w:val="none" w:sz="0" w:space="0" w:color="auto"/>
                <w:bottom w:val="none" w:sz="0" w:space="0" w:color="auto"/>
                <w:right w:val="none" w:sz="0" w:space="0" w:color="auto"/>
              </w:divBdr>
            </w:div>
          </w:divsChild>
        </w:div>
        <w:div w:id="713623969">
          <w:marLeft w:val="0"/>
          <w:marRight w:val="0"/>
          <w:marTop w:val="0"/>
          <w:marBottom w:val="0"/>
          <w:divBdr>
            <w:top w:val="none" w:sz="0" w:space="0" w:color="auto"/>
            <w:left w:val="none" w:sz="0" w:space="0" w:color="auto"/>
            <w:bottom w:val="none" w:sz="0" w:space="0" w:color="auto"/>
            <w:right w:val="none" w:sz="0" w:space="0" w:color="auto"/>
          </w:divBdr>
          <w:divsChild>
            <w:div w:id="496504414">
              <w:marLeft w:val="0"/>
              <w:marRight w:val="0"/>
              <w:marTop w:val="0"/>
              <w:marBottom w:val="0"/>
              <w:divBdr>
                <w:top w:val="none" w:sz="0" w:space="0" w:color="auto"/>
                <w:left w:val="none" w:sz="0" w:space="0" w:color="auto"/>
                <w:bottom w:val="none" w:sz="0" w:space="0" w:color="auto"/>
                <w:right w:val="none" w:sz="0" w:space="0" w:color="auto"/>
              </w:divBdr>
            </w:div>
          </w:divsChild>
        </w:div>
        <w:div w:id="1458598987">
          <w:marLeft w:val="0"/>
          <w:marRight w:val="0"/>
          <w:marTop w:val="0"/>
          <w:marBottom w:val="0"/>
          <w:divBdr>
            <w:top w:val="none" w:sz="0" w:space="0" w:color="auto"/>
            <w:left w:val="none" w:sz="0" w:space="0" w:color="auto"/>
            <w:bottom w:val="none" w:sz="0" w:space="0" w:color="auto"/>
            <w:right w:val="none" w:sz="0" w:space="0" w:color="auto"/>
          </w:divBdr>
          <w:divsChild>
            <w:div w:id="1873610918">
              <w:marLeft w:val="0"/>
              <w:marRight w:val="0"/>
              <w:marTop w:val="0"/>
              <w:marBottom w:val="0"/>
              <w:divBdr>
                <w:top w:val="none" w:sz="0" w:space="0" w:color="auto"/>
                <w:left w:val="none" w:sz="0" w:space="0" w:color="auto"/>
                <w:bottom w:val="none" w:sz="0" w:space="0" w:color="auto"/>
                <w:right w:val="none" w:sz="0" w:space="0" w:color="auto"/>
              </w:divBdr>
            </w:div>
          </w:divsChild>
        </w:div>
        <w:div w:id="266037615">
          <w:marLeft w:val="0"/>
          <w:marRight w:val="0"/>
          <w:marTop w:val="0"/>
          <w:marBottom w:val="0"/>
          <w:divBdr>
            <w:top w:val="none" w:sz="0" w:space="0" w:color="auto"/>
            <w:left w:val="none" w:sz="0" w:space="0" w:color="auto"/>
            <w:bottom w:val="none" w:sz="0" w:space="0" w:color="auto"/>
            <w:right w:val="none" w:sz="0" w:space="0" w:color="auto"/>
          </w:divBdr>
          <w:divsChild>
            <w:div w:id="214440025">
              <w:marLeft w:val="0"/>
              <w:marRight w:val="0"/>
              <w:marTop w:val="0"/>
              <w:marBottom w:val="0"/>
              <w:divBdr>
                <w:top w:val="none" w:sz="0" w:space="0" w:color="auto"/>
                <w:left w:val="none" w:sz="0" w:space="0" w:color="auto"/>
                <w:bottom w:val="none" w:sz="0" w:space="0" w:color="auto"/>
                <w:right w:val="none" w:sz="0" w:space="0" w:color="auto"/>
              </w:divBdr>
            </w:div>
          </w:divsChild>
        </w:div>
        <w:div w:id="1992559622">
          <w:marLeft w:val="0"/>
          <w:marRight w:val="0"/>
          <w:marTop w:val="0"/>
          <w:marBottom w:val="0"/>
          <w:divBdr>
            <w:top w:val="none" w:sz="0" w:space="0" w:color="auto"/>
            <w:left w:val="none" w:sz="0" w:space="0" w:color="auto"/>
            <w:bottom w:val="none" w:sz="0" w:space="0" w:color="auto"/>
            <w:right w:val="none" w:sz="0" w:space="0" w:color="auto"/>
          </w:divBdr>
          <w:divsChild>
            <w:div w:id="1602299706">
              <w:marLeft w:val="0"/>
              <w:marRight w:val="0"/>
              <w:marTop w:val="0"/>
              <w:marBottom w:val="0"/>
              <w:divBdr>
                <w:top w:val="none" w:sz="0" w:space="0" w:color="auto"/>
                <w:left w:val="none" w:sz="0" w:space="0" w:color="auto"/>
                <w:bottom w:val="none" w:sz="0" w:space="0" w:color="auto"/>
                <w:right w:val="none" w:sz="0" w:space="0" w:color="auto"/>
              </w:divBdr>
            </w:div>
          </w:divsChild>
        </w:div>
        <w:div w:id="277223563">
          <w:marLeft w:val="0"/>
          <w:marRight w:val="0"/>
          <w:marTop w:val="0"/>
          <w:marBottom w:val="0"/>
          <w:divBdr>
            <w:top w:val="none" w:sz="0" w:space="0" w:color="auto"/>
            <w:left w:val="none" w:sz="0" w:space="0" w:color="auto"/>
            <w:bottom w:val="none" w:sz="0" w:space="0" w:color="auto"/>
            <w:right w:val="none" w:sz="0" w:space="0" w:color="auto"/>
          </w:divBdr>
          <w:divsChild>
            <w:div w:id="1064915777">
              <w:marLeft w:val="0"/>
              <w:marRight w:val="0"/>
              <w:marTop w:val="0"/>
              <w:marBottom w:val="0"/>
              <w:divBdr>
                <w:top w:val="none" w:sz="0" w:space="0" w:color="auto"/>
                <w:left w:val="none" w:sz="0" w:space="0" w:color="auto"/>
                <w:bottom w:val="none" w:sz="0" w:space="0" w:color="auto"/>
                <w:right w:val="none" w:sz="0" w:space="0" w:color="auto"/>
              </w:divBdr>
            </w:div>
          </w:divsChild>
        </w:div>
        <w:div w:id="1110515545">
          <w:marLeft w:val="0"/>
          <w:marRight w:val="0"/>
          <w:marTop w:val="0"/>
          <w:marBottom w:val="0"/>
          <w:divBdr>
            <w:top w:val="none" w:sz="0" w:space="0" w:color="auto"/>
            <w:left w:val="none" w:sz="0" w:space="0" w:color="auto"/>
            <w:bottom w:val="none" w:sz="0" w:space="0" w:color="auto"/>
            <w:right w:val="none" w:sz="0" w:space="0" w:color="auto"/>
          </w:divBdr>
          <w:divsChild>
            <w:div w:id="245657162">
              <w:marLeft w:val="0"/>
              <w:marRight w:val="0"/>
              <w:marTop w:val="0"/>
              <w:marBottom w:val="0"/>
              <w:divBdr>
                <w:top w:val="none" w:sz="0" w:space="0" w:color="auto"/>
                <w:left w:val="none" w:sz="0" w:space="0" w:color="auto"/>
                <w:bottom w:val="none" w:sz="0" w:space="0" w:color="auto"/>
                <w:right w:val="none" w:sz="0" w:space="0" w:color="auto"/>
              </w:divBdr>
            </w:div>
          </w:divsChild>
        </w:div>
        <w:div w:id="354037702">
          <w:marLeft w:val="0"/>
          <w:marRight w:val="0"/>
          <w:marTop w:val="0"/>
          <w:marBottom w:val="0"/>
          <w:divBdr>
            <w:top w:val="none" w:sz="0" w:space="0" w:color="auto"/>
            <w:left w:val="none" w:sz="0" w:space="0" w:color="auto"/>
            <w:bottom w:val="none" w:sz="0" w:space="0" w:color="auto"/>
            <w:right w:val="none" w:sz="0" w:space="0" w:color="auto"/>
          </w:divBdr>
          <w:divsChild>
            <w:div w:id="847138158">
              <w:marLeft w:val="0"/>
              <w:marRight w:val="0"/>
              <w:marTop w:val="0"/>
              <w:marBottom w:val="0"/>
              <w:divBdr>
                <w:top w:val="none" w:sz="0" w:space="0" w:color="auto"/>
                <w:left w:val="none" w:sz="0" w:space="0" w:color="auto"/>
                <w:bottom w:val="none" w:sz="0" w:space="0" w:color="auto"/>
                <w:right w:val="none" w:sz="0" w:space="0" w:color="auto"/>
              </w:divBdr>
            </w:div>
          </w:divsChild>
        </w:div>
        <w:div w:id="1733386107">
          <w:marLeft w:val="0"/>
          <w:marRight w:val="0"/>
          <w:marTop w:val="0"/>
          <w:marBottom w:val="0"/>
          <w:divBdr>
            <w:top w:val="none" w:sz="0" w:space="0" w:color="auto"/>
            <w:left w:val="none" w:sz="0" w:space="0" w:color="auto"/>
            <w:bottom w:val="none" w:sz="0" w:space="0" w:color="auto"/>
            <w:right w:val="none" w:sz="0" w:space="0" w:color="auto"/>
          </w:divBdr>
          <w:divsChild>
            <w:div w:id="1267351989">
              <w:marLeft w:val="0"/>
              <w:marRight w:val="0"/>
              <w:marTop w:val="0"/>
              <w:marBottom w:val="0"/>
              <w:divBdr>
                <w:top w:val="none" w:sz="0" w:space="0" w:color="auto"/>
                <w:left w:val="none" w:sz="0" w:space="0" w:color="auto"/>
                <w:bottom w:val="none" w:sz="0" w:space="0" w:color="auto"/>
                <w:right w:val="none" w:sz="0" w:space="0" w:color="auto"/>
              </w:divBdr>
            </w:div>
          </w:divsChild>
        </w:div>
        <w:div w:id="958610138">
          <w:marLeft w:val="0"/>
          <w:marRight w:val="0"/>
          <w:marTop w:val="0"/>
          <w:marBottom w:val="0"/>
          <w:divBdr>
            <w:top w:val="none" w:sz="0" w:space="0" w:color="auto"/>
            <w:left w:val="none" w:sz="0" w:space="0" w:color="auto"/>
            <w:bottom w:val="none" w:sz="0" w:space="0" w:color="auto"/>
            <w:right w:val="none" w:sz="0" w:space="0" w:color="auto"/>
          </w:divBdr>
          <w:divsChild>
            <w:div w:id="458719219">
              <w:marLeft w:val="0"/>
              <w:marRight w:val="0"/>
              <w:marTop w:val="0"/>
              <w:marBottom w:val="0"/>
              <w:divBdr>
                <w:top w:val="none" w:sz="0" w:space="0" w:color="auto"/>
                <w:left w:val="none" w:sz="0" w:space="0" w:color="auto"/>
                <w:bottom w:val="none" w:sz="0" w:space="0" w:color="auto"/>
                <w:right w:val="none" w:sz="0" w:space="0" w:color="auto"/>
              </w:divBdr>
            </w:div>
          </w:divsChild>
        </w:div>
        <w:div w:id="1415737731">
          <w:marLeft w:val="0"/>
          <w:marRight w:val="0"/>
          <w:marTop w:val="0"/>
          <w:marBottom w:val="0"/>
          <w:divBdr>
            <w:top w:val="none" w:sz="0" w:space="0" w:color="auto"/>
            <w:left w:val="none" w:sz="0" w:space="0" w:color="auto"/>
            <w:bottom w:val="none" w:sz="0" w:space="0" w:color="auto"/>
            <w:right w:val="none" w:sz="0" w:space="0" w:color="auto"/>
          </w:divBdr>
          <w:divsChild>
            <w:div w:id="1671711908">
              <w:marLeft w:val="0"/>
              <w:marRight w:val="0"/>
              <w:marTop w:val="0"/>
              <w:marBottom w:val="0"/>
              <w:divBdr>
                <w:top w:val="none" w:sz="0" w:space="0" w:color="auto"/>
                <w:left w:val="none" w:sz="0" w:space="0" w:color="auto"/>
                <w:bottom w:val="none" w:sz="0" w:space="0" w:color="auto"/>
                <w:right w:val="none" w:sz="0" w:space="0" w:color="auto"/>
              </w:divBdr>
            </w:div>
          </w:divsChild>
        </w:div>
        <w:div w:id="472910732">
          <w:marLeft w:val="0"/>
          <w:marRight w:val="0"/>
          <w:marTop w:val="0"/>
          <w:marBottom w:val="0"/>
          <w:divBdr>
            <w:top w:val="none" w:sz="0" w:space="0" w:color="auto"/>
            <w:left w:val="none" w:sz="0" w:space="0" w:color="auto"/>
            <w:bottom w:val="none" w:sz="0" w:space="0" w:color="auto"/>
            <w:right w:val="none" w:sz="0" w:space="0" w:color="auto"/>
          </w:divBdr>
          <w:divsChild>
            <w:div w:id="1305768371">
              <w:marLeft w:val="0"/>
              <w:marRight w:val="0"/>
              <w:marTop w:val="0"/>
              <w:marBottom w:val="0"/>
              <w:divBdr>
                <w:top w:val="none" w:sz="0" w:space="0" w:color="auto"/>
                <w:left w:val="none" w:sz="0" w:space="0" w:color="auto"/>
                <w:bottom w:val="none" w:sz="0" w:space="0" w:color="auto"/>
                <w:right w:val="none" w:sz="0" w:space="0" w:color="auto"/>
              </w:divBdr>
            </w:div>
          </w:divsChild>
        </w:div>
        <w:div w:id="1094129253">
          <w:marLeft w:val="0"/>
          <w:marRight w:val="0"/>
          <w:marTop w:val="0"/>
          <w:marBottom w:val="0"/>
          <w:divBdr>
            <w:top w:val="none" w:sz="0" w:space="0" w:color="auto"/>
            <w:left w:val="none" w:sz="0" w:space="0" w:color="auto"/>
            <w:bottom w:val="none" w:sz="0" w:space="0" w:color="auto"/>
            <w:right w:val="none" w:sz="0" w:space="0" w:color="auto"/>
          </w:divBdr>
          <w:divsChild>
            <w:div w:id="2076511611">
              <w:marLeft w:val="0"/>
              <w:marRight w:val="0"/>
              <w:marTop w:val="0"/>
              <w:marBottom w:val="0"/>
              <w:divBdr>
                <w:top w:val="none" w:sz="0" w:space="0" w:color="auto"/>
                <w:left w:val="none" w:sz="0" w:space="0" w:color="auto"/>
                <w:bottom w:val="none" w:sz="0" w:space="0" w:color="auto"/>
                <w:right w:val="none" w:sz="0" w:space="0" w:color="auto"/>
              </w:divBdr>
            </w:div>
          </w:divsChild>
        </w:div>
        <w:div w:id="821502962">
          <w:marLeft w:val="0"/>
          <w:marRight w:val="0"/>
          <w:marTop w:val="0"/>
          <w:marBottom w:val="0"/>
          <w:divBdr>
            <w:top w:val="none" w:sz="0" w:space="0" w:color="auto"/>
            <w:left w:val="none" w:sz="0" w:space="0" w:color="auto"/>
            <w:bottom w:val="none" w:sz="0" w:space="0" w:color="auto"/>
            <w:right w:val="none" w:sz="0" w:space="0" w:color="auto"/>
          </w:divBdr>
          <w:divsChild>
            <w:div w:id="885798093">
              <w:marLeft w:val="0"/>
              <w:marRight w:val="0"/>
              <w:marTop w:val="0"/>
              <w:marBottom w:val="0"/>
              <w:divBdr>
                <w:top w:val="none" w:sz="0" w:space="0" w:color="auto"/>
                <w:left w:val="none" w:sz="0" w:space="0" w:color="auto"/>
                <w:bottom w:val="none" w:sz="0" w:space="0" w:color="auto"/>
                <w:right w:val="none" w:sz="0" w:space="0" w:color="auto"/>
              </w:divBdr>
            </w:div>
          </w:divsChild>
        </w:div>
        <w:div w:id="1462069688">
          <w:marLeft w:val="0"/>
          <w:marRight w:val="0"/>
          <w:marTop w:val="0"/>
          <w:marBottom w:val="0"/>
          <w:divBdr>
            <w:top w:val="none" w:sz="0" w:space="0" w:color="auto"/>
            <w:left w:val="none" w:sz="0" w:space="0" w:color="auto"/>
            <w:bottom w:val="none" w:sz="0" w:space="0" w:color="auto"/>
            <w:right w:val="none" w:sz="0" w:space="0" w:color="auto"/>
          </w:divBdr>
          <w:divsChild>
            <w:div w:id="2102024814">
              <w:marLeft w:val="0"/>
              <w:marRight w:val="0"/>
              <w:marTop w:val="0"/>
              <w:marBottom w:val="0"/>
              <w:divBdr>
                <w:top w:val="none" w:sz="0" w:space="0" w:color="auto"/>
                <w:left w:val="none" w:sz="0" w:space="0" w:color="auto"/>
                <w:bottom w:val="none" w:sz="0" w:space="0" w:color="auto"/>
                <w:right w:val="none" w:sz="0" w:space="0" w:color="auto"/>
              </w:divBdr>
            </w:div>
          </w:divsChild>
        </w:div>
        <w:div w:id="881862649">
          <w:marLeft w:val="0"/>
          <w:marRight w:val="0"/>
          <w:marTop w:val="0"/>
          <w:marBottom w:val="0"/>
          <w:divBdr>
            <w:top w:val="none" w:sz="0" w:space="0" w:color="auto"/>
            <w:left w:val="none" w:sz="0" w:space="0" w:color="auto"/>
            <w:bottom w:val="none" w:sz="0" w:space="0" w:color="auto"/>
            <w:right w:val="none" w:sz="0" w:space="0" w:color="auto"/>
          </w:divBdr>
          <w:divsChild>
            <w:div w:id="1488479791">
              <w:marLeft w:val="0"/>
              <w:marRight w:val="0"/>
              <w:marTop w:val="0"/>
              <w:marBottom w:val="0"/>
              <w:divBdr>
                <w:top w:val="none" w:sz="0" w:space="0" w:color="auto"/>
                <w:left w:val="none" w:sz="0" w:space="0" w:color="auto"/>
                <w:bottom w:val="none" w:sz="0" w:space="0" w:color="auto"/>
                <w:right w:val="none" w:sz="0" w:space="0" w:color="auto"/>
              </w:divBdr>
            </w:div>
          </w:divsChild>
        </w:div>
        <w:div w:id="974408458">
          <w:marLeft w:val="0"/>
          <w:marRight w:val="0"/>
          <w:marTop w:val="0"/>
          <w:marBottom w:val="0"/>
          <w:divBdr>
            <w:top w:val="none" w:sz="0" w:space="0" w:color="auto"/>
            <w:left w:val="none" w:sz="0" w:space="0" w:color="auto"/>
            <w:bottom w:val="none" w:sz="0" w:space="0" w:color="auto"/>
            <w:right w:val="none" w:sz="0" w:space="0" w:color="auto"/>
          </w:divBdr>
          <w:divsChild>
            <w:div w:id="296645228">
              <w:marLeft w:val="0"/>
              <w:marRight w:val="0"/>
              <w:marTop w:val="0"/>
              <w:marBottom w:val="0"/>
              <w:divBdr>
                <w:top w:val="none" w:sz="0" w:space="0" w:color="auto"/>
                <w:left w:val="none" w:sz="0" w:space="0" w:color="auto"/>
                <w:bottom w:val="none" w:sz="0" w:space="0" w:color="auto"/>
                <w:right w:val="none" w:sz="0" w:space="0" w:color="auto"/>
              </w:divBdr>
            </w:div>
          </w:divsChild>
        </w:div>
        <w:div w:id="1018704451">
          <w:marLeft w:val="0"/>
          <w:marRight w:val="0"/>
          <w:marTop w:val="0"/>
          <w:marBottom w:val="0"/>
          <w:divBdr>
            <w:top w:val="none" w:sz="0" w:space="0" w:color="auto"/>
            <w:left w:val="none" w:sz="0" w:space="0" w:color="auto"/>
            <w:bottom w:val="none" w:sz="0" w:space="0" w:color="auto"/>
            <w:right w:val="none" w:sz="0" w:space="0" w:color="auto"/>
          </w:divBdr>
          <w:divsChild>
            <w:div w:id="1877768255">
              <w:marLeft w:val="0"/>
              <w:marRight w:val="0"/>
              <w:marTop w:val="0"/>
              <w:marBottom w:val="0"/>
              <w:divBdr>
                <w:top w:val="none" w:sz="0" w:space="0" w:color="auto"/>
                <w:left w:val="none" w:sz="0" w:space="0" w:color="auto"/>
                <w:bottom w:val="none" w:sz="0" w:space="0" w:color="auto"/>
                <w:right w:val="none" w:sz="0" w:space="0" w:color="auto"/>
              </w:divBdr>
            </w:div>
          </w:divsChild>
        </w:div>
        <w:div w:id="964695824">
          <w:marLeft w:val="0"/>
          <w:marRight w:val="0"/>
          <w:marTop w:val="0"/>
          <w:marBottom w:val="0"/>
          <w:divBdr>
            <w:top w:val="none" w:sz="0" w:space="0" w:color="auto"/>
            <w:left w:val="none" w:sz="0" w:space="0" w:color="auto"/>
            <w:bottom w:val="none" w:sz="0" w:space="0" w:color="auto"/>
            <w:right w:val="none" w:sz="0" w:space="0" w:color="auto"/>
          </w:divBdr>
          <w:divsChild>
            <w:div w:id="1404529206">
              <w:marLeft w:val="0"/>
              <w:marRight w:val="0"/>
              <w:marTop w:val="0"/>
              <w:marBottom w:val="0"/>
              <w:divBdr>
                <w:top w:val="none" w:sz="0" w:space="0" w:color="auto"/>
                <w:left w:val="none" w:sz="0" w:space="0" w:color="auto"/>
                <w:bottom w:val="none" w:sz="0" w:space="0" w:color="auto"/>
                <w:right w:val="none" w:sz="0" w:space="0" w:color="auto"/>
              </w:divBdr>
            </w:div>
          </w:divsChild>
        </w:div>
        <w:div w:id="225410827">
          <w:marLeft w:val="0"/>
          <w:marRight w:val="0"/>
          <w:marTop w:val="0"/>
          <w:marBottom w:val="0"/>
          <w:divBdr>
            <w:top w:val="none" w:sz="0" w:space="0" w:color="auto"/>
            <w:left w:val="none" w:sz="0" w:space="0" w:color="auto"/>
            <w:bottom w:val="none" w:sz="0" w:space="0" w:color="auto"/>
            <w:right w:val="none" w:sz="0" w:space="0" w:color="auto"/>
          </w:divBdr>
          <w:divsChild>
            <w:div w:id="1591893189">
              <w:marLeft w:val="0"/>
              <w:marRight w:val="0"/>
              <w:marTop w:val="0"/>
              <w:marBottom w:val="0"/>
              <w:divBdr>
                <w:top w:val="none" w:sz="0" w:space="0" w:color="auto"/>
                <w:left w:val="none" w:sz="0" w:space="0" w:color="auto"/>
                <w:bottom w:val="none" w:sz="0" w:space="0" w:color="auto"/>
                <w:right w:val="none" w:sz="0" w:space="0" w:color="auto"/>
              </w:divBdr>
            </w:div>
          </w:divsChild>
        </w:div>
        <w:div w:id="1835880343">
          <w:marLeft w:val="0"/>
          <w:marRight w:val="0"/>
          <w:marTop w:val="0"/>
          <w:marBottom w:val="0"/>
          <w:divBdr>
            <w:top w:val="none" w:sz="0" w:space="0" w:color="auto"/>
            <w:left w:val="none" w:sz="0" w:space="0" w:color="auto"/>
            <w:bottom w:val="none" w:sz="0" w:space="0" w:color="auto"/>
            <w:right w:val="none" w:sz="0" w:space="0" w:color="auto"/>
          </w:divBdr>
          <w:divsChild>
            <w:div w:id="2074085870">
              <w:marLeft w:val="0"/>
              <w:marRight w:val="0"/>
              <w:marTop w:val="0"/>
              <w:marBottom w:val="0"/>
              <w:divBdr>
                <w:top w:val="none" w:sz="0" w:space="0" w:color="auto"/>
                <w:left w:val="none" w:sz="0" w:space="0" w:color="auto"/>
                <w:bottom w:val="none" w:sz="0" w:space="0" w:color="auto"/>
                <w:right w:val="none" w:sz="0" w:space="0" w:color="auto"/>
              </w:divBdr>
            </w:div>
          </w:divsChild>
        </w:div>
        <w:div w:id="1621299552">
          <w:marLeft w:val="0"/>
          <w:marRight w:val="0"/>
          <w:marTop w:val="0"/>
          <w:marBottom w:val="0"/>
          <w:divBdr>
            <w:top w:val="none" w:sz="0" w:space="0" w:color="auto"/>
            <w:left w:val="none" w:sz="0" w:space="0" w:color="auto"/>
            <w:bottom w:val="none" w:sz="0" w:space="0" w:color="auto"/>
            <w:right w:val="none" w:sz="0" w:space="0" w:color="auto"/>
          </w:divBdr>
          <w:divsChild>
            <w:div w:id="1685130894">
              <w:marLeft w:val="0"/>
              <w:marRight w:val="0"/>
              <w:marTop w:val="0"/>
              <w:marBottom w:val="0"/>
              <w:divBdr>
                <w:top w:val="none" w:sz="0" w:space="0" w:color="auto"/>
                <w:left w:val="none" w:sz="0" w:space="0" w:color="auto"/>
                <w:bottom w:val="none" w:sz="0" w:space="0" w:color="auto"/>
                <w:right w:val="none" w:sz="0" w:space="0" w:color="auto"/>
              </w:divBdr>
            </w:div>
          </w:divsChild>
        </w:div>
        <w:div w:id="3631356">
          <w:marLeft w:val="0"/>
          <w:marRight w:val="0"/>
          <w:marTop w:val="0"/>
          <w:marBottom w:val="0"/>
          <w:divBdr>
            <w:top w:val="none" w:sz="0" w:space="0" w:color="auto"/>
            <w:left w:val="none" w:sz="0" w:space="0" w:color="auto"/>
            <w:bottom w:val="none" w:sz="0" w:space="0" w:color="auto"/>
            <w:right w:val="none" w:sz="0" w:space="0" w:color="auto"/>
          </w:divBdr>
          <w:divsChild>
            <w:div w:id="738552960">
              <w:marLeft w:val="0"/>
              <w:marRight w:val="0"/>
              <w:marTop w:val="0"/>
              <w:marBottom w:val="0"/>
              <w:divBdr>
                <w:top w:val="none" w:sz="0" w:space="0" w:color="auto"/>
                <w:left w:val="none" w:sz="0" w:space="0" w:color="auto"/>
                <w:bottom w:val="none" w:sz="0" w:space="0" w:color="auto"/>
                <w:right w:val="none" w:sz="0" w:space="0" w:color="auto"/>
              </w:divBdr>
            </w:div>
          </w:divsChild>
        </w:div>
        <w:div w:id="1688016767">
          <w:marLeft w:val="0"/>
          <w:marRight w:val="0"/>
          <w:marTop w:val="0"/>
          <w:marBottom w:val="0"/>
          <w:divBdr>
            <w:top w:val="none" w:sz="0" w:space="0" w:color="auto"/>
            <w:left w:val="none" w:sz="0" w:space="0" w:color="auto"/>
            <w:bottom w:val="none" w:sz="0" w:space="0" w:color="auto"/>
            <w:right w:val="none" w:sz="0" w:space="0" w:color="auto"/>
          </w:divBdr>
          <w:divsChild>
            <w:div w:id="554240560">
              <w:marLeft w:val="0"/>
              <w:marRight w:val="0"/>
              <w:marTop w:val="0"/>
              <w:marBottom w:val="0"/>
              <w:divBdr>
                <w:top w:val="none" w:sz="0" w:space="0" w:color="auto"/>
                <w:left w:val="none" w:sz="0" w:space="0" w:color="auto"/>
                <w:bottom w:val="none" w:sz="0" w:space="0" w:color="auto"/>
                <w:right w:val="none" w:sz="0" w:space="0" w:color="auto"/>
              </w:divBdr>
            </w:div>
          </w:divsChild>
        </w:div>
        <w:div w:id="1359698321">
          <w:marLeft w:val="0"/>
          <w:marRight w:val="0"/>
          <w:marTop w:val="0"/>
          <w:marBottom w:val="0"/>
          <w:divBdr>
            <w:top w:val="none" w:sz="0" w:space="0" w:color="auto"/>
            <w:left w:val="none" w:sz="0" w:space="0" w:color="auto"/>
            <w:bottom w:val="none" w:sz="0" w:space="0" w:color="auto"/>
            <w:right w:val="none" w:sz="0" w:space="0" w:color="auto"/>
          </w:divBdr>
          <w:divsChild>
            <w:div w:id="1828011031">
              <w:marLeft w:val="0"/>
              <w:marRight w:val="0"/>
              <w:marTop w:val="0"/>
              <w:marBottom w:val="0"/>
              <w:divBdr>
                <w:top w:val="none" w:sz="0" w:space="0" w:color="auto"/>
                <w:left w:val="none" w:sz="0" w:space="0" w:color="auto"/>
                <w:bottom w:val="none" w:sz="0" w:space="0" w:color="auto"/>
                <w:right w:val="none" w:sz="0" w:space="0" w:color="auto"/>
              </w:divBdr>
            </w:div>
          </w:divsChild>
        </w:div>
        <w:div w:id="724330118">
          <w:marLeft w:val="0"/>
          <w:marRight w:val="0"/>
          <w:marTop w:val="0"/>
          <w:marBottom w:val="0"/>
          <w:divBdr>
            <w:top w:val="none" w:sz="0" w:space="0" w:color="auto"/>
            <w:left w:val="none" w:sz="0" w:space="0" w:color="auto"/>
            <w:bottom w:val="none" w:sz="0" w:space="0" w:color="auto"/>
            <w:right w:val="none" w:sz="0" w:space="0" w:color="auto"/>
          </w:divBdr>
          <w:divsChild>
            <w:div w:id="1045594022">
              <w:marLeft w:val="0"/>
              <w:marRight w:val="0"/>
              <w:marTop w:val="0"/>
              <w:marBottom w:val="0"/>
              <w:divBdr>
                <w:top w:val="none" w:sz="0" w:space="0" w:color="auto"/>
                <w:left w:val="none" w:sz="0" w:space="0" w:color="auto"/>
                <w:bottom w:val="none" w:sz="0" w:space="0" w:color="auto"/>
                <w:right w:val="none" w:sz="0" w:space="0" w:color="auto"/>
              </w:divBdr>
            </w:div>
          </w:divsChild>
        </w:div>
        <w:div w:id="790787277">
          <w:marLeft w:val="0"/>
          <w:marRight w:val="0"/>
          <w:marTop w:val="0"/>
          <w:marBottom w:val="0"/>
          <w:divBdr>
            <w:top w:val="none" w:sz="0" w:space="0" w:color="auto"/>
            <w:left w:val="none" w:sz="0" w:space="0" w:color="auto"/>
            <w:bottom w:val="none" w:sz="0" w:space="0" w:color="auto"/>
            <w:right w:val="none" w:sz="0" w:space="0" w:color="auto"/>
          </w:divBdr>
          <w:divsChild>
            <w:div w:id="1486583284">
              <w:marLeft w:val="0"/>
              <w:marRight w:val="0"/>
              <w:marTop w:val="0"/>
              <w:marBottom w:val="0"/>
              <w:divBdr>
                <w:top w:val="none" w:sz="0" w:space="0" w:color="auto"/>
                <w:left w:val="none" w:sz="0" w:space="0" w:color="auto"/>
                <w:bottom w:val="none" w:sz="0" w:space="0" w:color="auto"/>
                <w:right w:val="none" w:sz="0" w:space="0" w:color="auto"/>
              </w:divBdr>
            </w:div>
          </w:divsChild>
        </w:div>
        <w:div w:id="1477257353">
          <w:marLeft w:val="0"/>
          <w:marRight w:val="0"/>
          <w:marTop w:val="0"/>
          <w:marBottom w:val="0"/>
          <w:divBdr>
            <w:top w:val="none" w:sz="0" w:space="0" w:color="auto"/>
            <w:left w:val="none" w:sz="0" w:space="0" w:color="auto"/>
            <w:bottom w:val="none" w:sz="0" w:space="0" w:color="auto"/>
            <w:right w:val="none" w:sz="0" w:space="0" w:color="auto"/>
          </w:divBdr>
          <w:divsChild>
            <w:div w:id="278152069">
              <w:marLeft w:val="0"/>
              <w:marRight w:val="0"/>
              <w:marTop w:val="0"/>
              <w:marBottom w:val="0"/>
              <w:divBdr>
                <w:top w:val="none" w:sz="0" w:space="0" w:color="auto"/>
                <w:left w:val="none" w:sz="0" w:space="0" w:color="auto"/>
                <w:bottom w:val="none" w:sz="0" w:space="0" w:color="auto"/>
                <w:right w:val="none" w:sz="0" w:space="0" w:color="auto"/>
              </w:divBdr>
            </w:div>
          </w:divsChild>
        </w:div>
        <w:div w:id="722295318">
          <w:marLeft w:val="0"/>
          <w:marRight w:val="0"/>
          <w:marTop w:val="0"/>
          <w:marBottom w:val="0"/>
          <w:divBdr>
            <w:top w:val="none" w:sz="0" w:space="0" w:color="auto"/>
            <w:left w:val="none" w:sz="0" w:space="0" w:color="auto"/>
            <w:bottom w:val="none" w:sz="0" w:space="0" w:color="auto"/>
            <w:right w:val="none" w:sz="0" w:space="0" w:color="auto"/>
          </w:divBdr>
          <w:divsChild>
            <w:div w:id="601258160">
              <w:marLeft w:val="0"/>
              <w:marRight w:val="0"/>
              <w:marTop w:val="0"/>
              <w:marBottom w:val="0"/>
              <w:divBdr>
                <w:top w:val="none" w:sz="0" w:space="0" w:color="auto"/>
                <w:left w:val="none" w:sz="0" w:space="0" w:color="auto"/>
                <w:bottom w:val="none" w:sz="0" w:space="0" w:color="auto"/>
                <w:right w:val="none" w:sz="0" w:space="0" w:color="auto"/>
              </w:divBdr>
            </w:div>
          </w:divsChild>
        </w:div>
        <w:div w:id="769590818">
          <w:marLeft w:val="0"/>
          <w:marRight w:val="0"/>
          <w:marTop w:val="0"/>
          <w:marBottom w:val="0"/>
          <w:divBdr>
            <w:top w:val="none" w:sz="0" w:space="0" w:color="auto"/>
            <w:left w:val="none" w:sz="0" w:space="0" w:color="auto"/>
            <w:bottom w:val="none" w:sz="0" w:space="0" w:color="auto"/>
            <w:right w:val="none" w:sz="0" w:space="0" w:color="auto"/>
          </w:divBdr>
          <w:divsChild>
            <w:div w:id="464349212">
              <w:marLeft w:val="0"/>
              <w:marRight w:val="0"/>
              <w:marTop w:val="0"/>
              <w:marBottom w:val="0"/>
              <w:divBdr>
                <w:top w:val="none" w:sz="0" w:space="0" w:color="auto"/>
                <w:left w:val="none" w:sz="0" w:space="0" w:color="auto"/>
                <w:bottom w:val="none" w:sz="0" w:space="0" w:color="auto"/>
                <w:right w:val="none" w:sz="0" w:space="0" w:color="auto"/>
              </w:divBdr>
            </w:div>
          </w:divsChild>
        </w:div>
        <w:div w:id="2069650115">
          <w:marLeft w:val="0"/>
          <w:marRight w:val="0"/>
          <w:marTop w:val="0"/>
          <w:marBottom w:val="0"/>
          <w:divBdr>
            <w:top w:val="none" w:sz="0" w:space="0" w:color="auto"/>
            <w:left w:val="none" w:sz="0" w:space="0" w:color="auto"/>
            <w:bottom w:val="none" w:sz="0" w:space="0" w:color="auto"/>
            <w:right w:val="none" w:sz="0" w:space="0" w:color="auto"/>
          </w:divBdr>
          <w:divsChild>
            <w:div w:id="1440829349">
              <w:marLeft w:val="0"/>
              <w:marRight w:val="0"/>
              <w:marTop w:val="0"/>
              <w:marBottom w:val="0"/>
              <w:divBdr>
                <w:top w:val="none" w:sz="0" w:space="0" w:color="auto"/>
                <w:left w:val="none" w:sz="0" w:space="0" w:color="auto"/>
                <w:bottom w:val="none" w:sz="0" w:space="0" w:color="auto"/>
                <w:right w:val="none" w:sz="0" w:space="0" w:color="auto"/>
              </w:divBdr>
            </w:div>
          </w:divsChild>
        </w:div>
        <w:div w:id="1452823406">
          <w:marLeft w:val="0"/>
          <w:marRight w:val="0"/>
          <w:marTop w:val="0"/>
          <w:marBottom w:val="0"/>
          <w:divBdr>
            <w:top w:val="none" w:sz="0" w:space="0" w:color="auto"/>
            <w:left w:val="none" w:sz="0" w:space="0" w:color="auto"/>
            <w:bottom w:val="none" w:sz="0" w:space="0" w:color="auto"/>
            <w:right w:val="none" w:sz="0" w:space="0" w:color="auto"/>
          </w:divBdr>
          <w:divsChild>
            <w:div w:id="516696406">
              <w:marLeft w:val="0"/>
              <w:marRight w:val="0"/>
              <w:marTop w:val="0"/>
              <w:marBottom w:val="0"/>
              <w:divBdr>
                <w:top w:val="none" w:sz="0" w:space="0" w:color="auto"/>
                <w:left w:val="none" w:sz="0" w:space="0" w:color="auto"/>
                <w:bottom w:val="none" w:sz="0" w:space="0" w:color="auto"/>
                <w:right w:val="none" w:sz="0" w:space="0" w:color="auto"/>
              </w:divBdr>
            </w:div>
          </w:divsChild>
        </w:div>
        <w:div w:id="680205529">
          <w:marLeft w:val="0"/>
          <w:marRight w:val="0"/>
          <w:marTop w:val="0"/>
          <w:marBottom w:val="0"/>
          <w:divBdr>
            <w:top w:val="none" w:sz="0" w:space="0" w:color="auto"/>
            <w:left w:val="none" w:sz="0" w:space="0" w:color="auto"/>
            <w:bottom w:val="none" w:sz="0" w:space="0" w:color="auto"/>
            <w:right w:val="none" w:sz="0" w:space="0" w:color="auto"/>
          </w:divBdr>
          <w:divsChild>
            <w:div w:id="1215313961">
              <w:marLeft w:val="0"/>
              <w:marRight w:val="0"/>
              <w:marTop w:val="0"/>
              <w:marBottom w:val="0"/>
              <w:divBdr>
                <w:top w:val="none" w:sz="0" w:space="0" w:color="auto"/>
                <w:left w:val="none" w:sz="0" w:space="0" w:color="auto"/>
                <w:bottom w:val="none" w:sz="0" w:space="0" w:color="auto"/>
                <w:right w:val="none" w:sz="0" w:space="0" w:color="auto"/>
              </w:divBdr>
            </w:div>
          </w:divsChild>
        </w:div>
        <w:div w:id="1767654753">
          <w:marLeft w:val="0"/>
          <w:marRight w:val="0"/>
          <w:marTop w:val="0"/>
          <w:marBottom w:val="0"/>
          <w:divBdr>
            <w:top w:val="none" w:sz="0" w:space="0" w:color="auto"/>
            <w:left w:val="none" w:sz="0" w:space="0" w:color="auto"/>
            <w:bottom w:val="none" w:sz="0" w:space="0" w:color="auto"/>
            <w:right w:val="none" w:sz="0" w:space="0" w:color="auto"/>
          </w:divBdr>
          <w:divsChild>
            <w:div w:id="906648779">
              <w:marLeft w:val="0"/>
              <w:marRight w:val="0"/>
              <w:marTop w:val="0"/>
              <w:marBottom w:val="0"/>
              <w:divBdr>
                <w:top w:val="none" w:sz="0" w:space="0" w:color="auto"/>
                <w:left w:val="none" w:sz="0" w:space="0" w:color="auto"/>
                <w:bottom w:val="none" w:sz="0" w:space="0" w:color="auto"/>
                <w:right w:val="none" w:sz="0" w:space="0" w:color="auto"/>
              </w:divBdr>
            </w:div>
          </w:divsChild>
        </w:div>
        <w:div w:id="1857108422">
          <w:marLeft w:val="0"/>
          <w:marRight w:val="0"/>
          <w:marTop w:val="0"/>
          <w:marBottom w:val="0"/>
          <w:divBdr>
            <w:top w:val="none" w:sz="0" w:space="0" w:color="auto"/>
            <w:left w:val="none" w:sz="0" w:space="0" w:color="auto"/>
            <w:bottom w:val="none" w:sz="0" w:space="0" w:color="auto"/>
            <w:right w:val="none" w:sz="0" w:space="0" w:color="auto"/>
          </w:divBdr>
          <w:divsChild>
            <w:div w:id="683167829">
              <w:marLeft w:val="0"/>
              <w:marRight w:val="0"/>
              <w:marTop w:val="0"/>
              <w:marBottom w:val="0"/>
              <w:divBdr>
                <w:top w:val="none" w:sz="0" w:space="0" w:color="auto"/>
                <w:left w:val="none" w:sz="0" w:space="0" w:color="auto"/>
                <w:bottom w:val="none" w:sz="0" w:space="0" w:color="auto"/>
                <w:right w:val="none" w:sz="0" w:space="0" w:color="auto"/>
              </w:divBdr>
            </w:div>
          </w:divsChild>
        </w:div>
        <w:div w:id="1316568761">
          <w:marLeft w:val="0"/>
          <w:marRight w:val="0"/>
          <w:marTop w:val="0"/>
          <w:marBottom w:val="0"/>
          <w:divBdr>
            <w:top w:val="none" w:sz="0" w:space="0" w:color="auto"/>
            <w:left w:val="none" w:sz="0" w:space="0" w:color="auto"/>
            <w:bottom w:val="none" w:sz="0" w:space="0" w:color="auto"/>
            <w:right w:val="none" w:sz="0" w:space="0" w:color="auto"/>
          </w:divBdr>
          <w:divsChild>
            <w:div w:id="1833064563">
              <w:marLeft w:val="0"/>
              <w:marRight w:val="0"/>
              <w:marTop w:val="0"/>
              <w:marBottom w:val="0"/>
              <w:divBdr>
                <w:top w:val="none" w:sz="0" w:space="0" w:color="auto"/>
                <w:left w:val="none" w:sz="0" w:space="0" w:color="auto"/>
                <w:bottom w:val="none" w:sz="0" w:space="0" w:color="auto"/>
                <w:right w:val="none" w:sz="0" w:space="0" w:color="auto"/>
              </w:divBdr>
            </w:div>
          </w:divsChild>
        </w:div>
        <w:div w:id="2139712869">
          <w:marLeft w:val="0"/>
          <w:marRight w:val="0"/>
          <w:marTop w:val="0"/>
          <w:marBottom w:val="0"/>
          <w:divBdr>
            <w:top w:val="none" w:sz="0" w:space="0" w:color="auto"/>
            <w:left w:val="none" w:sz="0" w:space="0" w:color="auto"/>
            <w:bottom w:val="none" w:sz="0" w:space="0" w:color="auto"/>
            <w:right w:val="none" w:sz="0" w:space="0" w:color="auto"/>
          </w:divBdr>
          <w:divsChild>
            <w:div w:id="1650406667">
              <w:marLeft w:val="0"/>
              <w:marRight w:val="0"/>
              <w:marTop w:val="0"/>
              <w:marBottom w:val="0"/>
              <w:divBdr>
                <w:top w:val="none" w:sz="0" w:space="0" w:color="auto"/>
                <w:left w:val="none" w:sz="0" w:space="0" w:color="auto"/>
                <w:bottom w:val="none" w:sz="0" w:space="0" w:color="auto"/>
                <w:right w:val="none" w:sz="0" w:space="0" w:color="auto"/>
              </w:divBdr>
            </w:div>
          </w:divsChild>
        </w:div>
        <w:div w:id="1213343217">
          <w:marLeft w:val="0"/>
          <w:marRight w:val="0"/>
          <w:marTop w:val="0"/>
          <w:marBottom w:val="0"/>
          <w:divBdr>
            <w:top w:val="none" w:sz="0" w:space="0" w:color="auto"/>
            <w:left w:val="none" w:sz="0" w:space="0" w:color="auto"/>
            <w:bottom w:val="none" w:sz="0" w:space="0" w:color="auto"/>
            <w:right w:val="none" w:sz="0" w:space="0" w:color="auto"/>
          </w:divBdr>
          <w:divsChild>
            <w:div w:id="1871869915">
              <w:marLeft w:val="0"/>
              <w:marRight w:val="0"/>
              <w:marTop w:val="0"/>
              <w:marBottom w:val="0"/>
              <w:divBdr>
                <w:top w:val="none" w:sz="0" w:space="0" w:color="auto"/>
                <w:left w:val="none" w:sz="0" w:space="0" w:color="auto"/>
                <w:bottom w:val="none" w:sz="0" w:space="0" w:color="auto"/>
                <w:right w:val="none" w:sz="0" w:space="0" w:color="auto"/>
              </w:divBdr>
            </w:div>
          </w:divsChild>
        </w:div>
        <w:div w:id="664363036">
          <w:marLeft w:val="0"/>
          <w:marRight w:val="0"/>
          <w:marTop w:val="0"/>
          <w:marBottom w:val="0"/>
          <w:divBdr>
            <w:top w:val="none" w:sz="0" w:space="0" w:color="auto"/>
            <w:left w:val="none" w:sz="0" w:space="0" w:color="auto"/>
            <w:bottom w:val="none" w:sz="0" w:space="0" w:color="auto"/>
            <w:right w:val="none" w:sz="0" w:space="0" w:color="auto"/>
          </w:divBdr>
          <w:divsChild>
            <w:div w:id="375617509">
              <w:marLeft w:val="0"/>
              <w:marRight w:val="0"/>
              <w:marTop w:val="0"/>
              <w:marBottom w:val="0"/>
              <w:divBdr>
                <w:top w:val="none" w:sz="0" w:space="0" w:color="auto"/>
                <w:left w:val="none" w:sz="0" w:space="0" w:color="auto"/>
                <w:bottom w:val="none" w:sz="0" w:space="0" w:color="auto"/>
                <w:right w:val="none" w:sz="0" w:space="0" w:color="auto"/>
              </w:divBdr>
            </w:div>
          </w:divsChild>
        </w:div>
        <w:div w:id="509954642">
          <w:marLeft w:val="0"/>
          <w:marRight w:val="0"/>
          <w:marTop w:val="0"/>
          <w:marBottom w:val="0"/>
          <w:divBdr>
            <w:top w:val="none" w:sz="0" w:space="0" w:color="auto"/>
            <w:left w:val="none" w:sz="0" w:space="0" w:color="auto"/>
            <w:bottom w:val="none" w:sz="0" w:space="0" w:color="auto"/>
            <w:right w:val="none" w:sz="0" w:space="0" w:color="auto"/>
          </w:divBdr>
          <w:divsChild>
            <w:div w:id="707996282">
              <w:marLeft w:val="0"/>
              <w:marRight w:val="0"/>
              <w:marTop w:val="0"/>
              <w:marBottom w:val="0"/>
              <w:divBdr>
                <w:top w:val="none" w:sz="0" w:space="0" w:color="auto"/>
                <w:left w:val="none" w:sz="0" w:space="0" w:color="auto"/>
                <w:bottom w:val="none" w:sz="0" w:space="0" w:color="auto"/>
                <w:right w:val="none" w:sz="0" w:space="0" w:color="auto"/>
              </w:divBdr>
            </w:div>
          </w:divsChild>
        </w:div>
        <w:div w:id="375810750">
          <w:marLeft w:val="0"/>
          <w:marRight w:val="0"/>
          <w:marTop w:val="0"/>
          <w:marBottom w:val="0"/>
          <w:divBdr>
            <w:top w:val="none" w:sz="0" w:space="0" w:color="auto"/>
            <w:left w:val="none" w:sz="0" w:space="0" w:color="auto"/>
            <w:bottom w:val="none" w:sz="0" w:space="0" w:color="auto"/>
            <w:right w:val="none" w:sz="0" w:space="0" w:color="auto"/>
          </w:divBdr>
          <w:divsChild>
            <w:div w:id="1432893761">
              <w:marLeft w:val="0"/>
              <w:marRight w:val="0"/>
              <w:marTop w:val="0"/>
              <w:marBottom w:val="0"/>
              <w:divBdr>
                <w:top w:val="none" w:sz="0" w:space="0" w:color="auto"/>
                <w:left w:val="none" w:sz="0" w:space="0" w:color="auto"/>
                <w:bottom w:val="none" w:sz="0" w:space="0" w:color="auto"/>
                <w:right w:val="none" w:sz="0" w:space="0" w:color="auto"/>
              </w:divBdr>
            </w:div>
          </w:divsChild>
        </w:div>
        <w:div w:id="2061247320">
          <w:marLeft w:val="0"/>
          <w:marRight w:val="0"/>
          <w:marTop w:val="0"/>
          <w:marBottom w:val="0"/>
          <w:divBdr>
            <w:top w:val="none" w:sz="0" w:space="0" w:color="auto"/>
            <w:left w:val="none" w:sz="0" w:space="0" w:color="auto"/>
            <w:bottom w:val="none" w:sz="0" w:space="0" w:color="auto"/>
            <w:right w:val="none" w:sz="0" w:space="0" w:color="auto"/>
          </w:divBdr>
          <w:divsChild>
            <w:div w:id="546526280">
              <w:marLeft w:val="0"/>
              <w:marRight w:val="0"/>
              <w:marTop w:val="0"/>
              <w:marBottom w:val="0"/>
              <w:divBdr>
                <w:top w:val="none" w:sz="0" w:space="0" w:color="auto"/>
                <w:left w:val="none" w:sz="0" w:space="0" w:color="auto"/>
                <w:bottom w:val="none" w:sz="0" w:space="0" w:color="auto"/>
                <w:right w:val="none" w:sz="0" w:space="0" w:color="auto"/>
              </w:divBdr>
            </w:div>
          </w:divsChild>
        </w:div>
        <w:div w:id="538130665">
          <w:marLeft w:val="0"/>
          <w:marRight w:val="0"/>
          <w:marTop w:val="0"/>
          <w:marBottom w:val="0"/>
          <w:divBdr>
            <w:top w:val="none" w:sz="0" w:space="0" w:color="auto"/>
            <w:left w:val="none" w:sz="0" w:space="0" w:color="auto"/>
            <w:bottom w:val="none" w:sz="0" w:space="0" w:color="auto"/>
            <w:right w:val="none" w:sz="0" w:space="0" w:color="auto"/>
          </w:divBdr>
          <w:divsChild>
            <w:div w:id="2122650763">
              <w:marLeft w:val="0"/>
              <w:marRight w:val="0"/>
              <w:marTop w:val="0"/>
              <w:marBottom w:val="0"/>
              <w:divBdr>
                <w:top w:val="none" w:sz="0" w:space="0" w:color="auto"/>
                <w:left w:val="none" w:sz="0" w:space="0" w:color="auto"/>
                <w:bottom w:val="none" w:sz="0" w:space="0" w:color="auto"/>
                <w:right w:val="none" w:sz="0" w:space="0" w:color="auto"/>
              </w:divBdr>
            </w:div>
          </w:divsChild>
        </w:div>
        <w:div w:id="1813137993">
          <w:marLeft w:val="0"/>
          <w:marRight w:val="0"/>
          <w:marTop w:val="0"/>
          <w:marBottom w:val="0"/>
          <w:divBdr>
            <w:top w:val="none" w:sz="0" w:space="0" w:color="auto"/>
            <w:left w:val="none" w:sz="0" w:space="0" w:color="auto"/>
            <w:bottom w:val="none" w:sz="0" w:space="0" w:color="auto"/>
            <w:right w:val="none" w:sz="0" w:space="0" w:color="auto"/>
          </w:divBdr>
          <w:divsChild>
            <w:div w:id="1595555403">
              <w:marLeft w:val="0"/>
              <w:marRight w:val="0"/>
              <w:marTop w:val="0"/>
              <w:marBottom w:val="0"/>
              <w:divBdr>
                <w:top w:val="none" w:sz="0" w:space="0" w:color="auto"/>
                <w:left w:val="none" w:sz="0" w:space="0" w:color="auto"/>
                <w:bottom w:val="none" w:sz="0" w:space="0" w:color="auto"/>
                <w:right w:val="none" w:sz="0" w:space="0" w:color="auto"/>
              </w:divBdr>
            </w:div>
          </w:divsChild>
        </w:div>
        <w:div w:id="1114131719">
          <w:marLeft w:val="0"/>
          <w:marRight w:val="0"/>
          <w:marTop w:val="0"/>
          <w:marBottom w:val="0"/>
          <w:divBdr>
            <w:top w:val="none" w:sz="0" w:space="0" w:color="auto"/>
            <w:left w:val="none" w:sz="0" w:space="0" w:color="auto"/>
            <w:bottom w:val="none" w:sz="0" w:space="0" w:color="auto"/>
            <w:right w:val="none" w:sz="0" w:space="0" w:color="auto"/>
          </w:divBdr>
          <w:divsChild>
            <w:div w:id="2058772912">
              <w:marLeft w:val="0"/>
              <w:marRight w:val="0"/>
              <w:marTop w:val="0"/>
              <w:marBottom w:val="0"/>
              <w:divBdr>
                <w:top w:val="none" w:sz="0" w:space="0" w:color="auto"/>
                <w:left w:val="none" w:sz="0" w:space="0" w:color="auto"/>
                <w:bottom w:val="none" w:sz="0" w:space="0" w:color="auto"/>
                <w:right w:val="none" w:sz="0" w:space="0" w:color="auto"/>
              </w:divBdr>
            </w:div>
          </w:divsChild>
        </w:div>
        <w:div w:id="1605454805">
          <w:marLeft w:val="0"/>
          <w:marRight w:val="0"/>
          <w:marTop w:val="0"/>
          <w:marBottom w:val="0"/>
          <w:divBdr>
            <w:top w:val="none" w:sz="0" w:space="0" w:color="auto"/>
            <w:left w:val="none" w:sz="0" w:space="0" w:color="auto"/>
            <w:bottom w:val="none" w:sz="0" w:space="0" w:color="auto"/>
            <w:right w:val="none" w:sz="0" w:space="0" w:color="auto"/>
          </w:divBdr>
          <w:divsChild>
            <w:div w:id="768739905">
              <w:marLeft w:val="0"/>
              <w:marRight w:val="0"/>
              <w:marTop w:val="0"/>
              <w:marBottom w:val="0"/>
              <w:divBdr>
                <w:top w:val="none" w:sz="0" w:space="0" w:color="auto"/>
                <w:left w:val="none" w:sz="0" w:space="0" w:color="auto"/>
                <w:bottom w:val="none" w:sz="0" w:space="0" w:color="auto"/>
                <w:right w:val="none" w:sz="0" w:space="0" w:color="auto"/>
              </w:divBdr>
            </w:div>
          </w:divsChild>
        </w:div>
        <w:div w:id="1422530174">
          <w:marLeft w:val="0"/>
          <w:marRight w:val="0"/>
          <w:marTop w:val="0"/>
          <w:marBottom w:val="0"/>
          <w:divBdr>
            <w:top w:val="none" w:sz="0" w:space="0" w:color="auto"/>
            <w:left w:val="none" w:sz="0" w:space="0" w:color="auto"/>
            <w:bottom w:val="none" w:sz="0" w:space="0" w:color="auto"/>
            <w:right w:val="none" w:sz="0" w:space="0" w:color="auto"/>
          </w:divBdr>
          <w:divsChild>
            <w:div w:id="105816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108119">
      <w:bodyDiv w:val="1"/>
      <w:marLeft w:val="0"/>
      <w:marRight w:val="0"/>
      <w:marTop w:val="0"/>
      <w:marBottom w:val="0"/>
      <w:divBdr>
        <w:top w:val="none" w:sz="0" w:space="0" w:color="auto"/>
        <w:left w:val="none" w:sz="0" w:space="0" w:color="auto"/>
        <w:bottom w:val="none" w:sz="0" w:space="0" w:color="auto"/>
        <w:right w:val="none" w:sz="0" w:space="0" w:color="auto"/>
      </w:divBdr>
    </w:div>
    <w:div w:id="321081413">
      <w:bodyDiv w:val="1"/>
      <w:marLeft w:val="0"/>
      <w:marRight w:val="0"/>
      <w:marTop w:val="0"/>
      <w:marBottom w:val="0"/>
      <w:divBdr>
        <w:top w:val="none" w:sz="0" w:space="0" w:color="auto"/>
        <w:left w:val="none" w:sz="0" w:space="0" w:color="auto"/>
        <w:bottom w:val="none" w:sz="0" w:space="0" w:color="auto"/>
        <w:right w:val="none" w:sz="0" w:space="0" w:color="auto"/>
      </w:divBdr>
    </w:div>
    <w:div w:id="346366348">
      <w:bodyDiv w:val="1"/>
      <w:marLeft w:val="0"/>
      <w:marRight w:val="0"/>
      <w:marTop w:val="0"/>
      <w:marBottom w:val="0"/>
      <w:divBdr>
        <w:top w:val="none" w:sz="0" w:space="0" w:color="auto"/>
        <w:left w:val="none" w:sz="0" w:space="0" w:color="auto"/>
        <w:bottom w:val="none" w:sz="0" w:space="0" w:color="auto"/>
        <w:right w:val="none" w:sz="0" w:space="0" w:color="auto"/>
      </w:divBdr>
    </w:div>
    <w:div w:id="361396237">
      <w:bodyDiv w:val="1"/>
      <w:marLeft w:val="0"/>
      <w:marRight w:val="0"/>
      <w:marTop w:val="0"/>
      <w:marBottom w:val="0"/>
      <w:divBdr>
        <w:top w:val="none" w:sz="0" w:space="0" w:color="auto"/>
        <w:left w:val="none" w:sz="0" w:space="0" w:color="auto"/>
        <w:bottom w:val="none" w:sz="0" w:space="0" w:color="auto"/>
        <w:right w:val="none" w:sz="0" w:space="0" w:color="auto"/>
      </w:divBdr>
      <w:divsChild>
        <w:div w:id="1835686996">
          <w:marLeft w:val="0"/>
          <w:marRight w:val="0"/>
          <w:marTop w:val="0"/>
          <w:marBottom w:val="0"/>
          <w:divBdr>
            <w:top w:val="none" w:sz="0" w:space="0" w:color="auto"/>
            <w:left w:val="none" w:sz="0" w:space="0" w:color="auto"/>
            <w:bottom w:val="none" w:sz="0" w:space="0" w:color="auto"/>
            <w:right w:val="none" w:sz="0" w:space="0" w:color="auto"/>
          </w:divBdr>
          <w:divsChild>
            <w:div w:id="6831298">
              <w:marLeft w:val="0"/>
              <w:marRight w:val="0"/>
              <w:marTop w:val="0"/>
              <w:marBottom w:val="0"/>
              <w:divBdr>
                <w:top w:val="none" w:sz="0" w:space="0" w:color="auto"/>
                <w:left w:val="none" w:sz="0" w:space="0" w:color="auto"/>
                <w:bottom w:val="none" w:sz="0" w:space="0" w:color="auto"/>
                <w:right w:val="none" w:sz="0" w:space="0" w:color="auto"/>
              </w:divBdr>
            </w:div>
            <w:div w:id="1256552305">
              <w:marLeft w:val="0"/>
              <w:marRight w:val="0"/>
              <w:marTop w:val="0"/>
              <w:marBottom w:val="0"/>
              <w:divBdr>
                <w:top w:val="none" w:sz="0" w:space="0" w:color="auto"/>
                <w:left w:val="none" w:sz="0" w:space="0" w:color="auto"/>
                <w:bottom w:val="none" w:sz="0" w:space="0" w:color="auto"/>
                <w:right w:val="none" w:sz="0" w:space="0" w:color="auto"/>
              </w:divBdr>
            </w:div>
            <w:div w:id="1305428099">
              <w:marLeft w:val="0"/>
              <w:marRight w:val="0"/>
              <w:marTop w:val="0"/>
              <w:marBottom w:val="0"/>
              <w:divBdr>
                <w:top w:val="none" w:sz="0" w:space="0" w:color="auto"/>
                <w:left w:val="none" w:sz="0" w:space="0" w:color="auto"/>
                <w:bottom w:val="none" w:sz="0" w:space="0" w:color="auto"/>
                <w:right w:val="none" w:sz="0" w:space="0" w:color="auto"/>
              </w:divBdr>
            </w:div>
          </w:divsChild>
        </w:div>
        <w:div w:id="836191372">
          <w:marLeft w:val="0"/>
          <w:marRight w:val="0"/>
          <w:marTop w:val="0"/>
          <w:marBottom w:val="0"/>
          <w:divBdr>
            <w:top w:val="none" w:sz="0" w:space="0" w:color="auto"/>
            <w:left w:val="none" w:sz="0" w:space="0" w:color="auto"/>
            <w:bottom w:val="none" w:sz="0" w:space="0" w:color="auto"/>
            <w:right w:val="none" w:sz="0" w:space="0" w:color="auto"/>
          </w:divBdr>
        </w:div>
        <w:div w:id="1117677221">
          <w:marLeft w:val="0"/>
          <w:marRight w:val="0"/>
          <w:marTop w:val="0"/>
          <w:marBottom w:val="0"/>
          <w:divBdr>
            <w:top w:val="none" w:sz="0" w:space="0" w:color="auto"/>
            <w:left w:val="none" w:sz="0" w:space="0" w:color="auto"/>
            <w:bottom w:val="none" w:sz="0" w:space="0" w:color="auto"/>
            <w:right w:val="none" w:sz="0" w:space="0" w:color="auto"/>
          </w:divBdr>
        </w:div>
        <w:div w:id="1607805031">
          <w:marLeft w:val="0"/>
          <w:marRight w:val="0"/>
          <w:marTop w:val="0"/>
          <w:marBottom w:val="0"/>
          <w:divBdr>
            <w:top w:val="none" w:sz="0" w:space="0" w:color="auto"/>
            <w:left w:val="none" w:sz="0" w:space="0" w:color="auto"/>
            <w:bottom w:val="none" w:sz="0" w:space="0" w:color="auto"/>
            <w:right w:val="none" w:sz="0" w:space="0" w:color="auto"/>
          </w:divBdr>
        </w:div>
        <w:div w:id="180897203">
          <w:marLeft w:val="0"/>
          <w:marRight w:val="0"/>
          <w:marTop w:val="0"/>
          <w:marBottom w:val="0"/>
          <w:divBdr>
            <w:top w:val="none" w:sz="0" w:space="0" w:color="auto"/>
            <w:left w:val="none" w:sz="0" w:space="0" w:color="auto"/>
            <w:bottom w:val="none" w:sz="0" w:space="0" w:color="auto"/>
            <w:right w:val="none" w:sz="0" w:space="0" w:color="auto"/>
          </w:divBdr>
        </w:div>
        <w:div w:id="1908108256">
          <w:marLeft w:val="0"/>
          <w:marRight w:val="0"/>
          <w:marTop w:val="0"/>
          <w:marBottom w:val="0"/>
          <w:divBdr>
            <w:top w:val="none" w:sz="0" w:space="0" w:color="auto"/>
            <w:left w:val="none" w:sz="0" w:space="0" w:color="auto"/>
            <w:bottom w:val="none" w:sz="0" w:space="0" w:color="auto"/>
            <w:right w:val="none" w:sz="0" w:space="0" w:color="auto"/>
          </w:divBdr>
        </w:div>
        <w:div w:id="387535756">
          <w:marLeft w:val="0"/>
          <w:marRight w:val="0"/>
          <w:marTop w:val="0"/>
          <w:marBottom w:val="0"/>
          <w:divBdr>
            <w:top w:val="none" w:sz="0" w:space="0" w:color="auto"/>
            <w:left w:val="none" w:sz="0" w:space="0" w:color="auto"/>
            <w:bottom w:val="none" w:sz="0" w:space="0" w:color="auto"/>
            <w:right w:val="none" w:sz="0" w:space="0" w:color="auto"/>
          </w:divBdr>
        </w:div>
        <w:div w:id="1324819162">
          <w:marLeft w:val="0"/>
          <w:marRight w:val="0"/>
          <w:marTop w:val="0"/>
          <w:marBottom w:val="0"/>
          <w:divBdr>
            <w:top w:val="none" w:sz="0" w:space="0" w:color="auto"/>
            <w:left w:val="none" w:sz="0" w:space="0" w:color="auto"/>
            <w:bottom w:val="none" w:sz="0" w:space="0" w:color="auto"/>
            <w:right w:val="none" w:sz="0" w:space="0" w:color="auto"/>
          </w:divBdr>
        </w:div>
        <w:div w:id="293100583">
          <w:marLeft w:val="0"/>
          <w:marRight w:val="0"/>
          <w:marTop w:val="0"/>
          <w:marBottom w:val="0"/>
          <w:divBdr>
            <w:top w:val="none" w:sz="0" w:space="0" w:color="auto"/>
            <w:left w:val="none" w:sz="0" w:space="0" w:color="auto"/>
            <w:bottom w:val="none" w:sz="0" w:space="0" w:color="auto"/>
            <w:right w:val="none" w:sz="0" w:space="0" w:color="auto"/>
          </w:divBdr>
        </w:div>
        <w:div w:id="1806896289">
          <w:marLeft w:val="0"/>
          <w:marRight w:val="0"/>
          <w:marTop w:val="0"/>
          <w:marBottom w:val="0"/>
          <w:divBdr>
            <w:top w:val="none" w:sz="0" w:space="0" w:color="auto"/>
            <w:left w:val="none" w:sz="0" w:space="0" w:color="auto"/>
            <w:bottom w:val="none" w:sz="0" w:space="0" w:color="auto"/>
            <w:right w:val="none" w:sz="0" w:space="0" w:color="auto"/>
          </w:divBdr>
        </w:div>
        <w:div w:id="2107075185">
          <w:marLeft w:val="0"/>
          <w:marRight w:val="0"/>
          <w:marTop w:val="0"/>
          <w:marBottom w:val="0"/>
          <w:divBdr>
            <w:top w:val="none" w:sz="0" w:space="0" w:color="auto"/>
            <w:left w:val="none" w:sz="0" w:space="0" w:color="auto"/>
            <w:bottom w:val="none" w:sz="0" w:space="0" w:color="auto"/>
            <w:right w:val="none" w:sz="0" w:space="0" w:color="auto"/>
          </w:divBdr>
        </w:div>
        <w:div w:id="808090935">
          <w:marLeft w:val="0"/>
          <w:marRight w:val="0"/>
          <w:marTop w:val="0"/>
          <w:marBottom w:val="0"/>
          <w:divBdr>
            <w:top w:val="none" w:sz="0" w:space="0" w:color="auto"/>
            <w:left w:val="none" w:sz="0" w:space="0" w:color="auto"/>
            <w:bottom w:val="none" w:sz="0" w:space="0" w:color="auto"/>
            <w:right w:val="none" w:sz="0" w:space="0" w:color="auto"/>
          </w:divBdr>
          <w:divsChild>
            <w:div w:id="216744429">
              <w:marLeft w:val="0"/>
              <w:marRight w:val="0"/>
              <w:marTop w:val="0"/>
              <w:marBottom w:val="0"/>
              <w:divBdr>
                <w:top w:val="none" w:sz="0" w:space="0" w:color="auto"/>
                <w:left w:val="none" w:sz="0" w:space="0" w:color="auto"/>
                <w:bottom w:val="none" w:sz="0" w:space="0" w:color="auto"/>
                <w:right w:val="none" w:sz="0" w:space="0" w:color="auto"/>
              </w:divBdr>
            </w:div>
            <w:div w:id="1332368899">
              <w:marLeft w:val="0"/>
              <w:marRight w:val="0"/>
              <w:marTop w:val="0"/>
              <w:marBottom w:val="0"/>
              <w:divBdr>
                <w:top w:val="none" w:sz="0" w:space="0" w:color="auto"/>
                <w:left w:val="none" w:sz="0" w:space="0" w:color="auto"/>
                <w:bottom w:val="none" w:sz="0" w:space="0" w:color="auto"/>
                <w:right w:val="none" w:sz="0" w:space="0" w:color="auto"/>
              </w:divBdr>
            </w:div>
            <w:div w:id="1643466458">
              <w:marLeft w:val="0"/>
              <w:marRight w:val="0"/>
              <w:marTop w:val="0"/>
              <w:marBottom w:val="0"/>
              <w:divBdr>
                <w:top w:val="none" w:sz="0" w:space="0" w:color="auto"/>
                <w:left w:val="none" w:sz="0" w:space="0" w:color="auto"/>
                <w:bottom w:val="none" w:sz="0" w:space="0" w:color="auto"/>
                <w:right w:val="none" w:sz="0" w:space="0" w:color="auto"/>
              </w:divBdr>
            </w:div>
            <w:div w:id="511653502">
              <w:marLeft w:val="0"/>
              <w:marRight w:val="0"/>
              <w:marTop w:val="0"/>
              <w:marBottom w:val="0"/>
              <w:divBdr>
                <w:top w:val="none" w:sz="0" w:space="0" w:color="auto"/>
                <w:left w:val="none" w:sz="0" w:space="0" w:color="auto"/>
                <w:bottom w:val="none" w:sz="0" w:space="0" w:color="auto"/>
                <w:right w:val="none" w:sz="0" w:space="0" w:color="auto"/>
              </w:divBdr>
            </w:div>
            <w:div w:id="2011986410">
              <w:marLeft w:val="0"/>
              <w:marRight w:val="0"/>
              <w:marTop w:val="0"/>
              <w:marBottom w:val="0"/>
              <w:divBdr>
                <w:top w:val="none" w:sz="0" w:space="0" w:color="auto"/>
                <w:left w:val="none" w:sz="0" w:space="0" w:color="auto"/>
                <w:bottom w:val="none" w:sz="0" w:space="0" w:color="auto"/>
                <w:right w:val="none" w:sz="0" w:space="0" w:color="auto"/>
              </w:divBdr>
            </w:div>
          </w:divsChild>
        </w:div>
        <w:div w:id="1390154829">
          <w:marLeft w:val="0"/>
          <w:marRight w:val="0"/>
          <w:marTop w:val="0"/>
          <w:marBottom w:val="0"/>
          <w:divBdr>
            <w:top w:val="none" w:sz="0" w:space="0" w:color="auto"/>
            <w:left w:val="none" w:sz="0" w:space="0" w:color="auto"/>
            <w:bottom w:val="none" w:sz="0" w:space="0" w:color="auto"/>
            <w:right w:val="none" w:sz="0" w:space="0" w:color="auto"/>
          </w:divBdr>
        </w:div>
        <w:div w:id="1544054778">
          <w:marLeft w:val="0"/>
          <w:marRight w:val="0"/>
          <w:marTop w:val="0"/>
          <w:marBottom w:val="0"/>
          <w:divBdr>
            <w:top w:val="none" w:sz="0" w:space="0" w:color="auto"/>
            <w:left w:val="none" w:sz="0" w:space="0" w:color="auto"/>
            <w:bottom w:val="none" w:sz="0" w:space="0" w:color="auto"/>
            <w:right w:val="none" w:sz="0" w:space="0" w:color="auto"/>
          </w:divBdr>
        </w:div>
        <w:div w:id="1984120053">
          <w:marLeft w:val="0"/>
          <w:marRight w:val="0"/>
          <w:marTop w:val="0"/>
          <w:marBottom w:val="0"/>
          <w:divBdr>
            <w:top w:val="none" w:sz="0" w:space="0" w:color="auto"/>
            <w:left w:val="none" w:sz="0" w:space="0" w:color="auto"/>
            <w:bottom w:val="none" w:sz="0" w:space="0" w:color="auto"/>
            <w:right w:val="none" w:sz="0" w:space="0" w:color="auto"/>
          </w:divBdr>
        </w:div>
        <w:div w:id="373192910">
          <w:marLeft w:val="0"/>
          <w:marRight w:val="0"/>
          <w:marTop w:val="0"/>
          <w:marBottom w:val="0"/>
          <w:divBdr>
            <w:top w:val="none" w:sz="0" w:space="0" w:color="auto"/>
            <w:left w:val="none" w:sz="0" w:space="0" w:color="auto"/>
            <w:bottom w:val="none" w:sz="0" w:space="0" w:color="auto"/>
            <w:right w:val="none" w:sz="0" w:space="0" w:color="auto"/>
          </w:divBdr>
        </w:div>
        <w:div w:id="385757671">
          <w:marLeft w:val="0"/>
          <w:marRight w:val="0"/>
          <w:marTop w:val="0"/>
          <w:marBottom w:val="0"/>
          <w:divBdr>
            <w:top w:val="none" w:sz="0" w:space="0" w:color="auto"/>
            <w:left w:val="none" w:sz="0" w:space="0" w:color="auto"/>
            <w:bottom w:val="none" w:sz="0" w:space="0" w:color="auto"/>
            <w:right w:val="none" w:sz="0" w:space="0" w:color="auto"/>
          </w:divBdr>
        </w:div>
        <w:div w:id="1217156812">
          <w:marLeft w:val="0"/>
          <w:marRight w:val="0"/>
          <w:marTop w:val="0"/>
          <w:marBottom w:val="0"/>
          <w:divBdr>
            <w:top w:val="none" w:sz="0" w:space="0" w:color="auto"/>
            <w:left w:val="none" w:sz="0" w:space="0" w:color="auto"/>
            <w:bottom w:val="none" w:sz="0" w:space="0" w:color="auto"/>
            <w:right w:val="none" w:sz="0" w:space="0" w:color="auto"/>
          </w:divBdr>
          <w:divsChild>
            <w:div w:id="165363978">
              <w:marLeft w:val="0"/>
              <w:marRight w:val="0"/>
              <w:marTop w:val="0"/>
              <w:marBottom w:val="0"/>
              <w:divBdr>
                <w:top w:val="none" w:sz="0" w:space="0" w:color="auto"/>
                <w:left w:val="none" w:sz="0" w:space="0" w:color="auto"/>
                <w:bottom w:val="none" w:sz="0" w:space="0" w:color="auto"/>
                <w:right w:val="none" w:sz="0" w:space="0" w:color="auto"/>
              </w:divBdr>
            </w:div>
            <w:div w:id="1824423363">
              <w:marLeft w:val="0"/>
              <w:marRight w:val="0"/>
              <w:marTop w:val="0"/>
              <w:marBottom w:val="0"/>
              <w:divBdr>
                <w:top w:val="none" w:sz="0" w:space="0" w:color="auto"/>
                <w:left w:val="none" w:sz="0" w:space="0" w:color="auto"/>
                <w:bottom w:val="none" w:sz="0" w:space="0" w:color="auto"/>
                <w:right w:val="none" w:sz="0" w:space="0" w:color="auto"/>
              </w:divBdr>
            </w:div>
            <w:div w:id="1322736530">
              <w:marLeft w:val="0"/>
              <w:marRight w:val="0"/>
              <w:marTop w:val="0"/>
              <w:marBottom w:val="0"/>
              <w:divBdr>
                <w:top w:val="none" w:sz="0" w:space="0" w:color="auto"/>
                <w:left w:val="none" w:sz="0" w:space="0" w:color="auto"/>
                <w:bottom w:val="none" w:sz="0" w:space="0" w:color="auto"/>
                <w:right w:val="none" w:sz="0" w:space="0" w:color="auto"/>
              </w:divBdr>
            </w:div>
            <w:div w:id="602106797">
              <w:marLeft w:val="0"/>
              <w:marRight w:val="0"/>
              <w:marTop w:val="0"/>
              <w:marBottom w:val="0"/>
              <w:divBdr>
                <w:top w:val="none" w:sz="0" w:space="0" w:color="auto"/>
                <w:left w:val="none" w:sz="0" w:space="0" w:color="auto"/>
                <w:bottom w:val="none" w:sz="0" w:space="0" w:color="auto"/>
                <w:right w:val="none" w:sz="0" w:space="0" w:color="auto"/>
              </w:divBdr>
            </w:div>
            <w:div w:id="1994990586">
              <w:marLeft w:val="0"/>
              <w:marRight w:val="0"/>
              <w:marTop w:val="0"/>
              <w:marBottom w:val="0"/>
              <w:divBdr>
                <w:top w:val="none" w:sz="0" w:space="0" w:color="auto"/>
                <w:left w:val="none" w:sz="0" w:space="0" w:color="auto"/>
                <w:bottom w:val="none" w:sz="0" w:space="0" w:color="auto"/>
                <w:right w:val="none" w:sz="0" w:space="0" w:color="auto"/>
              </w:divBdr>
            </w:div>
          </w:divsChild>
        </w:div>
        <w:div w:id="1959212872">
          <w:marLeft w:val="0"/>
          <w:marRight w:val="0"/>
          <w:marTop w:val="0"/>
          <w:marBottom w:val="0"/>
          <w:divBdr>
            <w:top w:val="none" w:sz="0" w:space="0" w:color="auto"/>
            <w:left w:val="none" w:sz="0" w:space="0" w:color="auto"/>
            <w:bottom w:val="none" w:sz="0" w:space="0" w:color="auto"/>
            <w:right w:val="none" w:sz="0" w:space="0" w:color="auto"/>
          </w:divBdr>
        </w:div>
        <w:div w:id="1456752150">
          <w:marLeft w:val="0"/>
          <w:marRight w:val="0"/>
          <w:marTop w:val="0"/>
          <w:marBottom w:val="0"/>
          <w:divBdr>
            <w:top w:val="none" w:sz="0" w:space="0" w:color="auto"/>
            <w:left w:val="none" w:sz="0" w:space="0" w:color="auto"/>
            <w:bottom w:val="none" w:sz="0" w:space="0" w:color="auto"/>
            <w:right w:val="none" w:sz="0" w:space="0" w:color="auto"/>
          </w:divBdr>
        </w:div>
        <w:div w:id="1379822263">
          <w:marLeft w:val="0"/>
          <w:marRight w:val="0"/>
          <w:marTop w:val="0"/>
          <w:marBottom w:val="0"/>
          <w:divBdr>
            <w:top w:val="none" w:sz="0" w:space="0" w:color="auto"/>
            <w:left w:val="none" w:sz="0" w:space="0" w:color="auto"/>
            <w:bottom w:val="none" w:sz="0" w:space="0" w:color="auto"/>
            <w:right w:val="none" w:sz="0" w:space="0" w:color="auto"/>
          </w:divBdr>
        </w:div>
        <w:div w:id="314770530">
          <w:marLeft w:val="0"/>
          <w:marRight w:val="0"/>
          <w:marTop w:val="0"/>
          <w:marBottom w:val="0"/>
          <w:divBdr>
            <w:top w:val="none" w:sz="0" w:space="0" w:color="auto"/>
            <w:left w:val="none" w:sz="0" w:space="0" w:color="auto"/>
            <w:bottom w:val="none" w:sz="0" w:space="0" w:color="auto"/>
            <w:right w:val="none" w:sz="0" w:space="0" w:color="auto"/>
          </w:divBdr>
        </w:div>
        <w:div w:id="957223096">
          <w:marLeft w:val="0"/>
          <w:marRight w:val="0"/>
          <w:marTop w:val="0"/>
          <w:marBottom w:val="0"/>
          <w:divBdr>
            <w:top w:val="none" w:sz="0" w:space="0" w:color="auto"/>
            <w:left w:val="none" w:sz="0" w:space="0" w:color="auto"/>
            <w:bottom w:val="none" w:sz="0" w:space="0" w:color="auto"/>
            <w:right w:val="none" w:sz="0" w:space="0" w:color="auto"/>
          </w:divBdr>
        </w:div>
        <w:div w:id="1747453499">
          <w:marLeft w:val="0"/>
          <w:marRight w:val="0"/>
          <w:marTop w:val="0"/>
          <w:marBottom w:val="0"/>
          <w:divBdr>
            <w:top w:val="none" w:sz="0" w:space="0" w:color="auto"/>
            <w:left w:val="none" w:sz="0" w:space="0" w:color="auto"/>
            <w:bottom w:val="none" w:sz="0" w:space="0" w:color="auto"/>
            <w:right w:val="none" w:sz="0" w:space="0" w:color="auto"/>
          </w:divBdr>
        </w:div>
        <w:div w:id="2131241155">
          <w:marLeft w:val="0"/>
          <w:marRight w:val="0"/>
          <w:marTop w:val="0"/>
          <w:marBottom w:val="0"/>
          <w:divBdr>
            <w:top w:val="none" w:sz="0" w:space="0" w:color="auto"/>
            <w:left w:val="none" w:sz="0" w:space="0" w:color="auto"/>
            <w:bottom w:val="none" w:sz="0" w:space="0" w:color="auto"/>
            <w:right w:val="none" w:sz="0" w:space="0" w:color="auto"/>
          </w:divBdr>
        </w:div>
        <w:div w:id="1719276934">
          <w:marLeft w:val="0"/>
          <w:marRight w:val="0"/>
          <w:marTop w:val="0"/>
          <w:marBottom w:val="0"/>
          <w:divBdr>
            <w:top w:val="none" w:sz="0" w:space="0" w:color="auto"/>
            <w:left w:val="none" w:sz="0" w:space="0" w:color="auto"/>
            <w:bottom w:val="none" w:sz="0" w:space="0" w:color="auto"/>
            <w:right w:val="none" w:sz="0" w:space="0" w:color="auto"/>
          </w:divBdr>
        </w:div>
        <w:div w:id="1379478661">
          <w:marLeft w:val="0"/>
          <w:marRight w:val="0"/>
          <w:marTop w:val="0"/>
          <w:marBottom w:val="0"/>
          <w:divBdr>
            <w:top w:val="none" w:sz="0" w:space="0" w:color="auto"/>
            <w:left w:val="none" w:sz="0" w:space="0" w:color="auto"/>
            <w:bottom w:val="none" w:sz="0" w:space="0" w:color="auto"/>
            <w:right w:val="none" w:sz="0" w:space="0" w:color="auto"/>
          </w:divBdr>
        </w:div>
        <w:div w:id="2108043322">
          <w:marLeft w:val="0"/>
          <w:marRight w:val="0"/>
          <w:marTop w:val="0"/>
          <w:marBottom w:val="0"/>
          <w:divBdr>
            <w:top w:val="none" w:sz="0" w:space="0" w:color="auto"/>
            <w:left w:val="none" w:sz="0" w:space="0" w:color="auto"/>
            <w:bottom w:val="none" w:sz="0" w:space="0" w:color="auto"/>
            <w:right w:val="none" w:sz="0" w:space="0" w:color="auto"/>
          </w:divBdr>
        </w:div>
        <w:div w:id="858156087">
          <w:marLeft w:val="0"/>
          <w:marRight w:val="0"/>
          <w:marTop w:val="0"/>
          <w:marBottom w:val="0"/>
          <w:divBdr>
            <w:top w:val="none" w:sz="0" w:space="0" w:color="auto"/>
            <w:left w:val="none" w:sz="0" w:space="0" w:color="auto"/>
            <w:bottom w:val="none" w:sz="0" w:space="0" w:color="auto"/>
            <w:right w:val="none" w:sz="0" w:space="0" w:color="auto"/>
          </w:divBdr>
        </w:div>
        <w:div w:id="757026045">
          <w:marLeft w:val="0"/>
          <w:marRight w:val="0"/>
          <w:marTop w:val="0"/>
          <w:marBottom w:val="0"/>
          <w:divBdr>
            <w:top w:val="none" w:sz="0" w:space="0" w:color="auto"/>
            <w:left w:val="none" w:sz="0" w:space="0" w:color="auto"/>
            <w:bottom w:val="none" w:sz="0" w:space="0" w:color="auto"/>
            <w:right w:val="none" w:sz="0" w:space="0" w:color="auto"/>
          </w:divBdr>
        </w:div>
        <w:div w:id="762185576">
          <w:marLeft w:val="0"/>
          <w:marRight w:val="0"/>
          <w:marTop w:val="0"/>
          <w:marBottom w:val="0"/>
          <w:divBdr>
            <w:top w:val="none" w:sz="0" w:space="0" w:color="auto"/>
            <w:left w:val="none" w:sz="0" w:space="0" w:color="auto"/>
            <w:bottom w:val="none" w:sz="0" w:space="0" w:color="auto"/>
            <w:right w:val="none" w:sz="0" w:space="0" w:color="auto"/>
          </w:divBdr>
        </w:div>
        <w:div w:id="719520673">
          <w:marLeft w:val="0"/>
          <w:marRight w:val="0"/>
          <w:marTop w:val="0"/>
          <w:marBottom w:val="0"/>
          <w:divBdr>
            <w:top w:val="none" w:sz="0" w:space="0" w:color="auto"/>
            <w:left w:val="none" w:sz="0" w:space="0" w:color="auto"/>
            <w:bottom w:val="none" w:sz="0" w:space="0" w:color="auto"/>
            <w:right w:val="none" w:sz="0" w:space="0" w:color="auto"/>
          </w:divBdr>
        </w:div>
        <w:div w:id="1108476062">
          <w:marLeft w:val="0"/>
          <w:marRight w:val="0"/>
          <w:marTop w:val="0"/>
          <w:marBottom w:val="0"/>
          <w:divBdr>
            <w:top w:val="none" w:sz="0" w:space="0" w:color="auto"/>
            <w:left w:val="none" w:sz="0" w:space="0" w:color="auto"/>
            <w:bottom w:val="none" w:sz="0" w:space="0" w:color="auto"/>
            <w:right w:val="none" w:sz="0" w:space="0" w:color="auto"/>
          </w:divBdr>
        </w:div>
        <w:div w:id="497186161">
          <w:marLeft w:val="0"/>
          <w:marRight w:val="0"/>
          <w:marTop w:val="0"/>
          <w:marBottom w:val="0"/>
          <w:divBdr>
            <w:top w:val="none" w:sz="0" w:space="0" w:color="auto"/>
            <w:left w:val="none" w:sz="0" w:space="0" w:color="auto"/>
            <w:bottom w:val="none" w:sz="0" w:space="0" w:color="auto"/>
            <w:right w:val="none" w:sz="0" w:space="0" w:color="auto"/>
          </w:divBdr>
          <w:divsChild>
            <w:div w:id="1034235802">
              <w:marLeft w:val="0"/>
              <w:marRight w:val="0"/>
              <w:marTop w:val="0"/>
              <w:marBottom w:val="0"/>
              <w:divBdr>
                <w:top w:val="none" w:sz="0" w:space="0" w:color="auto"/>
                <w:left w:val="none" w:sz="0" w:space="0" w:color="auto"/>
                <w:bottom w:val="none" w:sz="0" w:space="0" w:color="auto"/>
                <w:right w:val="none" w:sz="0" w:space="0" w:color="auto"/>
              </w:divBdr>
            </w:div>
            <w:div w:id="1177307759">
              <w:marLeft w:val="0"/>
              <w:marRight w:val="0"/>
              <w:marTop w:val="0"/>
              <w:marBottom w:val="0"/>
              <w:divBdr>
                <w:top w:val="none" w:sz="0" w:space="0" w:color="auto"/>
                <w:left w:val="none" w:sz="0" w:space="0" w:color="auto"/>
                <w:bottom w:val="none" w:sz="0" w:space="0" w:color="auto"/>
                <w:right w:val="none" w:sz="0" w:space="0" w:color="auto"/>
              </w:divBdr>
            </w:div>
            <w:div w:id="469323602">
              <w:marLeft w:val="0"/>
              <w:marRight w:val="0"/>
              <w:marTop w:val="0"/>
              <w:marBottom w:val="0"/>
              <w:divBdr>
                <w:top w:val="none" w:sz="0" w:space="0" w:color="auto"/>
                <w:left w:val="none" w:sz="0" w:space="0" w:color="auto"/>
                <w:bottom w:val="none" w:sz="0" w:space="0" w:color="auto"/>
                <w:right w:val="none" w:sz="0" w:space="0" w:color="auto"/>
              </w:divBdr>
            </w:div>
            <w:div w:id="411783645">
              <w:marLeft w:val="0"/>
              <w:marRight w:val="0"/>
              <w:marTop w:val="0"/>
              <w:marBottom w:val="0"/>
              <w:divBdr>
                <w:top w:val="none" w:sz="0" w:space="0" w:color="auto"/>
                <w:left w:val="none" w:sz="0" w:space="0" w:color="auto"/>
                <w:bottom w:val="none" w:sz="0" w:space="0" w:color="auto"/>
                <w:right w:val="none" w:sz="0" w:space="0" w:color="auto"/>
              </w:divBdr>
            </w:div>
            <w:div w:id="2027369653">
              <w:marLeft w:val="0"/>
              <w:marRight w:val="0"/>
              <w:marTop w:val="0"/>
              <w:marBottom w:val="0"/>
              <w:divBdr>
                <w:top w:val="none" w:sz="0" w:space="0" w:color="auto"/>
                <w:left w:val="none" w:sz="0" w:space="0" w:color="auto"/>
                <w:bottom w:val="none" w:sz="0" w:space="0" w:color="auto"/>
                <w:right w:val="none" w:sz="0" w:space="0" w:color="auto"/>
              </w:divBdr>
            </w:div>
          </w:divsChild>
        </w:div>
        <w:div w:id="649677027">
          <w:marLeft w:val="0"/>
          <w:marRight w:val="0"/>
          <w:marTop w:val="0"/>
          <w:marBottom w:val="0"/>
          <w:divBdr>
            <w:top w:val="none" w:sz="0" w:space="0" w:color="auto"/>
            <w:left w:val="none" w:sz="0" w:space="0" w:color="auto"/>
            <w:bottom w:val="none" w:sz="0" w:space="0" w:color="auto"/>
            <w:right w:val="none" w:sz="0" w:space="0" w:color="auto"/>
          </w:divBdr>
          <w:divsChild>
            <w:div w:id="467666159">
              <w:marLeft w:val="0"/>
              <w:marRight w:val="0"/>
              <w:marTop w:val="0"/>
              <w:marBottom w:val="0"/>
              <w:divBdr>
                <w:top w:val="none" w:sz="0" w:space="0" w:color="auto"/>
                <w:left w:val="none" w:sz="0" w:space="0" w:color="auto"/>
                <w:bottom w:val="none" w:sz="0" w:space="0" w:color="auto"/>
                <w:right w:val="none" w:sz="0" w:space="0" w:color="auto"/>
              </w:divBdr>
            </w:div>
            <w:div w:id="330718492">
              <w:marLeft w:val="0"/>
              <w:marRight w:val="0"/>
              <w:marTop w:val="0"/>
              <w:marBottom w:val="0"/>
              <w:divBdr>
                <w:top w:val="none" w:sz="0" w:space="0" w:color="auto"/>
                <w:left w:val="none" w:sz="0" w:space="0" w:color="auto"/>
                <w:bottom w:val="none" w:sz="0" w:space="0" w:color="auto"/>
                <w:right w:val="none" w:sz="0" w:space="0" w:color="auto"/>
              </w:divBdr>
            </w:div>
            <w:div w:id="573663779">
              <w:marLeft w:val="0"/>
              <w:marRight w:val="0"/>
              <w:marTop w:val="0"/>
              <w:marBottom w:val="0"/>
              <w:divBdr>
                <w:top w:val="none" w:sz="0" w:space="0" w:color="auto"/>
                <w:left w:val="none" w:sz="0" w:space="0" w:color="auto"/>
                <w:bottom w:val="none" w:sz="0" w:space="0" w:color="auto"/>
                <w:right w:val="none" w:sz="0" w:space="0" w:color="auto"/>
              </w:divBdr>
            </w:div>
            <w:div w:id="1358503461">
              <w:marLeft w:val="0"/>
              <w:marRight w:val="0"/>
              <w:marTop w:val="0"/>
              <w:marBottom w:val="0"/>
              <w:divBdr>
                <w:top w:val="none" w:sz="0" w:space="0" w:color="auto"/>
                <w:left w:val="none" w:sz="0" w:space="0" w:color="auto"/>
                <w:bottom w:val="none" w:sz="0" w:space="0" w:color="auto"/>
                <w:right w:val="none" w:sz="0" w:space="0" w:color="auto"/>
              </w:divBdr>
            </w:div>
            <w:div w:id="1879316736">
              <w:marLeft w:val="0"/>
              <w:marRight w:val="0"/>
              <w:marTop w:val="0"/>
              <w:marBottom w:val="0"/>
              <w:divBdr>
                <w:top w:val="none" w:sz="0" w:space="0" w:color="auto"/>
                <w:left w:val="none" w:sz="0" w:space="0" w:color="auto"/>
                <w:bottom w:val="none" w:sz="0" w:space="0" w:color="auto"/>
                <w:right w:val="none" w:sz="0" w:space="0" w:color="auto"/>
              </w:divBdr>
            </w:div>
          </w:divsChild>
        </w:div>
        <w:div w:id="2014214847">
          <w:marLeft w:val="0"/>
          <w:marRight w:val="0"/>
          <w:marTop w:val="0"/>
          <w:marBottom w:val="0"/>
          <w:divBdr>
            <w:top w:val="none" w:sz="0" w:space="0" w:color="auto"/>
            <w:left w:val="none" w:sz="0" w:space="0" w:color="auto"/>
            <w:bottom w:val="none" w:sz="0" w:space="0" w:color="auto"/>
            <w:right w:val="none" w:sz="0" w:space="0" w:color="auto"/>
          </w:divBdr>
          <w:divsChild>
            <w:div w:id="1682661870">
              <w:marLeft w:val="0"/>
              <w:marRight w:val="0"/>
              <w:marTop w:val="0"/>
              <w:marBottom w:val="0"/>
              <w:divBdr>
                <w:top w:val="none" w:sz="0" w:space="0" w:color="auto"/>
                <w:left w:val="none" w:sz="0" w:space="0" w:color="auto"/>
                <w:bottom w:val="none" w:sz="0" w:space="0" w:color="auto"/>
                <w:right w:val="none" w:sz="0" w:space="0" w:color="auto"/>
              </w:divBdr>
            </w:div>
            <w:div w:id="6488331">
              <w:marLeft w:val="0"/>
              <w:marRight w:val="0"/>
              <w:marTop w:val="0"/>
              <w:marBottom w:val="0"/>
              <w:divBdr>
                <w:top w:val="none" w:sz="0" w:space="0" w:color="auto"/>
                <w:left w:val="none" w:sz="0" w:space="0" w:color="auto"/>
                <w:bottom w:val="none" w:sz="0" w:space="0" w:color="auto"/>
                <w:right w:val="none" w:sz="0" w:space="0" w:color="auto"/>
              </w:divBdr>
            </w:div>
            <w:div w:id="1463691379">
              <w:marLeft w:val="0"/>
              <w:marRight w:val="0"/>
              <w:marTop w:val="0"/>
              <w:marBottom w:val="0"/>
              <w:divBdr>
                <w:top w:val="none" w:sz="0" w:space="0" w:color="auto"/>
                <w:left w:val="none" w:sz="0" w:space="0" w:color="auto"/>
                <w:bottom w:val="none" w:sz="0" w:space="0" w:color="auto"/>
                <w:right w:val="none" w:sz="0" w:space="0" w:color="auto"/>
              </w:divBdr>
            </w:div>
            <w:div w:id="1758019242">
              <w:marLeft w:val="0"/>
              <w:marRight w:val="0"/>
              <w:marTop w:val="0"/>
              <w:marBottom w:val="0"/>
              <w:divBdr>
                <w:top w:val="none" w:sz="0" w:space="0" w:color="auto"/>
                <w:left w:val="none" w:sz="0" w:space="0" w:color="auto"/>
                <w:bottom w:val="none" w:sz="0" w:space="0" w:color="auto"/>
                <w:right w:val="none" w:sz="0" w:space="0" w:color="auto"/>
              </w:divBdr>
            </w:div>
            <w:div w:id="336925714">
              <w:marLeft w:val="0"/>
              <w:marRight w:val="0"/>
              <w:marTop w:val="0"/>
              <w:marBottom w:val="0"/>
              <w:divBdr>
                <w:top w:val="none" w:sz="0" w:space="0" w:color="auto"/>
                <w:left w:val="none" w:sz="0" w:space="0" w:color="auto"/>
                <w:bottom w:val="none" w:sz="0" w:space="0" w:color="auto"/>
                <w:right w:val="none" w:sz="0" w:space="0" w:color="auto"/>
              </w:divBdr>
            </w:div>
          </w:divsChild>
        </w:div>
        <w:div w:id="1725986474">
          <w:marLeft w:val="0"/>
          <w:marRight w:val="0"/>
          <w:marTop w:val="0"/>
          <w:marBottom w:val="0"/>
          <w:divBdr>
            <w:top w:val="none" w:sz="0" w:space="0" w:color="auto"/>
            <w:left w:val="none" w:sz="0" w:space="0" w:color="auto"/>
            <w:bottom w:val="none" w:sz="0" w:space="0" w:color="auto"/>
            <w:right w:val="none" w:sz="0" w:space="0" w:color="auto"/>
          </w:divBdr>
          <w:divsChild>
            <w:div w:id="432096498">
              <w:marLeft w:val="0"/>
              <w:marRight w:val="0"/>
              <w:marTop w:val="0"/>
              <w:marBottom w:val="0"/>
              <w:divBdr>
                <w:top w:val="none" w:sz="0" w:space="0" w:color="auto"/>
                <w:left w:val="none" w:sz="0" w:space="0" w:color="auto"/>
                <w:bottom w:val="none" w:sz="0" w:space="0" w:color="auto"/>
                <w:right w:val="none" w:sz="0" w:space="0" w:color="auto"/>
              </w:divBdr>
            </w:div>
            <w:div w:id="1679188494">
              <w:marLeft w:val="0"/>
              <w:marRight w:val="0"/>
              <w:marTop w:val="0"/>
              <w:marBottom w:val="0"/>
              <w:divBdr>
                <w:top w:val="none" w:sz="0" w:space="0" w:color="auto"/>
                <w:left w:val="none" w:sz="0" w:space="0" w:color="auto"/>
                <w:bottom w:val="none" w:sz="0" w:space="0" w:color="auto"/>
                <w:right w:val="none" w:sz="0" w:space="0" w:color="auto"/>
              </w:divBdr>
            </w:div>
            <w:div w:id="1184057243">
              <w:marLeft w:val="0"/>
              <w:marRight w:val="0"/>
              <w:marTop w:val="0"/>
              <w:marBottom w:val="0"/>
              <w:divBdr>
                <w:top w:val="none" w:sz="0" w:space="0" w:color="auto"/>
                <w:left w:val="none" w:sz="0" w:space="0" w:color="auto"/>
                <w:bottom w:val="none" w:sz="0" w:space="0" w:color="auto"/>
                <w:right w:val="none" w:sz="0" w:space="0" w:color="auto"/>
              </w:divBdr>
            </w:div>
            <w:div w:id="279075366">
              <w:marLeft w:val="0"/>
              <w:marRight w:val="0"/>
              <w:marTop w:val="0"/>
              <w:marBottom w:val="0"/>
              <w:divBdr>
                <w:top w:val="none" w:sz="0" w:space="0" w:color="auto"/>
                <w:left w:val="none" w:sz="0" w:space="0" w:color="auto"/>
                <w:bottom w:val="none" w:sz="0" w:space="0" w:color="auto"/>
                <w:right w:val="none" w:sz="0" w:space="0" w:color="auto"/>
              </w:divBdr>
            </w:div>
            <w:div w:id="391344882">
              <w:marLeft w:val="0"/>
              <w:marRight w:val="0"/>
              <w:marTop w:val="0"/>
              <w:marBottom w:val="0"/>
              <w:divBdr>
                <w:top w:val="none" w:sz="0" w:space="0" w:color="auto"/>
                <w:left w:val="none" w:sz="0" w:space="0" w:color="auto"/>
                <w:bottom w:val="none" w:sz="0" w:space="0" w:color="auto"/>
                <w:right w:val="none" w:sz="0" w:space="0" w:color="auto"/>
              </w:divBdr>
            </w:div>
          </w:divsChild>
        </w:div>
        <w:div w:id="1225800104">
          <w:marLeft w:val="0"/>
          <w:marRight w:val="0"/>
          <w:marTop w:val="0"/>
          <w:marBottom w:val="0"/>
          <w:divBdr>
            <w:top w:val="none" w:sz="0" w:space="0" w:color="auto"/>
            <w:left w:val="none" w:sz="0" w:space="0" w:color="auto"/>
            <w:bottom w:val="none" w:sz="0" w:space="0" w:color="auto"/>
            <w:right w:val="none" w:sz="0" w:space="0" w:color="auto"/>
          </w:divBdr>
          <w:divsChild>
            <w:div w:id="1958944112">
              <w:marLeft w:val="0"/>
              <w:marRight w:val="0"/>
              <w:marTop w:val="0"/>
              <w:marBottom w:val="0"/>
              <w:divBdr>
                <w:top w:val="none" w:sz="0" w:space="0" w:color="auto"/>
                <w:left w:val="none" w:sz="0" w:space="0" w:color="auto"/>
                <w:bottom w:val="none" w:sz="0" w:space="0" w:color="auto"/>
                <w:right w:val="none" w:sz="0" w:space="0" w:color="auto"/>
              </w:divBdr>
            </w:div>
            <w:div w:id="1742361941">
              <w:marLeft w:val="0"/>
              <w:marRight w:val="0"/>
              <w:marTop w:val="0"/>
              <w:marBottom w:val="0"/>
              <w:divBdr>
                <w:top w:val="none" w:sz="0" w:space="0" w:color="auto"/>
                <w:left w:val="none" w:sz="0" w:space="0" w:color="auto"/>
                <w:bottom w:val="none" w:sz="0" w:space="0" w:color="auto"/>
                <w:right w:val="none" w:sz="0" w:space="0" w:color="auto"/>
              </w:divBdr>
            </w:div>
            <w:div w:id="768157194">
              <w:marLeft w:val="0"/>
              <w:marRight w:val="0"/>
              <w:marTop w:val="0"/>
              <w:marBottom w:val="0"/>
              <w:divBdr>
                <w:top w:val="none" w:sz="0" w:space="0" w:color="auto"/>
                <w:left w:val="none" w:sz="0" w:space="0" w:color="auto"/>
                <w:bottom w:val="none" w:sz="0" w:space="0" w:color="auto"/>
                <w:right w:val="none" w:sz="0" w:space="0" w:color="auto"/>
              </w:divBdr>
            </w:div>
            <w:div w:id="1932621447">
              <w:marLeft w:val="0"/>
              <w:marRight w:val="0"/>
              <w:marTop w:val="0"/>
              <w:marBottom w:val="0"/>
              <w:divBdr>
                <w:top w:val="none" w:sz="0" w:space="0" w:color="auto"/>
                <w:left w:val="none" w:sz="0" w:space="0" w:color="auto"/>
                <w:bottom w:val="none" w:sz="0" w:space="0" w:color="auto"/>
                <w:right w:val="none" w:sz="0" w:space="0" w:color="auto"/>
              </w:divBdr>
            </w:div>
            <w:div w:id="845435358">
              <w:marLeft w:val="0"/>
              <w:marRight w:val="0"/>
              <w:marTop w:val="0"/>
              <w:marBottom w:val="0"/>
              <w:divBdr>
                <w:top w:val="none" w:sz="0" w:space="0" w:color="auto"/>
                <w:left w:val="none" w:sz="0" w:space="0" w:color="auto"/>
                <w:bottom w:val="none" w:sz="0" w:space="0" w:color="auto"/>
                <w:right w:val="none" w:sz="0" w:space="0" w:color="auto"/>
              </w:divBdr>
            </w:div>
          </w:divsChild>
        </w:div>
        <w:div w:id="1975719649">
          <w:marLeft w:val="0"/>
          <w:marRight w:val="0"/>
          <w:marTop w:val="0"/>
          <w:marBottom w:val="0"/>
          <w:divBdr>
            <w:top w:val="none" w:sz="0" w:space="0" w:color="auto"/>
            <w:left w:val="none" w:sz="0" w:space="0" w:color="auto"/>
            <w:bottom w:val="none" w:sz="0" w:space="0" w:color="auto"/>
            <w:right w:val="none" w:sz="0" w:space="0" w:color="auto"/>
          </w:divBdr>
        </w:div>
        <w:div w:id="1055660236">
          <w:marLeft w:val="0"/>
          <w:marRight w:val="0"/>
          <w:marTop w:val="0"/>
          <w:marBottom w:val="0"/>
          <w:divBdr>
            <w:top w:val="none" w:sz="0" w:space="0" w:color="auto"/>
            <w:left w:val="none" w:sz="0" w:space="0" w:color="auto"/>
            <w:bottom w:val="none" w:sz="0" w:space="0" w:color="auto"/>
            <w:right w:val="none" w:sz="0" w:space="0" w:color="auto"/>
          </w:divBdr>
        </w:div>
        <w:div w:id="1790513932">
          <w:marLeft w:val="0"/>
          <w:marRight w:val="0"/>
          <w:marTop w:val="0"/>
          <w:marBottom w:val="0"/>
          <w:divBdr>
            <w:top w:val="none" w:sz="0" w:space="0" w:color="auto"/>
            <w:left w:val="none" w:sz="0" w:space="0" w:color="auto"/>
            <w:bottom w:val="none" w:sz="0" w:space="0" w:color="auto"/>
            <w:right w:val="none" w:sz="0" w:space="0" w:color="auto"/>
          </w:divBdr>
        </w:div>
        <w:div w:id="1193574374">
          <w:marLeft w:val="0"/>
          <w:marRight w:val="0"/>
          <w:marTop w:val="0"/>
          <w:marBottom w:val="0"/>
          <w:divBdr>
            <w:top w:val="none" w:sz="0" w:space="0" w:color="auto"/>
            <w:left w:val="none" w:sz="0" w:space="0" w:color="auto"/>
            <w:bottom w:val="none" w:sz="0" w:space="0" w:color="auto"/>
            <w:right w:val="none" w:sz="0" w:space="0" w:color="auto"/>
          </w:divBdr>
        </w:div>
        <w:div w:id="1424449003">
          <w:marLeft w:val="0"/>
          <w:marRight w:val="0"/>
          <w:marTop w:val="0"/>
          <w:marBottom w:val="0"/>
          <w:divBdr>
            <w:top w:val="none" w:sz="0" w:space="0" w:color="auto"/>
            <w:left w:val="none" w:sz="0" w:space="0" w:color="auto"/>
            <w:bottom w:val="none" w:sz="0" w:space="0" w:color="auto"/>
            <w:right w:val="none" w:sz="0" w:space="0" w:color="auto"/>
          </w:divBdr>
        </w:div>
        <w:div w:id="914516216">
          <w:marLeft w:val="0"/>
          <w:marRight w:val="0"/>
          <w:marTop w:val="0"/>
          <w:marBottom w:val="0"/>
          <w:divBdr>
            <w:top w:val="none" w:sz="0" w:space="0" w:color="auto"/>
            <w:left w:val="none" w:sz="0" w:space="0" w:color="auto"/>
            <w:bottom w:val="none" w:sz="0" w:space="0" w:color="auto"/>
            <w:right w:val="none" w:sz="0" w:space="0" w:color="auto"/>
          </w:divBdr>
        </w:div>
        <w:div w:id="584538789">
          <w:marLeft w:val="0"/>
          <w:marRight w:val="0"/>
          <w:marTop w:val="0"/>
          <w:marBottom w:val="0"/>
          <w:divBdr>
            <w:top w:val="none" w:sz="0" w:space="0" w:color="auto"/>
            <w:left w:val="none" w:sz="0" w:space="0" w:color="auto"/>
            <w:bottom w:val="none" w:sz="0" w:space="0" w:color="auto"/>
            <w:right w:val="none" w:sz="0" w:space="0" w:color="auto"/>
          </w:divBdr>
        </w:div>
        <w:div w:id="2125035482">
          <w:marLeft w:val="0"/>
          <w:marRight w:val="0"/>
          <w:marTop w:val="0"/>
          <w:marBottom w:val="0"/>
          <w:divBdr>
            <w:top w:val="none" w:sz="0" w:space="0" w:color="auto"/>
            <w:left w:val="none" w:sz="0" w:space="0" w:color="auto"/>
            <w:bottom w:val="none" w:sz="0" w:space="0" w:color="auto"/>
            <w:right w:val="none" w:sz="0" w:space="0" w:color="auto"/>
          </w:divBdr>
          <w:divsChild>
            <w:div w:id="1129740473">
              <w:marLeft w:val="-75"/>
              <w:marRight w:val="0"/>
              <w:marTop w:val="30"/>
              <w:marBottom w:val="30"/>
              <w:divBdr>
                <w:top w:val="none" w:sz="0" w:space="0" w:color="auto"/>
                <w:left w:val="none" w:sz="0" w:space="0" w:color="auto"/>
                <w:bottom w:val="none" w:sz="0" w:space="0" w:color="auto"/>
                <w:right w:val="none" w:sz="0" w:space="0" w:color="auto"/>
              </w:divBdr>
              <w:divsChild>
                <w:div w:id="308633506">
                  <w:marLeft w:val="0"/>
                  <w:marRight w:val="0"/>
                  <w:marTop w:val="0"/>
                  <w:marBottom w:val="0"/>
                  <w:divBdr>
                    <w:top w:val="none" w:sz="0" w:space="0" w:color="auto"/>
                    <w:left w:val="none" w:sz="0" w:space="0" w:color="auto"/>
                    <w:bottom w:val="none" w:sz="0" w:space="0" w:color="auto"/>
                    <w:right w:val="none" w:sz="0" w:space="0" w:color="auto"/>
                  </w:divBdr>
                  <w:divsChild>
                    <w:div w:id="447626618">
                      <w:marLeft w:val="0"/>
                      <w:marRight w:val="0"/>
                      <w:marTop w:val="0"/>
                      <w:marBottom w:val="0"/>
                      <w:divBdr>
                        <w:top w:val="none" w:sz="0" w:space="0" w:color="auto"/>
                        <w:left w:val="none" w:sz="0" w:space="0" w:color="auto"/>
                        <w:bottom w:val="none" w:sz="0" w:space="0" w:color="auto"/>
                        <w:right w:val="none" w:sz="0" w:space="0" w:color="auto"/>
                      </w:divBdr>
                    </w:div>
                  </w:divsChild>
                </w:div>
                <w:div w:id="2058620815">
                  <w:marLeft w:val="0"/>
                  <w:marRight w:val="0"/>
                  <w:marTop w:val="0"/>
                  <w:marBottom w:val="0"/>
                  <w:divBdr>
                    <w:top w:val="none" w:sz="0" w:space="0" w:color="auto"/>
                    <w:left w:val="none" w:sz="0" w:space="0" w:color="auto"/>
                    <w:bottom w:val="none" w:sz="0" w:space="0" w:color="auto"/>
                    <w:right w:val="none" w:sz="0" w:space="0" w:color="auto"/>
                  </w:divBdr>
                  <w:divsChild>
                    <w:div w:id="2129270942">
                      <w:marLeft w:val="0"/>
                      <w:marRight w:val="0"/>
                      <w:marTop w:val="0"/>
                      <w:marBottom w:val="0"/>
                      <w:divBdr>
                        <w:top w:val="none" w:sz="0" w:space="0" w:color="auto"/>
                        <w:left w:val="none" w:sz="0" w:space="0" w:color="auto"/>
                        <w:bottom w:val="none" w:sz="0" w:space="0" w:color="auto"/>
                        <w:right w:val="none" w:sz="0" w:space="0" w:color="auto"/>
                      </w:divBdr>
                    </w:div>
                  </w:divsChild>
                </w:div>
                <w:div w:id="640424418">
                  <w:marLeft w:val="0"/>
                  <w:marRight w:val="0"/>
                  <w:marTop w:val="0"/>
                  <w:marBottom w:val="0"/>
                  <w:divBdr>
                    <w:top w:val="none" w:sz="0" w:space="0" w:color="auto"/>
                    <w:left w:val="none" w:sz="0" w:space="0" w:color="auto"/>
                    <w:bottom w:val="none" w:sz="0" w:space="0" w:color="auto"/>
                    <w:right w:val="none" w:sz="0" w:space="0" w:color="auto"/>
                  </w:divBdr>
                  <w:divsChild>
                    <w:div w:id="1888636828">
                      <w:marLeft w:val="0"/>
                      <w:marRight w:val="0"/>
                      <w:marTop w:val="0"/>
                      <w:marBottom w:val="0"/>
                      <w:divBdr>
                        <w:top w:val="none" w:sz="0" w:space="0" w:color="auto"/>
                        <w:left w:val="none" w:sz="0" w:space="0" w:color="auto"/>
                        <w:bottom w:val="none" w:sz="0" w:space="0" w:color="auto"/>
                        <w:right w:val="none" w:sz="0" w:space="0" w:color="auto"/>
                      </w:divBdr>
                    </w:div>
                  </w:divsChild>
                </w:div>
                <w:div w:id="795148349">
                  <w:marLeft w:val="0"/>
                  <w:marRight w:val="0"/>
                  <w:marTop w:val="0"/>
                  <w:marBottom w:val="0"/>
                  <w:divBdr>
                    <w:top w:val="none" w:sz="0" w:space="0" w:color="auto"/>
                    <w:left w:val="none" w:sz="0" w:space="0" w:color="auto"/>
                    <w:bottom w:val="none" w:sz="0" w:space="0" w:color="auto"/>
                    <w:right w:val="none" w:sz="0" w:space="0" w:color="auto"/>
                  </w:divBdr>
                  <w:divsChild>
                    <w:div w:id="43530031">
                      <w:marLeft w:val="0"/>
                      <w:marRight w:val="0"/>
                      <w:marTop w:val="0"/>
                      <w:marBottom w:val="0"/>
                      <w:divBdr>
                        <w:top w:val="none" w:sz="0" w:space="0" w:color="auto"/>
                        <w:left w:val="none" w:sz="0" w:space="0" w:color="auto"/>
                        <w:bottom w:val="none" w:sz="0" w:space="0" w:color="auto"/>
                        <w:right w:val="none" w:sz="0" w:space="0" w:color="auto"/>
                      </w:divBdr>
                    </w:div>
                  </w:divsChild>
                </w:div>
                <w:div w:id="760952305">
                  <w:marLeft w:val="0"/>
                  <w:marRight w:val="0"/>
                  <w:marTop w:val="0"/>
                  <w:marBottom w:val="0"/>
                  <w:divBdr>
                    <w:top w:val="none" w:sz="0" w:space="0" w:color="auto"/>
                    <w:left w:val="none" w:sz="0" w:space="0" w:color="auto"/>
                    <w:bottom w:val="none" w:sz="0" w:space="0" w:color="auto"/>
                    <w:right w:val="none" w:sz="0" w:space="0" w:color="auto"/>
                  </w:divBdr>
                  <w:divsChild>
                    <w:div w:id="420180227">
                      <w:marLeft w:val="0"/>
                      <w:marRight w:val="0"/>
                      <w:marTop w:val="0"/>
                      <w:marBottom w:val="0"/>
                      <w:divBdr>
                        <w:top w:val="none" w:sz="0" w:space="0" w:color="auto"/>
                        <w:left w:val="none" w:sz="0" w:space="0" w:color="auto"/>
                        <w:bottom w:val="none" w:sz="0" w:space="0" w:color="auto"/>
                        <w:right w:val="none" w:sz="0" w:space="0" w:color="auto"/>
                      </w:divBdr>
                    </w:div>
                  </w:divsChild>
                </w:div>
                <w:div w:id="1203251687">
                  <w:marLeft w:val="0"/>
                  <w:marRight w:val="0"/>
                  <w:marTop w:val="0"/>
                  <w:marBottom w:val="0"/>
                  <w:divBdr>
                    <w:top w:val="none" w:sz="0" w:space="0" w:color="auto"/>
                    <w:left w:val="none" w:sz="0" w:space="0" w:color="auto"/>
                    <w:bottom w:val="none" w:sz="0" w:space="0" w:color="auto"/>
                    <w:right w:val="none" w:sz="0" w:space="0" w:color="auto"/>
                  </w:divBdr>
                  <w:divsChild>
                    <w:div w:id="96102856">
                      <w:marLeft w:val="0"/>
                      <w:marRight w:val="0"/>
                      <w:marTop w:val="0"/>
                      <w:marBottom w:val="0"/>
                      <w:divBdr>
                        <w:top w:val="none" w:sz="0" w:space="0" w:color="auto"/>
                        <w:left w:val="none" w:sz="0" w:space="0" w:color="auto"/>
                        <w:bottom w:val="none" w:sz="0" w:space="0" w:color="auto"/>
                        <w:right w:val="none" w:sz="0" w:space="0" w:color="auto"/>
                      </w:divBdr>
                    </w:div>
                  </w:divsChild>
                </w:div>
                <w:div w:id="634990029">
                  <w:marLeft w:val="0"/>
                  <w:marRight w:val="0"/>
                  <w:marTop w:val="0"/>
                  <w:marBottom w:val="0"/>
                  <w:divBdr>
                    <w:top w:val="none" w:sz="0" w:space="0" w:color="auto"/>
                    <w:left w:val="none" w:sz="0" w:space="0" w:color="auto"/>
                    <w:bottom w:val="none" w:sz="0" w:space="0" w:color="auto"/>
                    <w:right w:val="none" w:sz="0" w:space="0" w:color="auto"/>
                  </w:divBdr>
                  <w:divsChild>
                    <w:div w:id="363101120">
                      <w:marLeft w:val="0"/>
                      <w:marRight w:val="0"/>
                      <w:marTop w:val="0"/>
                      <w:marBottom w:val="0"/>
                      <w:divBdr>
                        <w:top w:val="none" w:sz="0" w:space="0" w:color="auto"/>
                        <w:left w:val="none" w:sz="0" w:space="0" w:color="auto"/>
                        <w:bottom w:val="none" w:sz="0" w:space="0" w:color="auto"/>
                        <w:right w:val="none" w:sz="0" w:space="0" w:color="auto"/>
                      </w:divBdr>
                    </w:div>
                  </w:divsChild>
                </w:div>
                <w:div w:id="745883297">
                  <w:marLeft w:val="0"/>
                  <w:marRight w:val="0"/>
                  <w:marTop w:val="0"/>
                  <w:marBottom w:val="0"/>
                  <w:divBdr>
                    <w:top w:val="none" w:sz="0" w:space="0" w:color="auto"/>
                    <w:left w:val="none" w:sz="0" w:space="0" w:color="auto"/>
                    <w:bottom w:val="none" w:sz="0" w:space="0" w:color="auto"/>
                    <w:right w:val="none" w:sz="0" w:space="0" w:color="auto"/>
                  </w:divBdr>
                  <w:divsChild>
                    <w:div w:id="53412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074260">
          <w:marLeft w:val="0"/>
          <w:marRight w:val="0"/>
          <w:marTop w:val="0"/>
          <w:marBottom w:val="0"/>
          <w:divBdr>
            <w:top w:val="none" w:sz="0" w:space="0" w:color="auto"/>
            <w:left w:val="none" w:sz="0" w:space="0" w:color="auto"/>
            <w:bottom w:val="none" w:sz="0" w:space="0" w:color="auto"/>
            <w:right w:val="none" w:sz="0" w:space="0" w:color="auto"/>
          </w:divBdr>
        </w:div>
        <w:div w:id="510488852">
          <w:marLeft w:val="0"/>
          <w:marRight w:val="0"/>
          <w:marTop w:val="0"/>
          <w:marBottom w:val="0"/>
          <w:divBdr>
            <w:top w:val="none" w:sz="0" w:space="0" w:color="auto"/>
            <w:left w:val="none" w:sz="0" w:space="0" w:color="auto"/>
            <w:bottom w:val="none" w:sz="0" w:space="0" w:color="auto"/>
            <w:right w:val="none" w:sz="0" w:space="0" w:color="auto"/>
          </w:divBdr>
        </w:div>
        <w:div w:id="920797315">
          <w:marLeft w:val="0"/>
          <w:marRight w:val="0"/>
          <w:marTop w:val="0"/>
          <w:marBottom w:val="0"/>
          <w:divBdr>
            <w:top w:val="none" w:sz="0" w:space="0" w:color="auto"/>
            <w:left w:val="none" w:sz="0" w:space="0" w:color="auto"/>
            <w:bottom w:val="none" w:sz="0" w:space="0" w:color="auto"/>
            <w:right w:val="none" w:sz="0" w:space="0" w:color="auto"/>
          </w:divBdr>
        </w:div>
        <w:div w:id="1792286339">
          <w:marLeft w:val="0"/>
          <w:marRight w:val="0"/>
          <w:marTop w:val="0"/>
          <w:marBottom w:val="0"/>
          <w:divBdr>
            <w:top w:val="none" w:sz="0" w:space="0" w:color="auto"/>
            <w:left w:val="none" w:sz="0" w:space="0" w:color="auto"/>
            <w:bottom w:val="none" w:sz="0" w:space="0" w:color="auto"/>
            <w:right w:val="none" w:sz="0" w:space="0" w:color="auto"/>
          </w:divBdr>
        </w:div>
        <w:div w:id="617839678">
          <w:marLeft w:val="0"/>
          <w:marRight w:val="0"/>
          <w:marTop w:val="0"/>
          <w:marBottom w:val="0"/>
          <w:divBdr>
            <w:top w:val="none" w:sz="0" w:space="0" w:color="auto"/>
            <w:left w:val="none" w:sz="0" w:space="0" w:color="auto"/>
            <w:bottom w:val="none" w:sz="0" w:space="0" w:color="auto"/>
            <w:right w:val="none" w:sz="0" w:space="0" w:color="auto"/>
          </w:divBdr>
        </w:div>
      </w:divsChild>
    </w:div>
    <w:div w:id="399863622">
      <w:bodyDiv w:val="1"/>
      <w:marLeft w:val="0"/>
      <w:marRight w:val="0"/>
      <w:marTop w:val="0"/>
      <w:marBottom w:val="0"/>
      <w:divBdr>
        <w:top w:val="none" w:sz="0" w:space="0" w:color="auto"/>
        <w:left w:val="none" w:sz="0" w:space="0" w:color="auto"/>
        <w:bottom w:val="none" w:sz="0" w:space="0" w:color="auto"/>
        <w:right w:val="none" w:sz="0" w:space="0" w:color="auto"/>
      </w:divBdr>
      <w:divsChild>
        <w:div w:id="1300260944">
          <w:marLeft w:val="0"/>
          <w:marRight w:val="0"/>
          <w:marTop w:val="0"/>
          <w:marBottom w:val="0"/>
          <w:divBdr>
            <w:top w:val="none" w:sz="0" w:space="0" w:color="auto"/>
            <w:left w:val="none" w:sz="0" w:space="0" w:color="auto"/>
            <w:bottom w:val="none" w:sz="0" w:space="0" w:color="auto"/>
            <w:right w:val="none" w:sz="0" w:space="0" w:color="auto"/>
          </w:divBdr>
        </w:div>
        <w:div w:id="1983735522">
          <w:marLeft w:val="0"/>
          <w:marRight w:val="0"/>
          <w:marTop w:val="0"/>
          <w:marBottom w:val="0"/>
          <w:divBdr>
            <w:top w:val="none" w:sz="0" w:space="0" w:color="auto"/>
            <w:left w:val="none" w:sz="0" w:space="0" w:color="auto"/>
            <w:bottom w:val="none" w:sz="0" w:space="0" w:color="auto"/>
            <w:right w:val="none" w:sz="0" w:space="0" w:color="auto"/>
          </w:divBdr>
        </w:div>
        <w:div w:id="368265687">
          <w:marLeft w:val="0"/>
          <w:marRight w:val="0"/>
          <w:marTop w:val="0"/>
          <w:marBottom w:val="0"/>
          <w:divBdr>
            <w:top w:val="none" w:sz="0" w:space="0" w:color="auto"/>
            <w:left w:val="none" w:sz="0" w:space="0" w:color="auto"/>
            <w:bottom w:val="none" w:sz="0" w:space="0" w:color="auto"/>
            <w:right w:val="none" w:sz="0" w:space="0" w:color="auto"/>
          </w:divBdr>
        </w:div>
        <w:div w:id="1282616327">
          <w:marLeft w:val="0"/>
          <w:marRight w:val="0"/>
          <w:marTop w:val="0"/>
          <w:marBottom w:val="0"/>
          <w:divBdr>
            <w:top w:val="none" w:sz="0" w:space="0" w:color="auto"/>
            <w:left w:val="none" w:sz="0" w:space="0" w:color="auto"/>
            <w:bottom w:val="none" w:sz="0" w:space="0" w:color="auto"/>
            <w:right w:val="none" w:sz="0" w:space="0" w:color="auto"/>
          </w:divBdr>
        </w:div>
        <w:div w:id="177231299">
          <w:marLeft w:val="0"/>
          <w:marRight w:val="0"/>
          <w:marTop w:val="0"/>
          <w:marBottom w:val="0"/>
          <w:divBdr>
            <w:top w:val="none" w:sz="0" w:space="0" w:color="auto"/>
            <w:left w:val="none" w:sz="0" w:space="0" w:color="auto"/>
            <w:bottom w:val="none" w:sz="0" w:space="0" w:color="auto"/>
            <w:right w:val="none" w:sz="0" w:space="0" w:color="auto"/>
          </w:divBdr>
        </w:div>
        <w:div w:id="786243777">
          <w:marLeft w:val="0"/>
          <w:marRight w:val="0"/>
          <w:marTop w:val="0"/>
          <w:marBottom w:val="0"/>
          <w:divBdr>
            <w:top w:val="none" w:sz="0" w:space="0" w:color="auto"/>
            <w:left w:val="none" w:sz="0" w:space="0" w:color="auto"/>
            <w:bottom w:val="none" w:sz="0" w:space="0" w:color="auto"/>
            <w:right w:val="none" w:sz="0" w:space="0" w:color="auto"/>
          </w:divBdr>
        </w:div>
      </w:divsChild>
    </w:div>
    <w:div w:id="400952278">
      <w:bodyDiv w:val="1"/>
      <w:marLeft w:val="0"/>
      <w:marRight w:val="0"/>
      <w:marTop w:val="0"/>
      <w:marBottom w:val="0"/>
      <w:divBdr>
        <w:top w:val="none" w:sz="0" w:space="0" w:color="auto"/>
        <w:left w:val="none" w:sz="0" w:space="0" w:color="auto"/>
        <w:bottom w:val="none" w:sz="0" w:space="0" w:color="auto"/>
        <w:right w:val="none" w:sz="0" w:space="0" w:color="auto"/>
      </w:divBdr>
    </w:div>
    <w:div w:id="408816695">
      <w:bodyDiv w:val="1"/>
      <w:marLeft w:val="0"/>
      <w:marRight w:val="0"/>
      <w:marTop w:val="0"/>
      <w:marBottom w:val="0"/>
      <w:divBdr>
        <w:top w:val="none" w:sz="0" w:space="0" w:color="auto"/>
        <w:left w:val="none" w:sz="0" w:space="0" w:color="auto"/>
        <w:bottom w:val="none" w:sz="0" w:space="0" w:color="auto"/>
        <w:right w:val="none" w:sz="0" w:space="0" w:color="auto"/>
      </w:divBdr>
    </w:div>
    <w:div w:id="441999481">
      <w:bodyDiv w:val="1"/>
      <w:marLeft w:val="0"/>
      <w:marRight w:val="0"/>
      <w:marTop w:val="0"/>
      <w:marBottom w:val="0"/>
      <w:divBdr>
        <w:top w:val="none" w:sz="0" w:space="0" w:color="auto"/>
        <w:left w:val="none" w:sz="0" w:space="0" w:color="auto"/>
        <w:bottom w:val="none" w:sz="0" w:space="0" w:color="auto"/>
        <w:right w:val="none" w:sz="0" w:space="0" w:color="auto"/>
      </w:divBdr>
    </w:div>
    <w:div w:id="475800009">
      <w:bodyDiv w:val="1"/>
      <w:marLeft w:val="0"/>
      <w:marRight w:val="0"/>
      <w:marTop w:val="0"/>
      <w:marBottom w:val="0"/>
      <w:divBdr>
        <w:top w:val="none" w:sz="0" w:space="0" w:color="auto"/>
        <w:left w:val="none" w:sz="0" w:space="0" w:color="auto"/>
        <w:bottom w:val="none" w:sz="0" w:space="0" w:color="auto"/>
        <w:right w:val="none" w:sz="0" w:space="0" w:color="auto"/>
      </w:divBdr>
    </w:div>
    <w:div w:id="490754193">
      <w:bodyDiv w:val="1"/>
      <w:marLeft w:val="0"/>
      <w:marRight w:val="0"/>
      <w:marTop w:val="0"/>
      <w:marBottom w:val="0"/>
      <w:divBdr>
        <w:top w:val="none" w:sz="0" w:space="0" w:color="auto"/>
        <w:left w:val="none" w:sz="0" w:space="0" w:color="auto"/>
        <w:bottom w:val="none" w:sz="0" w:space="0" w:color="auto"/>
        <w:right w:val="none" w:sz="0" w:space="0" w:color="auto"/>
      </w:divBdr>
    </w:div>
    <w:div w:id="526675350">
      <w:bodyDiv w:val="1"/>
      <w:marLeft w:val="0"/>
      <w:marRight w:val="0"/>
      <w:marTop w:val="0"/>
      <w:marBottom w:val="0"/>
      <w:divBdr>
        <w:top w:val="none" w:sz="0" w:space="0" w:color="auto"/>
        <w:left w:val="none" w:sz="0" w:space="0" w:color="auto"/>
        <w:bottom w:val="none" w:sz="0" w:space="0" w:color="auto"/>
        <w:right w:val="none" w:sz="0" w:space="0" w:color="auto"/>
      </w:divBdr>
    </w:div>
    <w:div w:id="545877262">
      <w:marLeft w:val="0"/>
      <w:marRight w:val="0"/>
      <w:marTop w:val="0"/>
      <w:marBottom w:val="0"/>
      <w:divBdr>
        <w:top w:val="none" w:sz="0" w:space="0" w:color="auto"/>
        <w:left w:val="none" w:sz="0" w:space="0" w:color="auto"/>
        <w:bottom w:val="none" w:sz="0" w:space="0" w:color="auto"/>
        <w:right w:val="none" w:sz="0" w:space="0" w:color="auto"/>
      </w:divBdr>
      <w:divsChild>
        <w:div w:id="781189197">
          <w:marLeft w:val="0"/>
          <w:marRight w:val="0"/>
          <w:marTop w:val="0"/>
          <w:marBottom w:val="0"/>
          <w:divBdr>
            <w:top w:val="none" w:sz="0" w:space="0" w:color="auto"/>
            <w:left w:val="none" w:sz="0" w:space="0" w:color="auto"/>
            <w:bottom w:val="none" w:sz="0" w:space="0" w:color="auto"/>
            <w:right w:val="none" w:sz="0" w:space="0" w:color="auto"/>
          </w:divBdr>
        </w:div>
      </w:divsChild>
    </w:div>
    <w:div w:id="554437793">
      <w:bodyDiv w:val="1"/>
      <w:marLeft w:val="0"/>
      <w:marRight w:val="0"/>
      <w:marTop w:val="0"/>
      <w:marBottom w:val="0"/>
      <w:divBdr>
        <w:top w:val="none" w:sz="0" w:space="0" w:color="auto"/>
        <w:left w:val="none" w:sz="0" w:space="0" w:color="auto"/>
        <w:bottom w:val="none" w:sz="0" w:space="0" w:color="auto"/>
        <w:right w:val="none" w:sz="0" w:space="0" w:color="auto"/>
      </w:divBdr>
    </w:div>
    <w:div w:id="591469894">
      <w:bodyDiv w:val="1"/>
      <w:marLeft w:val="0"/>
      <w:marRight w:val="0"/>
      <w:marTop w:val="0"/>
      <w:marBottom w:val="0"/>
      <w:divBdr>
        <w:top w:val="none" w:sz="0" w:space="0" w:color="auto"/>
        <w:left w:val="none" w:sz="0" w:space="0" w:color="auto"/>
        <w:bottom w:val="none" w:sz="0" w:space="0" w:color="auto"/>
        <w:right w:val="none" w:sz="0" w:space="0" w:color="auto"/>
      </w:divBdr>
    </w:div>
    <w:div w:id="610818578">
      <w:bodyDiv w:val="1"/>
      <w:marLeft w:val="0"/>
      <w:marRight w:val="0"/>
      <w:marTop w:val="0"/>
      <w:marBottom w:val="0"/>
      <w:divBdr>
        <w:top w:val="none" w:sz="0" w:space="0" w:color="auto"/>
        <w:left w:val="none" w:sz="0" w:space="0" w:color="auto"/>
        <w:bottom w:val="none" w:sz="0" w:space="0" w:color="auto"/>
        <w:right w:val="none" w:sz="0" w:space="0" w:color="auto"/>
      </w:divBdr>
    </w:div>
    <w:div w:id="615791352">
      <w:bodyDiv w:val="1"/>
      <w:marLeft w:val="0"/>
      <w:marRight w:val="0"/>
      <w:marTop w:val="0"/>
      <w:marBottom w:val="0"/>
      <w:divBdr>
        <w:top w:val="none" w:sz="0" w:space="0" w:color="auto"/>
        <w:left w:val="none" w:sz="0" w:space="0" w:color="auto"/>
        <w:bottom w:val="none" w:sz="0" w:space="0" w:color="auto"/>
        <w:right w:val="none" w:sz="0" w:space="0" w:color="auto"/>
      </w:divBdr>
    </w:div>
    <w:div w:id="636298411">
      <w:bodyDiv w:val="1"/>
      <w:marLeft w:val="0"/>
      <w:marRight w:val="0"/>
      <w:marTop w:val="0"/>
      <w:marBottom w:val="0"/>
      <w:divBdr>
        <w:top w:val="none" w:sz="0" w:space="0" w:color="auto"/>
        <w:left w:val="none" w:sz="0" w:space="0" w:color="auto"/>
        <w:bottom w:val="none" w:sz="0" w:space="0" w:color="auto"/>
        <w:right w:val="none" w:sz="0" w:space="0" w:color="auto"/>
      </w:divBdr>
    </w:div>
    <w:div w:id="658927626">
      <w:marLeft w:val="0"/>
      <w:marRight w:val="0"/>
      <w:marTop w:val="0"/>
      <w:marBottom w:val="0"/>
      <w:divBdr>
        <w:top w:val="none" w:sz="0" w:space="0" w:color="auto"/>
        <w:left w:val="none" w:sz="0" w:space="0" w:color="auto"/>
        <w:bottom w:val="none" w:sz="0" w:space="0" w:color="auto"/>
        <w:right w:val="none" w:sz="0" w:space="0" w:color="auto"/>
      </w:divBdr>
      <w:divsChild>
        <w:div w:id="1341810786">
          <w:marLeft w:val="0"/>
          <w:marRight w:val="0"/>
          <w:marTop w:val="0"/>
          <w:marBottom w:val="0"/>
          <w:divBdr>
            <w:top w:val="none" w:sz="0" w:space="0" w:color="auto"/>
            <w:left w:val="none" w:sz="0" w:space="0" w:color="auto"/>
            <w:bottom w:val="none" w:sz="0" w:space="0" w:color="auto"/>
            <w:right w:val="none" w:sz="0" w:space="0" w:color="auto"/>
          </w:divBdr>
        </w:div>
      </w:divsChild>
    </w:div>
    <w:div w:id="662859913">
      <w:bodyDiv w:val="1"/>
      <w:marLeft w:val="0"/>
      <w:marRight w:val="0"/>
      <w:marTop w:val="0"/>
      <w:marBottom w:val="0"/>
      <w:divBdr>
        <w:top w:val="none" w:sz="0" w:space="0" w:color="auto"/>
        <w:left w:val="none" w:sz="0" w:space="0" w:color="auto"/>
        <w:bottom w:val="none" w:sz="0" w:space="0" w:color="auto"/>
        <w:right w:val="none" w:sz="0" w:space="0" w:color="auto"/>
      </w:divBdr>
    </w:div>
    <w:div w:id="682710807">
      <w:bodyDiv w:val="1"/>
      <w:marLeft w:val="0"/>
      <w:marRight w:val="0"/>
      <w:marTop w:val="0"/>
      <w:marBottom w:val="0"/>
      <w:divBdr>
        <w:top w:val="none" w:sz="0" w:space="0" w:color="auto"/>
        <w:left w:val="none" w:sz="0" w:space="0" w:color="auto"/>
        <w:bottom w:val="none" w:sz="0" w:space="0" w:color="auto"/>
        <w:right w:val="none" w:sz="0" w:space="0" w:color="auto"/>
      </w:divBdr>
      <w:divsChild>
        <w:div w:id="548347094">
          <w:marLeft w:val="0"/>
          <w:marRight w:val="0"/>
          <w:marTop w:val="0"/>
          <w:marBottom w:val="0"/>
          <w:divBdr>
            <w:top w:val="none" w:sz="0" w:space="0" w:color="auto"/>
            <w:left w:val="none" w:sz="0" w:space="0" w:color="auto"/>
            <w:bottom w:val="none" w:sz="0" w:space="0" w:color="auto"/>
            <w:right w:val="none" w:sz="0" w:space="0" w:color="auto"/>
          </w:divBdr>
          <w:divsChild>
            <w:div w:id="208360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616824">
      <w:bodyDiv w:val="1"/>
      <w:marLeft w:val="0"/>
      <w:marRight w:val="0"/>
      <w:marTop w:val="0"/>
      <w:marBottom w:val="0"/>
      <w:divBdr>
        <w:top w:val="none" w:sz="0" w:space="0" w:color="auto"/>
        <w:left w:val="none" w:sz="0" w:space="0" w:color="auto"/>
        <w:bottom w:val="none" w:sz="0" w:space="0" w:color="auto"/>
        <w:right w:val="none" w:sz="0" w:space="0" w:color="auto"/>
      </w:divBdr>
    </w:div>
    <w:div w:id="702822370">
      <w:bodyDiv w:val="1"/>
      <w:marLeft w:val="0"/>
      <w:marRight w:val="0"/>
      <w:marTop w:val="0"/>
      <w:marBottom w:val="0"/>
      <w:divBdr>
        <w:top w:val="none" w:sz="0" w:space="0" w:color="auto"/>
        <w:left w:val="none" w:sz="0" w:space="0" w:color="auto"/>
        <w:bottom w:val="none" w:sz="0" w:space="0" w:color="auto"/>
        <w:right w:val="none" w:sz="0" w:space="0" w:color="auto"/>
      </w:divBdr>
    </w:div>
    <w:div w:id="717777706">
      <w:bodyDiv w:val="1"/>
      <w:marLeft w:val="0"/>
      <w:marRight w:val="0"/>
      <w:marTop w:val="0"/>
      <w:marBottom w:val="0"/>
      <w:divBdr>
        <w:top w:val="none" w:sz="0" w:space="0" w:color="auto"/>
        <w:left w:val="none" w:sz="0" w:space="0" w:color="auto"/>
        <w:bottom w:val="none" w:sz="0" w:space="0" w:color="auto"/>
        <w:right w:val="none" w:sz="0" w:space="0" w:color="auto"/>
      </w:divBdr>
    </w:div>
    <w:div w:id="749042886">
      <w:marLeft w:val="0"/>
      <w:marRight w:val="0"/>
      <w:marTop w:val="0"/>
      <w:marBottom w:val="0"/>
      <w:divBdr>
        <w:top w:val="none" w:sz="0" w:space="0" w:color="auto"/>
        <w:left w:val="none" w:sz="0" w:space="0" w:color="auto"/>
        <w:bottom w:val="none" w:sz="0" w:space="0" w:color="auto"/>
        <w:right w:val="none" w:sz="0" w:space="0" w:color="auto"/>
      </w:divBdr>
      <w:divsChild>
        <w:div w:id="595945837">
          <w:marLeft w:val="0"/>
          <w:marRight w:val="0"/>
          <w:marTop w:val="0"/>
          <w:marBottom w:val="0"/>
          <w:divBdr>
            <w:top w:val="none" w:sz="0" w:space="0" w:color="auto"/>
            <w:left w:val="none" w:sz="0" w:space="0" w:color="auto"/>
            <w:bottom w:val="none" w:sz="0" w:space="0" w:color="auto"/>
            <w:right w:val="none" w:sz="0" w:space="0" w:color="auto"/>
          </w:divBdr>
        </w:div>
      </w:divsChild>
    </w:div>
    <w:div w:id="752704272">
      <w:bodyDiv w:val="1"/>
      <w:marLeft w:val="0"/>
      <w:marRight w:val="0"/>
      <w:marTop w:val="0"/>
      <w:marBottom w:val="0"/>
      <w:divBdr>
        <w:top w:val="none" w:sz="0" w:space="0" w:color="auto"/>
        <w:left w:val="none" w:sz="0" w:space="0" w:color="auto"/>
        <w:bottom w:val="none" w:sz="0" w:space="0" w:color="auto"/>
        <w:right w:val="none" w:sz="0" w:space="0" w:color="auto"/>
      </w:divBdr>
    </w:div>
    <w:div w:id="761224675">
      <w:bodyDiv w:val="1"/>
      <w:marLeft w:val="0"/>
      <w:marRight w:val="0"/>
      <w:marTop w:val="0"/>
      <w:marBottom w:val="0"/>
      <w:divBdr>
        <w:top w:val="none" w:sz="0" w:space="0" w:color="auto"/>
        <w:left w:val="none" w:sz="0" w:space="0" w:color="auto"/>
        <w:bottom w:val="none" w:sz="0" w:space="0" w:color="auto"/>
        <w:right w:val="none" w:sz="0" w:space="0" w:color="auto"/>
      </w:divBdr>
    </w:div>
    <w:div w:id="767383930">
      <w:bodyDiv w:val="1"/>
      <w:marLeft w:val="0"/>
      <w:marRight w:val="0"/>
      <w:marTop w:val="0"/>
      <w:marBottom w:val="0"/>
      <w:divBdr>
        <w:top w:val="none" w:sz="0" w:space="0" w:color="auto"/>
        <w:left w:val="none" w:sz="0" w:space="0" w:color="auto"/>
        <w:bottom w:val="none" w:sz="0" w:space="0" w:color="auto"/>
        <w:right w:val="none" w:sz="0" w:space="0" w:color="auto"/>
      </w:divBdr>
    </w:div>
    <w:div w:id="768619850">
      <w:bodyDiv w:val="1"/>
      <w:marLeft w:val="0"/>
      <w:marRight w:val="0"/>
      <w:marTop w:val="0"/>
      <w:marBottom w:val="0"/>
      <w:divBdr>
        <w:top w:val="none" w:sz="0" w:space="0" w:color="auto"/>
        <w:left w:val="none" w:sz="0" w:space="0" w:color="auto"/>
        <w:bottom w:val="none" w:sz="0" w:space="0" w:color="auto"/>
        <w:right w:val="none" w:sz="0" w:space="0" w:color="auto"/>
      </w:divBdr>
    </w:div>
    <w:div w:id="771586163">
      <w:bodyDiv w:val="1"/>
      <w:marLeft w:val="0"/>
      <w:marRight w:val="0"/>
      <w:marTop w:val="0"/>
      <w:marBottom w:val="0"/>
      <w:divBdr>
        <w:top w:val="none" w:sz="0" w:space="0" w:color="auto"/>
        <w:left w:val="none" w:sz="0" w:space="0" w:color="auto"/>
        <w:bottom w:val="none" w:sz="0" w:space="0" w:color="auto"/>
        <w:right w:val="none" w:sz="0" w:space="0" w:color="auto"/>
      </w:divBdr>
      <w:divsChild>
        <w:div w:id="325010934">
          <w:marLeft w:val="0"/>
          <w:marRight w:val="0"/>
          <w:marTop w:val="0"/>
          <w:marBottom w:val="0"/>
          <w:divBdr>
            <w:top w:val="none" w:sz="0" w:space="0" w:color="auto"/>
            <w:left w:val="none" w:sz="0" w:space="0" w:color="auto"/>
            <w:bottom w:val="none" w:sz="0" w:space="0" w:color="auto"/>
            <w:right w:val="none" w:sz="0" w:space="0" w:color="auto"/>
          </w:divBdr>
        </w:div>
        <w:div w:id="230621730">
          <w:marLeft w:val="0"/>
          <w:marRight w:val="0"/>
          <w:marTop w:val="0"/>
          <w:marBottom w:val="0"/>
          <w:divBdr>
            <w:top w:val="none" w:sz="0" w:space="0" w:color="auto"/>
            <w:left w:val="none" w:sz="0" w:space="0" w:color="auto"/>
            <w:bottom w:val="none" w:sz="0" w:space="0" w:color="auto"/>
            <w:right w:val="none" w:sz="0" w:space="0" w:color="auto"/>
          </w:divBdr>
        </w:div>
        <w:div w:id="1032262207">
          <w:marLeft w:val="0"/>
          <w:marRight w:val="0"/>
          <w:marTop w:val="0"/>
          <w:marBottom w:val="0"/>
          <w:divBdr>
            <w:top w:val="none" w:sz="0" w:space="0" w:color="auto"/>
            <w:left w:val="none" w:sz="0" w:space="0" w:color="auto"/>
            <w:bottom w:val="none" w:sz="0" w:space="0" w:color="auto"/>
            <w:right w:val="none" w:sz="0" w:space="0" w:color="auto"/>
          </w:divBdr>
          <w:divsChild>
            <w:div w:id="939534547">
              <w:marLeft w:val="0"/>
              <w:marRight w:val="0"/>
              <w:marTop w:val="30"/>
              <w:marBottom w:val="30"/>
              <w:divBdr>
                <w:top w:val="none" w:sz="0" w:space="0" w:color="auto"/>
                <w:left w:val="none" w:sz="0" w:space="0" w:color="auto"/>
                <w:bottom w:val="none" w:sz="0" w:space="0" w:color="auto"/>
                <w:right w:val="none" w:sz="0" w:space="0" w:color="auto"/>
              </w:divBdr>
              <w:divsChild>
                <w:div w:id="1223254276">
                  <w:marLeft w:val="0"/>
                  <w:marRight w:val="0"/>
                  <w:marTop w:val="0"/>
                  <w:marBottom w:val="0"/>
                  <w:divBdr>
                    <w:top w:val="none" w:sz="0" w:space="0" w:color="auto"/>
                    <w:left w:val="none" w:sz="0" w:space="0" w:color="auto"/>
                    <w:bottom w:val="none" w:sz="0" w:space="0" w:color="auto"/>
                    <w:right w:val="none" w:sz="0" w:space="0" w:color="auto"/>
                  </w:divBdr>
                  <w:divsChild>
                    <w:div w:id="1303779155">
                      <w:marLeft w:val="0"/>
                      <w:marRight w:val="0"/>
                      <w:marTop w:val="0"/>
                      <w:marBottom w:val="0"/>
                      <w:divBdr>
                        <w:top w:val="none" w:sz="0" w:space="0" w:color="auto"/>
                        <w:left w:val="none" w:sz="0" w:space="0" w:color="auto"/>
                        <w:bottom w:val="none" w:sz="0" w:space="0" w:color="auto"/>
                        <w:right w:val="none" w:sz="0" w:space="0" w:color="auto"/>
                      </w:divBdr>
                    </w:div>
                  </w:divsChild>
                </w:div>
                <w:div w:id="785462639">
                  <w:marLeft w:val="0"/>
                  <w:marRight w:val="0"/>
                  <w:marTop w:val="0"/>
                  <w:marBottom w:val="0"/>
                  <w:divBdr>
                    <w:top w:val="none" w:sz="0" w:space="0" w:color="auto"/>
                    <w:left w:val="none" w:sz="0" w:space="0" w:color="auto"/>
                    <w:bottom w:val="none" w:sz="0" w:space="0" w:color="auto"/>
                    <w:right w:val="none" w:sz="0" w:space="0" w:color="auto"/>
                  </w:divBdr>
                  <w:divsChild>
                    <w:div w:id="2092654850">
                      <w:marLeft w:val="0"/>
                      <w:marRight w:val="0"/>
                      <w:marTop w:val="0"/>
                      <w:marBottom w:val="0"/>
                      <w:divBdr>
                        <w:top w:val="none" w:sz="0" w:space="0" w:color="auto"/>
                        <w:left w:val="none" w:sz="0" w:space="0" w:color="auto"/>
                        <w:bottom w:val="none" w:sz="0" w:space="0" w:color="auto"/>
                        <w:right w:val="none" w:sz="0" w:space="0" w:color="auto"/>
                      </w:divBdr>
                    </w:div>
                  </w:divsChild>
                </w:div>
                <w:div w:id="1634019913">
                  <w:marLeft w:val="0"/>
                  <w:marRight w:val="0"/>
                  <w:marTop w:val="0"/>
                  <w:marBottom w:val="0"/>
                  <w:divBdr>
                    <w:top w:val="none" w:sz="0" w:space="0" w:color="auto"/>
                    <w:left w:val="none" w:sz="0" w:space="0" w:color="auto"/>
                    <w:bottom w:val="none" w:sz="0" w:space="0" w:color="auto"/>
                    <w:right w:val="none" w:sz="0" w:space="0" w:color="auto"/>
                  </w:divBdr>
                  <w:divsChild>
                    <w:div w:id="2103724887">
                      <w:marLeft w:val="0"/>
                      <w:marRight w:val="0"/>
                      <w:marTop w:val="0"/>
                      <w:marBottom w:val="0"/>
                      <w:divBdr>
                        <w:top w:val="none" w:sz="0" w:space="0" w:color="auto"/>
                        <w:left w:val="none" w:sz="0" w:space="0" w:color="auto"/>
                        <w:bottom w:val="none" w:sz="0" w:space="0" w:color="auto"/>
                        <w:right w:val="none" w:sz="0" w:space="0" w:color="auto"/>
                      </w:divBdr>
                    </w:div>
                  </w:divsChild>
                </w:div>
                <w:div w:id="1284000888">
                  <w:marLeft w:val="0"/>
                  <w:marRight w:val="0"/>
                  <w:marTop w:val="0"/>
                  <w:marBottom w:val="0"/>
                  <w:divBdr>
                    <w:top w:val="none" w:sz="0" w:space="0" w:color="auto"/>
                    <w:left w:val="none" w:sz="0" w:space="0" w:color="auto"/>
                    <w:bottom w:val="none" w:sz="0" w:space="0" w:color="auto"/>
                    <w:right w:val="none" w:sz="0" w:space="0" w:color="auto"/>
                  </w:divBdr>
                  <w:divsChild>
                    <w:div w:id="1510635113">
                      <w:marLeft w:val="0"/>
                      <w:marRight w:val="0"/>
                      <w:marTop w:val="0"/>
                      <w:marBottom w:val="0"/>
                      <w:divBdr>
                        <w:top w:val="none" w:sz="0" w:space="0" w:color="auto"/>
                        <w:left w:val="none" w:sz="0" w:space="0" w:color="auto"/>
                        <w:bottom w:val="none" w:sz="0" w:space="0" w:color="auto"/>
                        <w:right w:val="none" w:sz="0" w:space="0" w:color="auto"/>
                      </w:divBdr>
                    </w:div>
                  </w:divsChild>
                </w:div>
                <w:div w:id="2072728069">
                  <w:marLeft w:val="0"/>
                  <w:marRight w:val="0"/>
                  <w:marTop w:val="0"/>
                  <w:marBottom w:val="0"/>
                  <w:divBdr>
                    <w:top w:val="none" w:sz="0" w:space="0" w:color="auto"/>
                    <w:left w:val="none" w:sz="0" w:space="0" w:color="auto"/>
                    <w:bottom w:val="none" w:sz="0" w:space="0" w:color="auto"/>
                    <w:right w:val="none" w:sz="0" w:space="0" w:color="auto"/>
                  </w:divBdr>
                  <w:divsChild>
                    <w:div w:id="963583905">
                      <w:marLeft w:val="0"/>
                      <w:marRight w:val="0"/>
                      <w:marTop w:val="0"/>
                      <w:marBottom w:val="0"/>
                      <w:divBdr>
                        <w:top w:val="none" w:sz="0" w:space="0" w:color="auto"/>
                        <w:left w:val="none" w:sz="0" w:space="0" w:color="auto"/>
                        <w:bottom w:val="none" w:sz="0" w:space="0" w:color="auto"/>
                        <w:right w:val="none" w:sz="0" w:space="0" w:color="auto"/>
                      </w:divBdr>
                    </w:div>
                  </w:divsChild>
                </w:div>
                <w:div w:id="1539316296">
                  <w:marLeft w:val="0"/>
                  <w:marRight w:val="0"/>
                  <w:marTop w:val="0"/>
                  <w:marBottom w:val="0"/>
                  <w:divBdr>
                    <w:top w:val="none" w:sz="0" w:space="0" w:color="auto"/>
                    <w:left w:val="none" w:sz="0" w:space="0" w:color="auto"/>
                    <w:bottom w:val="none" w:sz="0" w:space="0" w:color="auto"/>
                    <w:right w:val="none" w:sz="0" w:space="0" w:color="auto"/>
                  </w:divBdr>
                  <w:divsChild>
                    <w:div w:id="625240334">
                      <w:marLeft w:val="0"/>
                      <w:marRight w:val="0"/>
                      <w:marTop w:val="0"/>
                      <w:marBottom w:val="0"/>
                      <w:divBdr>
                        <w:top w:val="none" w:sz="0" w:space="0" w:color="auto"/>
                        <w:left w:val="none" w:sz="0" w:space="0" w:color="auto"/>
                        <w:bottom w:val="none" w:sz="0" w:space="0" w:color="auto"/>
                        <w:right w:val="none" w:sz="0" w:space="0" w:color="auto"/>
                      </w:divBdr>
                    </w:div>
                  </w:divsChild>
                </w:div>
                <w:div w:id="1142577330">
                  <w:marLeft w:val="0"/>
                  <w:marRight w:val="0"/>
                  <w:marTop w:val="0"/>
                  <w:marBottom w:val="0"/>
                  <w:divBdr>
                    <w:top w:val="none" w:sz="0" w:space="0" w:color="auto"/>
                    <w:left w:val="none" w:sz="0" w:space="0" w:color="auto"/>
                    <w:bottom w:val="none" w:sz="0" w:space="0" w:color="auto"/>
                    <w:right w:val="none" w:sz="0" w:space="0" w:color="auto"/>
                  </w:divBdr>
                  <w:divsChild>
                    <w:div w:id="987393510">
                      <w:marLeft w:val="0"/>
                      <w:marRight w:val="0"/>
                      <w:marTop w:val="0"/>
                      <w:marBottom w:val="0"/>
                      <w:divBdr>
                        <w:top w:val="none" w:sz="0" w:space="0" w:color="auto"/>
                        <w:left w:val="none" w:sz="0" w:space="0" w:color="auto"/>
                        <w:bottom w:val="none" w:sz="0" w:space="0" w:color="auto"/>
                        <w:right w:val="none" w:sz="0" w:space="0" w:color="auto"/>
                      </w:divBdr>
                    </w:div>
                  </w:divsChild>
                </w:div>
                <w:div w:id="311494969">
                  <w:marLeft w:val="0"/>
                  <w:marRight w:val="0"/>
                  <w:marTop w:val="0"/>
                  <w:marBottom w:val="0"/>
                  <w:divBdr>
                    <w:top w:val="none" w:sz="0" w:space="0" w:color="auto"/>
                    <w:left w:val="none" w:sz="0" w:space="0" w:color="auto"/>
                    <w:bottom w:val="none" w:sz="0" w:space="0" w:color="auto"/>
                    <w:right w:val="none" w:sz="0" w:space="0" w:color="auto"/>
                  </w:divBdr>
                  <w:divsChild>
                    <w:div w:id="1080445888">
                      <w:marLeft w:val="0"/>
                      <w:marRight w:val="0"/>
                      <w:marTop w:val="0"/>
                      <w:marBottom w:val="0"/>
                      <w:divBdr>
                        <w:top w:val="none" w:sz="0" w:space="0" w:color="auto"/>
                        <w:left w:val="none" w:sz="0" w:space="0" w:color="auto"/>
                        <w:bottom w:val="none" w:sz="0" w:space="0" w:color="auto"/>
                        <w:right w:val="none" w:sz="0" w:space="0" w:color="auto"/>
                      </w:divBdr>
                    </w:div>
                  </w:divsChild>
                </w:div>
                <w:div w:id="1363241261">
                  <w:marLeft w:val="0"/>
                  <w:marRight w:val="0"/>
                  <w:marTop w:val="0"/>
                  <w:marBottom w:val="0"/>
                  <w:divBdr>
                    <w:top w:val="none" w:sz="0" w:space="0" w:color="auto"/>
                    <w:left w:val="none" w:sz="0" w:space="0" w:color="auto"/>
                    <w:bottom w:val="none" w:sz="0" w:space="0" w:color="auto"/>
                    <w:right w:val="none" w:sz="0" w:space="0" w:color="auto"/>
                  </w:divBdr>
                  <w:divsChild>
                    <w:div w:id="1818760382">
                      <w:marLeft w:val="0"/>
                      <w:marRight w:val="0"/>
                      <w:marTop w:val="0"/>
                      <w:marBottom w:val="0"/>
                      <w:divBdr>
                        <w:top w:val="none" w:sz="0" w:space="0" w:color="auto"/>
                        <w:left w:val="none" w:sz="0" w:space="0" w:color="auto"/>
                        <w:bottom w:val="none" w:sz="0" w:space="0" w:color="auto"/>
                        <w:right w:val="none" w:sz="0" w:space="0" w:color="auto"/>
                      </w:divBdr>
                    </w:div>
                  </w:divsChild>
                </w:div>
                <w:div w:id="1307661802">
                  <w:marLeft w:val="0"/>
                  <w:marRight w:val="0"/>
                  <w:marTop w:val="0"/>
                  <w:marBottom w:val="0"/>
                  <w:divBdr>
                    <w:top w:val="none" w:sz="0" w:space="0" w:color="auto"/>
                    <w:left w:val="none" w:sz="0" w:space="0" w:color="auto"/>
                    <w:bottom w:val="none" w:sz="0" w:space="0" w:color="auto"/>
                    <w:right w:val="none" w:sz="0" w:space="0" w:color="auto"/>
                  </w:divBdr>
                  <w:divsChild>
                    <w:div w:id="361201091">
                      <w:marLeft w:val="0"/>
                      <w:marRight w:val="0"/>
                      <w:marTop w:val="0"/>
                      <w:marBottom w:val="0"/>
                      <w:divBdr>
                        <w:top w:val="none" w:sz="0" w:space="0" w:color="auto"/>
                        <w:left w:val="none" w:sz="0" w:space="0" w:color="auto"/>
                        <w:bottom w:val="none" w:sz="0" w:space="0" w:color="auto"/>
                        <w:right w:val="none" w:sz="0" w:space="0" w:color="auto"/>
                      </w:divBdr>
                    </w:div>
                  </w:divsChild>
                </w:div>
                <w:div w:id="1059090597">
                  <w:marLeft w:val="0"/>
                  <w:marRight w:val="0"/>
                  <w:marTop w:val="0"/>
                  <w:marBottom w:val="0"/>
                  <w:divBdr>
                    <w:top w:val="none" w:sz="0" w:space="0" w:color="auto"/>
                    <w:left w:val="none" w:sz="0" w:space="0" w:color="auto"/>
                    <w:bottom w:val="none" w:sz="0" w:space="0" w:color="auto"/>
                    <w:right w:val="none" w:sz="0" w:space="0" w:color="auto"/>
                  </w:divBdr>
                  <w:divsChild>
                    <w:div w:id="547185629">
                      <w:marLeft w:val="0"/>
                      <w:marRight w:val="0"/>
                      <w:marTop w:val="0"/>
                      <w:marBottom w:val="0"/>
                      <w:divBdr>
                        <w:top w:val="none" w:sz="0" w:space="0" w:color="auto"/>
                        <w:left w:val="none" w:sz="0" w:space="0" w:color="auto"/>
                        <w:bottom w:val="none" w:sz="0" w:space="0" w:color="auto"/>
                        <w:right w:val="none" w:sz="0" w:space="0" w:color="auto"/>
                      </w:divBdr>
                    </w:div>
                  </w:divsChild>
                </w:div>
                <w:div w:id="560136284">
                  <w:marLeft w:val="0"/>
                  <w:marRight w:val="0"/>
                  <w:marTop w:val="0"/>
                  <w:marBottom w:val="0"/>
                  <w:divBdr>
                    <w:top w:val="none" w:sz="0" w:space="0" w:color="auto"/>
                    <w:left w:val="none" w:sz="0" w:space="0" w:color="auto"/>
                    <w:bottom w:val="none" w:sz="0" w:space="0" w:color="auto"/>
                    <w:right w:val="none" w:sz="0" w:space="0" w:color="auto"/>
                  </w:divBdr>
                  <w:divsChild>
                    <w:div w:id="480387545">
                      <w:marLeft w:val="0"/>
                      <w:marRight w:val="0"/>
                      <w:marTop w:val="0"/>
                      <w:marBottom w:val="0"/>
                      <w:divBdr>
                        <w:top w:val="none" w:sz="0" w:space="0" w:color="auto"/>
                        <w:left w:val="none" w:sz="0" w:space="0" w:color="auto"/>
                        <w:bottom w:val="none" w:sz="0" w:space="0" w:color="auto"/>
                        <w:right w:val="none" w:sz="0" w:space="0" w:color="auto"/>
                      </w:divBdr>
                    </w:div>
                  </w:divsChild>
                </w:div>
                <w:div w:id="1063481920">
                  <w:marLeft w:val="0"/>
                  <w:marRight w:val="0"/>
                  <w:marTop w:val="0"/>
                  <w:marBottom w:val="0"/>
                  <w:divBdr>
                    <w:top w:val="none" w:sz="0" w:space="0" w:color="auto"/>
                    <w:left w:val="none" w:sz="0" w:space="0" w:color="auto"/>
                    <w:bottom w:val="none" w:sz="0" w:space="0" w:color="auto"/>
                    <w:right w:val="none" w:sz="0" w:space="0" w:color="auto"/>
                  </w:divBdr>
                  <w:divsChild>
                    <w:div w:id="1260872019">
                      <w:marLeft w:val="0"/>
                      <w:marRight w:val="0"/>
                      <w:marTop w:val="0"/>
                      <w:marBottom w:val="0"/>
                      <w:divBdr>
                        <w:top w:val="none" w:sz="0" w:space="0" w:color="auto"/>
                        <w:left w:val="none" w:sz="0" w:space="0" w:color="auto"/>
                        <w:bottom w:val="none" w:sz="0" w:space="0" w:color="auto"/>
                        <w:right w:val="none" w:sz="0" w:space="0" w:color="auto"/>
                      </w:divBdr>
                    </w:div>
                  </w:divsChild>
                </w:div>
                <w:div w:id="4594963">
                  <w:marLeft w:val="0"/>
                  <w:marRight w:val="0"/>
                  <w:marTop w:val="0"/>
                  <w:marBottom w:val="0"/>
                  <w:divBdr>
                    <w:top w:val="none" w:sz="0" w:space="0" w:color="auto"/>
                    <w:left w:val="none" w:sz="0" w:space="0" w:color="auto"/>
                    <w:bottom w:val="none" w:sz="0" w:space="0" w:color="auto"/>
                    <w:right w:val="none" w:sz="0" w:space="0" w:color="auto"/>
                  </w:divBdr>
                  <w:divsChild>
                    <w:div w:id="441997742">
                      <w:marLeft w:val="0"/>
                      <w:marRight w:val="0"/>
                      <w:marTop w:val="0"/>
                      <w:marBottom w:val="0"/>
                      <w:divBdr>
                        <w:top w:val="none" w:sz="0" w:space="0" w:color="auto"/>
                        <w:left w:val="none" w:sz="0" w:space="0" w:color="auto"/>
                        <w:bottom w:val="none" w:sz="0" w:space="0" w:color="auto"/>
                        <w:right w:val="none" w:sz="0" w:space="0" w:color="auto"/>
                      </w:divBdr>
                    </w:div>
                  </w:divsChild>
                </w:div>
                <w:div w:id="195509458">
                  <w:marLeft w:val="0"/>
                  <w:marRight w:val="0"/>
                  <w:marTop w:val="0"/>
                  <w:marBottom w:val="0"/>
                  <w:divBdr>
                    <w:top w:val="none" w:sz="0" w:space="0" w:color="auto"/>
                    <w:left w:val="none" w:sz="0" w:space="0" w:color="auto"/>
                    <w:bottom w:val="none" w:sz="0" w:space="0" w:color="auto"/>
                    <w:right w:val="none" w:sz="0" w:space="0" w:color="auto"/>
                  </w:divBdr>
                  <w:divsChild>
                    <w:div w:id="1721517825">
                      <w:marLeft w:val="0"/>
                      <w:marRight w:val="0"/>
                      <w:marTop w:val="0"/>
                      <w:marBottom w:val="0"/>
                      <w:divBdr>
                        <w:top w:val="none" w:sz="0" w:space="0" w:color="auto"/>
                        <w:left w:val="none" w:sz="0" w:space="0" w:color="auto"/>
                        <w:bottom w:val="none" w:sz="0" w:space="0" w:color="auto"/>
                        <w:right w:val="none" w:sz="0" w:space="0" w:color="auto"/>
                      </w:divBdr>
                    </w:div>
                  </w:divsChild>
                </w:div>
                <w:div w:id="446387112">
                  <w:marLeft w:val="0"/>
                  <w:marRight w:val="0"/>
                  <w:marTop w:val="0"/>
                  <w:marBottom w:val="0"/>
                  <w:divBdr>
                    <w:top w:val="none" w:sz="0" w:space="0" w:color="auto"/>
                    <w:left w:val="none" w:sz="0" w:space="0" w:color="auto"/>
                    <w:bottom w:val="none" w:sz="0" w:space="0" w:color="auto"/>
                    <w:right w:val="none" w:sz="0" w:space="0" w:color="auto"/>
                  </w:divBdr>
                  <w:divsChild>
                    <w:div w:id="1626960144">
                      <w:marLeft w:val="0"/>
                      <w:marRight w:val="0"/>
                      <w:marTop w:val="0"/>
                      <w:marBottom w:val="0"/>
                      <w:divBdr>
                        <w:top w:val="none" w:sz="0" w:space="0" w:color="auto"/>
                        <w:left w:val="none" w:sz="0" w:space="0" w:color="auto"/>
                        <w:bottom w:val="none" w:sz="0" w:space="0" w:color="auto"/>
                        <w:right w:val="none" w:sz="0" w:space="0" w:color="auto"/>
                      </w:divBdr>
                    </w:div>
                  </w:divsChild>
                </w:div>
                <w:div w:id="1605769302">
                  <w:marLeft w:val="0"/>
                  <w:marRight w:val="0"/>
                  <w:marTop w:val="0"/>
                  <w:marBottom w:val="0"/>
                  <w:divBdr>
                    <w:top w:val="none" w:sz="0" w:space="0" w:color="auto"/>
                    <w:left w:val="none" w:sz="0" w:space="0" w:color="auto"/>
                    <w:bottom w:val="none" w:sz="0" w:space="0" w:color="auto"/>
                    <w:right w:val="none" w:sz="0" w:space="0" w:color="auto"/>
                  </w:divBdr>
                  <w:divsChild>
                    <w:div w:id="30501394">
                      <w:marLeft w:val="0"/>
                      <w:marRight w:val="0"/>
                      <w:marTop w:val="0"/>
                      <w:marBottom w:val="0"/>
                      <w:divBdr>
                        <w:top w:val="none" w:sz="0" w:space="0" w:color="auto"/>
                        <w:left w:val="none" w:sz="0" w:space="0" w:color="auto"/>
                        <w:bottom w:val="none" w:sz="0" w:space="0" w:color="auto"/>
                        <w:right w:val="none" w:sz="0" w:space="0" w:color="auto"/>
                      </w:divBdr>
                    </w:div>
                  </w:divsChild>
                </w:div>
                <w:div w:id="587425957">
                  <w:marLeft w:val="0"/>
                  <w:marRight w:val="0"/>
                  <w:marTop w:val="0"/>
                  <w:marBottom w:val="0"/>
                  <w:divBdr>
                    <w:top w:val="none" w:sz="0" w:space="0" w:color="auto"/>
                    <w:left w:val="none" w:sz="0" w:space="0" w:color="auto"/>
                    <w:bottom w:val="none" w:sz="0" w:space="0" w:color="auto"/>
                    <w:right w:val="none" w:sz="0" w:space="0" w:color="auto"/>
                  </w:divBdr>
                  <w:divsChild>
                    <w:div w:id="941760028">
                      <w:marLeft w:val="0"/>
                      <w:marRight w:val="0"/>
                      <w:marTop w:val="0"/>
                      <w:marBottom w:val="0"/>
                      <w:divBdr>
                        <w:top w:val="none" w:sz="0" w:space="0" w:color="auto"/>
                        <w:left w:val="none" w:sz="0" w:space="0" w:color="auto"/>
                        <w:bottom w:val="none" w:sz="0" w:space="0" w:color="auto"/>
                        <w:right w:val="none" w:sz="0" w:space="0" w:color="auto"/>
                      </w:divBdr>
                    </w:div>
                  </w:divsChild>
                </w:div>
                <w:div w:id="2007516477">
                  <w:marLeft w:val="0"/>
                  <w:marRight w:val="0"/>
                  <w:marTop w:val="0"/>
                  <w:marBottom w:val="0"/>
                  <w:divBdr>
                    <w:top w:val="none" w:sz="0" w:space="0" w:color="auto"/>
                    <w:left w:val="none" w:sz="0" w:space="0" w:color="auto"/>
                    <w:bottom w:val="none" w:sz="0" w:space="0" w:color="auto"/>
                    <w:right w:val="none" w:sz="0" w:space="0" w:color="auto"/>
                  </w:divBdr>
                  <w:divsChild>
                    <w:div w:id="741291175">
                      <w:marLeft w:val="0"/>
                      <w:marRight w:val="0"/>
                      <w:marTop w:val="0"/>
                      <w:marBottom w:val="0"/>
                      <w:divBdr>
                        <w:top w:val="none" w:sz="0" w:space="0" w:color="auto"/>
                        <w:left w:val="none" w:sz="0" w:space="0" w:color="auto"/>
                        <w:bottom w:val="none" w:sz="0" w:space="0" w:color="auto"/>
                        <w:right w:val="none" w:sz="0" w:space="0" w:color="auto"/>
                      </w:divBdr>
                    </w:div>
                  </w:divsChild>
                </w:div>
                <w:div w:id="1773239351">
                  <w:marLeft w:val="0"/>
                  <w:marRight w:val="0"/>
                  <w:marTop w:val="0"/>
                  <w:marBottom w:val="0"/>
                  <w:divBdr>
                    <w:top w:val="none" w:sz="0" w:space="0" w:color="auto"/>
                    <w:left w:val="none" w:sz="0" w:space="0" w:color="auto"/>
                    <w:bottom w:val="none" w:sz="0" w:space="0" w:color="auto"/>
                    <w:right w:val="none" w:sz="0" w:space="0" w:color="auto"/>
                  </w:divBdr>
                  <w:divsChild>
                    <w:div w:id="1486973275">
                      <w:marLeft w:val="0"/>
                      <w:marRight w:val="0"/>
                      <w:marTop w:val="0"/>
                      <w:marBottom w:val="0"/>
                      <w:divBdr>
                        <w:top w:val="none" w:sz="0" w:space="0" w:color="auto"/>
                        <w:left w:val="none" w:sz="0" w:space="0" w:color="auto"/>
                        <w:bottom w:val="none" w:sz="0" w:space="0" w:color="auto"/>
                        <w:right w:val="none" w:sz="0" w:space="0" w:color="auto"/>
                      </w:divBdr>
                    </w:div>
                  </w:divsChild>
                </w:div>
                <w:div w:id="2034185713">
                  <w:marLeft w:val="0"/>
                  <w:marRight w:val="0"/>
                  <w:marTop w:val="0"/>
                  <w:marBottom w:val="0"/>
                  <w:divBdr>
                    <w:top w:val="none" w:sz="0" w:space="0" w:color="auto"/>
                    <w:left w:val="none" w:sz="0" w:space="0" w:color="auto"/>
                    <w:bottom w:val="none" w:sz="0" w:space="0" w:color="auto"/>
                    <w:right w:val="none" w:sz="0" w:space="0" w:color="auto"/>
                  </w:divBdr>
                  <w:divsChild>
                    <w:div w:id="1783380545">
                      <w:marLeft w:val="0"/>
                      <w:marRight w:val="0"/>
                      <w:marTop w:val="0"/>
                      <w:marBottom w:val="0"/>
                      <w:divBdr>
                        <w:top w:val="none" w:sz="0" w:space="0" w:color="auto"/>
                        <w:left w:val="none" w:sz="0" w:space="0" w:color="auto"/>
                        <w:bottom w:val="none" w:sz="0" w:space="0" w:color="auto"/>
                        <w:right w:val="none" w:sz="0" w:space="0" w:color="auto"/>
                      </w:divBdr>
                    </w:div>
                  </w:divsChild>
                </w:div>
                <w:div w:id="1568607300">
                  <w:marLeft w:val="0"/>
                  <w:marRight w:val="0"/>
                  <w:marTop w:val="0"/>
                  <w:marBottom w:val="0"/>
                  <w:divBdr>
                    <w:top w:val="none" w:sz="0" w:space="0" w:color="auto"/>
                    <w:left w:val="none" w:sz="0" w:space="0" w:color="auto"/>
                    <w:bottom w:val="none" w:sz="0" w:space="0" w:color="auto"/>
                    <w:right w:val="none" w:sz="0" w:space="0" w:color="auto"/>
                  </w:divBdr>
                  <w:divsChild>
                    <w:div w:id="29498469">
                      <w:marLeft w:val="0"/>
                      <w:marRight w:val="0"/>
                      <w:marTop w:val="0"/>
                      <w:marBottom w:val="0"/>
                      <w:divBdr>
                        <w:top w:val="none" w:sz="0" w:space="0" w:color="auto"/>
                        <w:left w:val="none" w:sz="0" w:space="0" w:color="auto"/>
                        <w:bottom w:val="none" w:sz="0" w:space="0" w:color="auto"/>
                        <w:right w:val="none" w:sz="0" w:space="0" w:color="auto"/>
                      </w:divBdr>
                    </w:div>
                  </w:divsChild>
                </w:div>
                <w:div w:id="873156830">
                  <w:marLeft w:val="0"/>
                  <w:marRight w:val="0"/>
                  <w:marTop w:val="0"/>
                  <w:marBottom w:val="0"/>
                  <w:divBdr>
                    <w:top w:val="none" w:sz="0" w:space="0" w:color="auto"/>
                    <w:left w:val="none" w:sz="0" w:space="0" w:color="auto"/>
                    <w:bottom w:val="none" w:sz="0" w:space="0" w:color="auto"/>
                    <w:right w:val="none" w:sz="0" w:space="0" w:color="auto"/>
                  </w:divBdr>
                  <w:divsChild>
                    <w:div w:id="509180514">
                      <w:marLeft w:val="0"/>
                      <w:marRight w:val="0"/>
                      <w:marTop w:val="0"/>
                      <w:marBottom w:val="0"/>
                      <w:divBdr>
                        <w:top w:val="none" w:sz="0" w:space="0" w:color="auto"/>
                        <w:left w:val="none" w:sz="0" w:space="0" w:color="auto"/>
                        <w:bottom w:val="none" w:sz="0" w:space="0" w:color="auto"/>
                        <w:right w:val="none" w:sz="0" w:space="0" w:color="auto"/>
                      </w:divBdr>
                    </w:div>
                  </w:divsChild>
                </w:div>
                <w:div w:id="478692263">
                  <w:marLeft w:val="0"/>
                  <w:marRight w:val="0"/>
                  <w:marTop w:val="0"/>
                  <w:marBottom w:val="0"/>
                  <w:divBdr>
                    <w:top w:val="none" w:sz="0" w:space="0" w:color="auto"/>
                    <w:left w:val="none" w:sz="0" w:space="0" w:color="auto"/>
                    <w:bottom w:val="none" w:sz="0" w:space="0" w:color="auto"/>
                    <w:right w:val="none" w:sz="0" w:space="0" w:color="auto"/>
                  </w:divBdr>
                  <w:divsChild>
                    <w:div w:id="5277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408044">
          <w:marLeft w:val="0"/>
          <w:marRight w:val="0"/>
          <w:marTop w:val="0"/>
          <w:marBottom w:val="0"/>
          <w:divBdr>
            <w:top w:val="none" w:sz="0" w:space="0" w:color="auto"/>
            <w:left w:val="none" w:sz="0" w:space="0" w:color="auto"/>
            <w:bottom w:val="none" w:sz="0" w:space="0" w:color="auto"/>
            <w:right w:val="none" w:sz="0" w:space="0" w:color="auto"/>
          </w:divBdr>
        </w:div>
      </w:divsChild>
    </w:div>
    <w:div w:id="778178854">
      <w:bodyDiv w:val="1"/>
      <w:marLeft w:val="0"/>
      <w:marRight w:val="0"/>
      <w:marTop w:val="0"/>
      <w:marBottom w:val="0"/>
      <w:divBdr>
        <w:top w:val="none" w:sz="0" w:space="0" w:color="auto"/>
        <w:left w:val="none" w:sz="0" w:space="0" w:color="auto"/>
        <w:bottom w:val="none" w:sz="0" w:space="0" w:color="auto"/>
        <w:right w:val="none" w:sz="0" w:space="0" w:color="auto"/>
      </w:divBdr>
    </w:div>
    <w:div w:id="808285742">
      <w:bodyDiv w:val="1"/>
      <w:marLeft w:val="0"/>
      <w:marRight w:val="0"/>
      <w:marTop w:val="0"/>
      <w:marBottom w:val="0"/>
      <w:divBdr>
        <w:top w:val="none" w:sz="0" w:space="0" w:color="auto"/>
        <w:left w:val="none" w:sz="0" w:space="0" w:color="auto"/>
        <w:bottom w:val="none" w:sz="0" w:space="0" w:color="auto"/>
        <w:right w:val="none" w:sz="0" w:space="0" w:color="auto"/>
      </w:divBdr>
      <w:divsChild>
        <w:div w:id="1459185588">
          <w:marLeft w:val="0"/>
          <w:marRight w:val="0"/>
          <w:marTop w:val="0"/>
          <w:marBottom w:val="0"/>
          <w:divBdr>
            <w:top w:val="none" w:sz="0" w:space="0" w:color="auto"/>
            <w:left w:val="none" w:sz="0" w:space="0" w:color="auto"/>
            <w:bottom w:val="none" w:sz="0" w:space="0" w:color="auto"/>
            <w:right w:val="none" w:sz="0" w:space="0" w:color="auto"/>
          </w:divBdr>
        </w:div>
        <w:div w:id="323632209">
          <w:marLeft w:val="0"/>
          <w:marRight w:val="0"/>
          <w:marTop w:val="0"/>
          <w:marBottom w:val="0"/>
          <w:divBdr>
            <w:top w:val="none" w:sz="0" w:space="0" w:color="auto"/>
            <w:left w:val="none" w:sz="0" w:space="0" w:color="auto"/>
            <w:bottom w:val="none" w:sz="0" w:space="0" w:color="auto"/>
            <w:right w:val="none" w:sz="0" w:space="0" w:color="auto"/>
          </w:divBdr>
        </w:div>
        <w:div w:id="409818500">
          <w:marLeft w:val="0"/>
          <w:marRight w:val="0"/>
          <w:marTop w:val="0"/>
          <w:marBottom w:val="0"/>
          <w:divBdr>
            <w:top w:val="none" w:sz="0" w:space="0" w:color="auto"/>
            <w:left w:val="none" w:sz="0" w:space="0" w:color="auto"/>
            <w:bottom w:val="none" w:sz="0" w:space="0" w:color="auto"/>
            <w:right w:val="none" w:sz="0" w:space="0" w:color="auto"/>
          </w:divBdr>
        </w:div>
        <w:div w:id="1102261995">
          <w:marLeft w:val="0"/>
          <w:marRight w:val="0"/>
          <w:marTop w:val="0"/>
          <w:marBottom w:val="0"/>
          <w:divBdr>
            <w:top w:val="none" w:sz="0" w:space="0" w:color="auto"/>
            <w:left w:val="none" w:sz="0" w:space="0" w:color="auto"/>
            <w:bottom w:val="none" w:sz="0" w:space="0" w:color="auto"/>
            <w:right w:val="none" w:sz="0" w:space="0" w:color="auto"/>
          </w:divBdr>
        </w:div>
        <w:div w:id="117261078">
          <w:marLeft w:val="0"/>
          <w:marRight w:val="0"/>
          <w:marTop w:val="0"/>
          <w:marBottom w:val="0"/>
          <w:divBdr>
            <w:top w:val="none" w:sz="0" w:space="0" w:color="auto"/>
            <w:left w:val="none" w:sz="0" w:space="0" w:color="auto"/>
            <w:bottom w:val="none" w:sz="0" w:space="0" w:color="auto"/>
            <w:right w:val="none" w:sz="0" w:space="0" w:color="auto"/>
          </w:divBdr>
        </w:div>
        <w:div w:id="849563080">
          <w:marLeft w:val="0"/>
          <w:marRight w:val="0"/>
          <w:marTop w:val="0"/>
          <w:marBottom w:val="0"/>
          <w:divBdr>
            <w:top w:val="none" w:sz="0" w:space="0" w:color="auto"/>
            <w:left w:val="none" w:sz="0" w:space="0" w:color="auto"/>
            <w:bottom w:val="none" w:sz="0" w:space="0" w:color="auto"/>
            <w:right w:val="none" w:sz="0" w:space="0" w:color="auto"/>
          </w:divBdr>
        </w:div>
        <w:div w:id="474638222">
          <w:marLeft w:val="0"/>
          <w:marRight w:val="0"/>
          <w:marTop w:val="0"/>
          <w:marBottom w:val="0"/>
          <w:divBdr>
            <w:top w:val="none" w:sz="0" w:space="0" w:color="auto"/>
            <w:left w:val="none" w:sz="0" w:space="0" w:color="auto"/>
            <w:bottom w:val="none" w:sz="0" w:space="0" w:color="auto"/>
            <w:right w:val="none" w:sz="0" w:space="0" w:color="auto"/>
          </w:divBdr>
        </w:div>
        <w:div w:id="1340891355">
          <w:marLeft w:val="0"/>
          <w:marRight w:val="0"/>
          <w:marTop w:val="0"/>
          <w:marBottom w:val="0"/>
          <w:divBdr>
            <w:top w:val="none" w:sz="0" w:space="0" w:color="auto"/>
            <w:left w:val="none" w:sz="0" w:space="0" w:color="auto"/>
            <w:bottom w:val="none" w:sz="0" w:space="0" w:color="auto"/>
            <w:right w:val="none" w:sz="0" w:space="0" w:color="auto"/>
          </w:divBdr>
        </w:div>
        <w:div w:id="1377268721">
          <w:marLeft w:val="0"/>
          <w:marRight w:val="0"/>
          <w:marTop w:val="0"/>
          <w:marBottom w:val="0"/>
          <w:divBdr>
            <w:top w:val="none" w:sz="0" w:space="0" w:color="auto"/>
            <w:left w:val="none" w:sz="0" w:space="0" w:color="auto"/>
            <w:bottom w:val="none" w:sz="0" w:space="0" w:color="auto"/>
            <w:right w:val="none" w:sz="0" w:space="0" w:color="auto"/>
          </w:divBdr>
        </w:div>
        <w:div w:id="78643640">
          <w:marLeft w:val="0"/>
          <w:marRight w:val="0"/>
          <w:marTop w:val="0"/>
          <w:marBottom w:val="0"/>
          <w:divBdr>
            <w:top w:val="none" w:sz="0" w:space="0" w:color="auto"/>
            <w:left w:val="none" w:sz="0" w:space="0" w:color="auto"/>
            <w:bottom w:val="none" w:sz="0" w:space="0" w:color="auto"/>
            <w:right w:val="none" w:sz="0" w:space="0" w:color="auto"/>
          </w:divBdr>
        </w:div>
        <w:div w:id="2104908787">
          <w:marLeft w:val="0"/>
          <w:marRight w:val="0"/>
          <w:marTop w:val="0"/>
          <w:marBottom w:val="0"/>
          <w:divBdr>
            <w:top w:val="none" w:sz="0" w:space="0" w:color="auto"/>
            <w:left w:val="none" w:sz="0" w:space="0" w:color="auto"/>
            <w:bottom w:val="none" w:sz="0" w:space="0" w:color="auto"/>
            <w:right w:val="none" w:sz="0" w:space="0" w:color="auto"/>
          </w:divBdr>
        </w:div>
        <w:div w:id="398789790">
          <w:marLeft w:val="0"/>
          <w:marRight w:val="0"/>
          <w:marTop w:val="0"/>
          <w:marBottom w:val="0"/>
          <w:divBdr>
            <w:top w:val="none" w:sz="0" w:space="0" w:color="auto"/>
            <w:left w:val="none" w:sz="0" w:space="0" w:color="auto"/>
            <w:bottom w:val="none" w:sz="0" w:space="0" w:color="auto"/>
            <w:right w:val="none" w:sz="0" w:space="0" w:color="auto"/>
          </w:divBdr>
        </w:div>
        <w:div w:id="126365208">
          <w:marLeft w:val="0"/>
          <w:marRight w:val="0"/>
          <w:marTop w:val="0"/>
          <w:marBottom w:val="0"/>
          <w:divBdr>
            <w:top w:val="none" w:sz="0" w:space="0" w:color="auto"/>
            <w:left w:val="none" w:sz="0" w:space="0" w:color="auto"/>
            <w:bottom w:val="none" w:sz="0" w:space="0" w:color="auto"/>
            <w:right w:val="none" w:sz="0" w:space="0" w:color="auto"/>
          </w:divBdr>
        </w:div>
        <w:div w:id="1882545665">
          <w:marLeft w:val="0"/>
          <w:marRight w:val="0"/>
          <w:marTop w:val="0"/>
          <w:marBottom w:val="0"/>
          <w:divBdr>
            <w:top w:val="none" w:sz="0" w:space="0" w:color="auto"/>
            <w:left w:val="none" w:sz="0" w:space="0" w:color="auto"/>
            <w:bottom w:val="none" w:sz="0" w:space="0" w:color="auto"/>
            <w:right w:val="none" w:sz="0" w:space="0" w:color="auto"/>
          </w:divBdr>
        </w:div>
        <w:div w:id="1835606613">
          <w:marLeft w:val="0"/>
          <w:marRight w:val="0"/>
          <w:marTop w:val="0"/>
          <w:marBottom w:val="0"/>
          <w:divBdr>
            <w:top w:val="none" w:sz="0" w:space="0" w:color="auto"/>
            <w:left w:val="none" w:sz="0" w:space="0" w:color="auto"/>
            <w:bottom w:val="none" w:sz="0" w:space="0" w:color="auto"/>
            <w:right w:val="none" w:sz="0" w:space="0" w:color="auto"/>
          </w:divBdr>
        </w:div>
      </w:divsChild>
    </w:div>
    <w:div w:id="816414397">
      <w:bodyDiv w:val="1"/>
      <w:marLeft w:val="0"/>
      <w:marRight w:val="0"/>
      <w:marTop w:val="0"/>
      <w:marBottom w:val="0"/>
      <w:divBdr>
        <w:top w:val="none" w:sz="0" w:space="0" w:color="auto"/>
        <w:left w:val="none" w:sz="0" w:space="0" w:color="auto"/>
        <w:bottom w:val="none" w:sz="0" w:space="0" w:color="auto"/>
        <w:right w:val="none" w:sz="0" w:space="0" w:color="auto"/>
      </w:divBdr>
    </w:div>
    <w:div w:id="822548511">
      <w:bodyDiv w:val="1"/>
      <w:marLeft w:val="0"/>
      <w:marRight w:val="0"/>
      <w:marTop w:val="0"/>
      <w:marBottom w:val="0"/>
      <w:divBdr>
        <w:top w:val="none" w:sz="0" w:space="0" w:color="auto"/>
        <w:left w:val="none" w:sz="0" w:space="0" w:color="auto"/>
        <w:bottom w:val="none" w:sz="0" w:space="0" w:color="auto"/>
        <w:right w:val="none" w:sz="0" w:space="0" w:color="auto"/>
      </w:divBdr>
    </w:div>
    <w:div w:id="823662645">
      <w:bodyDiv w:val="1"/>
      <w:marLeft w:val="0"/>
      <w:marRight w:val="0"/>
      <w:marTop w:val="0"/>
      <w:marBottom w:val="0"/>
      <w:divBdr>
        <w:top w:val="none" w:sz="0" w:space="0" w:color="auto"/>
        <w:left w:val="none" w:sz="0" w:space="0" w:color="auto"/>
        <w:bottom w:val="none" w:sz="0" w:space="0" w:color="auto"/>
        <w:right w:val="none" w:sz="0" w:space="0" w:color="auto"/>
      </w:divBdr>
    </w:div>
    <w:div w:id="834222161">
      <w:bodyDiv w:val="1"/>
      <w:marLeft w:val="0"/>
      <w:marRight w:val="0"/>
      <w:marTop w:val="0"/>
      <w:marBottom w:val="0"/>
      <w:divBdr>
        <w:top w:val="none" w:sz="0" w:space="0" w:color="auto"/>
        <w:left w:val="none" w:sz="0" w:space="0" w:color="auto"/>
        <w:bottom w:val="none" w:sz="0" w:space="0" w:color="auto"/>
        <w:right w:val="none" w:sz="0" w:space="0" w:color="auto"/>
      </w:divBdr>
    </w:div>
    <w:div w:id="843323615">
      <w:bodyDiv w:val="1"/>
      <w:marLeft w:val="0"/>
      <w:marRight w:val="0"/>
      <w:marTop w:val="0"/>
      <w:marBottom w:val="0"/>
      <w:divBdr>
        <w:top w:val="none" w:sz="0" w:space="0" w:color="auto"/>
        <w:left w:val="none" w:sz="0" w:space="0" w:color="auto"/>
        <w:bottom w:val="none" w:sz="0" w:space="0" w:color="auto"/>
        <w:right w:val="none" w:sz="0" w:space="0" w:color="auto"/>
      </w:divBdr>
    </w:div>
    <w:div w:id="862481633">
      <w:bodyDiv w:val="1"/>
      <w:marLeft w:val="0"/>
      <w:marRight w:val="0"/>
      <w:marTop w:val="0"/>
      <w:marBottom w:val="0"/>
      <w:divBdr>
        <w:top w:val="none" w:sz="0" w:space="0" w:color="auto"/>
        <w:left w:val="none" w:sz="0" w:space="0" w:color="auto"/>
        <w:bottom w:val="none" w:sz="0" w:space="0" w:color="auto"/>
        <w:right w:val="none" w:sz="0" w:space="0" w:color="auto"/>
      </w:divBdr>
    </w:div>
    <w:div w:id="884177289">
      <w:bodyDiv w:val="1"/>
      <w:marLeft w:val="0"/>
      <w:marRight w:val="0"/>
      <w:marTop w:val="0"/>
      <w:marBottom w:val="0"/>
      <w:divBdr>
        <w:top w:val="none" w:sz="0" w:space="0" w:color="auto"/>
        <w:left w:val="none" w:sz="0" w:space="0" w:color="auto"/>
        <w:bottom w:val="none" w:sz="0" w:space="0" w:color="auto"/>
        <w:right w:val="none" w:sz="0" w:space="0" w:color="auto"/>
      </w:divBdr>
    </w:div>
    <w:div w:id="935864867">
      <w:bodyDiv w:val="1"/>
      <w:marLeft w:val="0"/>
      <w:marRight w:val="0"/>
      <w:marTop w:val="0"/>
      <w:marBottom w:val="0"/>
      <w:divBdr>
        <w:top w:val="none" w:sz="0" w:space="0" w:color="auto"/>
        <w:left w:val="none" w:sz="0" w:space="0" w:color="auto"/>
        <w:bottom w:val="none" w:sz="0" w:space="0" w:color="auto"/>
        <w:right w:val="none" w:sz="0" w:space="0" w:color="auto"/>
      </w:divBdr>
    </w:div>
    <w:div w:id="949897035">
      <w:bodyDiv w:val="1"/>
      <w:marLeft w:val="0"/>
      <w:marRight w:val="0"/>
      <w:marTop w:val="0"/>
      <w:marBottom w:val="0"/>
      <w:divBdr>
        <w:top w:val="none" w:sz="0" w:space="0" w:color="auto"/>
        <w:left w:val="none" w:sz="0" w:space="0" w:color="auto"/>
        <w:bottom w:val="none" w:sz="0" w:space="0" w:color="auto"/>
        <w:right w:val="none" w:sz="0" w:space="0" w:color="auto"/>
      </w:divBdr>
      <w:divsChild>
        <w:div w:id="2003049357">
          <w:marLeft w:val="0"/>
          <w:marRight w:val="0"/>
          <w:marTop w:val="0"/>
          <w:marBottom w:val="0"/>
          <w:divBdr>
            <w:top w:val="none" w:sz="0" w:space="0" w:color="auto"/>
            <w:left w:val="none" w:sz="0" w:space="0" w:color="auto"/>
            <w:bottom w:val="none" w:sz="0" w:space="0" w:color="auto"/>
            <w:right w:val="none" w:sz="0" w:space="0" w:color="auto"/>
          </w:divBdr>
          <w:divsChild>
            <w:div w:id="599333196">
              <w:marLeft w:val="0"/>
              <w:marRight w:val="0"/>
              <w:marTop w:val="0"/>
              <w:marBottom w:val="0"/>
              <w:divBdr>
                <w:top w:val="none" w:sz="0" w:space="0" w:color="auto"/>
                <w:left w:val="none" w:sz="0" w:space="0" w:color="auto"/>
                <w:bottom w:val="none" w:sz="0" w:space="0" w:color="auto"/>
                <w:right w:val="none" w:sz="0" w:space="0" w:color="auto"/>
              </w:divBdr>
            </w:div>
          </w:divsChild>
        </w:div>
        <w:div w:id="655688236">
          <w:marLeft w:val="0"/>
          <w:marRight w:val="0"/>
          <w:marTop w:val="0"/>
          <w:marBottom w:val="0"/>
          <w:divBdr>
            <w:top w:val="none" w:sz="0" w:space="0" w:color="auto"/>
            <w:left w:val="none" w:sz="0" w:space="0" w:color="auto"/>
            <w:bottom w:val="none" w:sz="0" w:space="0" w:color="auto"/>
            <w:right w:val="none" w:sz="0" w:space="0" w:color="auto"/>
          </w:divBdr>
          <w:divsChild>
            <w:div w:id="1837113407">
              <w:marLeft w:val="0"/>
              <w:marRight w:val="0"/>
              <w:marTop w:val="0"/>
              <w:marBottom w:val="0"/>
              <w:divBdr>
                <w:top w:val="none" w:sz="0" w:space="0" w:color="auto"/>
                <w:left w:val="none" w:sz="0" w:space="0" w:color="auto"/>
                <w:bottom w:val="none" w:sz="0" w:space="0" w:color="auto"/>
                <w:right w:val="none" w:sz="0" w:space="0" w:color="auto"/>
              </w:divBdr>
            </w:div>
          </w:divsChild>
        </w:div>
        <w:div w:id="1760297688">
          <w:marLeft w:val="0"/>
          <w:marRight w:val="0"/>
          <w:marTop w:val="0"/>
          <w:marBottom w:val="0"/>
          <w:divBdr>
            <w:top w:val="none" w:sz="0" w:space="0" w:color="auto"/>
            <w:left w:val="none" w:sz="0" w:space="0" w:color="auto"/>
            <w:bottom w:val="none" w:sz="0" w:space="0" w:color="auto"/>
            <w:right w:val="none" w:sz="0" w:space="0" w:color="auto"/>
          </w:divBdr>
          <w:divsChild>
            <w:div w:id="1355039481">
              <w:marLeft w:val="0"/>
              <w:marRight w:val="0"/>
              <w:marTop w:val="0"/>
              <w:marBottom w:val="0"/>
              <w:divBdr>
                <w:top w:val="none" w:sz="0" w:space="0" w:color="auto"/>
                <w:left w:val="none" w:sz="0" w:space="0" w:color="auto"/>
                <w:bottom w:val="none" w:sz="0" w:space="0" w:color="auto"/>
                <w:right w:val="none" w:sz="0" w:space="0" w:color="auto"/>
              </w:divBdr>
            </w:div>
          </w:divsChild>
        </w:div>
        <w:div w:id="497498323">
          <w:marLeft w:val="0"/>
          <w:marRight w:val="0"/>
          <w:marTop w:val="0"/>
          <w:marBottom w:val="0"/>
          <w:divBdr>
            <w:top w:val="none" w:sz="0" w:space="0" w:color="auto"/>
            <w:left w:val="none" w:sz="0" w:space="0" w:color="auto"/>
            <w:bottom w:val="none" w:sz="0" w:space="0" w:color="auto"/>
            <w:right w:val="none" w:sz="0" w:space="0" w:color="auto"/>
          </w:divBdr>
          <w:divsChild>
            <w:div w:id="539975694">
              <w:marLeft w:val="0"/>
              <w:marRight w:val="0"/>
              <w:marTop w:val="0"/>
              <w:marBottom w:val="0"/>
              <w:divBdr>
                <w:top w:val="none" w:sz="0" w:space="0" w:color="auto"/>
                <w:left w:val="none" w:sz="0" w:space="0" w:color="auto"/>
                <w:bottom w:val="none" w:sz="0" w:space="0" w:color="auto"/>
                <w:right w:val="none" w:sz="0" w:space="0" w:color="auto"/>
              </w:divBdr>
            </w:div>
          </w:divsChild>
        </w:div>
        <w:div w:id="1731343826">
          <w:marLeft w:val="0"/>
          <w:marRight w:val="0"/>
          <w:marTop w:val="0"/>
          <w:marBottom w:val="0"/>
          <w:divBdr>
            <w:top w:val="none" w:sz="0" w:space="0" w:color="auto"/>
            <w:left w:val="none" w:sz="0" w:space="0" w:color="auto"/>
            <w:bottom w:val="none" w:sz="0" w:space="0" w:color="auto"/>
            <w:right w:val="none" w:sz="0" w:space="0" w:color="auto"/>
          </w:divBdr>
          <w:divsChild>
            <w:div w:id="267197361">
              <w:marLeft w:val="0"/>
              <w:marRight w:val="0"/>
              <w:marTop w:val="0"/>
              <w:marBottom w:val="0"/>
              <w:divBdr>
                <w:top w:val="none" w:sz="0" w:space="0" w:color="auto"/>
                <w:left w:val="none" w:sz="0" w:space="0" w:color="auto"/>
                <w:bottom w:val="none" w:sz="0" w:space="0" w:color="auto"/>
                <w:right w:val="none" w:sz="0" w:space="0" w:color="auto"/>
              </w:divBdr>
            </w:div>
          </w:divsChild>
        </w:div>
        <w:div w:id="281303219">
          <w:marLeft w:val="0"/>
          <w:marRight w:val="0"/>
          <w:marTop w:val="0"/>
          <w:marBottom w:val="0"/>
          <w:divBdr>
            <w:top w:val="none" w:sz="0" w:space="0" w:color="auto"/>
            <w:left w:val="none" w:sz="0" w:space="0" w:color="auto"/>
            <w:bottom w:val="none" w:sz="0" w:space="0" w:color="auto"/>
            <w:right w:val="none" w:sz="0" w:space="0" w:color="auto"/>
          </w:divBdr>
          <w:divsChild>
            <w:div w:id="1488328592">
              <w:marLeft w:val="0"/>
              <w:marRight w:val="0"/>
              <w:marTop w:val="0"/>
              <w:marBottom w:val="0"/>
              <w:divBdr>
                <w:top w:val="none" w:sz="0" w:space="0" w:color="auto"/>
                <w:left w:val="none" w:sz="0" w:space="0" w:color="auto"/>
                <w:bottom w:val="none" w:sz="0" w:space="0" w:color="auto"/>
                <w:right w:val="none" w:sz="0" w:space="0" w:color="auto"/>
              </w:divBdr>
            </w:div>
          </w:divsChild>
        </w:div>
        <w:div w:id="185144387">
          <w:marLeft w:val="0"/>
          <w:marRight w:val="0"/>
          <w:marTop w:val="0"/>
          <w:marBottom w:val="0"/>
          <w:divBdr>
            <w:top w:val="none" w:sz="0" w:space="0" w:color="auto"/>
            <w:left w:val="none" w:sz="0" w:space="0" w:color="auto"/>
            <w:bottom w:val="none" w:sz="0" w:space="0" w:color="auto"/>
            <w:right w:val="none" w:sz="0" w:space="0" w:color="auto"/>
          </w:divBdr>
          <w:divsChild>
            <w:div w:id="2070759372">
              <w:marLeft w:val="0"/>
              <w:marRight w:val="0"/>
              <w:marTop w:val="0"/>
              <w:marBottom w:val="0"/>
              <w:divBdr>
                <w:top w:val="none" w:sz="0" w:space="0" w:color="auto"/>
                <w:left w:val="none" w:sz="0" w:space="0" w:color="auto"/>
                <w:bottom w:val="none" w:sz="0" w:space="0" w:color="auto"/>
                <w:right w:val="none" w:sz="0" w:space="0" w:color="auto"/>
              </w:divBdr>
            </w:div>
          </w:divsChild>
        </w:div>
        <w:div w:id="1024936378">
          <w:marLeft w:val="0"/>
          <w:marRight w:val="0"/>
          <w:marTop w:val="0"/>
          <w:marBottom w:val="0"/>
          <w:divBdr>
            <w:top w:val="none" w:sz="0" w:space="0" w:color="auto"/>
            <w:left w:val="none" w:sz="0" w:space="0" w:color="auto"/>
            <w:bottom w:val="none" w:sz="0" w:space="0" w:color="auto"/>
            <w:right w:val="none" w:sz="0" w:space="0" w:color="auto"/>
          </w:divBdr>
          <w:divsChild>
            <w:div w:id="1846245539">
              <w:marLeft w:val="0"/>
              <w:marRight w:val="0"/>
              <w:marTop w:val="0"/>
              <w:marBottom w:val="0"/>
              <w:divBdr>
                <w:top w:val="none" w:sz="0" w:space="0" w:color="auto"/>
                <w:left w:val="none" w:sz="0" w:space="0" w:color="auto"/>
                <w:bottom w:val="none" w:sz="0" w:space="0" w:color="auto"/>
                <w:right w:val="none" w:sz="0" w:space="0" w:color="auto"/>
              </w:divBdr>
            </w:div>
          </w:divsChild>
        </w:div>
        <w:div w:id="2136217667">
          <w:marLeft w:val="0"/>
          <w:marRight w:val="0"/>
          <w:marTop w:val="0"/>
          <w:marBottom w:val="0"/>
          <w:divBdr>
            <w:top w:val="none" w:sz="0" w:space="0" w:color="auto"/>
            <w:left w:val="none" w:sz="0" w:space="0" w:color="auto"/>
            <w:bottom w:val="none" w:sz="0" w:space="0" w:color="auto"/>
            <w:right w:val="none" w:sz="0" w:space="0" w:color="auto"/>
          </w:divBdr>
          <w:divsChild>
            <w:div w:id="73746874">
              <w:marLeft w:val="0"/>
              <w:marRight w:val="0"/>
              <w:marTop w:val="0"/>
              <w:marBottom w:val="0"/>
              <w:divBdr>
                <w:top w:val="none" w:sz="0" w:space="0" w:color="auto"/>
                <w:left w:val="none" w:sz="0" w:space="0" w:color="auto"/>
                <w:bottom w:val="none" w:sz="0" w:space="0" w:color="auto"/>
                <w:right w:val="none" w:sz="0" w:space="0" w:color="auto"/>
              </w:divBdr>
            </w:div>
          </w:divsChild>
        </w:div>
        <w:div w:id="500505156">
          <w:marLeft w:val="0"/>
          <w:marRight w:val="0"/>
          <w:marTop w:val="0"/>
          <w:marBottom w:val="0"/>
          <w:divBdr>
            <w:top w:val="none" w:sz="0" w:space="0" w:color="auto"/>
            <w:left w:val="none" w:sz="0" w:space="0" w:color="auto"/>
            <w:bottom w:val="none" w:sz="0" w:space="0" w:color="auto"/>
            <w:right w:val="none" w:sz="0" w:space="0" w:color="auto"/>
          </w:divBdr>
          <w:divsChild>
            <w:div w:id="1175455829">
              <w:marLeft w:val="0"/>
              <w:marRight w:val="0"/>
              <w:marTop w:val="0"/>
              <w:marBottom w:val="0"/>
              <w:divBdr>
                <w:top w:val="none" w:sz="0" w:space="0" w:color="auto"/>
                <w:left w:val="none" w:sz="0" w:space="0" w:color="auto"/>
                <w:bottom w:val="none" w:sz="0" w:space="0" w:color="auto"/>
                <w:right w:val="none" w:sz="0" w:space="0" w:color="auto"/>
              </w:divBdr>
            </w:div>
          </w:divsChild>
        </w:div>
        <w:div w:id="2055805681">
          <w:marLeft w:val="0"/>
          <w:marRight w:val="0"/>
          <w:marTop w:val="0"/>
          <w:marBottom w:val="0"/>
          <w:divBdr>
            <w:top w:val="none" w:sz="0" w:space="0" w:color="auto"/>
            <w:left w:val="none" w:sz="0" w:space="0" w:color="auto"/>
            <w:bottom w:val="none" w:sz="0" w:space="0" w:color="auto"/>
            <w:right w:val="none" w:sz="0" w:space="0" w:color="auto"/>
          </w:divBdr>
          <w:divsChild>
            <w:div w:id="1092970226">
              <w:marLeft w:val="0"/>
              <w:marRight w:val="0"/>
              <w:marTop w:val="0"/>
              <w:marBottom w:val="0"/>
              <w:divBdr>
                <w:top w:val="none" w:sz="0" w:space="0" w:color="auto"/>
                <w:left w:val="none" w:sz="0" w:space="0" w:color="auto"/>
                <w:bottom w:val="none" w:sz="0" w:space="0" w:color="auto"/>
                <w:right w:val="none" w:sz="0" w:space="0" w:color="auto"/>
              </w:divBdr>
            </w:div>
          </w:divsChild>
        </w:div>
        <w:div w:id="1645548601">
          <w:marLeft w:val="0"/>
          <w:marRight w:val="0"/>
          <w:marTop w:val="0"/>
          <w:marBottom w:val="0"/>
          <w:divBdr>
            <w:top w:val="none" w:sz="0" w:space="0" w:color="auto"/>
            <w:left w:val="none" w:sz="0" w:space="0" w:color="auto"/>
            <w:bottom w:val="none" w:sz="0" w:space="0" w:color="auto"/>
            <w:right w:val="none" w:sz="0" w:space="0" w:color="auto"/>
          </w:divBdr>
          <w:divsChild>
            <w:div w:id="740517447">
              <w:marLeft w:val="0"/>
              <w:marRight w:val="0"/>
              <w:marTop w:val="0"/>
              <w:marBottom w:val="0"/>
              <w:divBdr>
                <w:top w:val="none" w:sz="0" w:space="0" w:color="auto"/>
                <w:left w:val="none" w:sz="0" w:space="0" w:color="auto"/>
                <w:bottom w:val="none" w:sz="0" w:space="0" w:color="auto"/>
                <w:right w:val="none" w:sz="0" w:space="0" w:color="auto"/>
              </w:divBdr>
            </w:div>
          </w:divsChild>
        </w:div>
        <w:div w:id="1548030123">
          <w:marLeft w:val="0"/>
          <w:marRight w:val="0"/>
          <w:marTop w:val="0"/>
          <w:marBottom w:val="0"/>
          <w:divBdr>
            <w:top w:val="none" w:sz="0" w:space="0" w:color="auto"/>
            <w:left w:val="none" w:sz="0" w:space="0" w:color="auto"/>
            <w:bottom w:val="none" w:sz="0" w:space="0" w:color="auto"/>
            <w:right w:val="none" w:sz="0" w:space="0" w:color="auto"/>
          </w:divBdr>
          <w:divsChild>
            <w:div w:id="1476604473">
              <w:marLeft w:val="0"/>
              <w:marRight w:val="0"/>
              <w:marTop w:val="0"/>
              <w:marBottom w:val="0"/>
              <w:divBdr>
                <w:top w:val="none" w:sz="0" w:space="0" w:color="auto"/>
                <w:left w:val="none" w:sz="0" w:space="0" w:color="auto"/>
                <w:bottom w:val="none" w:sz="0" w:space="0" w:color="auto"/>
                <w:right w:val="none" w:sz="0" w:space="0" w:color="auto"/>
              </w:divBdr>
            </w:div>
          </w:divsChild>
        </w:div>
        <w:div w:id="1018385974">
          <w:marLeft w:val="0"/>
          <w:marRight w:val="0"/>
          <w:marTop w:val="0"/>
          <w:marBottom w:val="0"/>
          <w:divBdr>
            <w:top w:val="none" w:sz="0" w:space="0" w:color="auto"/>
            <w:left w:val="none" w:sz="0" w:space="0" w:color="auto"/>
            <w:bottom w:val="none" w:sz="0" w:space="0" w:color="auto"/>
            <w:right w:val="none" w:sz="0" w:space="0" w:color="auto"/>
          </w:divBdr>
          <w:divsChild>
            <w:div w:id="1836459229">
              <w:marLeft w:val="0"/>
              <w:marRight w:val="0"/>
              <w:marTop w:val="0"/>
              <w:marBottom w:val="0"/>
              <w:divBdr>
                <w:top w:val="none" w:sz="0" w:space="0" w:color="auto"/>
                <w:left w:val="none" w:sz="0" w:space="0" w:color="auto"/>
                <w:bottom w:val="none" w:sz="0" w:space="0" w:color="auto"/>
                <w:right w:val="none" w:sz="0" w:space="0" w:color="auto"/>
              </w:divBdr>
            </w:div>
          </w:divsChild>
        </w:div>
        <w:div w:id="538398140">
          <w:marLeft w:val="0"/>
          <w:marRight w:val="0"/>
          <w:marTop w:val="0"/>
          <w:marBottom w:val="0"/>
          <w:divBdr>
            <w:top w:val="none" w:sz="0" w:space="0" w:color="auto"/>
            <w:left w:val="none" w:sz="0" w:space="0" w:color="auto"/>
            <w:bottom w:val="none" w:sz="0" w:space="0" w:color="auto"/>
            <w:right w:val="none" w:sz="0" w:space="0" w:color="auto"/>
          </w:divBdr>
          <w:divsChild>
            <w:div w:id="1961760433">
              <w:marLeft w:val="0"/>
              <w:marRight w:val="0"/>
              <w:marTop w:val="0"/>
              <w:marBottom w:val="0"/>
              <w:divBdr>
                <w:top w:val="none" w:sz="0" w:space="0" w:color="auto"/>
                <w:left w:val="none" w:sz="0" w:space="0" w:color="auto"/>
                <w:bottom w:val="none" w:sz="0" w:space="0" w:color="auto"/>
                <w:right w:val="none" w:sz="0" w:space="0" w:color="auto"/>
              </w:divBdr>
            </w:div>
          </w:divsChild>
        </w:div>
        <w:div w:id="782768510">
          <w:marLeft w:val="0"/>
          <w:marRight w:val="0"/>
          <w:marTop w:val="0"/>
          <w:marBottom w:val="0"/>
          <w:divBdr>
            <w:top w:val="none" w:sz="0" w:space="0" w:color="auto"/>
            <w:left w:val="none" w:sz="0" w:space="0" w:color="auto"/>
            <w:bottom w:val="none" w:sz="0" w:space="0" w:color="auto"/>
            <w:right w:val="none" w:sz="0" w:space="0" w:color="auto"/>
          </w:divBdr>
          <w:divsChild>
            <w:div w:id="1205212930">
              <w:marLeft w:val="0"/>
              <w:marRight w:val="0"/>
              <w:marTop w:val="0"/>
              <w:marBottom w:val="0"/>
              <w:divBdr>
                <w:top w:val="none" w:sz="0" w:space="0" w:color="auto"/>
                <w:left w:val="none" w:sz="0" w:space="0" w:color="auto"/>
                <w:bottom w:val="none" w:sz="0" w:space="0" w:color="auto"/>
                <w:right w:val="none" w:sz="0" w:space="0" w:color="auto"/>
              </w:divBdr>
            </w:div>
          </w:divsChild>
        </w:div>
        <w:div w:id="1843280162">
          <w:marLeft w:val="0"/>
          <w:marRight w:val="0"/>
          <w:marTop w:val="0"/>
          <w:marBottom w:val="0"/>
          <w:divBdr>
            <w:top w:val="none" w:sz="0" w:space="0" w:color="auto"/>
            <w:left w:val="none" w:sz="0" w:space="0" w:color="auto"/>
            <w:bottom w:val="none" w:sz="0" w:space="0" w:color="auto"/>
            <w:right w:val="none" w:sz="0" w:space="0" w:color="auto"/>
          </w:divBdr>
          <w:divsChild>
            <w:div w:id="126314122">
              <w:marLeft w:val="0"/>
              <w:marRight w:val="0"/>
              <w:marTop w:val="0"/>
              <w:marBottom w:val="0"/>
              <w:divBdr>
                <w:top w:val="none" w:sz="0" w:space="0" w:color="auto"/>
                <w:left w:val="none" w:sz="0" w:space="0" w:color="auto"/>
                <w:bottom w:val="none" w:sz="0" w:space="0" w:color="auto"/>
                <w:right w:val="none" w:sz="0" w:space="0" w:color="auto"/>
              </w:divBdr>
            </w:div>
          </w:divsChild>
        </w:div>
        <w:div w:id="186722466">
          <w:marLeft w:val="0"/>
          <w:marRight w:val="0"/>
          <w:marTop w:val="0"/>
          <w:marBottom w:val="0"/>
          <w:divBdr>
            <w:top w:val="none" w:sz="0" w:space="0" w:color="auto"/>
            <w:left w:val="none" w:sz="0" w:space="0" w:color="auto"/>
            <w:bottom w:val="none" w:sz="0" w:space="0" w:color="auto"/>
            <w:right w:val="none" w:sz="0" w:space="0" w:color="auto"/>
          </w:divBdr>
          <w:divsChild>
            <w:div w:id="1821800490">
              <w:marLeft w:val="0"/>
              <w:marRight w:val="0"/>
              <w:marTop w:val="0"/>
              <w:marBottom w:val="0"/>
              <w:divBdr>
                <w:top w:val="none" w:sz="0" w:space="0" w:color="auto"/>
                <w:left w:val="none" w:sz="0" w:space="0" w:color="auto"/>
                <w:bottom w:val="none" w:sz="0" w:space="0" w:color="auto"/>
                <w:right w:val="none" w:sz="0" w:space="0" w:color="auto"/>
              </w:divBdr>
            </w:div>
          </w:divsChild>
        </w:div>
        <w:div w:id="1429159591">
          <w:marLeft w:val="0"/>
          <w:marRight w:val="0"/>
          <w:marTop w:val="0"/>
          <w:marBottom w:val="0"/>
          <w:divBdr>
            <w:top w:val="none" w:sz="0" w:space="0" w:color="auto"/>
            <w:left w:val="none" w:sz="0" w:space="0" w:color="auto"/>
            <w:bottom w:val="none" w:sz="0" w:space="0" w:color="auto"/>
            <w:right w:val="none" w:sz="0" w:space="0" w:color="auto"/>
          </w:divBdr>
          <w:divsChild>
            <w:div w:id="1364936000">
              <w:marLeft w:val="0"/>
              <w:marRight w:val="0"/>
              <w:marTop w:val="0"/>
              <w:marBottom w:val="0"/>
              <w:divBdr>
                <w:top w:val="none" w:sz="0" w:space="0" w:color="auto"/>
                <w:left w:val="none" w:sz="0" w:space="0" w:color="auto"/>
                <w:bottom w:val="none" w:sz="0" w:space="0" w:color="auto"/>
                <w:right w:val="none" w:sz="0" w:space="0" w:color="auto"/>
              </w:divBdr>
            </w:div>
          </w:divsChild>
        </w:div>
        <w:div w:id="1578444023">
          <w:marLeft w:val="0"/>
          <w:marRight w:val="0"/>
          <w:marTop w:val="0"/>
          <w:marBottom w:val="0"/>
          <w:divBdr>
            <w:top w:val="none" w:sz="0" w:space="0" w:color="auto"/>
            <w:left w:val="none" w:sz="0" w:space="0" w:color="auto"/>
            <w:bottom w:val="none" w:sz="0" w:space="0" w:color="auto"/>
            <w:right w:val="none" w:sz="0" w:space="0" w:color="auto"/>
          </w:divBdr>
          <w:divsChild>
            <w:div w:id="751974890">
              <w:marLeft w:val="0"/>
              <w:marRight w:val="0"/>
              <w:marTop w:val="0"/>
              <w:marBottom w:val="0"/>
              <w:divBdr>
                <w:top w:val="none" w:sz="0" w:space="0" w:color="auto"/>
                <w:left w:val="none" w:sz="0" w:space="0" w:color="auto"/>
                <w:bottom w:val="none" w:sz="0" w:space="0" w:color="auto"/>
                <w:right w:val="none" w:sz="0" w:space="0" w:color="auto"/>
              </w:divBdr>
            </w:div>
          </w:divsChild>
        </w:div>
        <w:div w:id="488444093">
          <w:marLeft w:val="0"/>
          <w:marRight w:val="0"/>
          <w:marTop w:val="0"/>
          <w:marBottom w:val="0"/>
          <w:divBdr>
            <w:top w:val="none" w:sz="0" w:space="0" w:color="auto"/>
            <w:left w:val="none" w:sz="0" w:space="0" w:color="auto"/>
            <w:bottom w:val="none" w:sz="0" w:space="0" w:color="auto"/>
            <w:right w:val="none" w:sz="0" w:space="0" w:color="auto"/>
          </w:divBdr>
          <w:divsChild>
            <w:div w:id="944651042">
              <w:marLeft w:val="0"/>
              <w:marRight w:val="0"/>
              <w:marTop w:val="0"/>
              <w:marBottom w:val="0"/>
              <w:divBdr>
                <w:top w:val="none" w:sz="0" w:space="0" w:color="auto"/>
                <w:left w:val="none" w:sz="0" w:space="0" w:color="auto"/>
                <w:bottom w:val="none" w:sz="0" w:space="0" w:color="auto"/>
                <w:right w:val="none" w:sz="0" w:space="0" w:color="auto"/>
              </w:divBdr>
            </w:div>
          </w:divsChild>
        </w:div>
        <w:div w:id="1530486955">
          <w:marLeft w:val="0"/>
          <w:marRight w:val="0"/>
          <w:marTop w:val="0"/>
          <w:marBottom w:val="0"/>
          <w:divBdr>
            <w:top w:val="none" w:sz="0" w:space="0" w:color="auto"/>
            <w:left w:val="none" w:sz="0" w:space="0" w:color="auto"/>
            <w:bottom w:val="none" w:sz="0" w:space="0" w:color="auto"/>
            <w:right w:val="none" w:sz="0" w:space="0" w:color="auto"/>
          </w:divBdr>
          <w:divsChild>
            <w:div w:id="603390058">
              <w:marLeft w:val="0"/>
              <w:marRight w:val="0"/>
              <w:marTop w:val="0"/>
              <w:marBottom w:val="0"/>
              <w:divBdr>
                <w:top w:val="none" w:sz="0" w:space="0" w:color="auto"/>
                <w:left w:val="none" w:sz="0" w:space="0" w:color="auto"/>
                <w:bottom w:val="none" w:sz="0" w:space="0" w:color="auto"/>
                <w:right w:val="none" w:sz="0" w:space="0" w:color="auto"/>
              </w:divBdr>
            </w:div>
          </w:divsChild>
        </w:div>
        <w:div w:id="1622223541">
          <w:marLeft w:val="0"/>
          <w:marRight w:val="0"/>
          <w:marTop w:val="0"/>
          <w:marBottom w:val="0"/>
          <w:divBdr>
            <w:top w:val="none" w:sz="0" w:space="0" w:color="auto"/>
            <w:left w:val="none" w:sz="0" w:space="0" w:color="auto"/>
            <w:bottom w:val="none" w:sz="0" w:space="0" w:color="auto"/>
            <w:right w:val="none" w:sz="0" w:space="0" w:color="auto"/>
          </w:divBdr>
          <w:divsChild>
            <w:div w:id="623923912">
              <w:marLeft w:val="0"/>
              <w:marRight w:val="0"/>
              <w:marTop w:val="0"/>
              <w:marBottom w:val="0"/>
              <w:divBdr>
                <w:top w:val="none" w:sz="0" w:space="0" w:color="auto"/>
                <w:left w:val="none" w:sz="0" w:space="0" w:color="auto"/>
                <w:bottom w:val="none" w:sz="0" w:space="0" w:color="auto"/>
                <w:right w:val="none" w:sz="0" w:space="0" w:color="auto"/>
              </w:divBdr>
            </w:div>
          </w:divsChild>
        </w:div>
        <w:div w:id="62800624">
          <w:marLeft w:val="0"/>
          <w:marRight w:val="0"/>
          <w:marTop w:val="0"/>
          <w:marBottom w:val="0"/>
          <w:divBdr>
            <w:top w:val="none" w:sz="0" w:space="0" w:color="auto"/>
            <w:left w:val="none" w:sz="0" w:space="0" w:color="auto"/>
            <w:bottom w:val="none" w:sz="0" w:space="0" w:color="auto"/>
            <w:right w:val="none" w:sz="0" w:space="0" w:color="auto"/>
          </w:divBdr>
          <w:divsChild>
            <w:div w:id="1911579124">
              <w:marLeft w:val="0"/>
              <w:marRight w:val="0"/>
              <w:marTop w:val="0"/>
              <w:marBottom w:val="0"/>
              <w:divBdr>
                <w:top w:val="none" w:sz="0" w:space="0" w:color="auto"/>
                <w:left w:val="none" w:sz="0" w:space="0" w:color="auto"/>
                <w:bottom w:val="none" w:sz="0" w:space="0" w:color="auto"/>
                <w:right w:val="none" w:sz="0" w:space="0" w:color="auto"/>
              </w:divBdr>
            </w:div>
          </w:divsChild>
        </w:div>
        <w:div w:id="1348865434">
          <w:marLeft w:val="0"/>
          <w:marRight w:val="0"/>
          <w:marTop w:val="0"/>
          <w:marBottom w:val="0"/>
          <w:divBdr>
            <w:top w:val="none" w:sz="0" w:space="0" w:color="auto"/>
            <w:left w:val="none" w:sz="0" w:space="0" w:color="auto"/>
            <w:bottom w:val="none" w:sz="0" w:space="0" w:color="auto"/>
            <w:right w:val="none" w:sz="0" w:space="0" w:color="auto"/>
          </w:divBdr>
          <w:divsChild>
            <w:div w:id="219220541">
              <w:marLeft w:val="0"/>
              <w:marRight w:val="0"/>
              <w:marTop w:val="0"/>
              <w:marBottom w:val="0"/>
              <w:divBdr>
                <w:top w:val="none" w:sz="0" w:space="0" w:color="auto"/>
                <w:left w:val="none" w:sz="0" w:space="0" w:color="auto"/>
                <w:bottom w:val="none" w:sz="0" w:space="0" w:color="auto"/>
                <w:right w:val="none" w:sz="0" w:space="0" w:color="auto"/>
              </w:divBdr>
            </w:div>
          </w:divsChild>
        </w:div>
        <w:div w:id="489717428">
          <w:marLeft w:val="0"/>
          <w:marRight w:val="0"/>
          <w:marTop w:val="0"/>
          <w:marBottom w:val="0"/>
          <w:divBdr>
            <w:top w:val="none" w:sz="0" w:space="0" w:color="auto"/>
            <w:left w:val="none" w:sz="0" w:space="0" w:color="auto"/>
            <w:bottom w:val="none" w:sz="0" w:space="0" w:color="auto"/>
            <w:right w:val="none" w:sz="0" w:space="0" w:color="auto"/>
          </w:divBdr>
          <w:divsChild>
            <w:div w:id="1519268408">
              <w:marLeft w:val="0"/>
              <w:marRight w:val="0"/>
              <w:marTop w:val="0"/>
              <w:marBottom w:val="0"/>
              <w:divBdr>
                <w:top w:val="none" w:sz="0" w:space="0" w:color="auto"/>
                <w:left w:val="none" w:sz="0" w:space="0" w:color="auto"/>
                <w:bottom w:val="none" w:sz="0" w:space="0" w:color="auto"/>
                <w:right w:val="none" w:sz="0" w:space="0" w:color="auto"/>
              </w:divBdr>
            </w:div>
          </w:divsChild>
        </w:div>
        <w:div w:id="425005807">
          <w:marLeft w:val="0"/>
          <w:marRight w:val="0"/>
          <w:marTop w:val="0"/>
          <w:marBottom w:val="0"/>
          <w:divBdr>
            <w:top w:val="none" w:sz="0" w:space="0" w:color="auto"/>
            <w:left w:val="none" w:sz="0" w:space="0" w:color="auto"/>
            <w:bottom w:val="none" w:sz="0" w:space="0" w:color="auto"/>
            <w:right w:val="none" w:sz="0" w:space="0" w:color="auto"/>
          </w:divBdr>
          <w:divsChild>
            <w:div w:id="1835145652">
              <w:marLeft w:val="0"/>
              <w:marRight w:val="0"/>
              <w:marTop w:val="0"/>
              <w:marBottom w:val="0"/>
              <w:divBdr>
                <w:top w:val="none" w:sz="0" w:space="0" w:color="auto"/>
                <w:left w:val="none" w:sz="0" w:space="0" w:color="auto"/>
                <w:bottom w:val="none" w:sz="0" w:space="0" w:color="auto"/>
                <w:right w:val="none" w:sz="0" w:space="0" w:color="auto"/>
              </w:divBdr>
            </w:div>
          </w:divsChild>
        </w:div>
        <w:div w:id="1187527796">
          <w:marLeft w:val="0"/>
          <w:marRight w:val="0"/>
          <w:marTop w:val="0"/>
          <w:marBottom w:val="0"/>
          <w:divBdr>
            <w:top w:val="none" w:sz="0" w:space="0" w:color="auto"/>
            <w:left w:val="none" w:sz="0" w:space="0" w:color="auto"/>
            <w:bottom w:val="none" w:sz="0" w:space="0" w:color="auto"/>
            <w:right w:val="none" w:sz="0" w:space="0" w:color="auto"/>
          </w:divBdr>
          <w:divsChild>
            <w:div w:id="1757286563">
              <w:marLeft w:val="0"/>
              <w:marRight w:val="0"/>
              <w:marTop w:val="0"/>
              <w:marBottom w:val="0"/>
              <w:divBdr>
                <w:top w:val="none" w:sz="0" w:space="0" w:color="auto"/>
                <w:left w:val="none" w:sz="0" w:space="0" w:color="auto"/>
                <w:bottom w:val="none" w:sz="0" w:space="0" w:color="auto"/>
                <w:right w:val="none" w:sz="0" w:space="0" w:color="auto"/>
              </w:divBdr>
            </w:div>
          </w:divsChild>
        </w:div>
        <w:div w:id="845706682">
          <w:marLeft w:val="0"/>
          <w:marRight w:val="0"/>
          <w:marTop w:val="0"/>
          <w:marBottom w:val="0"/>
          <w:divBdr>
            <w:top w:val="none" w:sz="0" w:space="0" w:color="auto"/>
            <w:left w:val="none" w:sz="0" w:space="0" w:color="auto"/>
            <w:bottom w:val="none" w:sz="0" w:space="0" w:color="auto"/>
            <w:right w:val="none" w:sz="0" w:space="0" w:color="auto"/>
          </w:divBdr>
          <w:divsChild>
            <w:div w:id="1083063018">
              <w:marLeft w:val="0"/>
              <w:marRight w:val="0"/>
              <w:marTop w:val="0"/>
              <w:marBottom w:val="0"/>
              <w:divBdr>
                <w:top w:val="none" w:sz="0" w:space="0" w:color="auto"/>
                <w:left w:val="none" w:sz="0" w:space="0" w:color="auto"/>
                <w:bottom w:val="none" w:sz="0" w:space="0" w:color="auto"/>
                <w:right w:val="none" w:sz="0" w:space="0" w:color="auto"/>
              </w:divBdr>
            </w:div>
          </w:divsChild>
        </w:div>
        <w:div w:id="1787389706">
          <w:marLeft w:val="0"/>
          <w:marRight w:val="0"/>
          <w:marTop w:val="0"/>
          <w:marBottom w:val="0"/>
          <w:divBdr>
            <w:top w:val="none" w:sz="0" w:space="0" w:color="auto"/>
            <w:left w:val="none" w:sz="0" w:space="0" w:color="auto"/>
            <w:bottom w:val="none" w:sz="0" w:space="0" w:color="auto"/>
            <w:right w:val="none" w:sz="0" w:space="0" w:color="auto"/>
          </w:divBdr>
          <w:divsChild>
            <w:div w:id="439305130">
              <w:marLeft w:val="0"/>
              <w:marRight w:val="0"/>
              <w:marTop w:val="0"/>
              <w:marBottom w:val="0"/>
              <w:divBdr>
                <w:top w:val="none" w:sz="0" w:space="0" w:color="auto"/>
                <w:left w:val="none" w:sz="0" w:space="0" w:color="auto"/>
                <w:bottom w:val="none" w:sz="0" w:space="0" w:color="auto"/>
                <w:right w:val="none" w:sz="0" w:space="0" w:color="auto"/>
              </w:divBdr>
            </w:div>
          </w:divsChild>
        </w:div>
        <w:div w:id="115218618">
          <w:marLeft w:val="0"/>
          <w:marRight w:val="0"/>
          <w:marTop w:val="0"/>
          <w:marBottom w:val="0"/>
          <w:divBdr>
            <w:top w:val="none" w:sz="0" w:space="0" w:color="auto"/>
            <w:left w:val="none" w:sz="0" w:space="0" w:color="auto"/>
            <w:bottom w:val="none" w:sz="0" w:space="0" w:color="auto"/>
            <w:right w:val="none" w:sz="0" w:space="0" w:color="auto"/>
          </w:divBdr>
          <w:divsChild>
            <w:div w:id="52314243">
              <w:marLeft w:val="0"/>
              <w:marRight w:val="0"/>
              <w:marTop w:val="0"/>
              <w:marBottom w:val="0"/>
              <w:divBdr>
                <w:top w:val="none" w:sz="0" w:space="0" w:color="auto"/>
                <w:left w:val="none" w:sz="0" w:space="0" w:color="auto"/>
                <w:bottom w:val="none" w:sz="0" w:space="0" w:color="auto"/>
                <w:right w:val="none" w:sz="0" w:space="0" w:color="auto"/>
              </w:divBdr>
            </w:div>
          </w:divsChild>
        </w:div>
        <w:div w:id="58332751">
          <w:marLeft w:val="0"/>
          <w:marRight w:val="0"/>
          <w:marTop w:val="0"/>
          <w:marBottom w:val="0"/>
          <w:divBdr>
            <w:top w:val="none" w:sz="0" w:space="0" w:color="auto"/>
            <w:left w:val="none" w:sz="0" w:space="0" w:color="auto"/>
            <w:bottom w:val="none" w:sz="0" w:space="0" w:color="auto"/>
            <w:right w:val="none" w:sz="0" w:space="0" w:color="auto"/>
          </w:divBdr>
          <w:divsChild>
            <w:div w:id="640692241">
              <w:marLeft w:val="0"/>
              <w:marRight w:val="0"/>
              <w:marTop w:val="0"/>
              <w:marBottom w:val="0"/>
              <w:divBdr>
                <w:top w:val="none" w:sz="0" w:space="0" w:color="auto"/>
                <w:left w:val="none" w:sz="0" w:space="0" w:color="auto"/>
                <w:bottom w:val="none" w:sz="0" w:space="0" w:color="auto"/>
                <w:right w:val="none" w:sz="0" w:space="0" w:color="auto"/>
              </w:divBdr>
            </w:div>
          </w:divsChild>
        </w:div>
        <w:div w:id="965698914">
          <w:marLeft w:val="0"/>
          <w:marRight w:val="0"/>
          <w:marTop w:val="0"/>
          <w:marBottom w:val="0"/>
          <w:divBdr>
            <w:top w:val="none" w:sz="0" w:space="0" w:color="auto"/>
            <w:left w:val="none" w:sz="0" w:space="0" w:color="auto"/>
            <w:bottom w:val="none" w:sz="0" w:space="0" w:color="auto"/>
            <w:right w:val="none" w:sz="0" w:space="0" w:color="auto"/>
          </w:divBdr>
          <w:divsChild>
            <w:div w:id="1706366672">
              <w:marLeft w:val="0"/>
              <w:marRight w:val="0"/>
              <w:marTop w:val="0"/>
              <w:marBottom w:val="0"/>
              <w:divBdr>
                <w:top w:val="none" w:sz="0" w:space="0" w:color="auto"/>
                <w:left w:val="none" w:sz="0" w:space="0" w:color="auto"/>
                <w:bottom w:val="none" w:sz="0" w:space="0" w:color="auto"/>
                <w:right w:val="none" w:sz="0" w:space="0" w:color="auto"/>
              </w:divBdr>
            </w:div>
          </w:divsChild>
        </w:div>
        <w:div w:id="1467620176">
          <w:marLeft w:val="0"/>
          <w:marRight w:val="0"/>
          <w:marTop w:val="0"/>
          <w:marBottom w:val="0"/>
          <w:divBdr>
            <w:top w:val="none" w:sz="0" w:space="0" w:color="auto"/>
            <w:left w:val="none" w:sz="0" w:space="0" w:color="auto"/>
            <w:bottom w:val="none" w:sz="0" w:space="0" w:color="auto"/>
            <w:right w:val="none" w:sz="0" w:space="0" w:color="auto"/>
          </w:divBdr>
          <w:divsChild>
            <w:div w:id="350304279">
              <w:marLeft w:val="0"/>
              <w:marRight w:val="0"/>
              <w:marTop w:val="0"/>
              <w:marBottom w:val="0"/>
              <w:divBdr>
                <w:top w:val="none" w:sz="0" w:space="0" w:color="auto"/>
                <w:left w:val="none" w:sz="0" w:space="0" w:color="auto"/>
                <w:bottom w:val="none" w:sz="0" w:space="0" w:color="auto"/>
                <w:right w:val="none" w:sz="0" w:space="0" w:color="auto"/>
              </w:divBdr>
            </w:div>
          </w:divsChild>
        </w:div>
        <w:div w:id="1575973488">
          <w:marLeft w:val="0"/>
          <w:marRight w:val="0"/>
          <w:marTop w:val="0"/>
          <w:marBottom w:val="0"/>
          <w:divBdr>
            <w:top w:val="none" w:sz="0" w:space="0" w:color="auto"/>
            <w:left w:val="none" w:sz="0" w:space="0" w:color="auto"/>
            <w:bottom w:val="none" w:sz="0" w:space="0" w:color="auto"/>
            <w:right w:val="none" w:sz="0" w:space="0" w:color="auto"/>
          </w:divBdr>
          <w:divsChild>
            <w:div w:id="170420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750114">
      <w:bodyDiv w:val="1"/>
      <w:marLeft w:val="0"/>
      <w:marRight w:val="0"/>
      <w:marTop w:val="0"/>
      <w:marBottom w:val="0"/>
      <w:divBdr>
        <w:top w:val="none" w:sz="0" w:space="0" w:color="auto"/>
        <w:left w:val="none" w:sz="0" w:space="0" w:color="auto"/>
        <w:bottom w:val="none" w:sz="0" w:space="0" w:color="auto"/>
        <w:right w:val="none" w:sz="0" w:space="0" w:color="auto"/>
      </w:divBdr>
    </w:div>
    <w:div w:id="973173868">
      <w:bodyDiv w:val="1"/>
      <w:marLeft w:val="0"/>
      <w:marRight w:val="0"/>
      <w:marTop w:val="0"/>
      <w:marBottom w:val="0"/>
      <w:divBdr>
        <w:top w:val="none" w:sz="0" w:space="0" w:color="auto"/>
        <w:left w:val="none" w:sz="0" w:space="0" w:color="auto"/>
        <w:bottom w:val="none" w:sz="0" w:space="0" w:color="auto"/>
        <w:right w:val="none" w:sz="0" w:space="0" w:color="auto"/>
      </w:divBdr>
    </w:div>
    <w:div w:id="974414706">
      <w:bodyDiv w:val="1"/>
      <w:marLeft w:val="0"/>
      <w:marRight w:val="0"/>
      <w:marTop w:val="0"/>
      <w:marBottom w:val="0"/>
      <w:divBdr>
        <w:top w:val="none" w:sz="0" w:space="0" w:color="auto"/>
        <w:left w:val="none" w:sz="0" w:space="0" w:color="auto"/>
        <w:bottom w:val="none" w:sz="0" w:space="0" w:color="auto"/>
        <w:right w:val="none" w:sz="0" w:space="0" w:color="auto"/>
      </w:divBdr>
    </w:div>
    <w:div w:id="979847051">
      <w:bodyDiv w:val="1"/>
      <w:marLeft w:val="0"/>
      <w:marRight w:val="0"/>
      <w:marTop w:val="0"/>
      <w:marBottom w:val="0"/>
      <w:divBdr>
        <w:top w:val="none" w:sz="0" w:space="0" w:color="auto"/>
        <w:left w:val="none" w:sz="0" w:space="0" w:color="auto"/>
        <w:bottom w:val="none" w:sz="0" w:space="0" w:color="auto"/>
        <w:right w:val="none" w:sz="0" w:space="0" w:color="auto"/>
      </w:divBdr>
    </w:div>
    <w:div w:id="1041713504">
      <w:marLeft w:val="0"/>
      <w:marRight w:val="0"/>
      <w:marTop w:val="0"/>
      <w:marBottom w:val="0"/>
      <w:divBdr>
        <w:top w:val="none" w:sz="0" w:space="0" w:color="auto"/>
        <w:left w:val="none" w:sz="0" w:space="0" w:color="auto"/>
        <w:bottom w:val="none" w:sz="0" w:space="0" w:color="auto"/>
        <w:right w:val="none" w:sz="0" w:space="0" w:color="auto"/>
      </w:divBdr>
      <w:divsChild>
        <w:div w:id="1928613385">
          <w:marLeft w:val="0"/>
          <w:marRight w:val="0"/>
          <w:marTop w:val="0"/>
          <w:marBottom w:val="0"/>
          <w:divBdr>
            <w:top w:val="none" w:sz="0" w:space="0" w:color="auto"/>
            <w:left w:val="none" w:sz="0" w:space="0" w:color="auto"/>
            <w:bottom w:val="none" w:sz="0" w:space="0" w:color="auto"/>
            <w:right w:val="none" w:sz="0" w:space="0" w:color="auto"/>
          </w:divBdr>
        </w:div>
      </w:divsChild>
    </w:div>
    <w:div w:id="1048795667">
      <w:bodyDiv w:val="1"/>
      <w:marLeft w:val="0"/>
      <w:marRight w:val="0"/>
      <w:marTop w:val="0"/>
      <w:marBottom w:val="0"/>
      <w:divBdr>
        <w:top w:val="none" w:sz="0" w:space="0" w:color="auto"/>
        <w:left w:val="none" w:sz="0" w:space="0" w:color="auto"/>
        <w:bottom w:val="none" w:sz="0" w:space="0" w:color="auto"/>
        <w:right w:val="none" w:sz="0" w:space="0" w:color="auto"/>
      </w:divBdr>
    </w:div>
    <w:div w:id="1053819122">
      <w:bodyDiv w:val="1"/>
      <w:marLeft w:val="0"/>
      <w:marRight w:val="0"/>
      <w:marTop w:val="0"/>
      <w:marBottom w:val="0"/>
      <w:divBdr>
        <w:top w:val="none" w:sz="0" w:space="0" w:color="auto"/>
        <w:left w:val="none" w:sz="0" w:space="0" w:color="auto"/>
        <w:bottom w:val="none" w:sz="0" w:space="0" w:color="auto"/>
        <w:right w:val="none" w:sz="0" w:space="0" w:color="auto"/>
      </w:divBdr>
    </w:div>
    <w:div w:id="1066875569">
      <w:marLeft w:val="0"/>
      <w:marRight w:val="0"/>
      <w:marTop w:val="0"/>
      <w:marBottom w:val="0"/>
      <w:divBdr>
        <w:top w:val="none" w:sz="0" w:space="0" w:color="auto"/>
        <w:left w:val="none" w:sz="0" w:space="0" w:color="auto"/>
        <w:bottom w:val="none" w:sz="0" w:space="0" w:color="auto"/>
        <w:right w:val="none" w:sz="0" w:space="0" w:color="auto"/>
      </w:divBdr>
      <w:divsChild>
        <w:div w:id="1384135956">
          <w:marLeft w:val="0"/>
          <w:marRight w:val="0"/>
          <w:marTop w:val="0"/>
          <w:marBottom w:val="0"/>
          <w:divBdr>
            <w:top w:val="none" w:sz="0" w:space="0" w:color="auto"/>
            <w:left w:val="none" w:sz="0" w:space="0" w:color="auto"/>
            <w:bottom w:val="none" w:sz="0" w:space="0" w:color="auto"/>
            <w:right w:val="none" w:sz="0" w:space="0" w:color="auto"/>
          </w:divBdr>
        </w:div>
      </w:divsChild>
    </w:div>
    <w:div w:id="1075132435">
      <w:bodyDiv w:val="1"/>
      <w:marLeft w:val="0"/>
      <w:marRight w:val="0"/>
      <w:marTop w:val="0"/>
      <w:marBottom w:val="0"/>
      <w:divBdr>
        <w:top w:val="none" w:sz="0" w:space="0" w:color="auto"/>
        <w:left w:val="none" w:sz="0" w:space="0" w:color="auto"/>
        <w:bottom w:val="none" w:sz="0" w:space="0" w:color="auto"/>
        <w:right w:val="none" w:sz="0" w:space="0" w:color="auto"/>
      </w:divBdr>
    </w:div>
    <w:div w:id="1100880477">
      <w:bodyDiv w:val="1"/>
      <w:marLeft w:val="0"/>
      <w:marRight w:val="0"/>
      <w:marTop w:val="0"/>
      <w:marBottom w:val="0"/>
      <w:divBdr>
        <w:top w:val="none" w:sz="0" w:space="0" w:color="auto"/>
        <w:left w:val="none" w:sz="0" w:space="0" w:color="auto"/>
        <w:bottom w:val="none" w:sz="0" w:space="0" w:color="auto"/>
        <w:right w:val="none" w:sz="0" w:space="0" w:color="auto"/>
      </w:divBdr>
    </w:div>
    <w:div w:id="1111624937">
      <w:bodyDiv w:val="1"/>
      <w:marLeft w:val="0"/>
      <w:marRight w:val="0"/>
      <w:marTop w:val="0"/>
      <w:marBottom w:val="0"/>
      <w:divBdr>
        <w:top w:val="none" w:sz="0" w:space="0" w:color="auto"/>
        <w:left w:val="none" w:sz="0" w:space="0" w:color="auto"/>
        <w:bottom w:val="none" w:sz="0" w:space="0" w:color="auto"/>
        <w:right w:val="none" w:sz="0" w:space="0" w:color="auto"/>
      </w:divBdr>
    </w:div>
    <w:div w:id="1112239938">
      <w:marLeft w:val="0"/>
      <w:marRight w:val="0"/>
      <w:marTop w:val="0"/>
      <w:marBottom w:val="0"/>
      <w:divBdr>
        <w:top w:val="none" w:sz="0" w:space="0" w:color="auto"/>
        <w:left w:val="none" w:sz="0" w:space="0" w:color="auto"/>
        <w:bottom w:val="none" w:sz="0" w:space="0" w:color="auto"/>
        <w:right w:val="none" w:sz="0" w:space="0" w:color="auto"/>
      </w:divBdr>
      <w:divsChild>
        <w:div w:id="1459031379">
          <w:marLeft w:val="0"/>
          <w:marRight w:val="0"/>
          <w:marTop w:val="0"/>
          <w:marBottom w:val="0"/>
          <w:divBdr>
            <w:top w:val="none" w:sz="0" w:space="0" w:color="auto"/>
            <w:left w:val="none" w:sz="0" w:space="0" w:color="auto"/>
            <w:bottom w:val="none" w:sz="0" w:space="0" w:color="auto"/>
            <w:right w:val="none" w:sz="0" w:space="0" w:color="auto"/>
          </w:divBdr>
        </w:div>
      </w:divsChild>
    </w:div>
    <w:div w:id="1187601317">
      <w:bodyDiv w:val="1"/>
      <w:marLeft w:val="0"/>
      <w:marRight w:val="0"/>
      <w:marTop w:val="0"/>
      <w:marBottom w:val="0"/>
      <w:divBdr>
        <w:top w:val="none" w:sz="0" w:space="0" w:color="auto"/>
        <w:left w:val="none" w:sz="0" w:space="0" w:color="auto"/>
        <w:bottom w:val="none" w:sz="0" w:space="0" w:color="auto"/>
        <w:right w:val="none" w:sz="0" w:space="0" w:color="auto"/>
      </w:divBdr>
    </w:div>
    <w:div w:id="1188565477">
      <w:bodyDiv w:val="1"/>
      <w:marLeft w:val="0"/>
      <w:marRight w:val="0"/>
      <w:marTop w:val="0"/>
      <w:marBottom w:val="0"/>
      <w:divBdr>
        <w:top w:val="none" w:sz="0" w:space="0" w:color="auto"/>
        <w:left w:val="none" w:sz="0" w:space="0" w:color="auto"/>
        <w:bottom w:val="none" w:sz="0" w:space="0" w:color="auto"/>
        <w:right w:val="none" w:sz="0" w:space="0" w:color="auto"/>
      </w:divBdr>
    </w:div>
    <w:div w:id="1203714557">
      <w:bodyDiv w:val="1"/>
      <w:marLeft w:val="0"/>
      <w:marRight w:val="0"/>
      <w:marTop w:val="0"/>
      <w:marBottom w:val="0"/>
      <w:divBdr>
        <w:top w:val="none" w:sz="0" w:space="0" w:color="auto"/>
        <w:left w:val="none" w:sz="0" w:space="0" w:color="auto"/>
        <w:bottom w:val="none" w:sz="0" w:space="0" w:color="auto"/>
        <w:right w:val="none" w:sz="0" w:space="0" w:color="auto"/>
      </w:divBdr>
    </w:div>
    <w:div w:id="1210873565">
      <w:marLeft w:val="0"/>
      <w:marRight w:val="0"/>
      <w:marTop w:val="0"/>
      <w:marBottom w:val="0"/>
      <w:divBdr>
        <w:top w:val="none" w:sz="0" w:space="0" w:color="auto"/>
        <w:left w:val="none" w:sz="0" w:space="0" w:color="auto"/>
        <w:bottom w:val="none" w:sz="0" w:space="0" w:color="auto"/>
        <w:right w:val="none" w:sz="0" w:space="0" w:color="auto"/>
      </w:divBdr>
      <w:divsChild>
        <w:div w:id="345909966">
          <w:marLeft w:val="0"/>
          <w:marRight w:val="0"/>
          <w:marTop w:val="0"/>
          <w:marBottom w:val="0"/>
          <w:divBdr>
            <w:top w:val="none" w:sz="0" w:space="0" w:color="auto"/>
            <w:left w:val="none" w:sz="0" w:space="0" w:color="auto"/>
            <w:bottom w:val="none" w:sz="0" w:space="0" w:color="auto"/>
            <w:right w:val="none" w:sz="0" w:space="0" w:color="auto"/>
          </w:divBdr>
        </w:div>
      </w:divsChild>
    </w:div>
    <w:div w:id="1237203556">
      <w:bodyDiv w:val="1"/>
      <w:marLeft w:val="0"/>
      <w:marRight w:val="0"/>
      <w:marTop w:val="0"/>
      <w:marBottom w:val="0"/>
      <w:divBdr>
        <w:top w:val="none" w:sz="0" w:space="0" w:color="auto"/>
        <w:left w:val="none" w:sz="0" w:space="0" w:color="auto"/>
        <w:bottom w:val="none" w:sz="0" w:space="0" w:color="auto"/>
        <w:right w:val="none" w:sz="0" w:space="0" w:color="auto"/>
      </w:divBdr>
    </w:div>
    <w:div w:id="1279415738">
      <w:bodyDiv w:val="1"/>
      <w:marLeft w:val="0"/>
      <w:marRight w:val="0"/>
      <w:marTop w:val="0"/>
      <w:marBottom w:val="0"/>
      <w:divBdr>
        <w:top w:val="none" w:sz="0" w:space="0" w:color="auto"/>
        <w:left w:val="none" w:sz="0" w:space="0" w:color="auto"/>
        <w:bottom w:val="none" w:sz="0" w:space="0" w:color="auto"/>
        <w:right w:val="none" w:sz="0" w:space="0" w:color="auto"/>
      </w:divBdr>
    </w:div>
    <w:div w:id="1289319062">
      <w:bodyDiv w:val="1"/>
      <w:marLeft w:val="0"/>
      <w:marRight w:val="0"/>
      <w:marTop w:val="0"/>
      <w:marBottom w:val="0"/>
      <w:divBdr>
        <w:top w:val="none" w:sz="0" w:space="0" w:color="auto"/>
        <w:left w:val="none" w:sz="0" w:space="0" w:color="auto"/>
        <w:bottom w:val="none" w:sz="0" w:space="0" w:color="auto"/>
        <w:right w:val="none" w:sz="0" w:space="0" w:color="auto"/>
      </w:divBdr>
      <w:divsChild>
        <w:div w:id="1619332839">
          <w:marLeft w:val="0"/>
          <w:marRight w:val="0"/>
          <w:marTop w:val="0"/>
          <w:marBottom w:val="0"/>
          <w:divBdr>
            <w:top w:val="none" w:sz="0" w:space="0" w:color="auto"/>
            <w:left w:val="none" w:sz="0" w:space="0" w:color="auto"/>
            <w:bottom w:val="none" w:sz="0" w:space="0" w:color="auto"/>
            <w:right w:val="none" w:sz="0" w:space="0" w:color="auto"/>
          </w:divBdr>
          <w:divsChild>
            <w:div w:id="2001736102">
              <w:marLeft w:val="0"/>
              <w:marRight w:val="0"/>
              <w:marTop w:val="0"/>
              <w:marBottom w:val="0"/>
              <w:divBdr>
                <w:top w:val="none" w:sz="0" w:space="0" w:color="auto"/>
                <w:left w:val="none" w:sz="0" w:space="0" w:color="auto"/>
                <w:bottom w:val="none" w:sz="0" w:space="0" w:color="auto"/>
                <w:right w:val="none" w:sz="0" w:space="0" w:color="auto"/>
              </w:divBdr>
            </w:div>
          </w:divsChild>
        </w:div>
        <w:div w:id="333337841">
          <w:marLeft w:val="0"/>
          <w:marRight w:val="0"/>
          <w:marTop w:val="0"/>
          <w:marBottom w:val="0"/>
          <w:divBdr>
            <w:top w:val="none" w:sz="0" w:space="0" w:color="auto"/>
            <w:left w:val="none" w:sz="0" w:space="0" w:color="auto"/>
            <w:bottom w:val="none" w:sz="0" w:space="0" w:color="auto"/>
            <w:right w:val="none" w:sz="0" w:space="0" w:color="auto"/>
          </w:divBdr>
          <w:divsChild>
            <w:div w:id="101792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146250">
      <w:bodyDiv w:val="1"/>
      <w:marLeft w:val="0"/>
      <w:marRight w:val="0"/>
      <w:marTop w:val="0"/>
      <w:marBottom w:val="0"/>
      <w:divBdr>
        <w:top w:val="none" w:sz="0" w:space="0" w:color="auto"/>
        <w:left w:val="none" w:sz="0" w:space="0" w:color="auto"/>
        <w:bottom w:val="none" w:sz="0" w:space="0" w:color="auto"/>
        <w:right w:val="none" w:sz="0" w:space="0" w:color="auto"/>
      </w:divBdr>
    </w:div>
    <w:div w:id="1318993490">
      <w:bodyDiv w:val="1"/>
      <w:marLeft w:val="0"/>
      <w:marRight w:val="0"/>
      <w:marTop w:val="0"/>
      <w:marBottom w:val="0"/>
      <w:divBdr>
        <w:top w:val="none" w:sz="0" w:space="0" w:color="auto"/>
        <w:left w:val="none" w:sz="0" w:space="0" w:color="auto"/>
        <w:bottom w:val="none" w:sz="0" w:space="0" w:color="auto"/>
        <w:right w:val="none" w:sz="0" w:space="0" w:color="auto"/>
      </w:divBdr>
    </w:div>
    <w:div w:id="1331252055">
      <w:bodyDiv w:val="1"/>
      <w:marLeft w:val="0"/>
      <w:marRight w:val="0"/>
      <w:marTop w:val="0"/>
      <w:marBottom w:val="0"/>
      <w:divBdr>
        <w:top w:val="none" w:sz="0" w:space="0" w:color="auto"/>
        <w:left w:val="none" w:sz="0" w:space="0" w:color="auto"/>
        <w:bottom w:val="none" w:sz="0" w:space="0" w:color="auto"/>
        <w:right w:val="none" w:sz="0" w:space="0" w:color="auto"/>
      </w:divBdr>
    </w:div>
    <w:div w:id="1351953561">
      <w:bodyDiv w:val="1"/>
      <w:marLeft w:val="0"/>
      <w:marRight w:val="0"/>
      <w:marTop w:val="0"/>
      <w:marBottom w:val="0"/>
      <w:divBdr>
        <w:top w:val="none" w:sz="0" w:space="0" w:color="auto"/>
        <w:left w:val="none" w:sz="0" w:space="0" w:color="auto"/>
        <w:bottom w:val="none" w:sz="0" w:space="0" w:color="auto"/>
        <w:right w:val="none" w:sz="0" w:space="0" w:color="auto"/>
      </w:divBdr>
    </w:div>
    <w:div w:id="1378969116">
      <w:bodyDiv w:val="1"/>
      <w:marLeft w:val="0"/>
      <w:marRight w:val="0"/>
      <w:marTop w:val="0"/>
      <w:marBottom w:val="0"/>
      <w:divBdr>
        <w:top w:val="none" w:sz="0" w:space="0" w:color="auto"/>
        <w:left w:val="none" w:sz="0" w:space="0" w:color="auto"/>
        <w:bottom w:val="none" w:sz="0" w:space="0" w:color="auto"/>
        <w:right w:val="none" w:sz="0" w:space="0" w:color="auto"/>
      </w:divBdr>
    </w:div>
    <w:div w:id="1428691107">
      <w:bodyDiv w:val="1"/>
      <w:marLeft w:val="0"/>
      <w:marRight w:val="0"/>
      <w:marTop w:val="0"/>
      <w:marBottom w:val="0"/>
      <w:divBdr>
        <w:top w:val="none" w:sz="0" w:space="0" w:color="auto"/>
        <w:left w:val="none" w:sz="0" w:space="0" w:color="auto"/>
        <w:bottom w:val="none" w:sz="0" w:space="0" w:color="auto"/>
        <w:right w:val="none" w:sz="0" w:space="0" w:color="auto"/>
      </w:divBdr>
    </w:div>
    <w:div w:id="1442801946">
      <w:bodyDiv w:val="1"/>
      <w:marLeft w:val="0"/>
      <w:marRight w:val="0"/>
      <w:marTop w:val="0"/>
      <w:marBottom w:val="0"/>
      <w:divBdr>
        <w:top w:val="none" w:sz="0" w:space="0" w:color="auto"/>
        <w:left w:val="none" w:sz="0" w:space="0" w:color="auto"/>
        <w:bottom w:val="none" w:sz="0" w:space="0" w:color="auto"/>
        <w:right w:val="none" w:sz="0" w:space="0" w:color="auto"/>
      </w:divBdr>
    </w:div>
    <w:div w:id="1459183673">
      <w:bodyDiv w:val="1"/>
      <w:marLeft w:val="0"/>
      <w:marRight w:val="0"/>
      <w:marTop w:val="0"/>
      <w:marBottom w:val="0"/>
      <w:divBdr>
        <w:top w:val="none" w:sz="0" w:space="0" w:color="auto"/>
        <w:left w:val="none" w:sz="0" w:space="0" w:color="auto"/>
        <w:bottom w:val="none" w:sz="0" w:space="0" w:color="auto"/>
        <w:right w:val="none" w:sz="0" w:space="0" w:color="auto"/>
      </w:divBdr>
    </w:div>
    <w:div w:id="1499032188">
      <w:bodyDiv w:val="1"/>
      <w:marLeft w:val="0"/>
      <w:marRight w:val="0"/>
      <w:marTop w:val="0"/>
      <w:marBottom w:val="0"/>
      <w:divBdr>
        <w:top w:val="none" w:sz="0" w:space="0" w:color="auto"/>
        <w:left w:val="none" w:sz="0" w:space="0" w:color="auto"/>
        <w:bottom w:val="none" w:sz="0" w:space="0" w:color="auto"/>
        <w:right w:val="none" w:sz="0" w:space="0" w:color="auto"/>
      </w:divBdr>
    </w:div>
    <w:div w:id="1501777985">
      <w:bodyDiv w:val="1"/>
      <w:marLeft w:val="0"/>
      <w:marRight w:val="0"/>
      <w:marTop w:val="0"/>
      <w:marBottom w:val="0"/>
      <w:divBdr>
        <w:top w:val="none" w:sz="0" w:space="0" w:color="auto"/>
        <w:left w:val="none" w:sz="0" w:space="0" w:color="auto"/>
        <w:bottom w:val="none" w:sz="0" w:space="0" w:color="auto"/>
        <w:right w:val="none" w:sz="0" w:space="0" w:color="auto"/>
      </w:divBdr>
      <w:divsChild>
        <w:div w:id="2112386061">
          <w:marLeft w:val="0"/>
          <w:marRight w:val="0"/>
          <w:marTop w:val="0"/>
          <w:marBottom w:val="0"/>
          <w:divBdr>
            <w:top w:val="none" w:sz="0" w:space="0" w:color="auto"/>
            <w:left w:val="none" w:sz="0" w:space="0" w:color="auto"/>
            <w:bottom w:val="none" w:sz="0" w:space="0" w:color="auto"/>
            <w:right w:val="none" w:sz="0" w:space="0" w:color="auto"/>
          </w:divBdr>
        </w:div>
        <w:div w:id="1168398281">
          <w:marLeft w:val="0"/>
          <w:marRight w:val="0"/>
          <w:marTop w:val="0"/>
          <w:marBottom w:val="0"/>
          <w:divBdr>
            <w:top w:val="none" w:sz="0" w:space="0" w:color="auto"/>
            <w:left w:val="none" w:sz="0" w:space="0" w:color="auto"/>
            <w:bottom w:val="none" w:sz="0" w:space="0" w:color="auto"/>
            <w:right w:val="none" w:sz="0" w:space="0" w:color="auto"/>
          </w:divBdr>
        </w:div>
        <w:div w:id="1339775686">
          <w:marLeft w:val="0"/>
          <w:marRight w:val="0"/>
          <w:marTop w:val="0"/>
          <w:marBottom w:val="0"/>
          <w:divBdr>
            <w:top w:val="none" w:sz="0" w:space="0" w:color="auto"/>
            <w:left w:val="none" w:sz="0" w:space="0" w:color="auto"/>
            <w:bottom w:val="none" w:sz="0" w:space="0" w:color="auto"/>
            <w:right w:val="none" w:sz="0" w:space="0" w:color="auto"/>
          </w:divBdr>
        </w:div>
        <w:div w:id="2048797370">
          <w:marLeft w:val="0"/>
          <w:marRight w:val="0"/>
          <w:marTop w:val="0"/>
          <w:marBottom w:val="0"/>
          <w:divBdr>
            <w:top w:val="none" w:sz="0" w:space="0" w:color="auto"/>
            <w:left w:val="none" w:sz="0" w:space="0" w:color="auto"/>
            <w:bottom w:val="none" w:sz="0" w:space="0" w:color="auto"/>
            <w:right w:val="none" w:sz="0" w:space="0" w:color="auto"/>
          </w:divBdr>
        </w:div>
        <w:div w:id="1112818675">
          <w:marLeft w:val="0"/>
          <w:marRight w:val="0"/>
          <w:marTop w:val="0"/>
          <w:marBottom w:val="0"/>
          <w:divBdr>
            <w:top w:val="none" w:sz="0" w:space="0" w:color="auto"/>
            <w:left w:val="none" w:sz="0" w:space="0" w:color="auto"/>
            <w:bottom w:val="none" w:sz="0" w:space="0" w:color="auto"/>
            <w:right w:val="none" w:sz="0" w:space="0" w:color="auto"/>
          </w:divBdr>
        </w:div>
        <w:div w:id="1604730530">
          <w:marLeft w:val="0"/>
          <w:marRight w:val="0"/>
          <w:marTop w:val="0"/>
          <w:marBottom w:val="0"/>
          <w:divBdr>
            <w:top w:val="none" w:sz="0" w:space="0" w:color="auto"/>
            <w:left w:val="none" w:sz="0" w:space="0" w:color="auto"/>
            <w:bottom w:val="none" w:sz="0" w:space="0" w:color="auto"/>
            <w:right w:val="none" w:sz="0" w:space="0" w:color="auto"/>
          </w:divBdr>
        </w:div>
      </w:divsChild>
    </w:div>
    <w:div w:id="1521315664">
      <w:bodyDiv w:val="1"/>
      <w:marLeft w:val="0"/>
      <w:marRight w:val="0"/>
      <w:marTop w:val="0"/>
      <w:marBottom w:val="0"/>
      <w:divBdr>
        <w:top w:val="none" w:sz="0" w:space="0" w:color="auto"/>
        <w:left w:val="none" w:sz="0" w:space="0" w:color="auto"/>
        <w:bottom w:val="none" w:sz="0" w:space="0" w:color="auto"/>
        <w:right w:val="none" w:sz="0" w:space="0" w:color="auto"/>
      </w:divBdr>
    </w:div>
    <w:div w:id="1528517229">
      <w:bodyDiv w:val="1"/>
      <w:marLeft w:val="0"/>
      <w:marRight w:val="0"/>
      <w:marTop w:val="0"/>
      <w:marBottom w:val="0"/>
      <w:divBdr>
        <w:top w:val="none" w:sz="0" w:space="0" w:color="auto"/>
        <w:left w:val="none" w:sz="0" w:space="0" w:color="auto"/>
        <w:bottom w:val="none" w:sz="0" w:space="0" w:color="auto"/>
        <w:right w:val="none" w:sz="0" w:space="0" w:color="auto"/>
      </w:divBdr>
    </w:div>
    <w:div w:id="1566338235">
      <w:bodyDiv w:val="1"/>
      <w:marLeft w:val="0"/>
      <w:marRight w:val="0"/>
      <w:marTop w:val="0"/>
      <w:marBottom w:val="0"/>
      <w:divBdr>
        <w:top w:val="none" w:sz="0" w:space="0" w:color="auto"/>
        <w:left w:val="none" w:sz="0" w:space="0" w:color="auto"/>
        <w:bottom w:val="none" w:sz="0" w:space="0" w:color="auto"/>
        <w:right w:val="none" w:sz="0" w:space="0" w:color="auto"/>
      </w:divBdr>
      <w:divsChild>
        <w:div w:id="375204820">
          <w:marLeft w:val="0"/>
          <w:marRight w:val="0"/>
          <w:marTop w:val="0"/>
          <w:marBottom w:val="0"/>
          <w:divBdr>
            <w:top w:val="none" w:sz="0" w:space="0" w:color="auto"/>
            <w:left w:val="none" w:sz="0" w:space="0" w:color="auto"/>
            <w:bottom w:val="none" w:sz="0" w:space="0" w:color="auto"/>
            <w:right w:val="none" w:sz="0" w:space="0" w:color="auto"/>
          </w:divBdr>
          <w:divsChild>
            <w:div w:id="55643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568985">
      <w:bodyDiv w:val="1"/>
      <w:marLeft w:val="0"/>
      <w:marRight w:val="0"/>
      <w:marTop w:val="0"/>
      <w:marBottom w:val="0"/>
      <w:divBdr>
        <w:top w:val="none" w:sz="0" w:space="0" w:color="auto"/>
        <w:left w:val="none" w:sz="0" w:space="0" w:color="auto"/>
        <w:bottom w:val="none" w:sz="0" w:space="0" w:color="auto"/>
        <w:right w:val="none" w:sz="0" w:space="0" w:color="auto"/>
      </w:divBdr>
    </w:div>
    <w:div w:id="1619801254">
      <w:marLeft w:val="0"/>
      <w:marRight w:val="0"/>
      <w:marTop w:val="0"/>
      <w:marBottom w:val="0"/>
      <w:divBdr>
        <w:top w:val="none" w:sz="0" w:space="0" w:color="auto"/>
        <w:left w:val="none" w:sz="0" w:space="0" w:color="auto"/>
        <w:bottom w:val="none" w:sz="0" w:space="0" w:color="auto"/>
        <w:right w:val="none" w:sz="0" w:space="0" w:color="auto"/>
      </w:divBdr>
      <w:divsChild>
        <w:div w:id="664473246">
          <w:marLeft w:val="0"/>
          <w:marRight w:val="0"/>
          <w:marTop w:val="0"/>
          <w:marBottom w:val="0"/>
          <w:divBdr>
            <w:top w:val="none" w:sz="0" w:space="0" w:color="auto"/>
            <w:left w:val="none" w:sz="0" w:space="0" w:color="auto"/>
            <w:bottom w:val="none" w:sz="0" w:space="0" w:color="auto"/>
            <w:right w:val="none" w:sz="0" w:space="0" w:color="auto"/>
          </w:divBdr>
        </w:div>
      </w:divsChild>
    </w:div>
    <w:div w:id="1636789504">
      <w:bodyDiv w:val="1"/>
      <w:marLeft w:val="0"/>
      <w:marRight w:val="0"/>
      <w:marTop w:val="0"/>
      <w:marBottom w:val="0"/>
      <w:divBdr>
        <w:top w:val="none" w:sz="0" w:space="0" w:color="auto"/>
        <w:left w:val="none" w:sz="0" w:space="0" w:color="auto"/>
        <w:bottom w:val="none" w:sz="0" w:space="0" w:color="auto"/>
        <w:right w:val="none" w:sz="0" w:space="0" w:color="auto"/>
      </w:divBdr>
    </w:div>
    <w:div w:id="1663701919">
      <w:bodyDiv w:val="1"/>
      <w:marLeft w:val="0"/>
      <w:marRight w:val="0"/>
      <w:marTop w:val="0"/>
      <w:marBottom w:val="0"/>
      <w:divBdr>
        <w:top w:val="none" w:sz="0" w:space="0" w:color="auto"/>
        <w:left w:val="none" w:sz="0" w:space="0" w:color="auto"/>
        <w:bottom w:val="none" w:sz="0" w:space="0" w:color="auto"/>
        <w:right w:val="none" w:sz="0" w:space="0" w:color="auto"/>
      </w:divBdr>
    </w:div>
    <w:div w:id="1676493481">
      <w:bodyDiv w:val="1"/>
      <w:marLeft w:val="0"/>
      <w:marRight w:val="0"/>
      <w:marTop w:val="0"/>
      <w:marBottom w:val="0"/>
      <w:divBdr>
        <w:top w:val="none" w:sz="0" w:space="0" w:color="auto"/>
        <w:left w:val="none" w:sz="0" w:space="0" w:color="auto"/>
        <w:bottom w:val="none" w:sz="0" w:space="0" w:color="auto"/>
        <w:right w:val="none" w:sz="0" w:space="0" w:color="auto"/>
      </w:divBdr>
    </w:div>
    <w:div w:id="1678194909">
      <w:bodyDiv w:val="1"/>
      <w:marLeft w:val="0"/>
      <w:marRight w:val="0"/>
      <w:marTop w:val="0"/>
      <w:marBottom w:val="0"/>
      <w:divBdr>
        <w:top w:val="none" w:sz="0" w:space="0" w:color="auto"/>
        <w:left w:val="none" w:sz="0" w:space="0" w:color="auto"/>
        <w:bottom w:val="none" w:sz="0" w:space="0" w:color="auto"/>
        <w:right w:val="none" w:sz="0" w:space="0" w:color="auto"/>
      </w:divBdr>
    </w:div>
    <w:div w:id="1693798075">
      <w:marLeft w:val="0"/>
      <w:marRight w:val="0"/>
      <w:marTop w:val="0"/>
      <w:marBottom w:val="0"/>
      <w:divBdr>
        <w:top w:val="none" w:sz="0" w:space="0" w:color="auto"/>
        <w:left w:val="none" w:sz="0" w:space="0" w:color="auto"/>
        <w:bottom w:val="none" w:sz="0" w:space="0" w:color="auto"/>
        <w:right w:val="none" w:sz="0" w:space="0" w:color="auto"/>
      </w:divBdr>
      <w:divsChild>
        <w:div w:id="980306755">
          <w:marLeft w:val="0"/>
          <w:marRight w:val="0"/>
          <w:marTop w:val="0"/>
          <w:marBottom w:val="0"/>
          <w:divBdr>
            <w:top w:val="none" w:sz="0" w:space="0" w:color="auto"/>
            <w:left w:val="none" w:sz="0" w:space="0" w:color="auto"/>
            <w:bottom w:val="none" w:sz="0" w:space="0" w:color="auto"/>
            <w:right w:val="none" w:sz="0" w:space="0" w:color="auto"/>
          </w:divBdr>
        </w:div>
      </w:divsChild>
    </w:div>
    <w:div w:id="1700474391">
      <w:bodyDiv w:val="1"/>
      <w:marLeft w:val="0"/>
      <w:marRight w:val="0"/>
      <w:marTop w:val="0"/>
      <w:marBottom w:val="0"/>
      <w:divBdr>
        <w:top w:val="none" w:sz="0" w:space="0" w:color="auto"/>
        <w:left w:val="none" w:sz="0" w:space="0" w:color="auto"/>
        <w:bottom w:val="none" w:sz="0" w:space="0" w:color="auto"/>
        <w:right w:val="none" w:sz="0" w:space="0" w:color="auto"/>
      </w:divBdr>
    </w:div>
    <w:div w:id="1702171587">
      <w:bodyDiv w:val="1"/>
      <w:marLeft w:val="0"/>
      <w:marRight w:val="0"/>
      <w:marTop w:val="0"/>
      <w:marBottom w:val="0"/>
      <w:divBdr>
        <w:top w:val="none" w:sz="0" w:space="0" w:color="auto"/>
        <w:left w:val="none" w:sz="0" w:space="0" w:color="auto"/>
        <w:bottom w:val="none" w:sz="0" w:space="0" w:color="auto"/>
        <w:right w:val="none" w:sz="0" w:space="0" w:color="auto"/>
      </w:divBdr>
    </w:div>
    <w:div w:id="1722438978">
      <w:bodyDiv w:val="1"/>
      <w:marLeft w:val="0"/>
      <w:marRight w:val="0"/>
      <w:marTop w:val="0"/>
      <w:marBottom w:val="0"/>
      <w:divBdr>
        <w:top w:val="none" w:sz="0" w:space="0" w:color="auto"/>
        <w:left w:val="none" w:sz="0" w:space="0" w:color="auto"/>
        <w:bottom w:val="none" w:sz="0" w:space="0" w:color="auto"/>
        <w:right w:val="none" w:sz="0" w:space="0" w:color="auto"/>
      </w:divBdr>
    </w:div>
    <w:div w:id="1747025760">
      <w:bodyDiv w:val="1"/>
      <w:marLeft w:val="0"/>
      <w:marRight w:val="0"/>
      <w:marTop w:val="0"/>
      <w:marBottom w:val="0"/>
      <w:divBdr>
        <w:top w:val="none" w:sz="0" w:space="0" w:color="auto"/>
        <w:left w:val="none" w:sz="0" w:space="0" w:color="auto"/>
        <w:bottom w:val="none" w:sz="0" w:space="0" w:color="auto"/>
        <w:right w:val="none" w:sz="0" w:space="0" w:color="auto"/>
      </w:divBdr>
      <w:divsChild>
        <w:div w:id="166792159">
          <w:marLeft w:val="0"/>
          <w:marRight w:val="0"/>
          <w:marTop w:val="0"/>
          <w:marBottom w:val="0"/>
          <w:divBdr>
            <w:top w:val="none" w:sz="0" w:space="0" w:color="auto"/>
            <w:left w:val="none" w:sz="0" w:space="0" w:color="auto"/>
            <w:bottom w:val="none" w:sz="0" w:space="0" w:color="auto"/>
            <w:right w:val="none" w:sz="0" w:space="0" w:color="auto"/>
          </w:divBdr>
          <w:divsChild>
            <w:div w:id="685790007">
              <w:marLeft w:val="0"/>
              <w:marRight w:val="0"/>
              <w:marTop w:val="0"/>
              <w:marBottom w:val="0"/>
              <w:divBdr>
                <w:top w:val="none" w:sz="0" w:space="0" w:color="auto"/>
                <w:left w:val="none" w:sz="0" w:space="0" w:color="auto"/>
                <w:bottom w:val="none" w:sz="0" w:space="0" w:color="auto"/>
                <w:right w:val="none" w:sz="0" w:space="0" w:color="auto"/>
              </w:divBdr>
              <w:divsChild>
                <w:div w:id="174938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638106">
      <w:bodyDiv w:val="1"/>
      <w:marLeft w:val="0"/>
      <w:marRight w:val="0"/>
      <w:marTop w:val="0"/>
      <w:marBottom w:val="0"/>
      <w:divBdr>
        <w:top w:val="none" w:sz="0" w:space="0" w:color="auto"/>
        <w:left w:val="none" w:sz="0" w:space="0" w:color="auto"/>
        <w:bottom w:val="none" w:sz="0" w:space="0" w:color="auto"/>
        <w:right w:val="none" w:sz="0" w:space="0" w:color="auto"/>
      </w:divBdr>
    </w:div>
    <w:div w:id="1766224044">
      <w:bodyDiv w:val="1"/>
      <w:marLeft w:val="0"/>
      <w:marRight w:val="0"/>
      <w:marTop w:val="0"/>
      <w:marBottom w:val="0"/>
      <w:divBdr>
        <w:top w:val="none" w:sz="0" w:space="0" w:color="auto"/>
        <w:left w:val="none" w:sz="0" w:space="0" w:color="auto"/>
        <w:bottom w:val="none" w:sz="0" w:space="0" w:color="auto"/>
        <w:right w:val="none" w:sz="0" w:space="0" w:color="auto"/>
      </w:divBdr>
    </w:div>
    <w:div w:id="1768621943">
      <w:marLeft w:val="0"/>
      <w:marRight w:val="0"/>
      <w:marTop w:val="0"/>
      <w:marBottom w:val="0"/>
      <w:divBdr>
        <w:top w:val="none" w:sz="0" w:space="0" w:color="auto"/>
        <w:left w:val="none" w:sz="0" w:space="0" w:color="auto"/>
        <w:bottom w:val="none" w:sz="0" w:space="0" w:color="auto"/>
        <w:right w:val="none" w:sz="0" w:space="0" w:color="auto"/>
      </w:divBdr>
      <w:divsChild>
        <w:div w:id="914096978">
          <w:marLeft w:val="0"/>
          <w:marRight w:val="0"/>
          <w:marTop w:val="0"/>
          <w:marBottom w:val="0"/>
          <w:divBdr>
            <w:top w:val="none" w:sz="0" w:space="0" w:color="auto"/>
            <w:left w:val="none" w:sz="0" w:space="0" w:color="auto"/>
            <w:bottom w:val="none" w:sz="0" w:space="0" w:color="auto"/>
            <w:right w:val="none" w:sz="0" w:space="0" w:color="auto"/>
          </w:divBdr>
        </w:div>
      </w:divsChild>
    </w:div>
    <w:div w:id="1770853348">
      <w:bodyDiv w:val="1"/>
      <w:marLeft w:val="0"/>
      <w:marRight w:val="0"/>
      <w:marTop w:val="0"/>
      <w:marBottom w:val="0"/>
      <w:divBdr>
        <w:top w:val="none" w:sz="0" w:space="0" w:color="auto"/>
        <w:left w:val="none" w:sz="0" w:space="0" w:color="auto"/>
        <w:bottom w:val="none" w:sz="0" w:space="0" w:color="auto"/>
        <w:right w:val="none" w:sz="0" w:space="0" w:color="auto"/>
      </w:divBdr>
    </w:div>
    <w:div w:id="1777404764">
      <w:bodyDiv w:val="1"/>
      <w:marLeft w:val="0"/>
      <w:marRight w:val="0"/>
      <w:marTop w:val="0"/>
      <w:marBottom w:val="0"/>
      <w:divBdr>
        <w:top w:val="none" w:sz="0" w:space="0" w:color="auto"/>
        <w:left w:val="none" w:sz="0" w:space="0" w:color="auto"/>
        <w:bottom w:val="none" w:sz="0" w:space="0" w:color="auto"/>
        <w:right w:val="none" w:sz="0" w:space="0" w:color="auto"/>
      </w:divBdr>
    </w:div>
    <w:div w:id="1797675239">
      <w:bodyDiv w:val="1"/>
      <w:marLeft w:val="0"/>
      <w:marRight w:val="0"/>
      <w:marTop w:val="0"/>
      <w:marBottom w:val="0"/>
      <w:divBdr>
        <w:top w:val="none" w:sz="0" w:space="0" w:color="auto"/>
        <w:left w:val="none" w:sz="0" w:space="0" w:color="auto"/>
        <w:bottom w:val="none" w:sz="0" w:space="0" w:color="auto"/>
        <w:right w:val="none" w:sz="0" w:space="0" w:color="auto"/>
      </w:divBdr>
    </w:div>
    <w:div w:id="1823766865">
      <w:bodyDiv w:val="1"/>
      <w:marLeft w:val="0"/>
      <w:marRight w:val="0"/>
      <w:marTop w:val="0"/>
      <w:marBottom w:val="0"/>
      <w:divBdr>
        <w:top w:val="none" w:sz="0" w:space="0" w:color="auto"/>
        <w:left w:val="none" w:sz="0" w:space="0" w:color="auto"/>
        <w:bottom w:val="none" w:sz="0" w:space="0" w:color="auto"/>
        <w:right w:val="none" w:sz="0" w:space="0" w:color="auto"/>
      </w:divBdr>
    </w:div>
    <w:div w:id="1846089833">
      <w:bodyDiv w:val="1"/>
      <w:marLeft w:val="0"/>
      <w:marRight w:val="0"/>
      <w:marTop w:val="0"/>
      <w:marBottom w:val="0"/>
      <w:divBdr>
        <w:top w:val="none" w:sz="0" w:space="0" w:color="auto"/>
        <w:left w:val="none" w:sz="0" w:space="0" w:color="auto"/>
        <w:bottom w:val="none" w:sz="0" w:space="0" w:color="auto"/>
        <w:right w:val="none" w:sz="0" w:space="0" w:color="auto"/>
      </w:divBdr>
    </w:div>
    <w:div w:id="1866140897">
      <w:bodyDiv w:val="1"/>
      <w:marLeft w:val="0"/>
      <w:marRight w:val="0"/>
      <w:marTop w:val="0"/>
      <w:marBottom w:val="0"/>
      <w:divBdr>
        <w:top w:val="none" w:sz="0" w:space="0" w:color="auto"/>
        <w:left w:val="none" w:sz="0" w:space="0" w:color="auto"/>
        <w:bottom w:val="none" w:sz="0" w:space="0" w:color="auto"/>
        <w:right w:val="none" w:sz="0" w:space="0" w:color="auto"/>
      </w:divBdr>
    </w:div>
    <w:div w:id="1875993882">
      <w:bodyDiv w:val="1"/>
      <w:marLeft w:val="0"/>
      <w:marRight w:val="0"/>
      <w:marTop w:val="0"/>
      <w:marBottom w:val="0"/>
      <w:divBdr>
        <w:top w:val="none" w:sz="0" w:space="0" w:color="auto"/>
        <w:left w:val="none" w:sz="0" w:space="0" w:color="auto"/>
        <w:bottom w:val="none" w:sz="0" w:space="0" w:color="auto"/>
        <w:right w:val="none" w:sz="0" w:space="0" w:color="auto"/>
      </w:divBdr>
    </w:div>
    <w:div w:id="1945651428">
      <w:bodyDiv w:val="1"/>
      <w:marLeft w:val="0"/>
      <w:marRight w:val="0"/>
      <w:marTop w:val="0"/>
      <w:marBottom w:val="0"/>
      <w:divBdr>
        <w:top w:val="none" w:sz="0" w:space="0" w:color="auto"/>
        <w:left w:val="none" w:sz="0" w:space="0" w:color="auto"/>
        <w:bottom w:val="none" w:sz="0" w:space="0" w:color="auto"/>
        <w:right w:val="none" w:sz="0" w:space="0" w:color="auto"/>
      </w:divBdr>
    </w:div>
    <w:div w:id="1952972895">
      <w:bodyDiv w:val="1"/>
      <w:marLeft w:val="0"/>
      <w:marRight w:val="0"/>
      <w:marTop w:val="0"/>
      <w:marBottom w:val="0"/>
      <w:divBdr>
        <w:top w:val="none" w:sz="0" w:space="0" w:color="auto"/>
        <w:left w:val="none" w:sz="0" w:space="0" w:color="auto"/>
        <w:bottom w:val="none" w:sz="0" w:space="0" w:color="auto"/>
        <w:right w:val="none" w:sz="0" w:space="0" w:color="auto"/>
      </w:divBdr>
    </w:div>
    <w:div w:id="1953247569">
      <w:bodyDiv w:val="1"/>
      <w:marLeft w:val="0"/>
      <w:marRight w:val="0"/>
      <w:marTop w:val="0"/>
      <w:marBottom w:val="0"/>
      <w:divBdr>
        <w:top w:val="none" w:sz="0" w:space="0" w:color="auto"/>
        <w:left w:val="none" w:sz="0" w:space="0" w:color="auto"/>
        <w:bottom w:val="none" w:sz="0" w:space="0" w:color="auto"/>
        <w:right w:val="none" w:sz="0" w:space="0" w:color="auto"/>
      </w:divBdr>
    </w:div>
    <w:div w:id="1955597792">
      <w:bodyDiv w:val="1"/>
      <w:marLeft w:val="0"/>
      <w:marRight w:val="0"/>
      <w:marTop w:val="0"/>
      <w:marBottom w:val="0"/>
      <w:divBdr>
        <w:top w:val="none" w:sz="0" w:space="0" w:color="auto"/>
        <w:left w:val="none" w:sz="0" w:space="0" w:color="auto"/>
        <w:bottom w:val="none" w:sz="0" w:space="0" w:color="auto"/>
        <w:right w:val="none" w:sz="0" w:space="0" w:color="auto"/>
      </w:divBdr>
    </w:div>
    <w:div w:id="1958486536">
      <w:bodyDiv w:val="1"/>
      <w:marLeft w:val="0"/>
      <w:marRight w:val="0"/>
      <w:marTop w:val="0"/>
      <w:marBottom w:val="0"/>
      <w:divBdr>
        <w:top w:val="none" w:sz="0" w:space="0" w:color="auto"/>
        <w:left w:val="none" w:sz="0" w:space="0" w:color="auto"/>
        <w:bottom w:val="none" w:sz="0" w:space="0" w:color="auto"/>
        <w:right w:val="none" w:sz="0" w:space="0" w:color="auto"/>
      </w:divBdr>
    </w:div>
    <w:div w:id="1978559019">
      <w:bodyDiv w:val="1"/>
      <w:marLeft w:val="0"/>
      <w:marRight w:val="0"/>
      <w:marTop w:val="0"/>
      <w:marBottom w:val="0"/>
      <w:divBdr>
        <w:top w:val="none" w:sz="0" w:space="0" w:color="auto"/>
        <w:left w:val="none" w:sz="0" w:space="0" w:color="auto"/>
        <w:bottom w:val="none" w:sz="0" w:space="0" w:color="auto"/>
        <w:right w:val="none" w:sz="0" w:space="0" w:color="auto"/>
      </w:divBdr>
    </w:div>
    <w:div w:id="1986010890">
      <w:bodyDiv w:val="1"/>
      <w:marLeft w:val="0"/>
      <w:marRight w:val="0"/>
      <w:marTop w:val="0"/>
      <w:marBottom w:val="0"/>
      <w:divBdr>
        <w:top w:val="none" w:sz="0" w:space="0" w:color="auto"/>
        <w:left w:val="none" w:sz="0" w:space="0" w:color="auto"/>
        <w:bottom w:val="none" w:sz="0" w:space="0" w:color="auto"/>
        <w:right w:val="none" w:sz="0" w:space="0" w:color="auto"/>
      </w:divBdr>
      <w:divsChild>
        <w:div w:id="1656837183">
          <w:marLeft w:val="0"/>
          <w:marRight w:val="0"/>
          <w:marTop w:val="0"/>
          <w:marBottom w:val="0"/>
          <w:divBdr>
            <w:top w:val="single" w:sz="2" w:space="0" w:color="D9D9E3"/>
            <w:left w:val="single" w:sz="2" w:space="0" w:color="D9D9E3"/>
            <w:bottom w:val="single" w:sz="2" w:space="0" w:color="D9D9E3"/>
            <w:right w:val="single" w:sz="2" w:space="0" w:color="D9D9E3"/>
          </w:divBdr>
          <w:divsChild>
            <w:div w:id="18326026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66493715">
          <w:marLeft w:val="0"/>
          <w:marRight w:val="0"/>
          <w:marTop w:val="0"/>
          <w:marBottom w:val="0"/>
          <w:divBdr>
            <w:top w:val="single" w:sz="2" w:space="0" w:color="D9D9E3"/>
            <w:left w:val="single" w:sz="2" w:space="0" w:color="D9D9E3"/>
            <w:bottom w:val="single" w:sz="2" w:space="0" w:color="D9D9E3"/>
            <w:right w:val="single" w:sz="2" w:space="0" w:color="D9D9E3"/>
          </w:divBdr>
          <w:divsChild>
            <w:div w:id="6762771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6325437">
      <w:bodyDiv w:val="1"/>
      <w:marLeft w:val="0"/>
      <w:marRight w:val="0"/>
      <w:marTop w:val="0"/>
      <w:marBottom w:val="0"/>
      <w:divBdr>
        <w:top w:val="none" w:sz="0" w:space="0" w:color="auto"/>
        <w:left w:val="none" w:sz="0" w:space="0" w:color="auto"/>
        <w:bottom w:val="none" w:sz="0" w:space="0" w:color="auto"/>
        <w:right w:val="none" w:sz="0" w:space="0" w:color="auto"/>
      </w:divBdr>
      <w:divsChild>
        <w:div w:id="1271353453">
          <w:marLeft w:val="0"/>
          <w:marRight w:val="0"/>
          <w:marTop w:val="0"/>
          <w:marBottom w:val="0"/>
          <w:divBdr>
            <w:top w:val="none" w:sz="0" w:space="0" w:color="auto"/>
            <w:left w:val="single" w:sz="48" w:space="11" w:color="63A732"/>
            <w:bottom w:val="none" w:sz="0" w:space="0" w:color="auto"/>
            <w:right w:val="none" w:sz="0" w:space="0" w:color="auto"/>
          </w:divBdr>
          <w:divsChild>
            <w:div w:id="1048799345">
              <w:marLeft w:val="0"/>
              <w:marRight w:val="0"/>
              <w:marTop w:val="0"/>
              <w:marBottom w:val="0"/>
              <w:divBdr>
                <w:top w:val="none" w:sz="0" w:space="0" w:color="auto"/>
                <w:left w:val="none" w:sz="0" w:space="0" w:color="auto"/>
                <w:bottom w:val="none" w:sz="0" w:space="0" w:color="auto"/>
                <w:right w:val="none" w:sz="0" w:space="0" w:color="auto"/>
              </w:divBdr>
              <w:divsChild>
                <w:div w:id="170212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010309">
          <w:marLeft w:val="0"/>
          <w:marRight w:val="0"/>
          <w:marTop w:val="0"/>
          <w:marBottom w:val="0"/>
          <w:divBdr>
            <w:top w:val="none" w:sz="0" w:space="0" w:color="auto"/>
            <w:left w:val="none" w:sz="0" w:space="0" w:color="auto"/>
            <w:bottom w:val="none" w:sz="0" w:space="0" w:color="auto"/>
            <w:right w:val="none" w:sz="0" w:space="0" w:color="auto"/>
          </w:divBdr>
          <w:divsChild>
            <w:div w:id="1605917310">
              <w:marLeft w:val="0"/>
              <w:marRight w:val="0"/>
              <w:marTop w:val="0"/>
              <w:marBottom w:val="0"/>
              <w:divBdr>
                <w:top w:val="none" w:sz="0" w:space="0" w:color="auto"/>
                <w:left w:val="none" w:sz="0" w:space="0" w:color="auto"/>
                <w:bottom w:val="none" w:sz="0" w:space="0" w:color="auto"/>
                <w:right w:val="none" w:sz="0" w:space="0" w:color="auto"/>
              </w:divBdr>
              <w:divsChild>
                <w:div w:id="333193103">
                  <w:marLeft w:val="0"/>
                  <w:marRight w:val="0"/>
                  <w:marTop w:val="0"/>
                  <w:marBottom w:val="720"/>
                  <w:divBdr>
                    <w:top w:val="none" w:sz="0" w:space="0" w:color="auto"/>
                    <w:left w:val="none" w:sz="0" w:space="0" w:color="auto"/>
                    <w:bottom w:val="none" w:sz="0" w:space="0" w:color="auto"/>
                    <w:right w:val="none" w:sz="0" w:space="0" w:color="auto"/>
                  </w:divBdr>
                </w:div>
                <w:div w:id="85793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708390">
          <w:marLeft w:val="0"/>
          <w:marRight w:val="0"/>
          <w:marTop w:val="0"/>
          <w:marBottom w:val="0"/>
          <w:divBdr>
            <w:top w:val="none" w:sz="0" w:space="0" w:color="auto"/>
            <w:left w:val="single" w:sz="48" w:space="11" w:color="63A732"/>
            <w:bottom w:val="none" w:sz="0" w:space="0" w:color="auto"/>
            <w:right w:val="none" w:sz="0" w:space="0" w:color="auto"/>
          </w:divBdr>
          <w:divsChild>
            <w:div w:id="1893688190">
              <w:marLeft w:val="0"/>
              <w:marRight w:val="0"/>
              <w:marTop w:val="0"/>
              <w:marBottom w:val="0"/>
              <w:divBdr>
                <w:top w:val="none" w:sz="0" w:space="0" w:color="auto"/>
                <w:left w:val="none" w:sz="0" w:space="0" w:color="auto"/>
                <w:bottom w:val="none" w:sz="0" w:space="0" w:color="auto"/>
                <w:right w:val="none" w:sz="0" w:space="0" w:color="auto"/>
              </w:divBdr>
              <w:divsChild>
                <w:div w:id="203410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057427">
          <w:marLeft w:val="0"/>
          <w:marRight w:val="0"/>
          <w:marTop w:val="0"/>
          <w:marBottom w:val="0"/>
          <w:divBdr>
            <w:top w:val="none" w:sz="0" w:space="0" w:color="auto"/>
            <w:left w:val="none" w:sz="0" w:space="0" w:color="auto"/>
            <w:bottom w:val="none" w:sz="0" w:space="0" w:color="auto"/>
            <w:right w:val="none" w:sz="0" w:space="0" w:color="auto"/>
          </w:divBdr>
          <w:divsChild>
            <w:div w:id="308444352">
              <w:marLeft w:val="0"/>
              <w:marRight w:val="0"/>
              <w:marTop w:val="0"/>
              <w:marBottom w:val="0"/>
              <w:divBdr>
                <w:top w:val="none" w:sz="0" w:space="0" w:color="auto"/>
                <w:left w:val="none" w:sz="0" w:space="0" w:color="auto"/>
                <w:bottom w:val="none" w:sz="0" w:space="0" w:color="auto"/>
                <w:right w:val="none" w:sz="0" w:space="0" w:color="auto"/>
              </w:divBdr>
              <w:divsChild>
                <w:div w:id="1767995058">
                  <w:marLeft w:val="0"/>
                  <w:marRight w:val="0"/>
                  <w:marTop w:val="0"/>
                  <w:marBottom w:val="720"/>
                  <w:divBdr>
                    <w:top w:val="none" w:sz="0" w:space="0" w:color="auto"/>
                    <w:left w:val="none" w:sz="0" w:space="0" w:color="auto"/>
                    <w:bottom w:val="none" w:sz="0" w:space="0" w:color="auto"/>
                    <w:right w:val="none" w:sz="0" w:space="0" w:color="auto"/>
                  </w:divBdr>
                </w:div>
                <w:div w:id="69607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922253">
          <w:marLeft w:val="0"/>
          <w:marRight w:val="0"/>
          <w:marTop w:val="0"/>
          <w:marBottom w:val="0"/>
          <w:divBdr>
            <w:top w:val="none" w:sz="0" w:space="0" w:color="auto"/>
            <w:left w:val="single" w:sz="48" w:space="11" w:color="63A732"/>
            <w:bottom w:val="none" w:sz="0" w:space="0" w:color="auto"/>
            <w:right w:val="none" w:sz="0" w:space="0" w:color="auto"/>
          </w:divBdr>
          <w:divsChild>
            <w:div w:id="1707678431">
              <w:marLeft w:val="0"/>
              <w:marRight w:val="0"/>
              <w:marTop w:val="0"/>
              <w:marBottom w:val="0"/>
              <w:divBdr>
                <w:top w:val="none" w:sz="0" w:space="0" w:color="auto"/>
                <w:left w:val="none" w:sz="0" w:space="0" w:color="auto"/>
                <w:bottom w:val="none" w:sz="0" w:space="0" w:color="auto"/>
                <w:right w:val="none" w:sz="0" w:space="0" w:color="auto"/>
              </w:divBdr>
              <w:divsChild>
                <w:div w:id="211670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138394">
          <w:marLeft w:val="0"/>
          <w:marRight w:val="0"/>
          <w:marTop w:val="0"/>
          <w:marBottom w:val="0"/>
          <w:divBdr>
            <w:top w:val="none" w:sz="0" w:space="0" w:color="auto"/>
            <w:left w:val="none" w:sz="0" w:space="0" w:color="auto"/>
            <w:bottom w:val="none" w:sz="0" w:space="0" w:color="auto"/>
            <w:right w:val="none" w:sz="0" w:space="0" w:color="auto"/>
          </w:divBdr>
          <w:divsChild>
            <w:div w:id="1419016504">
              <w:marLeft w:val="0"/>
              <w:marRight w:val="0"/>
              <w:marTop w:val="0"/>
              <w:marBottom w:val="0"/>
              <w:divBdr>
                <w:top w:val="none" w:sz="0" w:space="0" w:color="auto"/>
                <w:left w:val="none" w:sz="0" w:space="0" w:color="auto"/>
                <w:bottom w:val="none" w:sz="0" w:space="0" w:color="auto"/>
                <w:right w:val="none" w:sz="0" w:space="0" w:color="auto"/>
              </w:divBdr>
              <w:divsChild>
                <w:div w:id="917255215">
                  <w:marLeft w:val="0"/>
                  <w:marRight w:val="0"/>
                  <w:marTop w:val="0"/>
                  <w:marBottom w:val="720"/>
                  <w:divBdr>
                    <w:top w:val="none" w:sz="0" w:space="0" w:color="auto"/>
                    <w:left w:val="none" w:sz="0" w:space="0" w:color="auto"/>
                    <w:bottom w:val="none" w:sz="0" w:space="0" w:color="auto"/>
                    <w:right w:val="none" w:sz="0" w:space="0" w:color="auto"/>
                  </w:divBdr>
                </w:div>
                <w:div w:id="202154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298528">
          <w:marLeft w:val="0"/>
          <w:marRight w:val="0"/>
          <w:marTop w:val="0"/>
          <w:marBottom w:val="0"/>
          <w:divBdr>
            <w:top w:val="none" w:sz="0" w:space="0" w:color="auto"/>
            <w:left w:val="single" w:sz="48" w:space="11" w:color="63A732"/>
            <w:bottom w:val="none" w:sz="0" w:space="0" w:color="auto"/>
            <w:right w:val="none" w:sz="0" w:space="0" w:color="auto"/>
          </w:divBdr>
          <w:divsChild>
            <w:div w:id="2036425175">
              <w:marLeft w:val="0"/>
              <w:marRight w:val="0"/>
              <w:marTop w:val="0"/>
              <w:marBottom w:val="0"/>
              <w:divBdr>
                <w:top w:val="none" w:sz="0" w:space="0" w:color="auto"/>
                <w:left w:val="none" w:sz="0" w:space="0" w:color="auto"/>
                <w:bottom w:val="none" w:sz="0" w:space="0" w:color="auto"/>
                <w:right w:val="none" w:sz="0" w:space="0" w:color="auto"/>
              </w:divBdr>
              <w:divsChild>
                <w:div w:id="37932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716692">
          <w:marLeft w:val="0"/>
          <w:marRight w:val="0"/>
          <w:marTop w:val="0"/>
          <w:marBottom w:val="0"/>
          <w:divBdr>
            <w:top w:val="none" w:sz="0" w:space="0" w:color="auto"/>
            <w:left w:val="none" w:sz="0" w:space="0" w:color="auto"/>
            <w:bottom w:val="none" w:sz="0" w:space="0" w:color="auto"/>
            <w:right w:val="none" w:sz="0" w:space="0" w:color="auto"/>
          </w:divBdr>
          <w:divsChild>
            <w:div w:id="1338801426">
              <w:marLeft w:val="0"/>
              <w:marRight w:val="0"/>
              <w:marTop w:val="0"/>
              <w:marBottom w:val="0"/>
              <w:divBdr>
                <w:top w:val="none" w:sz="0" w:space="0" w:color="auto"/>
                <w:left w:val="none" w:sz="0" w:space="0" w:color="auto"/>
                <w:bottom w:val="none" w:sz="0" w:space="0" w:color="auto"/>
                <w:right w:val="none" w:sz="0" w:space="0" w:color="auto"/>
              </w:divBdr>
              <w:divsChild>
                <w:div w:id="1034624155">
                  <w:marLeft w:val="0"/>
                  <w:marRight w:val="0"/>
                  <w:marTop w:val="0"/>
                  <w:marBottom w:val="720"/>
                  <w:divBdr>
                    <w:top w:val="none" w:sz="0" w:space="0" w:color="auto"/>
                    <w:left w:val="none" w:sz="0" w:space="0" w:color="auto"/>
                    <w:bottom w:val="none" w:sz="0" w:space="0" w:color="auto"/>
                    <w:right w:val="none" w:sz="0" w:space="0" w:color="auto"/>
                  </w:divBdr>
                </w:div>
                <w:div w:id="179335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304145">
          <w:marLeft w:val="0"/>
          <w:marRight w:val="0"/>
          <w:marTop w:val="0"/>
          <w:marBottom w:val="0"/>
          <w:divBdr>
            <w:top w:val="none" w:sz="0" w:space="0" w:color="auto"/>
            <w:left w:val="single" w:sz="48" w:space="11" w:color="63A732"/>
            <w:bottom w:val="none" w:sz="0" w:space="0" w:color="auto"/>
            <w:right w:val="none" w:sz="0" w:space="0" w:color="auto"/>
          </w:divBdr>
          <w:divsChild>
            <w:div w:id="1314286790">
              <w:marLeft w:val="0"/>
              <w:marRight w:val="0"/>
              <w:marTop w:val="0"/>
              <w:marBottom w:val="0"/>
              <w:divBdr>
                <w:top w:val="none" w:sz="0" w:space="0" w:color="auto"/>
                <w:left w:val="none" w:sz="0" w:space="0" w:color="auto"/>
                <w:bottom w:val="none" w:sz="0" w:space="0" w:color="auto"/>
                <w:right w:val="none" w:sz="0" w:space="0" w:color="auto"/>
              </w:divBdr>
              <w:divsChild>
                <w:div w:id="98319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34749">
          <w:marLeft w:val="0"/>
          <w:marRight w:val="0"/>
          <w:marTop w:val="0"/>
          <w:marBottom w:val="0"/>
          <w:divBdr>
            <w:top w:val="none" w:sz="0" w:space="0" w:color="auto"/>
            <w:left w:val="none" w:sz="0" w:space="0" w:color="auto"/>
            <w:bottom w:val="none" w:sz="0" w:space="0" w:color="auto"/>
            <w:right w:val="none" w:sz="0" w:space="0" w:color="auto"/>
          </w:divBdr>
          <w:divsChild>
            <w:div w:id="628052724">
              <w:marLeft w:val="0"/>
              <w:marRight w:val="0"/>
              <w:marTop w:val="0"/>
              <w:marBottom w:val="0"/>
              <w:divBdr>
                <w:top w:val="none" w:sz="0" w:space="0" w:color="auto"/>
                <w:left w:val="none" w:sz="0" w:space="0" w:color="auto"/>
                <w:bottom w:val="none" w:sz="0" w:space="0" w:color="auto"/>
                <w:right w:val="none" w:sz="0" w:space="0" w:color="auto"/>
              </w:divBdr>
              <w:divsChild>
                <w:div w:id="187526187">
                  <w:marLeft w:val="0"/>
                  <w:marRight w:val="0"/>
                  <w:marTop w:val="0"/>
                  <w:marBottom w:val="720"/>
                  <w:divBdr>
                    <w:top w:val="none" w:sz="0" w:space="0" w:color="auto"/>
                    <w:left w:val="none" w:sz="0" w:space="0" w:color="auto"/>
                    <w:bottom w:val="none" w:sz="0" w:space="0" w:color="auto"/>
                    <w:right w:val="none" w:sz="0" w:space="0" w:color="auto"/>
                  </w:divBdr>
                </w:div>
                <w:div w:id="120605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676881">
          <w:marLeft w:val="0"/>
          <w:marRight w:val="0"/>
          <w:marTop w:val="0"/>
          <w:marBottom w:val="0"/>
          <w:divBdr>
            <w:top w:val="none" w:sz="0" w:space="0" w:color="auto"/>
            <w:left w:val="single" w:sz="48" w:space="11" w:color="63A732"/>
            <w:bottom w:val="none" w:sz="0" w:space="0" w:color="auto"/>
            <w:right w:val="none" w:sz="0" w:space="0" w:color="auto"/>
          </w:divBdr>
          <w:divsChild>
            <w:div w:id="179323785">
              <w:marLeft w:val="0"/>
              <w:marRight w:val="0"/>
              <w:marTop w:val="0"/>
              <w:marBottom w:val="0"/>
              <w:divBdr>
                <w:top w:val="none" w:sz="0" w:space="0" w:color="auto"/>
                <w:left w:val="none" w:sz="0" w:space="0" w:color="auto"/>
                <w:bottom w:val="none" w:sz="0" w:space="0" w:color="auto"/>
                <w:right w:val="none" w:sz="0" w:space="0" w:color="auto"/>
              </w:divBdr>
              <w:divsChild>
                <w:div w:id="447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218128">
          <w:marLeft w:val="0"/>
          <w:marRight w:val="0"/>
          <w:marTop w:val="0"/>
          <w:marBottom w:val="0"/>
          <w:divBdr>
            <w:top w:val="none" w:sz="0" w:space="0" w:color="auto"/>
            <w:left w:val="none" w:sz="0" w:space="0" w:color="auto"/>
            <w:bottom w:val="none" w:sz="0" w:space="0" w:color="auto"/>
            <w:right w:val="none" w:sz="0" w:space="0" w:color="auto"/>
          </w:divBdr>
          <w:divsChild>
            <w:div w:id="1432044404">
              <w:marLeft w:val="0"/>
              <w:marRight w:val="0"/>
              <w:marTop w:val="0"/>
              <w:marBottom w:val="0"/>
              <w:divBdr>
                <w:top w:val="none" w:sz="0" w:space="0" w:color="auto"/>
                <w:left w:val="none" w:sz="0" w:space="0" w:color="auto"/>
                <w:bottom w:val="none" w:sz="0" w:space="0" w:color="auto"/>
                <w:right w:val="none" w:sz="0" w:space="0" w:color="auto"/>
              </w:divBdr>
              <w:divsChild>
                <w:div w:id="1555236665">
                  <w:marLeft w:val="0"/>
                  <w:marRight w:val="0"/>
                  <w:marTop w:val="0"/>
                  <w:marBottom w:val="720"/>
                  <w:divBdr>
                    <w:top w:val="none" w:sz="0" w:space="0" w:color="auto"/>
                    <w:left w:val="none" w:sz="0" w:space="0" w:color="auto"/>
                    <w:bottom w:val="none" w:sz="0" w:space="0" w:color="auto"/>
                    <w:right w:val="none" w:sz="0" w:space="0" w:color="auto"/>
                  </w:divBdr>
                </w:div>
                <w:div w:id="2927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918969">
          <w:marLeft w:val="0"/>
          <w:marRight w:val="0"/>
          <w:marTop w:val="0"/>
          <w:marBottom w:val="0"/>
          <w:divBdr>
            <w:top w:val="none" w:sz="0" w:space="0" w:color="auto"/>
            <w:left w:val="single" w:sz="48" w:space="11" w:color="63A732"/>
            <w:bottom w:val="none" w:sz="0" w:space="0" w:color="auto"/>
            <w:right w:val="none" w:sz="0" w:space="0" w:color="auto"/>
          </w:divBdr>
          <w:divsChild>
            <w:div w:id="2091341675">
              <w:marLeft w:val="0"/>
              <w:marRight w:val="0"/>
              <w:marTop w:val="0"/>
              <w:marBottom w:val="0"/>
              <w:divBdr>
                <w:top w:val="none" w:sz="0" w:space="0" w:color="auto"/>
                <w:left w:val="none" w:sz="0" w:space="0" w:color="auto"/>
                <w:bottom w:val="none" w:sz="0" w:space="0" w:color="auto"/>
                <w:right w:val="none" w:sz="0" w:space="0" w:color="auto"/>
              </w:divBdr>
              <w:divsChild>
                <w:div w:id="21423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439672">
          <w:marLeft w:val="0"/>
          <w:marRight w:val="0"/>
          <w:marTop w:val="0"/>
          <w:marBottom w:val="0"/>
          <w:divBdr>
            <w:top w:val="none" w:sz="0" w:space="0" w:color="auto"/>
            <w:left w:val="none" w:sz="0" w:space="0" w:color="auto"/>
            <w:bottom w:val="none" w:sz="0" w:space="0" w:color="auto"/>
            <w:right w:val="none" w:sz="0" w:space="0" w:color="auto"/>
          </w:divBdr>
          <w:divsChild>
            <w:div w:id="812714169">
              <w:marLeft w:val="0"/>
              <w:marRight w:val="0"/>
              <w:marTop w:val="0"/>
              <w:marBottom w:val="0"/>
              <w:divBdr>
                <w:top w:val="none" w:sz="0" w:space="0" w:color="auto"/>
                <w:left w:val="none" w:sz="0" w:space="0" w:color="auto"/>
                <w:bottom w:val="none" w:sz="0" w:space="0" w:color="auto"/>
                <w:right w:val="none" w:sz="0" w:space="0" w:color="auto"/>
              </w:divBdr>
              <w:divsChild>
                <w:div w:id="1746801206">
                  <w:marLeft w:val="0"/>
                  <w:marRight w:val="0"/>
                  <w:marTop w:val="0"/>
                  <w:marBottom w:val="720"/>
                  <w:divBdr>
                    <w:top w:val="none" w:sz="0" w:space="0" w:color="auto"/>
                    <w:left w:val="none" w:sz="0" w:space="0" w:color="auto"/>
                    <w:bottom w:val="none" w:sz="0" w:space="0" w:color="auto"/>
                    <w:right w:val="none" w:sz="0" w:space="0" w:color="auto"/>
                  </w:divBdr>
                </w:div>
                <w:div w:id="110114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082342">
          <w:marLeft w:val="0"/>
          <w:marRight w:val="0"/>
          <w:marTop w:val="0"/>
          <w:marBottom w:val="0"/>
          <w:divBdr>
            <w:top w:val="none" w:sz="0" w:space="0" w:color="auto"/>
            <w:left w:val="single" w:sz="48" w:space="11" w:color="63A732"/>
            <w:bottom w:val="none" w:sz="0" w:space="0" w:color="auto"/>
            <w:right w:val="none" w:sz="0" w:space="0" w:color="auto"/>
          </w:divBdr>
          <w:divsChild>
            <w:div w:id="1568495404">
              <w:marLeft w:val="0"/>
              <w:marRight w:val="0"/>
              <w:marTop w:val="0"/>
              <w:marBottom w:val="0"/>
              <w:divBdr>
                <w:top w:val="none" w:sz="0" w:space="0" w:color="auto"/>
                <w:left w:val="none" w:sz="0" w:space="0" w:color="auto"/>
                <w:bottom w:val="none" w:sz="0" w:space="0" w:color="auto"/>
                <w:right w:val="none" w:sz="0" w:space="0" w:color="auto"/>
              </w:divBdr>
              <w:divsChild>
                <w:div w:id="116859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993414">
          <w:marLeft w:val="0"/>
          <w:marRight w:val="0"/>
          <w:marTop w:val="0"/>
          <w:marBottom w:val="0"/>
          <w:divBdr>
            <w:top w:val="none" w:sz="0" w:space="0" w:color="auto"/>
            <w:left w:val="none" w:sz="0" w:space="0" w:color="auto"/>
            <w:bottom w:val="none" w:sz="0" w:space="0" w:color="auto"/>
            <w:right w:val="none" w:sz="0" w:space="0" w:color="auto"/>
          </w:divBdr>
          <w:divsChild>
            <w:div w:id="759451298">
              <w:marLeft w:val="0"/>
              <w:marRight w:val="0"/>
              <w:marTop w:val="0"/>
              <w:marBottom w:val="0"/>
              <w:divBdr>
                <w:top w:val="none" w:sz="0" w:space="0" w:color="auto"/>
                <w:left w:val="none" w:sz="0" w:space="0" w:color="auto"/>
                <w:bottom w:val="none" w:sz="0" w:space="0" w:color="auto"/>
                <w:right w:val="none" w:sz="0" w:space="0" w:color="auto"/>
              </w:divBdr>
              <w:divsChild>
                <w:div w:id="848063334">
                  <w:marLeft w:val="0"/>
                  <w:marRight w:val="0"/>
                  <w:marTop w:val="0"/>
                  <w:marBottom w:val="720"/>
                  <w:divBdr>
                    <w:top w:val="none" w:sz="0" w:space="0" w:color="auto"/>
                    <w:left w:val="none" w:sz="0" w:space="0" w:color="auto"/>
                    <w:bottom w:val="none" w:sz="0" w:space="0" w:color="auto"/>
                    <w:right w:val="none" w:sz="0" w:space="0" w:color="auto"/>
                  </w:divBdr>
                </w:div>
                <w:div w:id="1295714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963056">
          <w:marLeft w:val="0"/>
          <w:marRight w:val="0"/>
          <w:marTop w:val="0"/>
          <w:marBottom w:val="0"/>
          <w:divBdr>
            <w:top w:val="none" w:sz="0" w:space="0" w:color="auto"/>
            <w:left w:val="single" w:sz="48" w:space="11" w:color="63A732"/>
            <w:bottom w:val="none" w:sz="0" w:space="0" w:color="auto"/>
            <w:right w:val="none" w:sz="0" w:space="0" w:color="auto"/>
          </w:divBdr>
          <w:divsChild>
            <w:div w:id="1418557437">
              <w:marLeft w:val="0"/>
              <w:marRight w:val="0"/>
              <w:marTop w:val="0"/>
              <w:marBottom w:val="0"/>
              <w:divBdr>
                <w:top w:val="none" w:sz="0" w:space="0" w:color="auto"/>
                <w:left w:val="none" w:sz="0" w:space="0" w:color="auto"/>
                <w:bottom w:val="none" w:sz="0" w:space="0" w:color="auto"/>
                <w:right w:val="none" w:sz="0" w:space="0" w:color="auto"/>
              </w:divBdr>
              <w:divsChild>
                <w:div w:id="82347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022912">
          <w:marLeft w:val="0"/>
          <w:marRight w:val="0"/>
          <w:marTop w:val="0"/>
          <w:marBottom w:val="0"/>
          <w:divBdr>
            <w:top w:val="none" w:sz="0" w:space="0" w:color="auto"/>
            <w:left w:val="none" w:sz="0" w:space="0" w:color="auto"/>
            <w:bottom w:val="none" w:sz="0" w:space="0" w:color="auto"/>
            <w:right w:val="none" w:sz="0" w:space="0" w:color="auto"/>
          </w:divBdr>
          <w:divsChild>
            <w:div w:id="1709915422">
              <w:marLeft w:val="0"/>
              <w:marRight w:val="0"/>
              <w:marTop w:val="0"/>
              <w:marBottom w:val="0"/>
              <w:divBdr>
                <w:top w:val="none" w:sz="0" w:space="0" w:color="auto"/>
                <w:left w:val="none" w:sz="0" w:space="0" w:color="auto"/>
                <w:bottom w:val="none" w:sz="0" w:space="0" w:color="auto"/>
                <w:right w:val="none" w:sz="0" w:space="0" w:color="auto"/>
              </w:divBdr>
              <w:divsChild>
                <w:div w:id="194781746">
                  <w:marLeft w:val="0"/>
                  <w:marRight w:val="0"/>
                  <w:marTop w:val="0"/>
                  <w:marBottom w:val="720"/>
                  <w:divBdr>
                    <w:top w:val="none" w:sz="0" w:space="0" w:color="auto"/>
                    <w:left w:val="none" w:sz="0" w:space="0" w:color="auto"/>
                    <w:bottom w:val="none" w:sz="0" w:space="0" w:color="auto"/>
                    <w:right w:val="none" w:sz="0" w:space="0" w:color="auto"/>
                  </w:divBdr>
                </w:div>
                <w:div w:id="174872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81277">
          <w:marLeft w:val="0"/>
          <w:marRight w:val="0"/>
          <w:marTop w:val="0"/>
          <w:marBottom w:val="0"/>
          <w:divBdr>
            <w:top w:val="none" w:sz="0" w:space="0" w:color="auto"/>
            <w:left w:val="single" w:sz="48" w:space="11" w:color="63A732"/>
            <w:bottom w:val="none" w:sz="0" w:space="0" w:color="auto"/>
            <w:right w:val="none" w:sz="0" w:space="0" w:color="auto"/>
          </w:divBdr>
          <w:divsChild>
            <w:div w:id="1217162307">
              <w:marLeft w:val="0"/>
              <w:marRight w:val="0"/>
              <w:marTop w:val="0"/>
              <w:marBottom w:val="0"/>
              <w:divBdr>
                <w:top w:val="none" w:sz="0" w:space="0" w:color="auto"/>
                <w:left w:val="none" w:sz="0" w:space="0" w:color="auto"/>
                <w:bottom w:val="none" w:sz="0" w:space="0" w:color="auto"/>
                <w:right w:val="none" w:sz="0" w:space="0" w:color="auto"/>
              </w:divBdr>
              <w:divsChild>
                <w:div w:id="89589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263917">
          <w:marLeft w:val="0"/>
          <w:marRight w:val="0"/>
          <w:marTop w:val="0"/>
          <w:marBottom w:val="0"/>
          <w:divBdr>
            <w:top w:val="none" w:sz="0" w:space="0" w:color="auto"/>
            <w:left w:val="none" w:sz="0" w:space="0" w:color="auto"/>
            <w:bottom w:val="none" w:sz="0" w:space="0" w:color="auto"/>
            <w:right w:val="none" w:sz="0" w:space="0" w:color="auto"/>
          </w:divBdr>
          <w:divsChild>
            <w:div w:id="894463396">
              <w:marLeft w:val="0"/>
              <w:marRight w:val="0"/>
              <w:marTop w:val="0"/>
              <w:marBottom w:val="0"/>
              <w:divBdr>
                <w:top w:val="none" w:sz="0" w:space="0" w:color="auto"/>
                <w:left w:val="none" w:sz="0" w:space="0" w:color="auto"/>
                <w:bottom w:val="none" w:sz="0" w:space="0" w:color="auto"/>
                <w:right w:val="none" w:sz="0" w:space="0" w:color="auto"/>
              </w:divBdr>
              <w:divsChild>
                <w:div w:id="1290091197">
                  <w:marLeft w:val="0"/>
                  <w:marRight w:val="0"/>
                  <w:marTop w:val="0"/>
                  <w:marBottom w:val="720"/>
                  <w:divBdr>
                    <w:top w:val="none" w:sz="0" w:space="0" w:color="auto"/>
                    <w:left w:val="none" w:sz="0" w:space="0" w:color="auto"/>
                    <w:bottom w:val="none" w:sz="0" w:space="0" w:color="auto"/>
                    <w:right w:val="none" w:sz="0" w:space="0" w:color="auto"/>
                  </w:divBdr>
                </w:div>
                <w:div w:id="28462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238315">
          <w:marLeft w:val="0"/>
          <w:marRight w:val="0"/>
          <w:marTop w:val="0"/>
          <w:marBottom w:val="0"/>
          <w:divBdr>
            <w:top w:val="none" w:sz="0" w:space="0" w:color="auto"/>
            <w:left w:val="single" w:sz="48" w:space="11" w:color="63A732"/>
            <w:bottom w:val="none" w:sz="0" w:space="0" w:color="auto"/>
            <w:right w:val="none" w:sz="0" w:space="0" w:color="auto"/>
          </w:divBdr>
          <w:divsChild>
            <w:div w:id="828130199">
              <w:marLeft w:val="0"/>
              <w:marRight w:val="0"/>
              <w:marTop w:val="0"/>
              <w:marBottom w:val="0"/>
              <w:divBdr>
                <w:top w:val="none" w:sz="0" w:space="0" w:color="auto"/>
                <w:left w:val="none" w:sz="0" w:space="0" w:color="auto"/>
                <w:bottom w:val="none" w:sz="0" w:space="0" w:color="auto"/>
                <w:right w:val="none" w:sz="0" w:space="0" w:color="auto"/>
              </w:divBdr>
              <w:divsChild>
                <w:div w:id="184439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791493">
          <w:marLeft w:val="0"/>
          <w:marRight w:val="0"/>
          <w:marTop w:val="0"/>
          <w:marBottom w:val="0"/>
          <w:divBdr>
            <w:top w:val="none" w:sz="0" w:space="0" w:color="auto"/>
            <w:left w:val="none" w:sz="0" w:space="0" w:color="auto"/>
            <w:bottom w:val="none" w:sz="0" w:space="0" w:color="auto"/>
            <w:right w:val="none" w:sz="0" w:space="0" w:color="auto"/>
          </w:divBdr>
          <w:divsChild>
            <w:div w:id="329136660">
              <w:marLeft w:val="0"/>
              <w:marRight w:val="0"/>
              <w:marTop w:val="0"/>
              <w:marBottom w:val="0"/>
              <w:divBdr>
                <w:top w:val="none" w:sz="0" w:space="0" w:color="auto"/>
                <w:left w:val="none" w:sz="0" w:space="0" w:color="auto"/>
                <w:bottom w:val="none" w:sz="0" w:space="0" w:color="auto"/>
                <w:right w:val="none" w:sz="0" w:space="0" w:color="auto"/>
              </w:divBdr>
              <w:divsChild>
                <w:div w:id="1267738460">
                  <w:marLeft w:val="0"/>
                  <w:marRight w:val="0"/>
                  <w:marTop w:val="0"/>
                  <w:marBottom w:val="720"/>
                  <w:divBdr>
                    <w:top w:val="none" w:sz="0" w:space="0" w:color="auto"/>
                    <w:left w:val="none" w:sz="0" w:space="0" w:color="auto"/>
                    <w:bottom w:val="none" w:sz="0" w:space="0" w:color="auto"/>
                    <w:right w:val="none" w:sz="0" w:space="0" w:color="auto"/>
                  </w:divBdr>
                </w:div>
                <w:div w:id="197710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25749">
          <w:marLeft w:val="0"/>
          <w:marRight w:val="0"/>
          <w:marTop w:val="0"/>
          <w:marBottom w:val="0"/>
          <w:divBdr>
            <w:top w:val="none" w:sz="0" w:space="0" w:color="auto"/>
            <w:left w:val="single" w:sz="48" w:space="11" w:color="63A732"/>
            <w:bottom w:val="none" w:sz="0" w:space="0" w:color="auto"/>
            <w:right w:val="none" w:sz="0" w:space="0" w:color="auto"/>
          </w:divBdr>
          <w:divsChild>
            <w:div w:id="218519278">
              <w:marLeft w:val="0"/>
              <w:marRight w:val="0"/>
              <w:marTop w:val="0"/>
              <w:marBottom w:val="0"/>
              <w:divBdr>
                <w:top w:val="none" w:sz="0" w:space="0" w:color="auto"/>
                <w:left w:val="none" w:sz="0" w:space="0" w:color="auto"/>
                <w:bottom w:val="none" w:sz="0" w:space="0" w:color="auto"/>
                <w:right w:val="none" w:sz="0" w:space="0" w:color="auto"/>
              </w:divBdr>
              <w:divsChild>
                <w:div w:id="55647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350277">
          <w:marLeft w:val="0"/>
          <w:marRight w:val="0"/>
          <w:marTop w:val="0"/>
          <w:marBottom w:val="0"/>
          <w:divBdr>
            <w:top w:val="none" w:sz="0" w:space="0" w:color="auto"/>
            <w:left w:val="none" w:sz="0" w:space="0" w:color="auto"/>
            <w:bottom w:val="none" w:sz="0" w:space="0" w:color="auto"/>
            <w:right w:val="none" w:sz="0" w:space="0" w:color="auto"/>
          </w:divBdr>
          <w:divsChild>
            <w:div w:id="548958029">
              <w:marLeft w:val="0"/>
              <w:marRight w:val="0"/>
              <w:marTop w:val="0"/>
              <w:marBottom w:val="0"/>
              <w:divBdr>
                <w:top w:val="none" w:sz="0" w:space="0" w:color="auto"/>
                <w:left w:val="none" w:sz="0" w:space="0" w:color="auto"/>
                <w:bottom w:val="none" w:sz="0" w:space="0" w:color="auto"/>
                <w:right w:val="none" w:sz="0" w:space="0" w:color="auto"/>
              </w:divBdr>
              <w:divsChild>
                <w:div w:id="2059697916">
                  <w:marLeft w:val="0"/>
                  <w:marRight w:val="0"/>
                  <w:marTop w:val="0"/>
                  <w:marBottom w:val="720"/>
                  <w:divBdr>
                    <w:top w:val="none" w:sz="0" w:space="0" w:color="auto"/>
                    <w:left w:val="none" w:sz="0" w:space="0" w:color="auto"/>
                    <w:bottom w:val="none" w:sz="0" w:space="0" w:color="auto"/>
                    <w:right w:val="none" w:sz="0" w:space="0" w:color="auto"/>
                  </w:divBdr>
                </w:div>
                <w:div w:id="113371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155554">
      <w:bodyDiv w:val="1"/>
      <w:marLeft w:val="0"/>
      <w:marRight w:val="0"/>
      <w:marTop w:val="0"/>
      <w:marBottom w:val="0"/>
      <w:divBdr>
        <w:top w:val="none" w:sz="0" w:space="0" w:color="auto"/>
        <w:left w:val="none" w:sz="0" w:space="0" w:color="auto"/>
        <w:bottom w:val="none" w:sz="0" w:space="0" w:color="auto"/>
        <w:right w:val="none" w:sz="0" w:space="0" w:color="auto"/>
      </w:divBdr>
    </w:div>
    <w:div w:id="2063750605">
      <w:bodyDiv w:val="1"/>
      <w:marLeft w:val="0"/>
      <w:marRight w:val="0"/>
      <w:marTop w:val="0"/>
      <w:marBottom w:val="0"/>
      <w:divBdr>
        <w:top w:val="none" w:sz="0" w:space="0" w:color="auto"/>
        <w:left w:val="none" w:sz="0" w:space="0" w:color="auto"/>
        <w:bottom w:val="none" w:sz="0" w:space="0" w:color="auto"/>
        <w:right w:val="none" w:sz="0" w:space="0" w:color="auto"/>
      </w:divBdr>
    </w:div>
    <w:div w:id="2072802551">
      <w:bodyDiv w:val="1"/>
      <w:marLeft w:val="0"/>
      <w:marRight w:val="0"/>
      <w:marTop w:val="0"/>
      <w:marBottom w:val="0"/>
      <w:divBdr>
        <w:top w:val="none" w:sz="0" w:space="0" w:color="auto"/>
        <w:left w:val="none" w:sz="0" w:space="0" w:color="auto"/>
        <w:bottom w:val="none" w:sz="0" w:space="0" w:color="auto"/>
        <w:right w:val="none" w:sz="0" w:space="0" w:color="auto"/>
      </w:divBdr>
    </w:div>
    <w:div w:id="2086683768">
      <w:bodyDiv w:val="1"/>
      <w:marLeft w:val="0"/>
      <w:marRight w:val="0"/>
      <w:marTop w:val="0"/>
      <w:marBottom w:val="0"/>
      <w:divBdr>
        <w:top w:val="none" w:sz="0" w:space="0" w:color="auto"/>
        <w:left w:val="none" w:sz="0" w:space="0" w:color="auto"/>
        <w:bottom w:val="none" w:sz="0" w:space="0" w:color="auto"/>
        <w:right w:val="none" w:sz="0" w:space="0" w:color="auto"/>
      </w:divBdr>
    </w:div>
    <w:div w:id="2090493536">
      <w:bodyDiv w:val="1"/>
      <w:marLeft w:val="0"/>
      <w:marRight w:val="0"/>
      <w:marTop w:val="0"/>
      <w:marBottom w:val="0"/>
      <w:divBdr>
        <w:top w:val="none" w:sz="0" w:space="0" w:color="auto"/>
        <w:left w:val="none" w:sz="0" w:space="0" w:color="auto"/>
        <w:bottom w:val="none" w:sz="0" w:space="0" w:color="auto"/>
        <w:right w:val="none" w:sz="0" w:space="0" w:color="auto"/>
      </w:divBdr>
    </w:div>
    <w:div w:id="2104645761">
      <w:bodyDiv w:val="1"/>
      <w:marLeft w:val="0"/>
      <w:marRight w:val="0"/>
      <w:marTop w:val="0"/>
      <w:marBottom w:val="0"/>
      <w:divBdr>
        <w:top w:val="none" w:sz="0" w:space="0" w:color="auto"/>
        <w:left w:val="none" w:sz="0" w:space="0" w:color="auto"/>
        <w:bottom w:val="none" w:sz="0" w:space="0" w:color="auto"/>
        <w:right w:val="none" w:sz="0" w:space="0" w:color="auto"/>
      </w:divBdr>
    </w:div>
    <w:div w:id="2112389060">
      <w:bodyDiv w:val="1"/>
      <w:marLeft w:val="0"/>
      <w:marRight w:val="0"/>
      <w:marTop w:val="0"/>
      <w:marBottom w:val="0"/>
      <w:divBdr>
        <w:top w:val="none" w:sz="0" w:space="0" w:color="auto"/>
        <w:left w:val="none" w:sz="0" w:space="0" w:color="auto"/>
        <w:bottom w:val="none" w:sz="0" w:space="0" w:color="auto"/>
        <w:right w:val="none" w:sz="0" w:space="0" w:color="auto"/>
      </w:divBdr>
    </w:div>
    <w:div w:id="2125072227">
      <w:bodyDiv w:val="1"/>
      <w:marLeft w:val="0"/>
      <w:marRight w:val="0"/>
      <w:marTop w:val="0"/>
      <w:marBottom w:val="0"/>
      <w:divBdr>
        <w:top w:val="none" w:sz="0" w:space="0" w:color="auto"/>
        <w:left w:val="none" w:sz="0" w:space="0" w:color="auto"/>
        <w:bottom w:val="none" w:sz="0" w:space="0" w:color="auto"/>
        <w:right w:val="none" w:sz="0" w:space="0" w:color="auto"/>
      </w:divBdr>
    </w:div>
    <w:div w:id="2129737746">
      <w:bodyDiv w:val="1"/>
      <w:marLeft w:val="0"/>
      <w:marRight w:val="0"/>
      <w:marTop w:val="0"/>
      <w:marBottom w:val="0"/>
      <w:divBdr>
        <w:top w:val="none" w:sz="0" w:space="0" w:color="auto"/>
        <w:left w:val="none" w:sz="0" w:space="0" w:color="auto"/>
        <w:bottom w:val="none" w:sz="0" w:space="0" w:color="auto"/>
        <w:right w:val="none" w:sz="0" w:space="0" w:color="auto"/>
      </w:divBdr>
    </w:div>
    <w:div w:id="2140681711">
      <w:marLeft w:val="0"/>
      <w:marRight w:val="0"/>
      <w:marTop w:val="0"/>
      <w:marBottom w:val="0"/>
      <w:divBdr>
        <w:top w:val="none" w:sz="0" w:space="0" w:color="auto"/>
        <w:left w:val="none" w:sz="0" w:space="0" w:color="auto"/>
        <w:bottom w:val="none" w:sz="0" w:space="0" w:color="auto"/>
        <w:right w:val="none" w:sz="0" w:space="0" w:color="auto"/>
      </w:divBdr>
      <w:divsChild>
        <w:div w:id="3639913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comments" Target="comments.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eader" Target="header1.xm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18/08/relationships/commentsExtensible" Target="commentsExtensible.xm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microsoft.com/office/2016/09/relationships/commentsIds" Target="commentsIds.xml"/><Relationship Id="rId28"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image" Target="media/image8.png"/><Relationship Id="rId31"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microsoft.com/office/2011/relationships/commentsExtended" Target="commentsExtended.xml"/><Relationship Id="rId27" Type="http://schemas.openxmlformats.org/officeDocument/2006/relationships/footer" Target="footer1.xml"/><Relationship Id="rId30" Type="http://schemas.openxmlformats.org/officeDocument/2006/relationships/fontTable" Target="fontTable.xml"/><Relationship Id="rId8"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hyperlink" Target="mailto:dirseccmarca-amazonas@cendoj.ramajudicial.gov.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13.jpg"/><Relationship Id="rId1" Type="http://schemas.openxmlformats.org/officeDocument/2006/relationships/image" Target="media/image12.png"/></Relationships>
</file>

<file path=word/_rels/footnotes.xml.rels><?xml version="1.0" encoding="UTF-8" standalone="yes"?>
<Relationships xmlns="http://schemas.openxmlformats.org/package/2006/relationships"><Relationship Id="rId1" Type="http://schemas.openxmlformats.org/officeDocument/2006/relationships/hyperlink" Target="https://www.funcionpublica.gov.co/eva/gestornormativo/norma.php?i=77653"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0.jpeg"/></Relationships>
</file>

<file path=word/_rels/header3.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5e3ecd6-0e77-4a3c-8e5e-12d77c2a4cee">
      <Terms xmlns="http://schemas.microsoft.com/office/infopath/2007/PartnerControls"/>
    </lcf76f155ced4ddcb4097134ff3c332f>
    <TaxCatchAll xmlns="1c44ea2b-37a5-49a4-b488-933a940bcb4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85986F040CDB540A8ACABDEA705E12E" ma:contentTypeVersion="15" ma:contentTypeDescription="Crear nuevo documento." ma:contentTypeScope="" ma:versionID="07a8bb9fe902f35eef69e497a1bbf9e4">
  <xsd:schema xmlns:xsd="http://www.w3.org/2001/XMLSchema" xmlns:xs="http://www.w3.org/2001/XMLSchema" xmlns:p="http://schemas.microsoft.com/office/2006/metadata/properties" xmlns:ns2="85e3ecd6-0e77-4a3c-8e5e-12d77c2a4cee" xmlns:ns3="1c44ea2b-37a5-49a4-b488-933a940bcb46" targetNamespace="http://schemas.microsoft.com/office/2006/metadata/properties" ma:root="true" ma:fieldsID="733f9adba5ef7dd1c52313dd6946aec5" ns2:_="" ns3:_="">
    <xsd:import namespace="85e3ecd6-0e77-4a3c-8e5e-12d77c2a4cee"/>
    <xsd:import namespace="1c44ea2b-37a5-49a4-b488-933a940bcb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e3ecd6-0e77-4a3c-8e5e-12d77c2a4c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e31b1466-370e-4680-8e95-6fcae1d3fa8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c44ea2b-37a5-49a4-b488-933a940bcb4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dff9730-c640-4c46-9f0f-4096398e1200}" ma:internalName="TaxCatchAll" ma:showField="CatchAllData" ma:web="1c44ea2b-37a5-49a4-b488-933a940bcb4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jObGiHADj02wE23RKU/ZNOdODdsQ==">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</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4D2B3-9F6D-4EDC-8B3C-1E53A1EF001F}">
  <ds:schemaRefs>
    <ds:schemaRef ds:uri="http://schemas.microsoft.com/office/2006/metadata/properties"/>
    <ds:schemaRef ds:uri="http://schemas.microsoft.com/office/infopath/2007/PartnerControls"/>
    <ds:schemaRef ds:uri="85e3ecd6-0e77-4a3c-8e5e-12d77c2a4cee"/>
    <ds:schemaRef ds:uri="1c44ea2b-37a5-49a4-b488-933a940bcb46"/>
  </ds:schemaRefs>
</ds:datastoreItem>
</file>

<file path=customXml/itemProps2.xml><?xml version="1.0" encoding="utf-8"?>
<ds:datastoreItem xmlns:ds="http://schemas.openxmlformats.org/officeDocument/2006/customXml" ds:itemID="{7B116EFB-F5B7-4C77-A330-511A436506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e3ecd6-0e77-4a3c-8e5e-12d77c2a4cee"/>
    <ds:schemaRef ds:uri="1c44ea2b-37a5-49a4-b488-933a940bcb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CCEBAC-C3D0-4EA3-BA7E-1DF753093417}">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361AA945-EC27-4A95-832B-00BE34529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7589</Words>
  <Characters>41743</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49234</CharactersWithSpaces>
  <SharedDoc>false</SharedDoc>
  <HLinks>
    <vt:vector size="162" baseType="variant">
      <vt:variant>
        <vt:i4>786512</vt:i4>
      </vt:variant>
      <vt:variant>
        <vt:i4>138</vt:i4>
      </vt:variant>
      <vt:variant>
        <vt:i4>0</vt:i4>
      </vt:variant>
      <vt:variant>
        <vt:i4>5</vt:i4>
      </vt:variant>
      <vt:variant>
        <vt:lpwstr>https://bienesrelevantes.colombiacompra.gov.co/upload</vt:lpwstr>
      </vt:variant>
      <vt:variant>
        <vt:lpwstr/>
      </vt:variant>
      <vt:variant>
        <vt:i4>7798794</vt:i4>
      </vt:variant>
      <vt:variant>
        <vt:i4>135</vt:i4>
      </vt:variant>
      <vt:variant>
        <vt:i4>0</vt:i4>
      </vt:variant>
      <vt:variant>
        <vt:i4>5</vt:i4>
      </vt:variant>
      <vt:variant>
        <vt:lpwstr>https://www.colombiacompra.gov.co/sites/cce_public/files/cce_documents/cce-eicp-gi-17_guia_para_aplicar_el_apoyo_o_promocion_a_la_industria_nacional_en_procesos_regidos_por_documentos_tipo22-06-2022.pdf</vt:lpwstr>
      </vt:variant>
      <vt:variant>
        <vt:lpwstr/>
      </vt:variant>
      <vt:variant>
        <vt:i4>1900596</vt:i4>
      </vt:variant>
      <vt:variant>
        <vt:i4>92</vt:i4>
      </vt:variant>
      <vt:variant>
        <vt:i4>0</vt:i4>
      </vt:variant>
      <vt:variant>
        <vt:i4>5</vt:i4>
      </vt:variant>
      <vt:variant>
        <vt:lpwstr/>
      </vt:variant>
      <vt:variant>
        <vt:lpwstr>_Toc156318241</vt:lpwstr>
      </vt:variant>
      <vt:variant>
        <vt:i4>1900596</vt:i4>
      </vt:variant>
      <vt:variant>
        <vt:i4>86</vt:i4>
      </vt:variant>
      <vt:variant>
        <vt:i4>0</vt:i4>
      </vt:variant>
      <vt:variant>
        <vt:i4>5</vt:i4>
      </vt:variant>
      <vt:variant>
        <vt:lpwstr/>
      </vt:variant>
      <vt:variant>
        <vt:lpwstr>_Toc156318240</vt:lpwstr>
      </vt:variant>
      <vt:variant>
        <vt:i4>1703988</vt:i4>
      </vt:variant>
      <vt:variant>
        <vt:i4>80</vt:i4>
      </vt:variant>
      <vt:variant>
        <vt:i4>0</vt:i4>
      </vt:variant>
      <vt:variant>
        <vt:i4>5</vt:i4>
      </vt:variant>
      <vt:variant>
        <vt:lpwstr/>
      </vt:variant>
      <vt:variant>
        <vt:lpwstr>_Toc156318239</vt:lpwstr>
      </vt:variant>
      <vt:variant>
        <vt:i4>1703988</vt:i4>
      </vt:variant>
      <vt:variant>
        <vt:i4>74</vt:i4>
      </vt:variant>
      <vt:variant>
        <vt:i4>0</vt:i4>
      </vt:variant>
      <vt:variant>
        <vt:i4>5</vt:i4>
      </vt:variant>
      <vt:variant>
        <vt:lpwstr/>
      </vt:variant>
      <vt:variant>
        <vt:lpwstr>_Toc156318238</vt:lpwstr>
      </vt:variant>
      <vt:variant>
        <vt:i4>1703988</vt:i4>
      </vt:variant>
      <vt:variant>
        <vt:i4>68</vt:i4>
      </vt:variant>
      <vt:variant>
        <vt:i4>0</vt:i4>
      </vt:variant>
      <vt:variant>
        <vt:i4>5</vt:i4>
      </vt:variant>
      <vt:variant>
        <vt:lpwstr/>
      </vt:variant>
      <vt:variant>
        <vt:lpwstr>_Toc156318237</vt:lpwstr>
      </vt:variant>
      <vt:variant>
        <vt:i4>1703988</vt:i4>
      </vt:variant>
      <vt:variant>
        <vt:i4>62</vt:i4>
      </vt:variant>
      <vt:variant>
        <vt:i4>0</vt:i4>
      </vt:variant>
      <vt:variant>
        <vt:i4>5</vt:i4>
      </vt:variant>
      <vt:variant>
        <vt:lpwstr/>
      </vt:variant>
      <vt:variant>
        <vt:lpwstr>_Toc156318236</vt:lpwstr>
      </vt:variant>
      <vt:variant>
        <vt:i4>1703988</vt:i4>
      </vt:variant>
      <vt:variant>
        <vt:i4>56</vt:i4>
      </vt:variant>
      <vt:variant>
        <vt:i4>0</vt:i4>
      </vt:variant>
      <vt:variant>
        <vt:i4>5</vt:i4>
      </vt:variant>
      <vt:variant>
        <vt:lpwstr/>
      </vt:variant>
      <vt:variant>
        <vt:lpwstr>_Toc156318235</vt:lpwstr>
      </vt:variant>
      <vt:variant>
        <vt:i4>1703988</vt:i4>
      </vt:variant>
      <vt:variant>
        <vt:i4>50</vt:i4>
      </vt:variant>
      <vt:variant>
        <vt:i4>0</vt:i4>
      </vt:variant>
      <vt:variant>
        <vt:i4>5</vt:i4>
      </vt:variant>
      <vt:variant>
        <vt:lpwstr/>
      </vt:variant>
      <vt:variant>
        <vt:lpwstr>_Toc156318234</vt:lpwstr>
      </vt:variant>
      <vt:variant>
        <vt:i4>1703988</vt:i4>
      </vt:variant>
      <vt:variant>
        <vt:i4>44</vt:i4>
      </vt:variant>
      <vt:variant>
        <vt:i4>0</vt:i4>
      </vt:variant>
      <vt:variant>
        <vt:i4>5</vt:i4>
      </vt:variant>
      <vt:variant>
        <vt:lpwstr/>
      </vt:variant>
      <vt:variant>
        <vt:lpwstr>_Toc156318233</vt:lpwstr>
      </vt:variant>
      <vt:variant>
        <vt:i4>1703988</vt:i4>
      </vt:variant>
      <vt:variant>
        <vt:i4>38</vt:i4>
      </vt:variant>
      <vt:variant>
        <vt:i4>0</vt:i4>
      </vt:variant>
      <vt:variant>
        <vt:i4>5</vt:i4>
      </vt:variant>
      <vt:variant>
        <vt:lpwstr/>
      </vt:variant>
      <vt:variant>
        <vt:lpwstr>_Toc156318232</vt:lpwstr>
      </vt:variant>
      <vt:variant>
        <vt:i4>1703988</vt:i4>
      </vt:variant>
      <vt:variant>
        <vt:i4>32</vt:i4>
      </vt:variant>
      <vt:variant>
        <vt:i4>0</vt:i4>
      </vt:variant>
      <vt:variant>
        <vt:i4>5</vt:i4>
      </vt:variant>
      <vt:variant>
        <vt:lpwstr/>
      </vt:variant>
      <vt:variant>
        <vt:lpwstr>_Toc156318231</vt:lpwstr>
      </vt:variant>
      <vt:variant>
        <vt:i4>1703988</vt:i4>
      </vt:variant>
      <vt:variant>
        <vt:i4>26</vt:i4>
      </vt:variant>
      <vt:variant>
        <vt:i4>0</vt:i4>
      </vt:variant>
      <vt:variant>
        <vt:i4>5</vt:i4>
      </vt:variant>
      <vt:variant>
        <vt:lpwstr/>
      </vt:variant>
      <vt:variant>
        <vt:lpwstr>_Toc156318230</vt:lpwstr>
      </vt:variant>
      <vt:variant>
        <vt:i4>1769524</vt:i4>
      </vt:variant>
      <vt:variant>
        <vt:i4>20</vt:i4>
      </vt:variant>
      <vt:variant>
        <vt:i4>0</vt:i4>
      </vt:variant>
      <vt:variant>
        <vt:i4>5</vt:i4>
      </vt:variant>
      <vt:variant>
        <vt:lpwstr/>
      </vt:variant>
      <vt:variant>
        <vt:lpwstr>_Toc156318229</vt:lpwstr>
      </vt:variant>
      <vt:variant>
        <vt:i4>1769524</vt:i4>
      </vt:variant>
      <vt:variant>
        <vt:i4>14</vt:i4>
      </vt:variant>
      <vt:variant>
        <vt:i4>0</vt:i4>
      </vt:variant>
      <vt:variant>
        <vt:i4>5</vt:i4>
      </vt:variant>
      <vt:variant>
        <vt:lpwstr/>
      </vt:variant>
      <vt:variant>
        <vt:lpwstr>_Toc156318228</vt:lpwstr>
      </vt:variant>
      <vt:variant>
        <vt:i4>1769524</vt:i4>
      </vt:variant>
      <vt:variant>
        <vt:i4>8</vt:i4>
      </vt:variant>
      <vt:variant>
        <vt:i4>0</vt:i4>
      </vt:variant>
      <vt:variant>
        <vt:i4>5</vt:i4>
      </vt:variant>
      <vt:variant>
        <vt:lpwstr/>
      </vt:variant>
      <vt:variant>
        <vt:lpwstr>_Toc156318227</vt:lpwstr>
      </vt:variant>
      <vt:variant>
        <vt:i4>1769524</vt:i4>
      </vt:variant>
      <vt:variant>
        <vt:i4>2</vt:i4>
      </vt:variant>
      <vt:variant>
        <vt:i4>0</vt:i4>
      </vt:variant>
      <vt:variant>
        <vt:i4>5</vt:i4>
      </vt:variant>
      <vt:variant>
        <vt:lpwstr/>
      </vt:variant>
      <vt:variant>
        <vt:lpwstr>_Toc156318226</vt:lpwstr>
      </vt:variant>
      <vt:variant>
        <vt:i4>2555940</vt:i4>
      </vt:variant>
      <vt:variant>
        <vt:i4>21</vt:i4>
      </vt:variant>
      <vt:variant>
        <vt:i4>0</vt:i4>
      </vt:variant>
      <vt:variant>
        <vt:i4>5</vt:i4>
      </vt:variant>
      <vt:variant>
        <vt:lpwstr>https://www.funcionpublica.gov.co/eva/gestornormativo/norma.php?i=77653</vt:lpwstr>
      </vt:variant>
      <vt:variant>
        <vt:lpwstr/>
      </vt:variant>
      <vt:variant>
        <vt:i4>2752592</vt:i4>
      </vt:variant>
      <vt:variant>
        <vt:i4>18</vt:i4>
      </vt:variant>
      <vt:variant>
        <vt:i4>0</vt:i4>
      </vt:variant>
      <vt:variant>
        <vt:i4>5</vt:i4>
      </vt:variant>
      <vt:variant>
        <vt:lpwstr>https://twitter.com/larepublica_co/status/1673851203392815105</vt:lpwstr>
      </vt:variant>
      <vt:variant>
        <vt:lpwstr/>
      </vt:variant>
      <vt:variant>
        <vt:i4>1769535</vt:i4>
      </vt:variant>
      <vt:variant>
        <vt:i4>15</vt:i4>
      </vt:variant>
      <vt:variant>
        <vt:i4>0</vt:i4>
      </vt:variant>
      <vt:variant>
        <vt:i4>5</vt:i4>
      </vt:variant>
      <vt:variant>
        <vt:lpwstr>https://www.funcionpublica.gov.co/eva/gestornormativo/norma_pdf.php?i=175187</vt:lpwstr>
      </vt:variant>
      <vt:variant>
        <vt:lpwstr>:~:text=Para%20los%20efectos%20previstos%20en,una%20igualdad%20real%20y%20efectiva</vt:lpwstr>
      </vt:variant>
      <vt:variant>
        <vt:i4>6946864</vt:i4>
      </vt:variant>
      <vt:variant>
        <vt:i4>12</vt:i4>
      </vt:variant>
      <vt:variant>
        <vt:i4>0</vt:i4>
      </vt:variant>
      <vt:variant>
        <vt:i4>5</vt:i4>
      </vt:variant>
      <vt:variant>
        <vt:lpwstr>https://relatoria.colombiacompra.gov.co/ficha/C-914 de 2022</vt:lpwstr>
      </vt:variant>
      <vt:variant>
        <vt:lpwstr/>
      </vt:variant>
      <vt:variant>
        <vt:i4>7471221</vt:i4>
      </vt:variant>
      <vt:variant>
        <vt:i4>9</vt:i4>
      </vt:variant>
      <vt:variant>
        <vt:i4>0</vt:i4>
      </vt:variant>
      <vt:variant>
        <vt:i4>5</vt:i4>
      </vt:variant>
      <vt:variant>
        <vt:lpwstr>https://www.colombiacompra.gov.co/colombia-compra/modelo-de-abastecimiento-estrategico</vt:lpwstr>
      </vt:variant>
      <vt:variant>
        <vt:lpwstr/>
      </vt:variant>
      <vt:variant>
        <vt:i4>5373966</vt:i4>
      </vt:variant>
      <vt:variant>
        <vt:i4>3</vt:i4>
      </vt:variant>
      <vt:variant>
        <vt:i4>0</vt:i4>
      </vt:variant>
      <vt:variant>
        <vt:i4>5</vt:i4>
      </vt:variant>
      <vt:variant>
        <vt:lpwstr>https://www.colombiacompra.gov.co/clasificador-de-bienes-y-Servicios</vt:lpwstr>
      </vt:variant>
      <vt:variant>
        <vt:lpwstr/>
      </vt:variant>
      <vt:variant>
        <vt:i4>2555940</vt:i4>
      </vt:variant>
      <vt:variant>
        <vt:i4>0</vt:i4>
      </vt:variant>
      <vt:variant>
        <vt:i4>0</vt:i4>
      </vt:variant>
      <vt:variant>
        <vt:i4>5</vt:i4>
      </vt:variant>
      <vt:variant>
        <vt:lpwstr>https://www.funcionpublica.gov.co/eva/gestornormativo/norma.php?i=77653</vt:lpwstr>
      </vt:variant>
      <vt:variant>
        <vt:lpwstr/>
      </vt:variant>
      <vt:variant>
        <vt:i4>7667758</vt:i4>
      </vt:variant>
      <vt:variant>
        <vt:i4>3</vt:i4>
      </vt:variant>
      <vt:variant>
        <vt:i4>0</vt:i4>
      </vt:variant>
      <vt:variant>
        <vt:i4>5</vt:i4>
      </vt:variant>
      <vt:variant>
        <vt:lpwstr>http://www.sci.org.co/</vt:lpwstr>
      </vt:variant>
      <vt:variant>
        <vt:lpwstr/>
      </vt:variant>
      <vt:variant>
        <vt:i4>3997708</vt:i4>
      </vt:variant>
      <vt:variant>
        <vt:i4>0</vt:i4>
      </vt:variant>
      <vt:variant>
        <vt:i4>0</vt:i4>
      </vt:variant>
      <vt:variant>
        <vt:i4>5</vt:i4>
      </vt:variant>
      <vt:variant>
        <vt:lpwstr>mailto:lloranav@deaj.ramajudicial.gov.co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jairo andres paez</dc:creator>
  <cp:lastModifiedBy>Heidy Rodriguez Lezama</cp:lastModifiedBy>
  <cp:revision>2</cp:revision>
  <cp:lastPrinted>2025-03-05T15:36:00Z</cp:lastPrinted>
  <dcterms:created xsi:type="dcterms:W3CDTF">2026-08-05T19:38:00Z</dcterms:created>
  <dcterms:modified xsi:type="dcterms:W3CDTF">2026-08-05T19:38:00Z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0x010100E85986F040CDB540A8ACABDEA705E12E</vt:lpwstr>
  </property>
  <property fmtid="{D5CDD505-2E9C-101B-9397-08002B2CF9AE}" pid="3" name="MediaServiceImageTags">
    <vt:lpwstr/>
  </property>
</Properties>
</file>