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6C877" w14:textId="53E13751" w:rsidR="00090BEA" w:rsidRPr="00090BEA" w:rsidRDefault="00090BEA" w:rsidP="00090BEA">
      <w:pPr>
        <w:jc w:val="both"/>
        <w:rPr>
          <w:rFonts w:ascii="Arial" w:hAnsi="Arial" w:cs="Arial"/>
          <w:b/>
          <w:sz w:val="20"/>
          <w:szCs w:val="20"/>
        </w:rPr>
      </w:pPr>
    </w:p>
    <w:p w14:paraId="2DC82A4F" w14:textId="77777777" w:rsidR="00090BEA" w:rsidRPr="00090BEA" w:rsidRDefault="00090BEA" w:rsidP="00090BEA">
      <w:pPr>
        <w:jc w:val="both"/>
        <w:rPr>
          <w:rFonts w:ascii="Arial" w:hAnsi="Arial" w:cs="Arial"/>
          <w:sz w:val="20"/>
          <w:szCs w:val="20"/>
        </w:rPr>
      </w:pPr>
    </w:p>
    <w:p w14:paraId="730BD683" w14:textId="77777777" w:rsidR="00090BEA" w:rsidRPr="00090BEA" w:rsidRDefault="00090BEA" w:rsidP="00090BEA">
      <w:pPr>
        <w:jc w:val="both"/>
        <w:rPr>
          <w:rFonts w:ascii="Arial" w:hAnsi="Arial" w:cs="Arial"/>
          <w:sz w:val="20"/>
          <w:szCs w:val="20"/>
        </w:rPr>
      </w:pPr>
      <w:r w:rsidRPr="00090BEA">
        <w:rPr>
          <w:rFonts w:ascii="Arial" w:hAnsi="Arial" w:cs="Arial"/>
          <w:b/>
          <w:sz w:val="20"/>
          <w:szCs w:val="20"/>
        </w:rPr>
        <w:t>AVISO DE CONVOCATORIA NRO.</w:t>
      </w:r>
      <w:r w:rsidRPr="00090BEA">
        <w:rPr>
          <w:rFonts w:ascii="Arial" w:hAnsi="Arial" w:cs="Arial"/>
          <w:b/>
          <w:bCs/>
          <w:sz w:val="20"/>
          <w:szCs w:val="20"/>
        </w:rPr>
        <w:t>1</w:t>
      </w:r>
    </w:p>
    <w:p w14:paraId="28315A2D" w14:textId="77777777" w:rsidR="00090BEA" w:rsidRPr="00090BEA" w:rsidRDefault="00090BEA" w:rsidP="00090BEA">
      <w:pPr>
        <w:jc w:val="both"/>
        <w:rPr>
          <w:rFonts w:ascii="Arial" w:hAnsi="Arial" w:cs="Arial"/>
          <w:sz w:val="20"/>
          <w:szCs w:val="20"/>
        </w:rPr>
      </w:pPr>
    </w:p>
    <w:p w14:paraId="085D2A1F"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 alcaldía municipal de Cocorná de conformidad a lo establecido en el artículo 2.2.1.1.2.1.2 del Decreto 1082 de 2015, convoca públicamente a todas las personas naturales y jurídicas interesadas en participar en el proceso teniendo en cuenta lo siguiente:</w:t>
      </w:r>
    </w:p>
    <w:p w14:paraId="79259C75" w14:textId="77777777" w:rsidR="00090BEA" w:rsidRPr="00090BEA" w:rsidRDefault="00090BEA" w:rsidP="00090BEA">
      <w:pPr>
        <w:jc w:val="both"/>
        <w:rPr>
          <w:rFonts w:ascii="Arial" w:hAnsi="Arial" w:cs="Arial"/>
          <w:sz w:val="20"/>
          <w:szCs w:val="20"/>
        </w:rPr>
      </w:pPr>
    </w:p>
    <w:p w14:paraId="32F0335C"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COMUNICACIONES</w:t>
      </w:r>
    </w:p>
    <w:p w14:paraId="43EF17D4" w14:textId="77777777" w:rsidR="00090BEA" w:rsidRPr="00090BEA" w:rsidRDefault="00090BEA" w:rsidP="00090BEA">
      <w:pPr>
        <w:jc w:val="both"/>
        <w:rPr>
          <w:rFonts w:ascii="Arial" w:hAnsi="Arial" w:cs="Arial"/>
          <w:sz w:val="20"/>
          <w:szCs w:val="20"/>
        </w:rPr>
      </w:pPr>
    </w:p>
    <w:p w14:paraId="4671FDD3"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La alcaldía municipal de Cocorná  informará a los interesados todos los asuntos relacionados con el presente proceso de selección de manera exclusiva, a través de la plataforma SECOP II, siendo este el único canal de comunicación, entre las partes: </w:t>
      </w:r>
      <w:hyperlink r:id="rId7">
        <w:r w:rsidRPr="00090BEA">
          <w:rPr>
            <w:rFonts w:ascii="Arial" w:hAnsi="Arial" w:cs="Arial"/>
            <w:color w:val="0000FF"/>
            <w:sz w:val="20"/>
            <w:szCs w:val="20"/>
            <w:u w:val="single"/>
          </w:rPr>
          <w:t>https://www.colombiacompra.gov.co/secop-ii</w:t>
        </w:r>
      </w:hyperlink>
      <w:r w:rsidRPr="00090BEA">
        <w:rPr>
          <w:rFonts w:ascii="Arial" w:hAnsi="Arial" w:cs="Arial"/>
          <w:color w:val="0000FF"/>
          <w:sz w:val="20"/>
          <w:szCs w:val="20"/>
        </w:rPr>
        <w:t xml:space="preserve"> </w:t>
      </w:r>
    </w:p>
    <w:p w14:paraId="1E237161" w14:textId="77777777" w:rsidR="00090BEA" w:rsidRPr="00090BEA" w:rsidRDefault="00090BEA" w:rsidP="00090BEA">
      <w:pPr>
        <w:jc w:val="both"/>
        <w:rPr>
          <w:rFonts w:ascii="Arial" w:hAnsi="Arial" w:cs="Arial"/>
          <w:sz w:val="20"/>
          <w:szCs w:val="20"/>
        </w:rPr>
      </w:pPr>
    </w:p>
    <w:p w14:paraId="50C15507"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Únicamente en caso de que se presente indisponibilidad de la plataforma y en cumplimiento de la guía establecida para ello por Colombia Compra Eficiente, se pondrá a disposición de los interesados el correo: gobierno@cocorna-antioquia.gov.co</w:t>
      </w:r>
    </w:p>
    <w:p w14:paraId="23E7CFA0" w14:textId="77777777" w:rsidR="00090BEA" w:rsidRPr="00090BEA" w:rsidRDefault="00090BEA" w:rsidP="00090BEA">
      <w:pPr>
        <w:jc w:val="both"/>
        <w:rPr>
          <w:rFonts w:ascii="Arial" w:hAnsi="Arial" w:cs="Arial"/>
          <w:sz w:val="20"/>
          <w:szCs w:val="20"/>
        </w:rPr>
      </w:pPr>
    </w:p>
    <w:p w14:paraId="0F14FE0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OBJETO</w:t>
      </w:r>
    </w:p>
    <w:p w14:paraId="3362F2CB" w14:textId="1AC7C401" w:rsidR="00090BEA" w:rsidRPr="00090BEA" w:rsidRDefault="00505374" w:rsidP="00090BEA">
      <w:pPr>
        <w:jc w:val="both"/>
        <w:rPr>
          <w:rFonts w:ascii="Arial" w:hAnsi="Arial" w:cs="Arial"/>
          <w:sz w:val="20"/>
          <w:szCs w:val="20"/>
          <w:lang w:val="es-ES"/>
        </w:rPr>
      </w:pPr>
      <w:r w:rsidRPr="00505374">
        <w:rPr>
          <w:rFonts w:ascii="Arial" w:hAnsi="Arial" w:cs="Arial"/>
          <w:b/>
          <w:sz w:val="20"/>
          <w:szCs w:val="20"/>
          <w:lang w:val="es-MX"/>
        </w:rPr>
        <w:t>FORTALECIMIENTO DE SISTEMAS AGROFORESTALES PARA LA RESTAURACIÓN PRODUCTIVA DE CULTIVOS DE CAFÉ EN COCORNÁ</w:t>
      </w:r>
      <w:r w:rsidR="00090BEA" w:rsidRPr="00090BEA">
        <w:rPr>
          <w:rFonts w:ascii="Arial" w:hAnsi="Arial" w:cs="Arial"/>
          <w:sz w:val="20"/>
          <w:szCs w:val="20"/>
          <w:lang w:val="es-ES"/>
        </w:rPr>
        <w:t>.</w:t>
      </w:r>
    </w:p>
    <w:p w14:paraId="760926D1" w14:textId="77777777" w:rsidR="00090BEA" w:rsidRPr="00090BEA" w:rsidRDefault="00090BEA" w:rsidP="00090BEA">
      <w:pPr>
        <w:jc w:val="both"/>
        <w:rPr>
          <w:rFonts w:ascii="Arial" w:hAnsi="Arial" w:cs="Arial"/>
          <w:sz w:val="20"/>
          <w:szCs w:val="20"/>
        </w:rPr>
      </w:pPr>
    </w:p>
    <w:p w14:paraId="58230E4B" w14:textId="77777777" w:rsidR="00090BEA" w:rsidRPr="00090BEA" w:rsidRDefault="00090BEA" w:rsidP="00090BEA">
      <w:pPr>
        <w:jc w:val="both"/>
        <w:rPr>
          <w:rFonts w:ascii="Arial" w:hAnsi="Arial" w:cs="Arial"/>
          <w:sz w:val="20"/>
          <w:szCs w:val="20"/>
        </w:rPr>
      </w:pPr>
    </w:p>
    <w:p w14:paraId="53E84284"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ESPECIFICACIONES</w:t>
      </w:r>
    </w:p>
    <w:p w14:paraId="104C91AE" w14:textId="77777777" w:rsidR="00090BEA" w:rsidRPr="00090BEA" w:rsidRDefault="00090BEA" w:rsidP="00090BEA">
      <w:pPr>
        <w:jc w:val="both"/>
        <w:rPr>
          <w:rFonts w:ascii="Arial" w:hAnsi="Arial" w:cs="Arial"/>
          <w:sz w:val="20"/>
          <w:szCs w:val="20"/>
        </w:rPr>
      </w:pPr>
    </w:p>
    <w:p w14:paraId="647D7DE0"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especificaciones técnicas se encuentran escritas en el Estudio Previo y demás anexos, los cuales hacen parte integral del proceso de selección.</w:t>
      </w:r>
    </w:p>
    <w:p w14:paraId="3D52E706" w14:textId="77777777" w:rsidR="00090BEA" w:rsidRPr="00090BEA" w:rsidRDefault="00090BEA" w:rsidP="00090BEA">
      <w:pPr>
        <w:jc w:val="both"/>
        <w:rPr>
          <w:rFonts w:ascii="Arial" w:hAnsi="Arial" w:cs="Arial"/>
          <w:sz w:val="20"/>
          <w:szCs w:val="20"/>
        </w:rPr>
      </w:pPr>
    </w:p>
    <w:p w14:paraId="30759331"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MODALIDAD DE SELECCIÓN</w:t>
      </w:r>
    </w:p>
    <w:p w14:paraId="299C999E" w14:textId="77777777" w:rsidR="00090BEA" w:rsidRPr="00090BEA" w:rsidRDefault="00090BEA" w:rsidP="00090BEA">
      <w:pPr>
        <w:jc w:val="both"/>
        <w:rPr>
          <w:rFonts w:ascii="Arial" w:hAnsi="Arial" w:cs="Arial"/>
          <w:sz w:val="20"/>
          <w:szCs w:val="20"/>
        </w:rPr>
      </w:pPr>
    </w:p>
    <w:p w14:paraId="77BDFB91"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lastRenderedPageBreak/>
        <w:t>Selección abreviada de menor cuantía</w:t>
      </w:r>
      <w:r w:rsidRPr="00090BEA">
        <w:rPr>
          <w:rFonts w:ascii="Arial" w:hAnsi="Arial" w:cs="Arial"/>
          <w:color w:val="C00000"/>
          <w:sz w:val="20"/>
          <w:szCs w:val="20"/>
        </w:rPr>
        <w:t xml:space="preserve"> </w:t>
      </w:r>
    </w:p>
    <w:p w14:paraId="4E68DA38" w14:textId="77777777" w:rsidR="00090BEA" w:rsidRPr="00090BEA" w:rsidRDefault="00090BEA" w:rsidP="00090BEA">
      <w:pPr>
        <w:jc w:val="both"/>
        <w:rPr>
          <w:rFonts w:ascii="Arial" w:hAnsi="Arial" w:cs="Arial"/>
          <w:sz w:val="20"/>
          <w:szCs w:val="20"/>
        </w:rPr>
      </w:pPr>
    </w:p>
    <w:p w14:paraId="27886997"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PLAZO DE EJECUCIÓN</w:t>
      </w:r>
    </w:p>
    <w:p w14:paraId="37479821" w14:textId="77777777" w:rsidR="00090BEA" w:rsidRPr="00090BEA" w:rsidRDefault="00090BEA" w:rsidP="00090BEA">
      <w:pPr>
        <w:jc w:val="both"/>
        <w:rPr>
          <w:rFonts w:ascii="Arial" w:hAnsi="Arial" w:cs="Arial"/>
          <w:sz w:val="20"/>
          <w:szCs w:val="20"/>
        </w:rPr>
      </w:pPr>
    </w:p>
    <w:p w14:paraId="3BFD92AD" w14:textId="620C35AF" w:rsidR="00090BEA" w:rsidRPr="00090BEA" w:rsidRDefault="00505374" w:rsidP="00090BEA">
      <w:pPr>
        <w:jc w:val="both"/>
        <w:rPr>
          <w:rFonts w:ascii="Arial" w:hAnsi="Arial" w:cs="Arial"/>
          <w:sz w:val="20"/>
          <w:szCs w:val="20"/>
        </w:rPr>
      </w:pPr>
      <w:r w:rsidRPr="00505374">
        <w:rPr>
          <w:rFonts w:ascii="Arial" w:hAnsi="Arial" w:cs="Arial"/>
          <w:sz w:val="20"/>
          <w:szCs w:val="20"/>
        </w:rPr>
        <w:t>EL PLAZO DE EJECUCIÓN DEL CONTRATO SERÁ DE DOS (2) MESES, TÉRMINO CONTADO A PARTIR DE LA SUSCRIPCIÓN DEL ACTA DE INICIO, PREVIO CUMPLIMIENTO DE LOS REQUISITOS DE PERFECCIONAMIENTO Y EJECUCIÓN DEL CONTRATO Y SIN SUPERAR EL 31 DE DICIEMBRE DE 2026.</w:t>
      </w:r>
    </w:p>
    <w:p w14:paraId="09F0C59A"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PRESENTACIÓN DE OFERTAS</w:t>
      </w:r>
    </w:p>
    <w:p w14:paraId="74D954BF" w14:textId="77777777" w:rsidR="00090BEA" w:rsidRPr="00090BEA" w:rsidRDefault="00090BEA" w:rsidP="00090BEA">
      <w:pPr>
        <w:jc w:val="both"/>
        <w:rPr>
          <w:rFonts w:ascii="Arial" w:hAnsi="Arial" w:cs="Arial"/>
          <w:sz w:val="20"/>
          <w:szCs w:val="20"/>
        </w:rPr>
      </w:pPr>
    </w:p>
    <w:p w14:paraId="50951F3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Los proponentes deben presentar sus ofertas escaneadas o digitalizadas por medio del botón establecido para ello dentro de SECOP II, con los formatos contenidos, en la fecha establecida en el cronograma, y acompañadas de los documentos solicitados en esta sección, así como de la garantía de seriedad de la oferta.</w:t>
      </w:r>
    </w:p>
    <w:p w14:paraId="03DC711B" w14:textId="77777777" w:rsidR="00090BEA" w:rsidRPr="00090BEA" w:rsidRDefault="00090BEA" w:rsidP="00090BEA">
      <w:pPr>
        <w:jc w:val="both"/>
        <w:rPr>
          <w:rFonts w:ascii="Arial" w:hAnsi="Arial" w:cs="Arial"/>
          <w:sz w:val="20"/>
          <w:szCs w:val="20"/>
        </w:rPr>
      </w:pPr>
    </w:p>
    <w:p w14:paraId="3AEBDBA5"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ofertas estarán vigentes por el término de noventa (90) días calendario, contados desde la fecha de presentación de ofertas establecidas en el cronograma.</w:t>
      </w:r>
    </w:p>
    <w:p w14:paraId="055623AF" w14:textId="77777777" w:rsidR="00090BEA" w:rsidRPr="00090BEA" w:rsidRDefault="00090BEA" w:rsidP="00090BEA">
      <w:pPr>
        <w:jc w:val="both"/>
        <w:rPr>
          <w:rFonts w:ascii="Arial" w:hAnsi="Arial" w:cs="Arial"/>
          <w:sz w:val="20"/>
          <w:szCs w:val="20"/>
        </w:rPr>
      </w:pPr>
    </w:p>
    <w:p w14:paraId="54A3A2C6"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La presentación de la oferta implica la aceptación por parte del proponente de la distribución de riesgos efectuada dentro del presente proceso, estudios previos, matriz de riesgos, pliego electrónico, sus adendas y demás anexos. </w:t>
      </w:r>
    </w:p>
    <w:p w14:paraId="24A87A98" w14:textId="77777777" w:rsidR="00090BEA" w:rsidRPr="00090BEA" w:rsidRDefault="00090BEA" w:rsidP="00090BEA">
      <w:pPr>
        <w:jc w:val="both"/>
        <w:rPr>
          <w:rFonts w:ascii="Arial" w:hAnsi="Arial" w:cs="Arial"/>
          <w:sz w:val="20"/>
          <w:szCs w:val="20"/>
        </w:rPr>
      </w:pPr>
    </w:p>
    <w:p w14:paraId="6E73EBF0"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Toda propuesta que se presente fuera del término del proceso; que sea remitida en físico, por mensaje, correo electrónico; o que sea entregada en lugar diferente al señalado dentro de la plataforma SECOP II será RECHAZADA, excepto cuando se configure lo indicado en la guía de indisponibilidad.</w:t>
      </w:r>
    </w:p>
    <w:p w14:paraId="702F4468" w14:textId="77777777" w:rsidR="00090BEA" w:rsidRPr="00090BEA" w:rsidRDefault="00090BEA" w:rsidP="00090BEA">
      <w:pPr>
        <w:jc w:val="both"/>
        <w:rPr>
          <w:rFonts w:ascii="Arial" w:hAnsi="Arial" w:cs="Arial"/>
          <w:sz w:val="20"/>
          <w:szCs w:val="20"/>
        </w:rPr>
      </w:pPr>
    </w:p>
    <w:p w14:paraId="60602B1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PRESUPUESTO DISPONIBLE</w:t>
      </w:r>
    </w:p>
    <w:p w14:paraId="6462CF93" w14:textId="77777777" w:rsidR="00090BEA" w:rsidRPr="00090BEA" w:rsidRDefault="00090BEA" w:rsidP="00090BEA">
      <w:pPr>
        <w:jc w:val="both"/>
        <w:rPr>
          <w:rFonts w:ascii="Arial" w:hAnsi="Arial" w:cs="Arial"/>
          <w:sz w:val="20"/>
          <w:szCs w:val="20"/>
        </w:rPr>
      </w:pPr>
    </w:p>
    <w:p w14:paraId="3DC224A7" w14:textId="66A21B72" w:rsidR="00090BEA" w:rsidRPr="00090BEA" w:rsidRDefault="00090BEA" w:rsidP="00090BEA">
      <w:pPr>
        <w:pBdr>
          <w:top w:val="nil"/>
          <w:left w:val="nil"/>
          <w:bottom w:val="nil"/>
          <w:right w:val="nil"/>
          <w:between w:val="nil"/>
        </w:pBdr>
        <w:spacing w:line="240" w:lineRule="auto"/>
        <w:jc w:val="both"/>
        <w:rPr>
          <w:rFonts w:ascii="Arial" w:eastAsia="Arial" w:hAnsi="Arial" w:cs="Arial"/>
          <w:color w:val="000000"/>
          <w:sz w:val="20"/>
          <w:szCs w:val="20"/>
        </w:rPr>
      </w:pPr>
      <w:r w:rsidRPr="00090BEA">
        <w:rPr>
          <w:rFonts w:ascii="Arial" w:hAnsi="Arial" w:cs="Arial"/>
          <w:sz w:val="20"/>
          <w:szCs w:val="20"/>
        </w:rPr>
        <w:t xml:space="preserve">El presupuesto total del contrato será hasta por la suma de </w:t>
      </w:r>
      <w:r w:rsidR="00505374">
        <w:rPr>
          <w:rFonts w:ascii="Arial" w:hAnsi="Arial" w:cs="Arial"/>
          <w:bCs/>
          <w:sz w:val="20"/>
          <w:szCs w:val="20"/>
        </w:rPr>
        <w:t xml:space="preserve">$62.831.000 </w:t>
      </w:r>
      <w:r w:rsidRPr="00090BEA">
        <w:rPr>
          <w:rFonts w:ascii="Arial" w:hAnsi="Arial" w:cs="Arial"/>
          <w:sz w:val="20"/>
          <w:szCs w:val="20"/>
        </w:rPr>
        <w:t>incluido IVA y demás impuestos de ley a los que hubiera lugar. Dentro de este valor se encuentran incluidos todos los costos directos e indirectos en que se incurra durante la ejecución del contrato, así como todos los impuestos, tasas y contribuciones.</w:t>
      </w:r>
    </w:p>
    <w:p w14:paraId="5C04E3DF" w14:textId="77777777" w:rsidR="00090BEA" w:rsidRPr="00090BEA" w:rsidRDefault="00090BEA" w:rsidP="00090BEA">
      <w:pPr>
        <w:jc w:val="both"/>
        <w:rPr>
          <w:rFonts w:ascii="Arial" w:hAnsi="Arial" w:cs="Arial"/>
          <w:sz w:val="20"/>
          <w:szCs w:val="20"/>
        </w:rPr>
      </w:pPr>
    </w:p>
    <w:p w14:paraId="42A6CD9C" w14:textId="5CCA52C3" w:rsidR="00090BEA" w:rsidRPr="00090BEA" w:rsidRDefault="00090BEA" w:rsidP="00090BEA">
      <w:pPr>
        <w:jc w:val="both"/>
        <w:rPr>
          <w:rFonts w:ascii="Arial" w:hAnsi="Arial" w:cs="Arial"/>
          <w:sz w:val="20"/>
          <w:szCs w:val="20"/>
        </w:rPr>
      </w:pPr>
      <w:r w:rsidRPr="00090BEA">
        <w:rPr>
          <w:rFonts w:ascii="Arial" w:hAnsi="Arial" w:cs="Arial"/>
          <w:sz w:val="20"/>
          <w:szCs w:val="20"/>
        </w:rPr>
        <w:t>La alcaldía de Cocorná  cuenta con el Certificado de Disponibilidad Presupuestal CDP nro.</w:t>
      </w:r>
      <w:r w:rsidR="00505374">
        <w:rPr>
          <w:rFonts w:ascii="Arial" w:hAnsi="Arial" w:cs="Arial"/>
          <w:sz w:val="20"/>
          <w:szCs w:val="20"/>
        </w:rPr>
        <w:t>868 DE 2026</w:t>
      </w:r>
    </w:p>
    <w:p w14:paraId="142AAD38" w14:textId="77777777" w:rsidR="00090BEA" w:rsidRPr="00090BEA" w:rsidRDefault="00090BEA" w:rsidP="00090BEA">
      <w:pPr>
        <w:jc w:val="both"/>
        <w:rPr>
          <w:rFonts w:ascii="Arial" w:hAnsi="Arial" w:cs="Arial"/>
          <w:sz w:val="20"/>
          <w:szCs w:val="20"/>
        </w:rPr>
      </w:pPr>
    </w:p>
    <w:p w14:paraId="44440520"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ACUERDO INTERNACIONAL O TRATADO DE LIBRE COMERCIO</w:t>
      </w:r>
    </w:p>
    <w:p w14:paraId="3AD5ED5E"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Para este proceso no aplican tratados internacionales, teniendo en cuenta que conforme a lo dispuesto por el estatuto Orgánico del Sistema Financiero, los seguros deben ser contratados con compañías de seguros debidamente autorizadas por la Superintendencia Financiera de Colombia. Excepcionalmente, los residentes colombianos pueden tomar seguros en el exterior para sus riesgos personales cuando se encuentran temporalmente fuera del país o con autorización previa de la SFC por razones de interés público, para el caso de riesgos respecto de los bienes situados o matriculados en el país. </w:t>
      </w:r>
    </w:p>
    <w:p w14:paraId="3C000F22" w14:textId="77777777" w:rsidR="0010225D" w:rsidRPr="0026460E" w:rsidRDefault="0010225D" w:rsidP="0010225D">
      <w:pPr>
        <w:spacing w:after="0"/>
        <w:jc w:val="both"/>
        <w:rPr>
          <w:rFonts w:ascii="Arial" w:eastAsia="Arial" w:hAnsi="Arial" w:cs="Arial"/>
          <w:sz w:val="18"/>
          <w:szCs w:val="18"/>
        </w:rPr>
      </w:pPr>
    </w:p>
    <w:p w14:paraId="695158FA"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En este sentido, las entidades del exterior no pueden promocionar productos o servicios de seguros en Colombia ni a residentes colombianos (distintos de reaseguros), y estos no pueden contratar seguros con tales entidades, so pena de que el contrato no pueda ser ejecutado en Colombia, además de las sanciones que puede imponer la superintendencia financiera de Colombia a los tomadores del seguro y a las entidades extranjeras que ofrezcan estos servicios sin la autorización requerida. </w:t>
      </w:r>
    </w:p>
    <w:p w14:paraId="70CF4F8D" w14:textId="77777777" w:rsidR="0010225D" w:rsidRPr="0026460E" w:rsidRDefault="0010225D" w:rsidP="0010225D">
      <w:pPr>
        <w:spacing w:after="0"/>
        <w:jc w:val="both"/>
        <w:rPr>
          <w:rFonts w:ascii="Arial" w:eastAsia="Arial" w:hAnsi="Arial" w:cs="Arial"/>
          <w:sz w:val="18"/>
          <w:szCs w:val="18"/>
        </w:rPr>
      </w:pPr>
    </w:p>
    <w:p w14:paraId="5C2BC12B"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La Constitución Nacional establece que la actividad aseguradora en Colombia es de interés público razón por la cual solo puede ser ejercida en el país previa autorización del Estado. (Ver artículo 335 C.N.) 5 Por ello, cualquier persona que desee desarrollar el negocio de los seguros en Colombia debe contar con la autorización previa de la Superintendencia Financiera de Colombia. (Ver artículos 39 y 108, numeral 3º EOSF). </w:t>
      </w:r>
    </w:p>
    <w:p w14:paraId="159E6CA9" w14:textId="77777777" w:rsidR="0010225D" w:rsidRPr="0026460E" w:rsidRDefault="0010225D" w:rsidP="0010225D">
      <w:pPr>
        <w:spacing w:after="0"/>
        <w:jc w:val="both"/>
        <w:rPr>
          <w:rFonts w:ascii="Arial" w:eastAsia="Arial" w:hAnsi="Arial" w:cs="Arial"/>
          <w:sz w:val="18"/>
          <w:szCs w:val="18"/>
        </w:rPr>
      </w:pPr>
    </w:p>
    <w:p w14:paraId="79BB414B" w14:textId="77777777" w:rsidR="0010225D" w:rsidRPr="0026460E" w:rsidRDefault="0010225D" w:rsidP="0010225D">
      <w:pPr>
        <w:spacing w:after="0"/>
        <w:jc w:val="both"/>
        <w:rPr>
          <w:rFonts w:ascii="Arial" w:eastAsia="Arial" w:hAnsi="Arial" w:cs="Arial"/>
          <w:sz w:val="18"/>
          <w:szCs w:val="18"/>
        </w:rPr>
      </w:pPr>
      <w:r w:rsidRPr="0026460E">
        <w:rPr>
          <w:rFonts w:ascii="Arial" w:eastAsia="Arial" w:hAnsi="Arial" w:cs="Arial"/>
          <w:sz w:val="18"/>
          <w:szCs w:val="18"/>
        </w:rPr>
        <w:t xml:space="preserve">Para desarrollar la actividad aseguradora en Colombia debe constituirse en el país una entidad bajo la forma de sociedad anónima mercantil o asociación cooperativa, una vez obtenida la autorización expresa de la Superintendencia Financiera de Colombia. </w:t>
      </w:r>
    </w:p>
    <w:p w14:paraId="1FC4D967" w14:textId="77777777" w:rsidR="0010225D" w:rsidRPr="0026460E" w:rsidRDefault="0010225D" w:rsidP="0010225D">
      <w:pPr>
        <w:spacing w:after="0"/>
        <w:jc w:val="both"/>
        <w:rPr>
          <w:rFonts w:ascii="Arial" w:eastAsia="Arial" w:hAnsi="Arial" w:cs="Arial"/>
          <w:sz w:val="18"/>
          <w:szCs w:val="18"/>
        </w:rPr>
      </w:pPr>
    </w:p>
    <w:p w14:paraId="3C9A85E0" w14:textId="77777777" w:rsidR="00090BEA" w:rsidRPr="00090BEA" w:rsidRDefault="00090BEA" w:rsidP="00090BEA">
      <w:pPr>
        <w:jc w:val="both"/>
        <w:rPr>
          <w:rFonts w:ascii="Arial" w:hAnsi="Arial" w:cs="Arial"/>
          <w:sz w:val="20"/>
          <w:szCs w:val="20"/>
        </w:rPr>
      </w:pPr>
    </w:p>
    <w:p w14:paraId="0F0EC0B7" w14:textId="77777777" w:rsidR="00090BEA" w:rsidRPr="00090BEA" w:rsidRDefault="00090BEA" w:rsidP="00090BEA">
      <w:pPr>
        <w:jc w:val="both"/>
        <w:rPr>
          <w:rFonts w:ascii="Arial" w:hAnsi="Arial" w:cs="Arial"/>
          <w:sz w:val="20"/>
          <w:szCs w:val="20"/>
        </w:rPr>
      </w:pPr>
    </w:p>
    <w:p w14:paraId="61E4C07F" w14:textId="1DB3E9CC" w:rsidR="00090BEA" w:rsidRPr="006C33A0" w:rsidRDefault="00090BEA" w:rsidP="00090BEA">
      <w:pPr>
        <w:jc w:val="both"/>
        <w:rPr>
          <w:rFonts w:ascii="Arial" w:hAnsi="Arial" w:cs="Arial"/>
          <w:b/>
          <w:sz w:val="20"/>
          <w:szCs w:val="20"/>
        </w:rPr>
      </w:pPr>
      <w:r w:rsidRPr="00090BEA">
        <w:rPr>
          <w:rFonts w:ascii="Arial" w:hAnsi="Arial" w:cs="Arial"/>
          <w:b/>
          <w:sz w:val="20"/>
          <w:szCs w:val="20"/>
        </w:rPr>
        <w:t>CONVOCATORIA LIMITADA A MIPYMES</w:t>
      </w:r>
    </w:p>
    <w:p w14:paraId="1FB9ACD8"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 convocatoria será limitada a MIPYME cuando se dé cumplimiento a lo establecido en el artículo 2.2.1.2.4.2.2 del Decreto 1082 de 2015.</w:t>
      </w:r>
    </w:p>
    <w:p w14:paraId="312892BE" w14:textId="77777777" w:rsidR="00090BEA" w:rsidRPr="00090BEA" w:rsidRDefault="00090BEA" w:rsidP="00090BEA">
      <w:pPr>
        <w:jc w:val="both"/>
        <w:rPr>
          <w:rFonts w:ascii="Arial" w:hAnsi="Arial" w:cs="Arial"/>
          <w:sz w:val="20"/>
          <w:szCs w:val="20"/>
        </w:rPr>
      </w:pPr>
    </w:p>
    <w:p w14:paraId="7C92464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En ese sentido, cuando el presupuesto sea superior a ciento veinticinco mil dólares de los Estados unidos de América (USD 125.000.00), liquidados con la tasa de cambio que para el efecto determina el Ministerio de Comercio, Industria y Turismo, la convocatoria no será susceptible de ser limitada a la participación de Mipymes nacionales.</w:t>
      </w:r>
    </w:p>
    <w:p w14:paraId="12A022E3" w14:textId="77777777" w:rsidR="00090BEA" w:rsidRPr="00090BEA" w:rsidRDefault="00090BEA" w:rsidP="00090BEA">
      <w:pPr>
        <w:jc w:val="both"/>
        <w:rPr>
          <w:rFonts w:ascii="Arial" w:hAnsi="Arial" w:cs="Arial"/>
          <w:sz w:val="20"/>
          <w:szCs w:val="20"/>
        </w:rPr>
      </w:pPr>
    </w:p>
    <w:p w14:paraId="24671E61"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lastRenderedPageBreak/>
        <w:t>Por lo expuesto, y teniendo en cuenta que el presupuesto definido para el presente proceso de selección, la convocatoria no será limitada a Mipymes.</w:t>
      </w:r>
    </w:p>
    <w:p w14:paraId="230546C2" w14:textId="77777777" w:rsidR="00090BEA" w:rsidRPr="00090BEA" w:rsidRDefault="00090BEA" w:rsidP="00090BEA">
      <w:pPr>
        <w:jc w:val="both"/>
        <w:rPr>
          <w:rFonts w:ascii="Arial" w:hAnsi="Arial" w:cs="Arial"/>
          <w:sz w:val="20"/>
          <w:szCs w:val="20"/>
        </w:rPr>
      </w:pPr>
    </w:p>
    <w:p w14:paraId="1C7839F3"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CONDICIONES PARA PARTICIPAR EL PROCESO</w:t>
      </w:r>
    </w:p>
    <w:p w14:paraId="4B53DEF7" w14:textId="77777777" w:rsidR="00090BEA" w:rsidRPr="00090BEA" w:rsidRDefault="00090BEA" w:rsidP="00090BEA">
      <w:pPr>
        <w:jc w:val="both"/>
        <w:rPr>
          <w:rFonts w:ascii="Arial" w:hAnsi="Arial" w:cs="Arial"/>
          <w:sz w:val="20"/>
          <w:szCs w:val="20"/>
        </w:rPr>
      </w:pPr>
    </w:p>
    <w:p w14:paraId="6B9D92B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Podrán participar personas naturales, jurídicas, nacionales o extranjeras, consorcios y/o uniones temporales, cuyo objeto social se encuentre relacionado con el objeto de la presente contratación, quienes deberán acreditar no encontrarse incursos en algunas de las causales e inhabilidades e incompatibilidades establecidas en la Constitución Política de Colombia y demás disposiciones legales vigentes.</w:t>
      </w:r>
    </w:p>
    <w:p w14:paraId="1711EF97" w14:textId="77777777" w:rsidR="00090BEA" w:rsidRPr="00090BEA" w:rsidRDefault="00090BEA" w:rsidP="00090BEA">
      <w:pPr>
        <w:jc w:val="both"/>
        <w:rPr>
          <w:rFonts w:ascii="Arial" w:hAnsi="Arial" w:cs="Arial"/>
          <w:sz w:val="20"/>
          <w:szCs w:val="20"/>
        </w:rPr>
      </w:pPr>
    </w:p>
    <w:p w14:paraId="2621326C"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Las condiciones para participar en el presente proceso de selección se encuentran descritas en el estudio previo, pliego electrónico y demás documentos que hacen parte integral del proceso.</w:t>
      </w:r>
    </w:p>
    <w:p w14:paraId="62982669" w14:textId="77777777" w:rsidR="00090BEA" w:rsidRPr="00090BEA" w:rsidRDefault="00090BEA" w:rsidP="00090BEA">
      <w:pPr>
        <w:jc w:val="both"/>
        <w:rPr>
          <w:rFonts w:ascii="Arial" w:hAnsi="Arial" w:cs="Arial"/>
          <w:sz w:val="20"/>
          <w:szCs w:val="20"/>
        </w:rPr>
      </w:pPr>
    </w:p>
    <w:p w14:paraId="0206676F"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 xml:space="preserve">PRECALIFICACIÓN </w:t>
      </w:r>
    </w:p>
    <w:p w14:paraId="4ABAC645" w14:textId="77777777" w:rsidR="00090BEA" w:rsidRPr="00090BEA" w:rsidRDefault="00090BEA" w:rsidP="00090BEA">
      <w:pPr>
        <w:jc w:val="both"/>
        <w:rPr>
          <w:rFonts w:ascii="Arial" w:hAnsi="Arial" w:cs="Arial"/>
          <w:sz w:val="20"/>
          <w:szCs w:val="20"/>
        </w:rPr>
      </w:pPr>
    </w:p>
    <w:p w14:paraId="7A5520B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El presente proceso de contratación NO da lugar a precalificación.</w:t>
      </w:r>
    </w:p>
    <w:p w14:paraId="2ED48FDB" w14:textId="77777777" w:rsidR="00090BEA" w:rsidRPr="00090BEA" w:rsidRDefault="00090BEA" w:rsidP="00090BEA">
      <w:pPr>
        <w:jc w:val="both"/>
        <w:rPr>
          <w:rFonts w:ascii="Arial" w:hAnsi="Arial" w:cs="Arial"/>
          <w:sz w:val="20"/>
          <w:szCs w:val="20"/>
        </w:rPr>
      </w:pPr>
    </w:p>
    <w:p w14:paraId="2B9F7EC8"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CRONOGRAMA DEL PROCESO</w:t>
      </w:r>
    </w:p>
    <w:p w14:paraId="20CF774E"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 </w:t>
      </w:r>
    </w:p>
    <w:p w14:paraId="5220AB19"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El cronograma del proceso será el consignado en la plataforma SECOP II, en conjunto con las adendas que lo modifiquen. Las fechas podrán variar de acuerdo con la ley y con las condiciones previstas del Pliego de condiciones y, en consecuencia, el proponente deberá estar consultando el cronograma en la referida plataforma.</w:t>
      </w:r>
    </w:p>
    <w:p w14:paraId="4A50CE06" w14:textId="77777777" w:rsidR="00090BEA" w:rsidRPr="00090BEA" w:rsidRDefault="00090BEA" w:rsidP="00090BEA">
      <w:pPr>
        <w:jc w:val="both"/>
        <w:rPr>
          <w:rFonts w:ascii="Arial" w:hAnsi="Arial" w:cs="Arial"/>
          <w:sz w:val="20"/>
          <w:szCs w:val="20"/>
        </w:rPr>
      </w:pPr>
    </w:p>
    <w:p w14:paraId="18FCA442" w14:textId="77777777" w:rsidR="00090BEA" w:rsidRPr="00090BEA" w:rsidRDefault="00090BEA" w:rsidP="00090BEA">
      <w:pPr>
        <w:jc w:val="both"/>
        <w:rPr>
          <w:rFonts w:ascii="Arial" w:hAnsi="Arial" w:cs="Arial"/>
          <w:sz w:val="20"/>
          <w:szCs w:val="20"/>
        </w:rPr>
      </w:pPr>
      <w:bookmarkStart w:id="0" w:name="_heading=h.nvd8omnb7rfy" w:colFirst="0" w:colLast="0"/>
      <w:bookmarkEnd w:id="0"/>
      <w:r w:rsidRPr="00090BEA">
        <w:rPr>
          <w:rFonts w:ascii="Arial" w:hAnsi="Arial" w:cs="Arial"/>
          <w:sz w:val="20"/>
          <w:szCs w:val="20"/>
        </w:rPr>
        <w:t xml:space="preserve">Las fechas, plazos y horas de ejecución cronograma del presente proceso se encuentran publicados en la plataforma del SECOP II </w:t>
      </w:r>
    </w:p>
    <w:p w14:paraId="2F3636EB" w14:textId="77777777" w:rsidR="00090BEA" w:rsidRPr="00090BEA" w:rsidRDefault="00090BEA" w:rsidP="00090BEA">
      <w:pPr>
        <w:jc w:val="both"/>
        <w:rPr>
          <w:rFonts w:ascii="Arial" w:hAnsi="Arial" w:cs="Arial"/>
          <w:sz w:val="20"/>
          <w:szCs w:val="20"/>
        </w:rPr>
      </w:pPr>
    </w:p>
    <w:p w14:paraId="4DE59F06"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Los interesados deberán sujetarse a las fechas y plazos establecidos en el cronograma del proceso, publicado en la plataforma SECOP II.</w:t>
      </w:r>
    </w:p>
    <w:p w14:paraId="7D129838" w14:textId="77777777" w:rsidR="00090BEA" w:rsidRPr="00090BEA" w:rsidRDefault="00090BEA" w:rsidP="00090BEA">
      <w:pPr>
        <w:jc w:val="both"/>
        <w:rPr>
          <w:rFonts w:ascii="Arial" w:hAnsi="Arial" w:cs="Arial"/>
          <w:sz w:val="20"/>
          <w:szCs w:val="20"/>
        </w:rPr>
      </w:pPr>
    </w:p>
    <w:p w14:paraId="4D66A3E3"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lastRenderedPageBreak/>
        <w:t>CONSULTA DEL PROCESO</w:t>
      </w:r>
    </w:p>
    <w:p w14:paraId="75AA2BEE" w14:textId="77777777" w:rsidR="00090BEA" w:rsidRPr="00090BEA" w:rsidRDefault="00090BEA" w:rsidP="00090BEA">
      <w:pPr>
        <w:jc w:val="both"/>
        <w:rPr>
          <w:rFonts w:ascii="Arial" w:hAnsi="Arial" w:cs="Arial"/>
          <w:sz w:val="20"/>
          <w:szCs w:val="20"/>
        </w:rPr>
      </w:pPr>
    </w:p>
    <w:p w14:paraId="1C643BF4"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 xml:space="preserve">El proceso y sus documentos podrán ser consultados por los interesados y la ciudadanía en general en la plataforma SECOP II: </w:t>
      </w:r>
      <w:hyperlink r:id="rId8">
        <w:r w:rsidRPr="00090BEA">
          <w:rPr>
            <w:rFonts w:ascii="Arial" w:hAnsi="Arial" w:cs="Arial"/>
            <w:color w:val="0000FF"/>
            <w:sz w:val="20"/>
            <w:szCs w:val="20"/>
            <w:u w:val="single"/>
          </w:rPr>
          <w:t>https://www.colombiacompra.gov.co/secop-ii</w:t>
        </w:r>
      </w:hyperlink>
    </w:p>
    <w:p w14:paraId="4C5CC819" w14:textId="77777777" w:rsidR="00090BEA" w:rsidRPr="00090BEA" w:rsidRDefault="00090BEA" w:rsidP="00090BEA">
      <w:pPr>
        <w:jc w:val="both"/>
        <w:rPr>
          <w:rFonts w:ascii="Arial" w:hAnsi="Arial" w:cs="Arial"/>
          <w:sz w:val="20"/>
          <w:szCs w:val="20"/>
        </w:rPr>
      </w:pPr>
    </w:p>
    <w:p w14:paraId="1E75335D" w14:textId="77777777" w:rsidR="00090BEA" w:rsidRPr="00090BEA" w:rsidRDefault="00090BEA" w:rsidP="00090BEA">
      <w:pPr>
        <w:jc w:val="both"/>
        <w:rPr>
          <w:rFonts w:ascii="Arial" w:hAnsi="Arial" w:cs="Arial"/>
          <w:b/>
          <w:sz w:val="20"/>
          <w:szCs w:val="20"/>
        </w:rPr>
      </w:pPr>
      <w:r w:rsidRPr="00090BEA">
        <w:rPr>
          <w:rFonts w:ascii="Arial" w:hAnsi="Arial" w:cs="Arial"/>
          <w:b/>
          <w:sz w:val="20"/>
          <w:szCs w:val="20"/>
        </w:rPr>
        <w:t>INVITACIÓN A LAS VEEDURÍAS CIUDADANAS</w:t>
      </w:r>
    </w:p>
    <w:p w14:paraId="114026D1" w14:textId="77777777" w:rsidR="00090BEA" w:rsidRPr="00090BEA" w:rsidRDefault="00090BEA" w:rsidP="00090BEA">
      <w:pPr>
        <w:jc w:val="both"/>
        <w:rPr>
          <w:rFonts w:ascii="Arial" w:hAnsi="Arial" w:cs="Arial"/>
          <w:sz w:val="20"/>
          <w:szCs w:val="20"/>
        </w:rPr>
      </w:pPr>
    </w:p>
    <w:p w14:paraId="651DE3F5" w14:textId="77777777" w:rsidR="00090BEA" w:rsidRPr="00090BEA" w:rsidRDefault="00090BEA" w:rsidP="00090BEA">
      <w:pPr>
        <w:jc w:val="both"/>
        <w:rPr>
          <w:rFonts w:ascii="Arial" w:hAnsi="Arial" w:cs="Arial"/>
          <w:sz w:val="20"/>
          <w:szCs w:val="20"/>
        </w:rPr>
      </w:pPr>
      <w:r w:rsidRPr="00090BEA">
        <w:rPr>
          <w:rFonts w:ascii="Arial" w:hAnsi="Arial" w:cs="Arial"/>
          <w:sz w:val="20"/>
          <w:szCs w:val="20"/>
        </w:rPr>
        <w:t>En cumplimiento de lo dispuesto en el inciso 3 del artículo 66 de la Ley 80 de 1993, la alcaldía municipal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la plataforma SECOP II.</w:t>
      </w:r>
    </w:p>
    <w:p w14:paraId="46BF2B82" w14:textId="77777777" w:rsidR="00090BEA" w:rsidRPr="00090BEA" w:rsidRDefault="00090BEA" w:rsidP="00090BEA">
      <w:pPr>
        <w:jc w:val="both"/>
        <w:rPr>
          <w:rFonts w:ascii="Arial" w:hAnsi="Arial" w:cs="Arial"/>
          <w:sz w:val="20"/>
          <w:szCs w:val="20"/>
        </w:rPr>
      </w:pPr>
    </w:p>
    <w:p w14:paraId="2EF4FD95" w14:textId="77777777" w:rsidR="00090BEA" w:rsidRPr="00090BEA" w:rsidRDefault="00090BEA" w:rsidP="00090BEA">
      <w:pPr>
        <w:jc w:val="both"/>
        <w:rPr>
          <w:rFonts w:ascii="Arial" w:hAnsi="Arial" w:cs="Arial"/>
          <w:sz w:val="20"/>
          <w:szCs w:val="20"/>
        </w:rPr>
      </w:pPr>
    </w:p>
    <w:p w14:paraId="07B1116D" w14:textId="77777777" w:rsidR="00090BEA" w:rsidRPr="00090BEA" w:rsidRDefault="00090BEA" w:rsidP="00090BEA">
      <w:pPr>
        <w:jc w:val="both"/>
        <w:rPr>
          <w:rFonts w:ascii="Arial" w:hAnsi="Arial" w:cs="Arial"/>
          <w:sz w:val="20"/>
          <w:szCs w:val="20"/>
        </w:rPr>
      </w:pPr>
      <w:r w:rsidRPr="00090BEA">
        <w:rPr>
          <w:rFonts w:ascii="Arial" w:hAnsi="Arial" w:cs="Arial"/>
          <w:b/>
          <w:sz w:val="20"/>
          <w:szCs w:val="20"/>
        </w:rPr>
        <w:t>PARA CONSTANCIA SE FIRMA A TRAVÉS DE LA PLATAFORMA SECOP II</w:t>
      </w:r>
    </w:p>
    <w:p w14:paraId="2EF64356" w14:textId="77777777" w:rsidR="00090BEA" w:rsidRPr="00090BEA" w:rsidRDefault="00090BEA" w:rsidP="00090BEA">
      <w:pPr>
        <w:jc w:val="both"/>
        <w:rPr>
          <w:rFonts w:ascii="Arial" w:hAnsi="Arial" w:cs="Arial"/>
          <w:sz w:val="20"/>
          <w:szCs w:val="20"/>
        </w:rPr>
      </w:pPr>
    </w:p>
    <w:p w14:paraId="388211AF" w14:textId="77777777" w:rsidR="00090BEA" w:rsidRPr="00090BEA" w:rsidRDefault="00090BEA" w:rsidP="00090BEA">
      <w:pPr>
        <w:jc w:val="both"/>
        <w:rPr>
          <w:rFonts w:ascii="Arial" w:hAnsi="Arial" w:cs="Arial"/>
          <w:sz w:val="20"/>
          <w:szCs w:val="20"/>
        </w:rPr>
      </w:pPr>
    </w:p>
    <w:p w14:paraId="70ED3F70"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MONICA ANDREA VILLEGAS TORO</w:t>
      </w:r>
    </w:p>
    <w:p w14:paraId="58A795DC"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SECRETARIA DE AGRICULTURA Y MEDIO AMBIENTE</w:t>
      </w:r>
    </w:p>
    <w:p w14:paraId="302D0199" w14:textId="77777777" w:rsidR="00090BEA" w:rsidRPr="00090BEA" w:rsidRDefault="00090BEA" w:rsidP="00090BEA">
      <w:pPr>
        <w:pStyle w:val="TableParagraph"/>
        <w:jc w:val="both"/>
        <w:rPr>
          <w:rFonts w:ascii="Arial" w:hAnsi="Arial" w:cs="Arial"/>
          <w:sz w:val="20"/>
          <w:szCs w:val="20"/>
        </w:rPr>
      </w:pPr>
      <w:r w:rsidRPr="00090BEA">
        <w:rPr>
          <w:rFonts w:ascii="Arial" w:hAnsi="Arial" w:cs="Arial"/>
          <w:sz w:val="20"/>
          <w:szCs w:val="20"/>
        </w:rPr>
        <w:t xml:space="preserve">(original firmado)  </w:t>
      </w:r>
    </w:p>
    <w:p w14:paraId="49A31AE8" w14:textId="77777777" w:rsidR="00090BEA" w:rsidRPr="00090BEA" w:rsidRDefault="00090BEA" w:rsidP="00090BEA">
      <w:pPr>
        <w:jc w:val="both"/>
        <w:rPr>
          <w:rFonts w:ascii="Arial" w:hAnsi="Arial" w:cs="Arial"/>
          <w:sz w:val="20"/>
          <w:szCs w:val="20"/>
        </w:rPr>
      </w:pPr>
    </w:p>
    <w:p w14:paraId="114C0555" w14:textId="77777777" w:rsidR="00090BEA" w:rsidRPr="00090BEA" w:rsidRDefault="00090BEA" w:rsidP="00090BEA">
      <w:pPr>
        <w:jc w:val="both"/>
        <w:rPr>
          <w:rFonts w:ascii="Arial" w:hAnsi="Arial" w:cs="Arial"/>
          <w:color w:val="000000"/>
          <w:sz w:val="20"/>
          <w:szCs w:val="20"/>
        </w:rPr>
      </w:pPr>
    </w:p>
    <w:p w14:paraId="2C75598F" w14:textId="77777777" w:rsidR="00090BEA" w:rsidRPr="00090BEA" w:rsidRDefault="00090BEA" w:rsidP="00090BEA">
      <w:pPr>
        <w:jc w:val="both"/>
        <w:rPr>
          <w:rFonts w:ascii="Arial" w:hAnsi="Arial" w:cs="Arial"/>
          <w:color w:val="000000"/>
          <w:sz w:val="20"/>
          <w:szCs w:val="20"/>
        </w:rPr>
      </w:pPr>
    </w:p>
    <w:p w14:paraId="2CF987F6" w14:textId="77777777" w:rsidR="00090BEA" w:rsidRPr="00090BEA" w:rsidRDefault="00090BEA" w:rsidP="00090BEA">
      <w:pPr>
        <w:jc w:val="both"/>
        <w:rPr>
          <w:rFonts w:ascii="Arial" w:hAnsi="Arial" w:cs="Arial"/>
          <w:sz w:val="20"/>
          <w:szCs w:val="20"/>
        </w:rPr>
      </w:pPr>
    </w:p>
    <w:p w14:paraId="76304E00" w14:textId="77777777" w:rsidR="00090BEA" w:rsidRPr="00090BEA" w:rsidRDefault="00090BEA" w:rsidP="00090BEA">
      <w:pPr>
        <w:jc w:val="both"/>
        <w:rPr>
          <w:rFonts w:ascii="Arial" w:hAnsi="Arial" w:cs="Arial"/>
          <w:sz w:val="20"/>
          <w:szCs w:val="20"/>
          <w:lang w:val="es-MX"/>
        </w:rPr>
      </w:pPr>
    </w:p>
    <w:sectPr w:rsidR="00090BEA" w:rsidRPr="00090BEA" w:rsidSect="00201DCA">
      <w:headerReference w:type="default" r:id="rId9"/>
      <w:footerReference w:type="default" r:id="rId10"/>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B23ED" w14:textId="77777777" w:rsidR="0093150B" w:rsidRDefault="0093150B" w:rsidP="00CA4DF8">
      <w:pPr>
        <w:spacing w:after="0" w:line="240" w:lineRule="auto"/>
      </w:pPr>
      <w:r>
        <w:separator/>
      </w:r>
    </w:p>
  </w:endnote>
  <w:endnote w:type="continuationSeparator" w:id="0">
    <w:p w14:paraId="41087681" w14:textId="77777777" w:rsidR="0093150B" w:rsidRDefault="0093150B"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Unicode MS">
    <w:panose1 w:val="020B06040202020202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EC6E1" w14:textId="77777777" w:rsidR="0093150B" w:rsidRDefault="0093150B" w:rsidP="00CA4DF8">
      <w:pPr>
        <w:spacing w:after="0" w:line="240" w:lineRule="auto"/>
      </w:pPr>
      <w:r>
        <w:separator/>
      </w:r>
    </w:p>
  </w:footnote>
  <w:footnote w:type="continuationSeparator" w:id="0">
    <w:p w14:paraId="64EE1903" w14:textId="77777777" w:rsidR="0093150B" w:rsidRDefault="0093150B"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E0469A"/>
    <w:multiLevelType w:val="multilevel"/>
    <w:tmpl w:val="82102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8D91C40"/>
    <w:multiLevelType w:val="multilevel"/>
    <w:tmpl w:val="F536D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427134EA"/>
    <w:multiLevelType w:val="multilevel"/>
    <w:tmpl w:val="72B4C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5A732936"/>
    <w:multiLevelType w:val="multilevel"/>
    <w:tmpl w:val="53B4A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945620203">
    <w:abstractNumId w:val="17"/>
  </w:num>
  <w:num w:numId="2" w16cid:durableId="627392860">
    <w:abstractNumId w:val="16"/>
  </w:num>
  <w:num w:numId="3" w16cid:durableId="307325014">
    <w:abstractNumId w:val="4"/>
  </w:num>
  <w:num w:numId="4" w16cid:durableId="1760786678">
    <w:abstractNumId w:val="6"/>
  </w:num>
  <w:num w:numId="5" w16cid:durableId="257249830">
    <w:abstractNumId w:val="2"/>
  </w:num>
  <w:num w:numId="6" w16cid:durableId="879901684">
    <w:abstractNumId w:val="9"/>
  </w:num>
  <w:num w:numId="7" w16cid:durableId="163397094">
    <w:abstractNumId w:val="0"/>
  </w:num>
  <w:num w:numId="8" w16cid:durableId="2099866766">
    <w:abstractNumId w:val="18"/>
  </w:num>
  <w:num w:numId="9" w16cid:durableId="721826290">
    <w:abstractNumId w:val="8"/>
  </w:num>
  <w:num w:numId="10" w16cid:durableId="1993631376">
    <w:abstractNumId w:val="15"/>
  </w:num>
  <w:num w:numId="11" w16cid:durableId="1465613052">
    <w:abstractNumId w:val="10"/>
  </w:num>
  <w:num w:numId="12" w16cid:durableId="850412974">
    <w:abstractNumId w:val="1"/>
  </w:num>
  <w:num w:numId="13" w16cid:durableId="339704591">
    <w:abstractNumId w:val="12"/>
  </w:num>
  <w:num w:numId="14" w16cid:durableId="1586836308">
    <w:abstractNumId w:val="3"/>
  </w:num>
  <w:num w:numId="15" w16cid:durableId="49887513">
    <w:abstractNumId w:val="14"/>
  </w:num>
  <w:num w:numId="16" w16cid:durableId="799156037">
    <w:abstractNumId w:val="5"/>
  </w:num>
  <w:num w:numId="17" w16cid:durableId="558831763">
    <w:abstractNumId w:val="11"/>
  </w:num>
  <w:num w:numId="18" w16cid:durableId="1789082684">
    <w:abstractNumId w:val="7"/>
  </w:num>
  <w:num w:numId="19" w16cid:durableId="198261748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0418"/>
    <w:rsid w:val="000037D1"/>
    <w:rsid w:val="00014736"/>
    <w:rsid w:val="00026D7A"/>
    <w:rsid w:val="00047603"/>
    <w:rsid w:val="00066F1F"/>
    <w:rsid w:val="000674AD"/>
    <w:rsid w:val="00073464"/>
    <w:rsid w:val="00074053"/>
    <w:rsid w:val="00080B8C"/>
    <w:rsid w:val="000830F7"/>
    <w:rsid w:val="00086591"/>
    <w:rsid w:val="00087F49"/>
    <w:rsid w:val="00090BEA"/>
    <w:rsid w:val="00091AA0"/>
    <w:rsid w:val="000930DA"/>
    <w:rsid w:val="00094408"/>
    <w:rsid w:val="000968FB"/>
    <w:rsid w:val="000A2685"/>
    <w:rsid w:val="000A42DF"/>
    <w:rsid w:val="000B4CD1"/>
    <w:rsid w:val="000B70BB"/>
    <w:rsid w:val="000C592D"/>
    <w:rsid w:val="000D1D1A"/>
    <w:rsid w:val="000E1EAA"/>
    <w:rsid w:val="000E66EA"/>
    <w:rsid w:val="000F2993"/>
    <w:rsid w:val="000F33E5"/>
    <w:rsid w:val="000F3B8B"/>
    <w:rsid w:val="0010225D"/>
    <w:rsid w:val="0010289F"/>
    <w:rsid w:val="00107EE4"/>
    <w:rsid w:val="001123BA"/>
    <w:rsid w:val="00114346"/>
    <w:rsid w:val="00114617"/>
    <w:rsid w:val="001319E7"/>
    <w:rsid w:val="0013328E"/>
    <w:rsid w:val="001452DC"/>
    <w:rsid w:val="00153DF5"/>
    <w:rsid w:val="00181B5C"/>
    <w:rsid w:val="00190EB8"/>
    <w:rsid w:val="0019551E"/>
    <w:rsid w:val="0019748E"/>
    <w:rsid w:val="001A0587"/>
    <w:rsid w:val="001D0CF5"/>
    <w:rsid w:val="001D17D8"/>
    <w:rsid w:val="002001B2"/>
    <w:rsid w:val="00201DCA"/>
    <w:rsid w:val="00203417"/>
    <w:rsid w:val="00203D00"/>
    <w:rsid w:val="00210023"/>
    <w:rsid w:val="00210103"/>
    <w:rsid w:val="00220EEA"/>
    <w:rsid w:val="00222DDE"/>
    <w:rsid w:val="00240EB2"/>
    <w:rsid w:val="002448B8"/>
    <w:rsid w:val="00247942"/>
    <w:rsid w:val="00254D5B"/>
    <w:rsid w:val="00256E8D"/>
    <w:rsid w:val="00260E74"/>
    <w:rsid w:val="0026538F"/>
    <w:rsid w:val="002656CE"/>
    <w:rsid w:val="0027638D"/>
    <w:rsid w:val="00277FE8"/>
    <w:rsid w:val="0028729A"/>
    <w:rsid w:val="00296B17"/>
    <w:rsid w:val="00296C45"/>
    <w:rsid w:val="002A2C46"/>
    <w:rsid w:val="002A3258"/>
    <w:rsid w:val="002B19CD"/>
    <w:rsid w:val="002B3692"/>
    <w:rsid w:val="002C288F"/>
    <w:rsid w:val="002E3DE2"/>
    <w:rsid w:val="002E639F"/>
    <w:rsid w:val="002F05C6"/>
    <w:rsid w:val="00302D0D"/>
    <w:rsid w:val="00312FF8"/>
    <w:rsid w:val="0031456C"/>
    <w:rsid w:val="00321F08"/>
    <w:rsid w:val="0033344C"/>
    <w:rsid w:val="00336AF6"/>
    <w:rsid w:val="00345FF4"/>
    <w:rsid w:val="00350E5A"/>
    <w:rsid w:val="00351FF4"/>
    <w:rsid w:val="00355CDF"/>
    <w:rsid w:val="003618D2"/>
    <w:rsid w:val="0037019E"/>
    <w:rsid w:val="00384232"/>
    <w:rsid w:val="00391474"/>
    <w:rsid w:val="003A0047"/>
    <w:rsid w:val="003A6E4F"/>
    <w:rsid w:val="003B2E41"/>
    <w:rsid w:val="003C097C"/>
    <w:rsid w:val="003C2E06"/>
    <w:rsid w:val="003D03E5"/>
    <w:rsid w:val="003F1CC3"/>
    <w:rsid w:val="004043CF"/>
    <w:rsid w:val="00405995"/>
    <w:rsid w:val="00405EB7"/>
    <w:rsid w:val="0041561E"/>
    <w:rsid w:val="0042018C"/>
    <w:rsid w:val="004264AE"/>
    <w:rsid w:val="00435CFC"/>
    <w:rsid w:val="00444CDD"/>
    <w:rsid w:val="00451104"/>
    <w:rsid w:val="00455A49"/>
    <w:rsid w:val="00466517"/>
    <w:rsid w:val="00471873"/>
    <w:rsid w:val="004743A9"/>
    <w:rsid w:val="00475BD8"/>
    <w:rsid w:val="00487F23"/>
    <w:rsid w:val="00491737"/>
    <w:rsid w:val="004930EA"/>
    <w:rsid w:val="004A2425"/>
    <w:rsid w:val="004A5AB6"/>
    <w:rsid w:val="004B2F63"/>
    <w:rsid w:val="004C10C0"/>
    <w:rsid w:val="004D4982"/>
    <w:rsid w:val="004D7630"/>
    <w:rsid w:val="004E3750"/>
    <w:rsid w:val="004F3C3A"/>
    <w:rsid w:val="005003ED"/>
    <w:rsid w:val="00504A3A"/>
    <w:rsid w:val="00505374"/>
    <w:rsid w:val="005058A8"/>
    <w:rsid w:val="00506319"/>
    <w:rsid w:val="00506D6E"/>
    <w:rsid w:val="005128B7"/>
    <w:rsid w:val="0051520B"/>
    <w:rsid w:val="0052245A"/>
    <w:rsid w:val="0052612D"/>
    <w:rsid w:val="00526F80"/>
    <w:rsid w:val="00543734"/>
    <w:rsid w:val="00544BBE"/>
    <w:rsid w:val="00552F64"/>
    <w:rsid w:val="00562F5F"/>
    <w:rsid w:val="005652F2"/>
    <w:rsid w:val="00571D85"/>
    <w:rsid w:val="00574EA6"/>
    <w:rsid w:val="0058099C"/>
    <w:rsid w:val="00587CCB"/>
    <w:rsid w:val="00587FD7"/>
    <w:rsid w:val="005A1F72"/>
    <w:rsid w:val="005B4895"/>
    <w:rsid w:val="005B518E"/>
    <w:rsid w:val="005C4BA4"/>
    <w:rsid w:val="005D507B"/>
    <w:rsid w:val="005D5392"/>
    <w:rsid w:val="005E422F"/>
    <w:rsid w:val="005E6268"/>
    <w:rsid w:val="005F40E7"/>
    <w:rsid w:val="006028BF"/>
    <w:rsid w:val="006116BE"/>
    <w:rsid w:val="0061434A"/>
    <w:rsid w:val="006209B9"/>
    <w:rsid w:val="0062185E"/>
    <w:rsid w:val="006256B8"/>
    <w:rsid w:val="00627DF7"/>
    <w:rsid w:val="006338FB"/>
    <w:rsid w:val="006345D5"/>
    <w:rsid w:val="00680C46"/>
    <w:rsid w:val="006916BD"/>
    <w:rsid w:val="00696DB5"/>
    <w:rsid w:val="006A5CD3"/>
    <w:rsid w:val="006A6299"/>
    <w:rsid w:val="006B0F2B"/>
    <w:rsid w:val="006C33A0"/>
    <w:rsid w:val="006D1C65"/>
    <w:rsid w:val="006E09A5"/>
    <w:rsid w:val="006E50E2"/>
    <w:rsid w:val="006F4EA3"/>
    <w:rsid w:val="006F6355"/>
    <w:rsid w:val="007004C7"/>
    <w:rsid w:val="00710483"/>
    <w:rsid w:val="00710D1F"/>
    <w:rsid w:val="007165B4"/>
    <w:rsid w:val="00734CD4"/>
    <w:rsid w:val="00736094"/>
    <w:rsid w:val="00742F29"/>
    <w:rsid w:val="007450BB"/>
    <w:rsid w:val="00746F98"/>
    <w:rsid w:val="0076083D"/>
    <w:rsid w:val="007645FC"/>
    <w:rsid w:val="00774772"/>
    <w:rsid w:val="00793CEF"/>
    <w:rsid w:val="00794E79"/>
    <w:rsid w:val="007A6A26"/>
    <w:rsid w:val="007B2C86"/>
    <w:rsid w:val="007B3257"/>
    <w:rsid w:val="007C1A8B"/>
    <w:rsid w:val="007C2BFB"/>
    <w:rsid w:val="007F1093"/>
    <w:rsid w:val="007F2EDC"/>
    <w:rsid w:val="007F6A2C"/>
    <w:rsid w:val="008015B1"/>
    <w:rsid w:val="00802394"/>
    <w:rsid w:val="00803461"/>
    <w:rsid w:val="00803776"/>
    <w:rsid w:val="00803C0D"/>
    <w:rsid w:val="00817764"/>
    <w:rsid w:val="00820726"/>
    <w:rsid w:val="0082465A"/>
    <w:rsid w:val="008260F0"/>
    <w:rsid w:val="00831103"/>
    <w:rsid w:val="00831BC3"/>
    <w:rsid w:val="00832B47"/>
    <w:rsid w:val="00835B2C"/>
    <w:rsid w:val="00835E19"/>
    <w:rsid w:val="00847D39"/>
    <w:rsid w:val="00865C10"/>
    <w:rsid w:val="00867DB3"/>
    <w:rsid w:val="008715C1"/>
    <w:rsid w:val="008736F1"/>
    <w:rsid w:val="008753D4"/>
    <w:rsid w:val="0087582F"/>
    <w:rsid w:val="0087721E"/>
    <w:rsid w:val="00880759"/>
    <w:rsid w:val="00882D66"/>
    <w:rsid w:val="00891239"/>
    <w:rsid w:val="008B50B7"/>
    <w:rsid w:val="008B5707"/>
    <w:rsid w:val="008B5A71"/>
    <w:rsid w:val="008C0140"/>
    <w:rsid w:val="008C777A"/>
    <w:rsid w:val="008D2217"/>
    <w:rsid w:val="008D5FBE"/>
    <w:rsid w:val="008D7F44"/>
    <w:rsid w:val="008E3240"/>
    <w:rsid w:val="008E485D"/>
    <w:rsid w:val="008E5EAD"/>
    <w:rsid w:val="008E7604"/>
    <w:rsid w:val="009078B9"/>
    <w:rsid w:val="00920BF4"/>
    <w:rsid w:val="0093150B"/>
    <w:rsid w:val="00947E74"/>
    <w:rsid w:val="0095384D"/>
    <w:rsid w:val="00953B1D"/>
    <w:rsid w:val="00970C1E"/>
    <w:rsid w:val="00984E7F"/>
    <w:rsid w:val="00986207"/>
    <w:rsid w:val="009A4E93"/>
    <w:rsid w:val="009C3BA3"/>
    <w:rsid w:val="009D0015"/>
    <w:rsid w:val="009E4C1E"/>
    <w:rsid w:val="009E5A7F"/>
    <w:rsid w:val="009F04CB"/>
    <w:rsid w:val="009F2B5A"/>
    <w:rsid w:val="009F6DFD"/>
    <w:rsid w:val="00A07FB7"/>
    <w:rsid w:val="00A1343B"/>
    <w:rsid w:val="00A15D7C"/>
    <w:rsid w:val="00A1610D"/>
    <w:rsid w:val="00A1681F"/>
    <w:rsid w:val="00A208F0"/>
    <w:rsid w:val="00A230B3"/>
    <w:rsid w:val="00A33920"/>
    <w:rsid w:val="00A3793C"/>
    <w:rsid w:val="00A37F9D"/>
    <w:rsid w:val="00A42907"/>
    <w:rsid w:val="00A514A9"/>
    <w:rsid w:val="00A56A77"/>
    <w:rsid w:val="00A6139F"/>
    <w:rsid w:val="00A71644"/>
    <w:rsid w:val="00A72606"/>
    <w:rsid w:val="00A9781D"/>
    <w:rsid w:val="00AB31D5"/>
    <w:rsid w:val="00AC04E7"/>
    <w:rsid w:val="00AC2873"/>
    <w:rsid w:val="00AC2902"/>
    <w:rsid w:val="00AC7AEE"/>
    <w:rsid w:val="00AD45FF"/>
    <w:rsid w:val="00AF19E8"/>
    <w:rsid w:val="00B07762"/>
    <w:rsid w:val="00B17EEC"/>
    <w:rsid w:val="00B26AE9"/>
    <w:rsid w:val="00B33BF9"/>
    <w:rsid w:val="00B376A2"/>
    <w:rsid w:val="00B44458"/>
    <w:rsid w:val="00B52222"/>
    <w:rsid w:val="00B52581"/>
    <w:rsid w:val="00B61FFC"/>
    <w:rsid w:val="00B75211"/>
    <w:rsid w:val="00B81F5F"/>
    <w:rsid w:val="00B92D60"/>
    <w:rsid w:val="00B973BE"/>
    <w:rsid w:val="00BA5170"/>
    <w:rsid w:val="00BC7310"/>
    <w:rsid w:val="00BD5E8E"/>
    <w:rsid w:val="00BD665A"/>
    <w:rsid w:val="00BD77F5"/>
    <w:rsid w:val="00C12108"/>
    <w:rsid w:val="00C24A34"/>
    <w:rsid w:val="00C30AD1"/>
    <w:rsid w:val="00C51683"/>
    <w:rsid w:val="00C76F32"/>
    <w:rsid w:val="00C77ABB"/>
    <w:rsid w:val="00C834D1"/>
    <w:rsid w:val="00C83D5C"/>
    <w:rsid w:val="00C90F9A"/>
    <w:rsid w:val="00C94B9D"/>
    <w:rsid w:val="00C97797"/>
    <w:rsid w:val="00CA001F"/>
    <w:rsid w:val="00CA4DF8"/>
    <w:rsid w:val="00CA723F"/>
    <w:rsid w:val="00CB2547"/>
    <w:rsid w:val="00CB2C9A"/>
    <w:rsid w:val="00CB7A47"/>
    <w:rsid w:val="00CC286A"/>
    <w:rsid w:val="00CC7C16"/>
    <w:rsid w:val="00CE2069"/>
    <w:rsid w:val="00CF2946"/>
    <w:rsid w:val="00D03D8F"/>
    <w:rsid w:val="00D04BCC"/>
    <w:rsid w:val="00D05C00"/>
    <w:rsid w:val="00D069E9"/>
    <w:rsid w:val="00D13155"/>
    <w:rsid w:val="00D13E07"/>
    <w:rsid w:val="00D14712"/>
    <w:rsid w:val="00D22351"/>
    <w:rsid w:val="00D22CB2"/>
    <w:rsid w:val="00D241FC"/>
    <w:rsid w:val="00D30CA6"/>
    <w:rsid w:val="00D343EC"/>
    <w:rsid w:val="00D5305B"/>
    <w:rsid w:val="00D5560C"/>
    <w:rsid w:val="00D5669A"/>
    <w:rsid w:val="00D66768"/>
    <w:rsid w:val="00D767BB"/>
    <w:rsid w:val="00D843D5"/>
    <w:rsid w:val="00DA5823"/>
    <w:rsid w:val="00DB2F48"/>
    <w:rsid w:val="00DC00EA"/>
    <w:rsid w:val="00DC1557"/>
    <w:rsid w:val="00DC219F"/>
    <w:rsid w:val="00DF023C"/>
    <w:rsid w:val="00E10B77"/>
    <w:rsid w:val="00E10ED1"/>
    <w:rsid w:val="00E17E71"/>
    <w:rsid w:val="00E20002"/>
    <w:rsid w:val="00E25A38"/>
    <w:rsid w:val="00E260E2"/>
    <w:rsid w:val="00E57316"/>
    <w:rsid w:val="00E60C68"/>
    <w:rsid w:val="00E7097E"/>
    <w:rsid w:val="00E83740"/>
    <w:rsid w:val="00E8389F"/>
    <w:rsid w:val="00E86062"/>
    <w:rsid w:val="00E9605C"/>
    <w:rsid w:val="00EA180A"/>
    <w:rsid w:val="00EA390B"/>
    <w:rsid w:val="00EC4B2C"/>
    <w:rsid w:val="00EC79F8"/>
    <w:rsid w:val="00ED1C63"/>
    <w:rsid w:val="00ED2205"/>
    <w:rsid w:val="00EE3502"/>
    <w:rsid w:val="00EE4E48"/>
    <w:rsid w:val="00EE7BEE"/>
    <w:rsid w:val="00F029B3"/>
    <w:rsid w:val="00F069D2"/>
    <w:rsid w:val="00F074C0"/>
    <w:rsid w:val="00F236B1"/>
    <w:rsid w:val="00F445A6"/>
    <w:rsid w:val="00F452C7"/>
    <w:rsid w:val="00F46DDA"/>
    <w:rsid w:val="00F610F6"/>
    <w:rsid w:val="00F679B8"/>
    <w:rsid w:val="00F67E51"/>
    <w:rsid w:val="00F70656"/>
    <w:rsid w:val="00F70B05"/>
    <w:rsid w:val="00F867F0"/>
    <w:rsid w:val="00F927AD"/>
    <w:rsid w:val="00FA5400"/>
    <w:rsid w:val="00FA59A9"/>
    <w:rsid w:val="00FC365A"/>
    <w:rsid w:val="00FD3616"/>
    <w:rsid w:val="00FD4CF2"/>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9B9"/>
    <w:pPr>
      <w:spacing w:after="200" w:line="276" w:lineRule="auto"/>
    </w:pPr>
    <w:rPr>
      <w:rFonts w:eastAsiaTheme="minorEastAsia"/>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34"/>
    <w:qFormat/>
    <w:locked/>
    <w:rsid w:val="00832B47"/>
  </w:style>
  <w:style w:type="character" w:customStyle="1" w:styleId="SinespaciadoCar">
    <w:name w:val="Sin espaciado Car"/>
    <w:aliases w:val="TIMES NEW ROMAN Car"/>
    <w:link w:val="Sinespaciado"/>
    <w:uiPriority w:val="1"/>
    <w:rsid w:val="00867DB3"/>
  </w:style>
  <w:style w:type="table" w:styleId="Tabladecuadrcula4">
    <w:name w:val="Grid Table 4"/>
    <w:basedOn w:val="Tablanormal"/>
    <w:uiPriority w:val="49"/>
    <w:rsid w:val="00090BEA"/>
    <w:pPr>
      <w:spacing w:after="0" w:line="240" w:lineRule="auto"/>
      <w:jc w:val="both"/>
    </w:pPr>
    <w:rPr>
      <w:rFonts w:ascii="Calibri" w:eastAsiaTheme="minorEastAsia" w:hAnsi="Calibri" w:cs="Calibr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090BEA"/>
    <w:pPr>
      <w:widowControl w:val="0"/>
      <w:autoSpaceDE w:val="0"/>
      <w:autoSpaceDN w:val="0"/>
      <w:spacing w:after="0" w:line="240" w:lineRule="auto"/>
    </w:pPr>
    <w:rPr>
      <w:rFonts w:ascii="Arial MT" w:eastAsia="Arial MT" w:hAnsi="Arial MT" w:cs="Arial MT"/>
      <w:lang w:val="es-ES" w:eastAsia="en-US"/>
    </w:rPr>
  </w:style>
  <w:style w:type="table" w:customStyle="1" w:styleId="TableNormal">
    <w:name w:val="Table Normal"/>
    <w:uiPriority w:val="2"/>
    <w:semiHidden/>
    <w:unhideWhenUsed/>
    <w:qFormat/>
    <w:rsid w:val="00090B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inguno">
    <w:name w:val="Ninguno"/>
    <w:rsid w:val="006C33A0"/>
  </w:style>
  <w:style w:type="paragraph" w:customStyle="1" w:styleId="Cuerpo">
    <w:name w:val="Cuerpo"/>
    <w:rsid w:val="006C33A0"/>
    <w:pPr>
      <w:pBdr>
        <w:top w:val="nil"/>
        <w:left w:val="nil"/>
        <w:bottom w:val="nil"/>
        <w:right w:val="nil"/>
        <w:between w:val="nil"/>
        <w:bar w:val="nil"/>
      </w:pBdr>
      <w:spacing w:line="256" w:lineRule="auto"/>
    </w:pPr>
    <w:rPr>
      <w:rFonts w:ascii="Calibri" w:eastAsia="Arial Unicode MS" w:hAnsi="Calibri" w:cs="Arial Unicode MS"/>
      <w:color w:val="000000"/>
      <w:u w:color="000000"/>
      <w:bdr w:val="nil"/>
      <w:lang w:eastAsia="es-CO"/>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1184</Words>
  <Characters>6513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Lizeth Yomara Lopez Villegas</cp:lastModifiedBy>
  <cp:revision>6</cp:revision>
  <cp:lastPrinted>2024-01-02T18:26:00Z</cp:lastPrinted>
  <dcterms:created xsi:type="dcterms:W3CDTF">2026-08-04T17:36:00Z</dcterms:created>
  <dcterms:modified xsi:type="dcterms:W3CDTF">2026-09-15T19:49:00Z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2026-07-31T19:21:50Z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9fa6e04b-17a0-412e-a06a-e2f370b5c1ed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