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42884343" w14:textId="008941ED" w:rsidR="003C3B31" w:rsidRPr="00B424B0" w:rsidRDefault="003C3B31">
      <w:pPr>
        <w:rPr>
          <w:rFonts w:ascii="Verdana" w:hAnsi="Verdana"/>
          <w:color w:val="1A1818" w:themeColor="text1"/>
          <w:sz w:val="22"/>
          <w:szCs w:val="24"/>
          <w:highlight w:val="light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Director Administrativo y Financiero</w:t>
      </w:r>
      <w:r w:rsidRPr="00B424B0">
        <w:rPr>
          <w:rFonts w:ascii="Verdana" w:hAnsi="Verdana" w:cstheme="minorHAnsi"/>
          <w:sz w:val="22"/>
          <w:lang w:val="es-CO"/>
        </w:rPr>
        <w:t xml:space="preserve"> del Departamento</w:t>
      </w:r>
      <w:r w:rsidRPr="00B424B0">
        <w:rPr>
          <w:rFonts w:ascii="Verdana" w:hAnsi="Verdana" w:cstheme="minorHAnsi"/>
          <w:sz w:val="22"/>
          <w:highlight w:val="lightGray"/>
          <w:lang w:val="es-CO"/>
        </w:rPr>
        <w:t xml:space="preserve"> Administrativo de la Presidencia de la República - DAPRE</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[PENDIENTE - nombre del contratista adjudicatario]</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[PENDIENTE – número y fecha de la Resolución de apertura del proceso]</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DAPRE-SAMC06-2026</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[PENDIENTE – número y fecha de la Resolución de apertura del proceso]</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Contratar por el sistema de precios unitarios sin fórmula de ajuste las reparaciones locativas y adecuaciones funcionales, para las sedes del Departamento Administrativo de la Presidencia de la República</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DAPRE-SAMC06-2026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 estimado para la ejecución del presente contrato será de dos (2) meses, a partir de la fecha de suscripción del acta de inicio, hasta el 15 de diciembre de 2026 o hasta agotar el presupuesto, lo que ocurra primero</w:t>
      </w:r>
      <w:r w:rsidRPr="005E1A62">
        <w:rPr>
          <w:rFonts w:ascii="Verdana" w:hAnsi="Verdana" w:cstheme="minorHAnsi"/>
          <w:sz w:val="22"/>
          <w:highlight w:val="yellow"/>
        </w:rPr>
      </w:r>
      <w:r w:rsidRPr="00B424B0">
        <w:rPr>
          <w:rFonts w:ascii="Verdana" w:hAnsi="Verdana" w:cstheme="minorHAnsi"/>
          <w:sz w:val="22"/>
        </w:rPr>
        <w:t>, previo el cumplimiento de los requisitos de perfeccionamiento y ejecución y aprobación de los documentos previstos en el Pliego de Condiciones.</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El valor del Contrato es por la suma de TRESCIENTOS VEINTISIETE MILLONES TRESCIENTOS DIECINUEVE MIL CIENTO TREINTA Y OCHO PESOS M/CTE ($327.319.138,00), equivalentes a ciento ochenta y seis punto noventa y cuatro (186,94) SMLMV para el año de suscripción del contrato (2026), suma que se discrimina de la siguiente manera:</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Dicho valor incluye IVA y demás impuestos, tasas, contribuciones, costos directos e indirectos, así como la retención de la contribución de estampilla Pro Universidad Nacional de Colombia y demás Universidades Estatales de Colombia (Ley 1697 de 2013), y las demás a que haya lugar conforme a la normativa vigente.</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lastRenderedPageBreak/>
        <w:t>Para el presente contrato la Entidad no entregará al Contratista anticipo ni pago anticipado. El valor del contrato se pagará mediante pagos parciales contra facturación presentada por el Contratista, de acuerdo con los servicios prestados y las cantidades de obra ejecutadas y aprobadas por la supervisión.</w:t>
      </w:r>
    </w:p>
    <w:p w14:paraId="56DB25AC" w14:textId="77777777" w:rsidR="007D6611" w:rsidRPr="00B424B0" w:rsidRDefault="007D6611" w:rsidP="591C3505">
      <w:pPr>
        <w:rPr>
          <w:rFonts w:ascii="Verdana" w:hAnsi="Verdana"/>
          <w:sz w:val="22"/>
          <w:szCs w:val="24"/>
          <w:highlight w:val="lightGray"/>
        </w:rPr>
      </w:pP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La imputación presupuestal se ampara en el Certificado de Disponibilidad Presupuestal (CDP) No. 39226 del 05 de mayo de 2026, expedido por la Unidad Ejecutora 02-01-01-000 DAPRE-Gestión General, por valor de $327.319.138,00 M/CTE.</w:t>
      </w:r>
    </w:p>
    <w:p w14:paraId="35290AAA" w14:textId="028AF1DB" w:rsidR="00613D91" w:rsidRPr="00B424B0" w:rsidRDefault="00613D91" w:rsidP="00540E0E">
      <w:pPr>
        <w:rPr>
          <w:rFonts w:ascii="Verdana" w:hAnsi="Verdana" w:cstheme="minorHAnsi"/>
          <w:color w:val="1A1818" w:themeColor="text1"/>
          <w:sz w:val="22"/>
        </w:rPr>
      </w:pPr>
    </w:p>
    <w:p w14:paraId="6266B314" w14:textId="18F0F576" w:rsidR="00312225" w:rsidRPr="00B424B0" w:rsidRDefault="00312225" w:rsidP="00540E0E">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 xml:space="preserve">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cancelará al Contratista el valor del contrato en pagos parciales mensuales por avance de obra, de acuerdo con las cantidades ejecutadas y aprobadas por la supervisión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0D6A97A9" w14:textId="77777777" w:rsidR="00555DD6" w:rsidRPr="00B424B0" w:rsidRDefault="00555DD6">
      <w:pPr>
        <w:rPr>
          <w:rFonts w:ascii="Verdana" w:hAnsi="Verdana" w:cstheme="minorHAnsi"/>
          <w:sz w:val="22"/>
        </w:rPr>
      </w:pPr>
    </w:p>
    <w:p w14:paraId="78F1B4BE" w14:textId="77777777" w:rsidR="004A422A" w:rsidRPr="00B424B0" w:rsidRDefault="004A422A" w:rsidP="004A422A">
      <w:pPr>
        <w:rPr>
          <w:rFonts w:ascii="Verdana" w:hAnsi="Verdana" w:cstheme="minorHAnsi"/>
          <w:sz w:val="22"/>
        </w:rPr>
      </w:pPr>
    </w:p>
    <w:p w14:paraId="54B58C98" w14:textId="77777777" w:rsidR="004A422A" w:rsidRPr="00B424B0" w:rsidRDefault="004A422A" w:rsidP="004A422A">
      <w:pPr>
        <w:rPr>
          <w:rFonts w:ascii="Verdana" w:hAnsi="Verdana" w:cstheme="minorHAnsi"/>
          <w:color w:val="1A1818" w:themeColor="text1"/>
          <w:sz w:val="22"/>
        </w:rPr>
      </w:pPr>
    </w:p>
    <w:p w14:paraId="3EBF4647" w14:textId="77777777" w:rsidR="004A422A" w:rsidRPr="00B424B0" w:rsidRDefault="004A422A" w:rsidP="004A422A">
      <w:pPr>
        <w:rPr>
          <w:rFonts w:ascii="Verdana" w:hAnsi="Verdana" w:cstheme="minorHAnsi"/>
          <w:color w:val="1A1818" w:themeColor="text1"/>
          <w:sz w:val="22"/>
          <w:szCs w:val="24"/>
        </w:rPr>
      </w:pPr>
    </w:p>
    <w:p w14:paraId="1D8C0E94" w14:textId="59230023" w:rsidR="006B06F5" w:rsidRPr="00B424B0" w:rsidRDefault="006B06F5" w:rsidP="00540E0E">
      <w:pPr>
        <w:rPr>
          <w:rFonts w:ascii="Verdana" w:hAnsi="Verdana" w:cstheme="minorHAnsi"/>
          <w:b/>
          <w:bCs/>
          <w:sz w:val="22"/>
        </w:rPr>
      </w:pP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lastRenderedPageBreak/>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el Anexo 1 – Anexo Técnico y los demás Documentos del Proceso</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lastRenderedPageBreak/>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710867">
        <w:rPr>
          <w:rFonts w:ascii="Verdana" w:hAnsi="Verdana" w:cstheme="minorHAnsi"/>
          <w:b/>
          <w:bCs/>
          <w:color w:val="1A1818" w:themeColor="text1"/>
          <w:sz w:val="22"/>
          <w:highlight w:val="yellow"/>
        </w:rPr>
        <w:t>Opción 1</w:t>
      </w:r>
      <w:r w:rsidR="00DA3825" w:rsidRPr="00710867">
        <w:rPr>
          <w:rFonts w:ascii="Verdana" w:hAnsi="Verdana" w:cstheme="minorHAnsi"/>
          <w:b/>
          <w:bCs/>
          <w:color w:val="1A1818" w:themeColor="text1"/>
          <w:sz w:val="22"/>
          <w:highlight w:val="yellow"/>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Incluir cuando se solicite el factor de calidad de presentación de un plan de calidad El contratista presentará el plan de calidad específico para el proyecto, elaborado conforme a las normas NTC ISO 9001:2015 y NTC ISO 10005:2018 en los cinco (5) hábiles siguientes a la suscripción del contrato. </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La entidad deberá indicar aquí las actividades a las que se comprometió el proponente adjudicatario mediante el Formato 14 – Factor de calidad criterios adicionales ambientales y sociales descritos en el numeral 4.2.4 del 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710867">
        <w:rPr>
          <w:rFonts w:ascii="Verdana" w:hAnsi="Verdana" w:cstheme="minorHAnsi"/>
          <w:b/>
          <w:bCs/>
          <w:color w:val="1A1818" w:themeColor="text1"/>
          <w:sz w:val="22"/>
          <w:szCs w:val="24"/>
          <w:highlight w:val="yellow"/>
        </w:rPr>
        <w:t>Opción 2</w:t>
      </w:r>
      <w:r w:rsidR="00DA3825" w:rsidRPr="00710867">
        <w:rPr>
          <w:rFonts w:ascii="Verdana" w:hAnsi="Verdana" w:cstheme="minorHAnsi"/>
          <w:b/>
          <w:bCs/>
          <w:color w:val="1A1818" w:themeColor="text1"/>
          <w:sz w:val="22"/>
          <w:szCs w:val="24"/>
          <w:highlight w:val="yellow"/>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supervisor 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supervisor,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 xml:space="preserve">Incluir cuando se solicite el factor de calidad de presentación de un plan de calidad El contratista presentará el plan de calidad específico para el proyecto, elaborado conforme a las normas NTC ISO 9001:2015 y NTC ISO 10005:2018 en los incluir el número de días hábiles siguientes a la suscripción del contrato. </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La entidad deberá indicar aquí las actividades a las que se comprometió el proponente adjudicatario mediante el Formato 14 – Factor de calidad criterios adicionales ambientales y 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5DFD5528" w14:textId="77777777" w:rsidR="008C1E58" w:rsidRPr="00B424B0" w:rsidRDefault="008C1E58" w:rsidP="008C1E58">
      <w:pPr>
        <w:pStyle w:val="Prrafodelista"/>
        <w:ind w:left="360"/>
        <w:rPr>
          <w:rFonts w:ascii="Verdana" w:hAnsi="Verdana" w:cstheme="minorHAnsi"/>
          <w:sz w:val="22"/>
          <w:szCs w:val="24"/>
        </w:rPr>
      </w:pP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cinco (5)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cinco (5)</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lastRenderedPageBreak/>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5EB984E8" w:rsidR="00E27EF2" w:rsidRDefault="00E27EF2" w:rsidP="00E27EF2">
      <w:pPr>
        <w:pStyle w:val="clusulas"/>
        <w:numPr>
          <w:ilvl w:val="0"/>
          <w:numId w:val="0"/>
        </w:numPr>
        <w:tabs>
          <w:tab w:val="left" w:pos="1560"/>
        </w:tabs>
        <w:spacing w:before="0" w:after="0"/>
        <w:ind w:left="66"/>
        <w:rPr>
          <w:rFonts w:ascii="Verdana" w:hAnsi="Verdana" w:cstheme="minorHAnsi"/>
          <w:sz w:val="22"/>
        </w:rPr>
      </w:pPr>
    </w:p>
    <w:p w14:paraId="765FCE35"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Entregar al supervisor del contrato los documentos para acreditar la idoneidad y experiencia del personal mínimo requerido, los cuales deberán ser entregados durante los cinco (5) días calendario siguientes a la aprobación de la legalización del contrato (aprobación de pólizas), es decir, sin el cumplimiento de este requisito NO se podrán adelantar las actividades contractuales, al considerarse un incumplimiento a las especificaciones técnicas.</w:t>
      </w:r>
    </w:p>
    <w:p w14:paraId="5476BD44"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6A47B6D6"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proofErr w:type="gramStart"/>
      <w:r w:rsidRPr="007F64D9">
        <w:rPr>
          <w:rFonts w:ascii="Verdana" w:eastAsia="Times New Roman" w:hAnsi="Verdana" w:cs="Arial"/>
          <w:lang w:eastAsia="es-CO"/>
        </w:rPr>
        <w:t>Contar  con</w:t>
      </w:r>
      <w:proofErr w:type="gramEnd"/>
      <w:r w:rsidRPr="007F64D9">
        <w:rPr>
          <w:rFonts w:ascii="Verdana" w:eastAsia="Times New Roman" w:hAnsi="Verdana" w:cs="Arial"/>
          <w:lang w:eastAsia="es-CO"/>
        </w:rPr>
        <w:t xml:space="preserve"> personal con la idoneidad y formación necesaria de acuerdo a la normatividad vigente, para el desarrollo de las diferentes actividades, en tal sentido, el supervisor podrá solicitar de ser necesario al contratista en cualquier momento, los soportes necesarios que acrediten la idoneidad y formación del personal (trabajo seguro en alturas, coordinación trabajo seguro en alturas, espacios confinados, manejo eléctrico, etc.) </w:t>
      </w:r>
    </w:p>
    <w:p w14:paraId="5C3E277A" w14:textId="77777777" w:rsidR="00796B9D" w:rsidRPr="007F64D9" w:rsidRDefault="00796B9D" w:rsidP="00796B9D">
      <w:pPr>
        <w:pStyle w:val="Prrafodelista"/>
        <w:keepLines/>
        <w:widowControl w:val="0"/>
        <w:rPr>
          <w:rFonts w:ascii="Verdana" w:eastAsia="Times New Roman" w:hAnsi="Verdana" w:cs="Arial"/>
          <w:lang w:eastAsia="es-CO"/>
        </w:rPr>
      </w:pPr>
    </w:p>
    <w:p w14:paraId="577D5733"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Contar con los equipos, herramientas e insumos de calidad necesarios para adelantar las actividades de mantenimiento de las sedes del Departamento Administrativa de la Presidencia de la República. </w:t>
      </w:r>
    </w:p>
    <w:p w14:paraId="7E871E3C"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209FD46B"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Dotar a la totalidad del personal que va a utilizar en la ejecución del objeto del contrato con los elementos de higiene y seguridad industrial que se requieran para adelantar todas las actividades de mantenimiento y/o adecuaciones de las instalaciones.</w:t>
      </w:r>
    </w:p>
    <w:p w14:paraId="2EA4C0A6"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017F677E"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Garantizar que en todo momento y según los requerimientos de cada proceso de intervención, el personal vinculado a la obra utilice los elementos de protección tales como overol, casco, guantes, gafas, botas, cinturones y las protecciones correspondientes a cada una de las labores especializadas.</w:t>
      </w:r>
    </w:p>
    <w:p w14:paraId="0FB1EF52"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3836C627"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hAnsi="Verdana" w:cs="Arial"/>
          <w:bCs/>
        </w:rPr>
      </w:pPr>
      <w:r w:rsidRPr="007F64D9">
        <w:rPr>
          <w:rFonts w:ascii="Verdana" w:eastAsia="Times New Roman" w:hAnsi="Verdana" w:cs="Arial"/>
          <w:lang w:eastAsia="es-CO"/>
        </w:rPr>
        <w:t xml:space="preserve">Asegurar </w:t>
      </w:r>
      <w:proofErr w:type="gramStart"/>
      <w:r w:rsidRPr="007F64D9">
        <w:rPr>
          <w:rFonts w:ascii="Verdana" w:eastAsia="Times New Roman" w:hAnsi="Verdana" w:cs="Arial"/>
          <w:lang w:eastAsia="es-CO"/>
        </w:rPr>
        <w:t>que</w:t>
      </w:r>
      <w:proofErr w:type="gramEnd"/>
      <w:r w:rsidRPr="007F64D9">
        <w:rPr>
          <w:rFonts w:ascii="Verdana" w:eastAsia="Times New Roman" w:hAnsi="Verdana" w:cs="Arial"/>
          <w:lang w:eastAsia="es-CO"/>
        </w:rPr>
        <w:t xml:space="preserve"> en el caso de requerir el uso de equipos especializados, estos se encuentren en óptimas condiciones y sean revisados periódicamente, de igual forma la manipulación de los mismos </w:t>
      </w:r>
      <w:r w:rsidRPr="007F64D9">
        <w:rPr>
          <w:rFonts w:ascii="Verdana" w:hAnsi="Verdana" w:cs="Arial"/>
          <w:bCs/>
        </w:rPr>
        <w:t>únicamente podrán ser operados por personal autorizado y debidamente calificado.</w:t>
      </w:r>
    </w:p>
    <w:p w14:paraId="285C8F56"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01F3AB37"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7BFC0FB4"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Cumplir con todas las disposiciones legales vigentes en relación con la seguridad de todo el personal especializado, profesional, técnico y auxiliar que ejecute obras o cualquier actividad de mantenimiento, instalaciones o trabajos, así mismo, de aquellas personas que directa o indirectamente puedan verse afectadas por la ejecución de los trabajos. </w:t>
      </w:r>
    </w:p>
    <w:p w14:paraId="0FF36B7A"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086ECDE9"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Mantener durante toda la ejecución del contrato los precios unitarios ofertados, conforme a las descripciones definidas en el anexo técnico, precios que se entienden fijos y sin formula de reajuste, por lo que los mismos incluyen todos los elementos, materiales, mano de obra, insumos, transporte, gastos de personal y administrativos y en general todo lo necesario para cumplir a cabalidad con el objeto del contrato.</w:t>
      </w:r>
    </w:p>
    <w:p w14:paraId="1DDE2C07"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6F4BCDD9"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Contar con la capacidad administrativa y operacional necesaria con el fin de garantizar la disponibilidad y cubrimiento de la totalidad de los servicios de mantenimiento y adecuaciones requeridas para las sedes del Departamento Administrativa de la Presidencia de la República. </w:t>
      </w:r>
    </w:p>
    <w:p w14:paraId="4A24FEB5"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084C4FC8"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Realizar en lo posible los servicios requeridos dentro del horario laboral (lunes a viernes 8:00 am a 6:00 pm); no obstante, cuando sea necesario se deberán realizar los servicios los días sábados, domingos, festivos y en diferentes horarios (nocturnos), previa coordinación con el supervisor designado. </w:t>
      </w:r>
    </w:p>
    <w:p w14:paraId="729D5FF4"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1A770B9A"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Tener en cuenta las instrucciones de orden técnico y operativo que para el desarrollo del objeto del contrato disponga LA ENTIDAD.</w:t>
      </w:r>
    </w:p>
    <w:p w14:paraId="6404E571"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2AE2F95E"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Emplear materiales y repuestos de buena calidad para cumplir el objeto contractual. </w:t>
      </w:r>
    </w:p>
    <w:p w14:paraId="60855267"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75B72FA7"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Emplear bajo su absoluta responsabilidad, el personal mínimo requerido, al igual que el personal necesario y experto para el cumplimento del objeto contractual, el cual deberá ser idóneo y calificado. </w:t>
      </w:r>
    </w:p>
    <w:p w14:paraId="0FAC0BA3"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56472A54"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Asegurar que, durante el tiempo que dure los trabajos se mantengan señalizadas las áreas a intervenir. </w:t>
      </w:r>
    </w:p>
    <w:p w14:paraId="032FC89D"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5B2FD852" w14:textId="77777777" w:rsidR="00796B9D" w:rsidRPr="007F64D9" w:rsidRDefault="00796B9D" w:rsidP="00796B9D">
      <w:pPr>
        <w:keepLines/>
        <w:widowControl w:val="0"/>
        <w:tabs>
          <w:tab w:val="left" w:pos="0"/>
          <w:tab w:val="left" w:pos="426"/>
        </w:tabs>
        <w:kinsoku w:val="0"/>
        <w:rPr>
          <w:rFonts w:ascii="Verdana" w:eastAsia="Times New Roman" w:hAnsi="Verdana" w:cs="Arial"/>
          <w:lang w:eastAsia="es-CO"/>
        </w:rPr>
      </w:pPr>
    </w:p>
    <w:p w14:paraId="558A9EDA" w14:textId="77777777" w:rsidR="00796B9D" w:rsidRPr="007F64D9" w:rsidRDefault="00796B9D" w:rsidP="00796B9D">
      <w:pPr>
        <w:keepLines/>
        <w:widowControl w:val="0"/>
        <w:numPr>
          <w:ilvl w:val="0"/>
          <w:numId w:val="45"/>
        </w:numPr>
        <w:tabs>
          <w:tab w:val="left" w:pos="0"/>
          <w:tab w:val="left" w:pos="426"/>
        </w:tabs>
        <w:kinsoku w:val="0"/>
        <w:spacing w:line="276" w:lineRule="auto"/>
        <w:ind w:left="0" w:firstLine="0"/>
        <w:rPr>
          <w:rFonts w:ascii="Verdana" w:eastAsia="Times New Roman" w:hAnsi="Verdana" w:cs="Arial"/>
          <w:lang w:eastAsia="es-CO"/>
        </w:rPr>
      </w:pPr>
      <w:r w:rsidRPr="007F64D9">
        <w:rPr>
          <w:rFonts w:ascii="Verdana" w:eastAsia="Times New Roman" w:hAnsi="Verdana" w:cs="Arial"/>
          <w:lang w:eastAsia="es-CO"/>
        </w:rPr>
        <w:t xml:space="preserve">Tener en cuenta que, el Departamento Administrativa de la Presidencia de la República no reconocerá costos y recargos adicionales cuando las actividades sean llevadas a cabo en días u horarios diferentes a la jornada laboral de la Entidad, por lo tanto, el proponente tendrá que estimar estos valores en los cálculos de los precios unitarios ofertados. </w:t>
      </w:r>
    </w:p>
    <w:p w14:paraId="41FCF29A" w14:textId="77777777" w:rsidR="00796B9D" w:rsidRPr="007F64D9" w:rsidRDefault="00796B9D" w:rsidP="00796B9D">
      <w:pPr>
        <w:widowControl w:val="0"/>
        <w:tabs>
          <w:tab w:val="left" w:pos="0"/>
          <w:tab w:val="left" w:pos="426"/>
        </w:tabs>
        <w:kinsoku w:val="0"/>
        <w:rPr>
          <w:rFonts w:ascii="Verdana" w:eastAsia="Times New Roman" w:hAnsi="Verdana" w:cs="Arial"/>
          <w:lang w:eastAsia="es-CO"/>
        </w:rPr>
      </w:pPr>
    </w:p>
    <w:p w14:paraId="1FF3DCE2" w14:textId="77777777" w:rsidR="00796B9D" w:rsidRPr="007F64D9" w:rsidRDefault="00796B9D" w:rsidP="00796B9D">
      <w:pPr>
        <w:shd w:val="clear" w:color="auto" w:fill="FFFFFF"/>
        <w:rPr>
          <w:rFonts w:ascii="Verdana" w:hAnsi="Verdana" w:cs="Arial"/>
          <w:b/>
          <w:u w:val="single"/>
        </w:rPr>
      </w:pPr>
      <w:r w:rsidRPr="007F64D9">
        <w:rPr>
          <w:rFonts w:ascii="Verdana" w:eastAsia="Times New Roman" w:hAnsi="Verdana" w:cs="Arial"/>
          <w:b/>
          <w:lang w:eastAsia="es-CO"/>
        </w:rPr>
        <w:t>TIEMPOS DE ATENCIÓN:</w:t>
      </w:r>
      <w:r w:rsidRPr="007F64D9">
        <w:rPr>
          <w:rFonts w:ascii="Verdana" w:eastAsia="Times New Roman" w:hAnsi="Verdana" w:cs="Arial"/>
          <w:lang w:eastAsia="es-CO"/>
        </w:rPr>
        <w:t xml:space="preserve"> Garantizar al Departamento Administrativa de la Presidencia de la República, respuesta oportuna con el personal necesario para atender simultáneamente requerimientos eventuales o casos de emergencia en cumplimiento del objeto contractual, de acuerdo con lo establecido en la siguiente tabla de</w:t>
      </w:r>
      <w:r w:rsidRPr="007F64D9">
        <w:rPr>
          <w:rFonts w:ascii="Verdana" w:eastAsia="Times New Roman" w:hAnsi="Verdana" w:cs="Arial"/>
          <w:b/>
          <w:lang w:eastAsia="es-CO"/>
        </w:rPr>
        <w:t xml:space="preserve"> </w:t>
      </w:r>
      <w:r w:rsidRPr="007F64D9">
        <w:rPr>
          <w:rFonts w:ascii="Verdana" w:eastAsia="Times New Roman" w:hAnsi="Verdana" w:cs="Arial"/>
          <w:lang w:eastAsia="es-CO"/>
        </w:rPr>
        <w:t>tiempos de respuesta estimados de atención y solución de problemas en las sedes dentro y fuera de Bogotá.</w:t>
      </w:r>
    </w:p>
    <w:p w14:paraId="696D82E5" w14:textId="77777777" w:rsidR="00796B9D" w:rsidRPr="007F64D9" w:rsidRDefault="00796B9D" w:rsidP="00796B9D">
      <w:pPr>
        <w:widowControl w:val="0"/>
        <w:tabs>
          <w:tab w:val="left" w:pos="0"/>
          <w:tab w:val="left" w:pos="426"/>
        </w:tabs>
        <w:kinsoku w:val="0"/>
        <w:rPr>
          <w:rFonts w:ascii="Verdana" w:eastAsia="Times New Roman" w:hAnsi="Verdana" w:cs="Arial"/>
          <w:lang w:eastAsia="es-CO"/>
        </w:rPr>
      </w:pPr>
    </w:p>
    <w:tbl>
      <w:tblPr>
        <w:tblStyle w:val="Tablaconcuadrcula1"/>
        <w:tblpPr w:leftFromText="141" w:rightFromText="141" w:vertAnchor="text" w:horzAnchor="margin" w:tblpY="207"/>
        <w:tblW w:w="9639" w:type="dxa"/>
        <w:tblLook w:val="04A0" w:firstRow="1" w:lastRow="0" w:firstColumn="1" w:lastColumn="0" w:noHBand="0" w:noVBand="1"/>
      </w:tblPr>
      <w:tblGrid>
        <w:gridCol w:w="2552"/>
        <w:gridCol w:w="7087"/>
      </w:tblGrid>
      <w:tr w:rsidR="00796B9D" w:rsidRPr="007F64D9" w14:paraId="1D75C851" w14:textId="77777777" w:rsidTr="00A44CC1">
        <w:trPr>
          <w:trHeight w:val="118"/>
        </w:trPr>
        <w:tc>
          <w:tcPr>
            <w:tcW w:w="9639" w:type="dxa"/>
            <w:gridSpan w:val="2"/>
            <w:shd w:val="clear" w:color="auto" w:fill="554F4F" w:themeFill="text1" w:themeFillTint="BF"/>
          </w:tcPr>
          <w:p w14:paraId="29437F42"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t>PARA ORDENES DE TRABAJO EN LAS SEDES UBICADAS EN LA CIUDAD DE BOGOTÁ</w:t>
            </w:r>
          </w:p>
        </w:tc>
      </w:tr>
      <w:tr w:rsidR="00796B9D" w:rsidRPr="007F64D9" w14:paraId="62E67560" w14:textId="77777777" w:rsidTr="00A44CC1">
        <w:tc>
          <w:tcPr>
            <w:tcW w:w="2552" w:type="dxa"/>
            <w:shd w:val="clear" w:color="auto" w:fill="554F4F" w:themeFill="text1" w:themeFillTint="BF"/>
          </w:tcPr>
          <w:p w14:paraId="4A928DE3"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7F64D9">
              <w:rPr>
                <w:rFonts w:ascii="Verdana" w:eastAsia="Times New Roman" w:hAnsi="Verdana" w:cs="Arial"/>
                <w:b/>
                <w:color w:val="FFFFFF" w:themeColor="background1"/>
                <w:szCs w:val="20"/>
              </w:rPr>
              <w:t xml:space="preserve">TIPO DE </w:t>
            </w:r>
            <w:r w:rsidRPr="007F64D9">
              <w:rPr>
                <w:rFonts w:ascii="Verdana" w:eastAsia="Times New Roman" w:hAnsi="Verdana" w:cs="Arial"/>
                <w:b/>
                <w:color w:val="FFFFFF" w:themeColor="background1"/>
                <w:szCs w:val="20"/>
              </w:rPr>
              <w:lastRenderedPageBreak/>
              <w:t>REQUERIMIENTO</w:t>
            </w:r>
          </w:p>
        </w:tc>
        <w:tc>
          <w:tcPr>
            <w:tcW w:w="7087" w:type="dxa"/>
            <w:shd w:val="clear" w:color="auto" w:fill="554F4F" w:themeFill="text1" w:themeFillTint="BF"/>
          </w:tcPr>
          <w:p w14:paraId="735A1BB9"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lastRenderedPageBreak/>
              <w:t>PLAZO MÁXIMO DE ATENCIÓN</w:t>
            </w:r>
          </w:p>
        </w:tc>
      </w:tr>
      <w:tr w:rsidR="00796B9D" w:rsidRPr="007F64D9" w14:paraId="4A7DCF58" w14:textId="77777777" w:rsidTr="00A44CC1">
        <w:tc>
          <w:tcPr>
            <w:tcW w:w="2552" w:type="dxa"/>
            <w:shd w:val="clear" w:color="auto" w:fill="554F4F" w:themeFill="text1" w:themeFillTint="BF"/>
          </w:tcPr>
          <w:p w14:paraId="3E31D6BE"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1907FBF6"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p w14:paraId="6259C40A"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CASOS DE </w:t>
            </w:r>
            <w:r w:rsidRPr="00BF54F6">
              <w:rPr>
                <w:rFonts w:ascii="Verdana" w:eastAsia="Times New Roman" w:hAnsi="Verdana" w:cs="Arial"/>
                <w:b/>
                <w:color w:val="FFFFFF" w:themeColor="background1"/>
                <w:sz w:val="18"/>
                <w:szCs w:val="18"/>
                <w:u w:val="single"/>
              </w:rPr>
              <w:t>EMERGENCIAS.</w:t>
            </w:r>
          </w:p>
        </w:tc>
        <w:tc>
          <w:tcPr>
            <w:tcW w:w="7087" w:type="dxa"/>
          </w:tcPr>
          <w:p w14:paraId="28C28BE6"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sz w:val="18"/>
                <w:szCs w:val="18"/>
                <w:u w:val="single"/>
              </w:rPr>
            </w:pPr>
            <w:r w:rsidRPr="007F64D9">
              <w:rPr>
                <w:rFonts w:ascii="Verdana" w:eastAsia="Times New Roman" w:hAnsi="Verdana" w:cs="Arial"/>
                <w:b/>
                <w:sz w:val="18"/>
                <w:szCs w:val="18"/>
              </w:rPr>
              <w:t>Máximo dos (2) horas</w:t>
            </w:r>
            <w:r w:rsidRPr="007F64D9">
              <w:rPr>
                <w:rFonts w:ascii="Verdana" w:eastAsia="Times New Roman" w:hAnsi="Verdana" w:cs="Arial"/>
                <w:sz w:val="18"/>
                <w:szCs w:val="18"/>
              </w:rPr>
              <w:t xml:space="preserve">. El PROPONENTE debe presentarse en el lugar de los hechos y resolver inmediatamente el requerimiento. De no ser posible atender el caso por fuerza mayor debe informar al supervisor el procedimiento a seguir e indicar las razones por la cual no se pudo adelantar el mantenimiento y establecer pasos y tiempos de ejecución. En todo caso el tiempo no podrá superar las </w:t>
            </w:r>
            <w:r w:rsidRPr="007F64D9">
              <w:rPr>
                <w:rFonts w:ascii="Verdana" w:eastAsia="Times New Roman" w:hAnsi="Verdana" w:cs="Arial"/>
                <w:b/>
                <w:sz w:val="18"/>
                <w:szCs w:val="18"/>
              </w:rPr>
              <w:t>24</w:t>
            </w:r>
            <w:r w:rsidRPr="007F64D9">
              <w:rPr>
                <w:rFonts w:ascii="Verdana" w:eastAsia="Times New Roman" w:hAnsi="Verdana" w:cs="Arial"/>
                <w:sz w:val="18"/>
                <w:szCs w:val="18"/>
              </w:rPr>
              <w:t xml:space="preserve"> horas y deberá adelantar acciones preventivas en el sitio con el fin de evitar daños mayores.</w:t>
            </w:r>
            <w:r w:rsidRPr="007F64D9">
              <w:rPr>
                <w:rFonts w:ascii="Verdana" w:eastAsia="Times New Roman" w:hAnsi="Verdana" w:cs="Arial"/>
                <w:sz w:val="18"/>
                <w:szCs w:val="18"/>
                <w:u w:val="single"/>
              </w:rPr>
              <w:t xml:space="preserve">  </w:t>
            </w:r>
          </w:p>
        </w:tc>
      </w:tr>
      <w:tr w:rsidR="00796B9D" w:rsidRPr="007F64D9" w14:paraId="0CEE65D2" w14:textId="77777777" w:rsidTr="00A44CC1">
        <w:trPr>
          <w:trHeight w:val="363"/>
        </w:trPr>
        <w:tc>
          <w:tcPr>
            <w:tcW w:w="2552" w:type="dxa"/>
            <w:shd w:val="clear" w:color="auto" w:fill="554F4F" w:themeFill="text1" w:themeFillTint="BF"/>
          </w:tcPr>
          <w:p w14:paraId="5788462C"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21F8F2B5"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u w:val="single"/>
              </w:rPr>
            </w:pPr>
            <w:r w:rsidRPr="00BF54F6">
              <w:rPr>
                <w:rFonts w:ascii="Verdana" w:eastAsia="Times New Roman" w:hAnsi="Verdana" w:cs="Arial"/>
                <w:color w:val="FFFFFF" w:themeColor="background1"/>
                <w:sz w:val="18"/>
                <w:szCs w:val="18"/>
              </w:rPr>
              <w:t xml:space="preserve">PARA LAS ORDENES DE TRABAJO DE RUTINA DE </w:t>
            </w:r>
            <w:r w:rsidRPr="00BF54F6">
              <w:rPr>
                <w:rFonts w:ascii="Verdana" w:eastAsia="Times New Roman" w:hAnsi="Verdana" w:cs="Arial"/>
                <w:b/>
                <w:color w:val="FFFFFF" w:themeColor="background1"/>
                <w:sz w:val="18"/>
                <w:szCs w:val="18"/>
                <w:u w:val="single"/>
              </w:rPr>
              <w:t>SERVICIO CORRECTIVO</w:t>
            </w:r>
          </w:p>
          <w:p w14:paraId="6683D2BB"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tc>
        <w:tc>
          <w:tcPr>
            <w:tcW w:w="7087" w:type="dxa"/>
          </w:tcPr>
          <w:p w14:paraId="6A384CFD"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b/>
                <w:sz w:val="18"/>
                <w:szCs w:val="18"/>
              </w:rPr>
              <w:t>Máximo Veinticuatro (24) horas</w:t>
            </w:r>
            <w:r w:rsidRPr="007F64D9">
              <w:rPr>
                <w:rFonts w:ascii="Verdana" w:eastAsia="Times New Roman" w:hAnsi="Verdana" w:cs="Arial"/>
                <w:sz w:val="18"/>
                <w:szCs w:val="18"/>
              </w:rPr>
              <w:t xml:space="preserve">. El PROPONENTE debe presentarse en el lugar de los hechos dentro de este periodo y resolver el requerimiento. De no ser posible atender el caso por fuerza mayor debe informar al supervisor el procedimiento a seguir e indicar las razones por la cual no se pudo adelantar el mantenimiento y establecer pasos y tiempos de ejecución. En todo caso el tiempo no podrá superar las </w:t>
            </w:r>
            <w:r w:rsidRPr="007F64D9">
              <w:rPr>
                <w:rFonts w:ascii="Verdana" w:eastAsia="Times New Roman" w:hAnsi="Verdana" w:cs="Arial"/>
                <w:b/>
                <w:sz w:val="18"/>
                <w:szCs w:val="18"/>
              </w:rPr>
              <w:t>48</w:t>
            </w:r>
            <w:r w:rsidRPr="007F64D9">
              <w:rPr>
                <w:rFonts w:ascii="Verdana" w:eastAsia="Times New Roman" w:hAnsi="Verdana" w:cs="Arial"/>
                <w:sz w:val="18"/>
                <w:szCs w:val="18"/>
              </w:rPr>
              <w:t xml:space="preserve"> horas y deberá adelantar acciones preventivas en el sitio con el fin de evitar daños mayores.  </w:t>
            </w:r>
          </w:p>
        </w:tc>
      </w:tr>
      <w:tr w:rsidR="00796B9D" w:rsidRPr="007F64D9" w14:paraId="085ADF57" w14:textId="77777777" w:rsidTr="00A44CC1">
        <w:trPr>
          <w:trHeight w:val="70"/>
        </w:trPr>
        <w:tc>
          <w:tcPr>
            <w:tcW w:w="2552" w:type="dxa"/>
            <w:shd w:val="clear" w:color="auto" w:fill="554F4F" w:themeFill="text1" w:themeFillTint="BF"/>
          </w:tcPr>
          <w:p w14:paraId="30C4EFF3"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u w:val="single"/>
              </w:rPr>
            </w:pPr>
            <w:r w:rsidRPr="00BF54F6">
              <w:rPr>
                <w:rFonts w:ascii="Verdana" w:eastAsia="Times New Roman" w:hAnsi="Verdana" w:cs="Arial"/>
                <w:color w:val="FFFFFF" w:themeColor="background1"/>
                <w:sz w:val="18"/>
                <w:szCs w:val="18"/>
              </w:rPr>
              <w:t xml:space="preserve">PARA LAS ORDENES DE TRABAJO DE RUTINA DE SERVICIOS </w:t>
            </w:r>
            <w:r w:rsidRPr="00BF54F6">
              <w:rPr>
                <w:rFonts w:ascii="Verdana" w:eastAsia="Times New Roman" w:hAnsi="Verdana" w:cs="Arial"/>
                <w:b/>
                <w:color w:val="FFFFFF" w:themeColor="background1"/>
                <w:sz w:val="18"/>
                <w:szCs w:val="18"/>
                <w:u w:val="single"/>
              </w:rPr>
              <w:t>PREVENTIVO</w:t>
            </w:r>
          </w:p>
        </w:tc>
        <w:tc>
          <w:tcPr>
            <w:tcW w:w="7087" w:type="dxa"/>
          </w:tcPr>
          <w:p w14:paraId="0E35FBC5"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sz w:val="18"/>
                <w:szCs w:val="18"/>
              </w:rPr>
            </w:pPr>
          </w:p>
          <w:p w14:paraId="48087AC6"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tres (3) días hábiles.</w:t>
            </w:r>
          </w:p>
        </w:tc>
      </w:tr>
      <w:tr w:rsidR="00796B9D" w:rsidRPr="007F64D9" w14:paraId="6FE3B1CC" w14:textId="77777777" w:rsidTr="00A44CC1">
        <w:tc>
          <w:tcPr>
            <w:tcW w:w="2552" w:type="dxa"/>
            <w:shd w:val="clear" w:color="auto" w:fill="554F4F" w:themeFill="text1" w:themeFillTint="BF"/>
          </w:tcPr>
          <w:p w14:paraId="2136C52E" w14:textId="77777777" w:rsidR="00796B9D" w:rsidRPr="00BF54F6" w:rsidRDefault="00796B9D" w:rsidP="00A44CC1">
            <w:pPr>
              <w:widowControl w:val="0"/>
              <w:tabs>
                <w:tab w:val="left" w:pos="0"/>
              </w:tabs>
              <w:kinsoku w:val="0"/>
              <w:spacing w:line="276" w:lineRule="auto"/>
              <w:jc w:val="center"/>
              <w:rPr>
                <w:rFonts w:ascii="Verdana" w:eastAsia="Times New Roman" w:hAnsi="Verdana" w:cs="Arial"/>
                <w:color w:val="FFFFFF" w:themeColor="background1"/>
                <w:sz w:val="18"/>
                <w:szCs w:val="18"/>
              </w:rPr>
            </w:pPr>
          </w:p>
          <w:p w14:paraId="4D372E82" w14:textId="77777777" w:rsidR="00796B9D" w:rsidRPr="00BF54F6" w:rsidRDefault="00796B9D" w:rsidP="00A44CC1">
            <w:pPr>
              <w:widowControl w:val="0"/>
              <w:tabs>
                <w:tab w:val="left" w:pos="0"/>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w:t>
            </w:r>
            <w:r w:rsidRPr="00BF54F6">
              <w:rPr>
                <w:rFonts w:ascii="Verdana" w:eastAsia="Times New Roman" w:hAnsi="Verdana" w:cs="Arial"/>
                <w:b/>
                <w:color w:val="FFFFFF" w:themeColor="background1"/>
                <w:sz w:val="18"/>
                <w:szCs w:val="18"/>
                <w:u w:val="single"/>
              </w:rPr>
              <w:t>ADECUACIONES</w:t>
            </w:r>
            <w:r w:rsidRPr="00BF54F6">
              <w:rPr>
                <w:rFonts w:ascii="Verdana" w:eastAsia="Times New Roman" w:hAnsi="Verdana" w:cs="Arial"/>
                <w:color w:val="FFFFFF" w:themeColor="background1"/>
                <w:sz w:val="18"/>
                <w:szCs w:val="18"/>
              </w:rPr>
              <w:t xml:space="preserve"> Y/O REMODELACIONES:</w:t>
            </w:r>
          </w:p>
        </w:tc>
        <w:tc>
          <w:tcPr>
            <w:tcW w:w="7087" w:type="dxa"/>
          </w:tcPr>
          <w:p w14:paraId="58FFFEED" w14:textId="77777777" w:rsidR="00796B9D" w:rsidRPr="007F64D9" w:rsidRDefault="00796B9D" w:rsidP="00A44CC1">
            <w:pPr>
              <w:widowControl w:val="0"/>
              <w:tabs>
                <w:tab w:val="left" w:pos="0"/>
              </w:tabs>
              <w:kinsoku w:val="0"/>
              <w:spacing w:line="276" w:lineRule="auto"/>
              <w:rPr>
                <w:rFonts w:ascii="Verdana" w:eastAsia="Times New Roman" w:hAnsi="Verdana" w:cs="Arial"/>
                <w:sz w:val="18"/>
                <w:szCs w:val="18"/>
              </w:rPr>
            </w:pPr>
            <w:r w:rsidRPr="007F64D9">
              <w:rPr>
                <w:rFonts w:ascii="Verdana" w:eastAsia="Times New Roman" w:hAnsi="Verdana" w:cs="Arial"/>
                <w:sz w:val="18"/>
                <w:szCs w:val="18"/>
              </w:rPr>
              <w:t xml:space="preserve">Deberá presentar en un término </w:t>
            </w:r>
            <w:r w:rsidRPr="007F64D9">
              <w:rPr>
                <w:rFonts w:ascii="Verdana" w:eastAsia="Times New Roman" w:hAnsi="Verdana" w:cs="Arial"/>
                <w:b/>
                <w:sz w:val="18"/>
                <w:szCs w:val="18"/>
              </w:rPr>
              <w:t>máximo de cinco (5) días</w:t>
            </w:r>
            <w:r w:rsidRPr="007F64D9">
              <w:rPr>
                <w:rFonts w:ascii="Verdana" w:eastAsia="Times New Roman" w:hAnsi="Verdana" w:cs="Arial"/>
                <w:sz w:val="18"/>
                <w:szCs w:val="18"/>
              </w:rPr>
              <w:t xml:space="preserve"> hábiles la </w:t>
            </w:r>
            <w:r w:rsidRPr="007F64D9">
              <w:rPr>
                <w:rFonts w:ascii="Verdana" w:eastAsia="Times New Roman" w:hAnsi="Verdana" w:cs="Arial"/>
                <w:b/>
                <w:bCs/>
                <w:sz w:val="18"/>
                <w:szCs w:val="18"/>
                <w:u w:val="single"/>
              </w:rPr>
              <w:t>propuesta arquitectónica, el cronograma de tiempos y el presupuesto por parte del contratista</w:t>
            </w:r>
            <w:r w:rsidRPr="007F64D9">
              <w:rPr>
                <w:rFonts w:ascii="Verdana" w:eastAsia="Times New Roman" w:hAnsi="Verdana" w:cs="Arial"/>
                <w:sz w:val="18"/>
                <w:szCs w:val="18"/>
              </w:rPr>
              <w:t>, previa aprobación del supervisor quien dará la autorización del inicio del requerimiento.</w:t>
            </w:r>
          </w:p>
        </w:tc>
      </w:tr>
    </w:tbl>
    <w:p w14:paraId="0D28C7F0" w14:textId="77777777" w:rsidR="00796B9D" w:rsidRPr="007F64D9" w:rsidRDefault="00796B9D" w:rsidP="00796B9D">
      <w:pPr>
        <w:widowControl w:val="0"/>
        <w:tabs>
          <w:tab w:val="left" w:pos="0"/>
          <w:tab w:val="left" w:pos="426"/>
        </w:tabs>
        <w:kinsoku w:val="0"/>
        <w:rPr>
          <w:rFonts w:ascii="Verdana" w:eastAsia="Times New Roman" w:hAnsi="Verdana" w:cs="Arial"/>
          <w:sz w:val="24"/>
          <w:szCs w:val="24"/>
          <w:lang w:eastAsia="es-CO"/>
        </w:rPr>
      </w:pPr>
    </w:p>
    <w:tbl>
      <w:tblPr>
        <w:tblStyle w:val="Tablaconcuadrcula1"/>
        <w:tblpPr w:leftFromText="141" w:rightFromText="141" w:vertAnchor="text" w:horzAnchor="margin" w:tblpY="-45"/>
        <w:tblW w:w="9634" w:type="dxa"/>
        <w:tblLook w:val="04A0" w:firstRow="1" w:lastRow="0" w:firstColumn="1" w:lastColumn="0" w:noHBand="0" w:noVBand="1"/>
      </w:tblPr>
      <w:tblGrid>
        <w:gridCol w:w="2547"/>
        <w:gridCol w:w="7087"/>
      </w:tblGrid>
      <w:tr w:rsidR="00796B9D" w:rsidRPr="007F64D9" w14:paraId="1EABC4AC" w14:textId="77777777" w:rsidTr="00A44CC1">
        <w:trPr>
          <w:trHeight w:val="135"/>
        </w:trPr>
        <w:tc>
          <w:tcPr>
            <w:tcW w:w="9634" w:type="dxa"/>
            <w:gridSpan w:val="2"/>
            <w:shd w:val="clear" w:color="auto" w:fill="554F4F" w:themeFill="text1" w:themeFillTint="BF"/>
          </w:tcPr>
          <w:p w14:paraId="708AFA28"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lastRenderedPageBreak/>
              <w:t>PARA ORDENES DE TRABAJO EN LAS SEDES UBICADAS EN LA CIUDAD DE SOPO O CARTAGENA</w:t>
            </w:r>
          </w:p>
        </w:tc>
      </w:tr>
      <w:tr w:rsidR="00796B9D" w:rsidRPr="007F64D9" w14:paraId="4F1D9268" w14:textId="77777777" w:rsidTr="00A44CC1">
        <w:trPr>
          <w:trHeight w:val="70"/>
        </w:trPr>
        <w:tc>
          <w:tcPr>
            <w:tcW w:w="2547" w:type="dxa"/>
            <w:shd w:val="clear" w:color="auto" w:fill="554F4F" w:themeFill="text1" w:themeFillTint="BF"/>
          </w:tcPr>
          <w:p w14:paraId="3EA4C2F1"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7F64D9">
              <w:rPr>
                <w:rFonts w:ascii="Verdana" w:eastAsia="Times New Roman" w:hAnsi="Verdana" w:cs="Arial"/>
                <w:b/>
                <w:color w:val="FFFFFF" w:themeColor="background1"/>
                <w:szCs w:val="20"/>
              </w:rPr>
              <w:t>TIPO DE REQUERIMIENTO</w:t>
            </w:r>
          </w:p>
        </w:tc>
        <w:tc>
          <w:tcPr>
            <w:tcW w:w="7087" w:type="dxa"/>
            <w:shd w:val="clear" w:color="auto" w:fill="554F4F" w:themeFill="text1" w:themeFillTint="BF"/>
          </w:tcPr>
          <w:p w14:paraId="51D763D4" w14:textId="77777777" w:rsidR="00796B9D" w:rsidRPr="007F64D9"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t>PLAZO MÁXIMO DE ATENCIÓN</w:t>
            </w:r>
          </w:p>
        </w:tc>
      </w:tr>
      <w:tr w:rsidR="00796B9D" w:rsidRPr="007F64D9" w14:paraId="49467F0E" w14:textId="77777777" w:rsidTr="00A44CC1">
        <w:trPr>
          <w:trHeight w:val="1070"/>
        </w:trPr>
        <w:tc>
          <w:tcPr>
            <w:tcW w:w="2547" w:type="dxa"/>
            <w:shd w:val="clear" w:color="auto" w:fill="554F4F" w:themeFill="text1" w:themeFillTint="BF"/>
          </w:tcPr>
          <w:p w14:paraId="3C868A2E"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p w14:paraId="106FDDDB"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2E9ED78D"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BF54F6">
              <w:rPr>
                <w:rFonts w:ascii="Verdana" w:eastAsia="Times New Roman" w:hAnsi="Verdana" w:cs="Arial"/>
                <w:color w:val="FFFFFF" w:themeColor="background1"/>
                <w:sz w:val="18"/>
                <w:szCs w:val="18"/>
              </w:rPr>
              <w:t xml:space="preserve">PARA CASOS DE </w:t>
            </w:r>
            <w:r w:rsidRPr="00BF54F6">
              <w:rPr>
                <w:rFonts w:ascii="Verdana" w:eastAsia="Times New Roman" w:hAnsi="Verdana" w:cs="Arial"/>
                <w:b/>
                <w:color w:val="FFFFFF" w:themeColor="background1"/>
                <w:sz w:val="18"/>
                <w:szCs w:val="18"/>
                <w:u w:val="single"/>
              </w:rPr>
              <w:t>EMERGENCIAS.</w:t>
            </w:r>
            <w:r w:rsidRPr="00BF54F6">
              <w:rPr>
                <w:rFonts w:ascii="Verdana" w:eastAsia="Times New Roman" w:hAnsi="Verdana" w:cs="Arial"/>
                <w:color w:val="FFFFFF" w:themeColor="background1"/>
                <w:sz w:val="18"/>
                <w:szCs w:val="18"/>
              </w:rPr>
              <w:t xml:space="preserve">  </w:t>
            </w:r>
          </w:p>
        </w:tc>
        <w:tc>
          <w:tcPr>
            <w:tcW w:w="7087" w:type="dxa"/>
          </w:tcPr>
          <w:p w14:paraId="1EC01085"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b/>
                <w:sz w:val="18"/>
                <w:szCs w:val="18"/>
              </w:rPr>
              <w:t>Máximo Veinticuatro (24) horas</w:t>
            </w:r>
            <w:r w:rsidRPr="007F64D9">
              <w:rPr>
                <w:rFonts w:ascii="Verdana" w:eastAsia="Times New Roman" w:hAnsi="Verdana" w:cs="Arial"/>
                <w:sz w:val="18"/>
                <w:szCs w:val="18"/>
              </w:rPr>
              <w:t>. En contratista debe presentarse en el lugar de los hechos y resolver inmediatamente el requerimiento. De no ser posible atender el caso por fuerza mayor debe informar al supervisor el procedimiento a seguir e indicar las razones por la cual no se pudo adelantar el servicio y establecer pasos y tiempos de ejecución. En todo caso el tiempo no podrá superar las (</w:t>
            </w:r>
            <w:r w:rsidRPr="007F64D9">
              <w:rPr>
                <w:rFonts w:ascii="Verdana" w:eastAsia="Times New Roman" w:hAnsi="Verdana" w:cs="Arial"/>
                <w:b/>
                <w:sz w:val="18"/>
                <w:szCs w:val="18"/>
              </w:rPr>
              <w:t>48)</w:t>
            </w:r>
            <w:r w:rsidRPr="007F64D9">
              <w:rPr>
                <w:rFonts w:ascii="Verdana" w:eastAsia="Times New Roman" w:hAnsi="Verdana" w:cs="Arial"/>
                <w:sz w:val="18"/>
                <w:szCs w:val="18"/>
              </w:rPr>
              <w:t xml:space="preserve"> horas y deberá adelantar acciones preventivas en el sitio con el fin de evitar daños mayores.  </w:t>
            </w:r>
          </w:p>
        </w:tc>
      </w:tr>
      <w:tr w:rsidR="00796B9D" w:rsidRPr="007F64D9" w14:paraId="06B4CAD2" w14:textId="77777777" w:rsidTr="00A44CC1">
        <w:trPr>
          <w:trHeight w:val="1020"/>
        </w:trPr>
        <w:tc>
          <w:tcPr>
            <w:tcW w:w="2547" w:type="dxa"/>
            <w:shd w:val="clear" w:color="auto" w:fill="554F4F" w:themeFill="text1" w:themeFillTint="BF"/>
          </w:tcPr>
          <w:p w14:paraId="30851387"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7C4AFAE8"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BF54F6">
              <w:rPr>
                <w:rFonts w:ascii="Verdana" w:eastAsia="Times New Roman" w:hAnsi="Verdana" w:cs="Arial"/>
                <w:color w:val="FFFFFF" w:themeColor="background1"/>
                <w:sz w:val="18"/>
                <w:szCs w:val="18"/>
              </w:rPr>
              <w:t xml:space="preserve">PARA LAS ÓRDENES DE TRABAJO DE RUTINAS DE SERVICIOS </w:t>
            </w:r>
            <w:r w:rsidRPr="00BF54F6">
              <w:rPr>
                <w:rFonts w:ascii="Verdana" w:eastAsia="Times New Roman" w:hAnsi="Verdana" w:cs="Arial"/>
                <w:b/>
                <w:color w:val="FFFFFF" w:themeColor="background1"/>
                <w:sz w:val="18"/>
                <w:szCs w:val="18"/>
                <w:u w:val="single"/>
              </w:rPr>
              <w:t>CORRECTIVOS</w:t>
            </w:r>
            <w:r w:rsidRPr="00BF54F6">
              <w:rPr>
                <w:rFonts w:ascii="Verdana" w:eastAsia="Times New Roman" w:hAnsi="Verdana" w:cs="Arial"/>
                <w:color w:val="FFFFFF" w:themeColor="background1"/>
                <w:sz w:val="18"/>
                <w:szCs w:val="18"/>
              </w:rPr>
              <w:t>:</w:t>
            </w:r>
          </w:p>
        </w:tc>
        <w:tc>
          <w:tcPr>
            <w:tcW w:w="7087" w:type="dxa"/>
          </w:tcPr>
          <w:p w14:paraId="63888074"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tres (3) días hábiles</w:t>
            </w:r>
            <w:r w:rsidRPr="007F64D9">
              <w:rPr>
                <w:rFonts w:ascii="Verdana" w:eastAsia="Times New Roman" w:hAnsi="Verdana" w:cs="Arial"/>
                <w:sz w:val="18"/>
                <w:szCs w:val="18"/>
              </w:rPr>
              <w:t xml:space="preserve">. En contratista debe presentarse en el lugar de los hechos dentro de este periodo y resolver el requerimiento. De no ser posible atender el caso por fuerza mayor debe informar al supervisor el procedimiento a seguir e indicar las razones por la cual no se pudo adelantar el servicio y establecer pasos y tiempos de ejecución. En todo caso el tiempo no podrá superar los </w:t>
            </w:r>
            <w:r w:rsidRPr="007F64D9">
              <w:rPr>
                <w:rFonts w:ascii="Verdana" w:eastAsia="Times New Roman" w:hAnsi="Verdana" w:cs="Arial"/>
                <w:b/>
                <w:sz w:val="18"/>
                <w:szCs w:val="18"/>
              </w:rPr>
              <w:t xml:space="preserve">(5) </w:t>
            </w:r>
            <w:r w:rsidRPr="007F64D9">
              <w:rPr>
                <w:rFonts w:ascii="Verdana" w:eastAsia="Times New Roman" w:hAnsi="Verdana" w:cs="Arial"/>
                <w:sz w:val="18"/>
                <w:szCs w:val="18"/>
              </w:rPr>
              <w:t xml:space="preserve">días hábiles y deberá adelantar acciones preventivas en el sitio con el fin de evitar daños mayores.   </w:t>
            </w:r>
          </w:p>
        </w:tc>
      </w:tr>
      <w:tr w:rsidR="00796B9D" w:rsidRPr="007F64D9" w14:paraId="76CA56D3" w14:textId="77777777" w:rsidTr="00A44CC1">
        <w:trPr>
          <w:trHeight w:val="159"/>
        </w:trPr>
        <w:tc>
          <w:tcPr>
            <w:tcW w:w="2547" w:type="dxa"/>
            <w:shd w:val="clear" w:color="auto" w:fill="554F4F" w:themeFill="text1" w:themeFillTint="BF"/>
          </w:tcPr>
          <w:p w14:paraId="60D5843F" w14:textId="77777777" w:rsidR="00796B9D" w:rsidRPr="00BF54F6" w:rsidRDefault="00796B9D" w:rsidP="00A44CC1">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LAS ÓRDENES DE TRABAJO DE RUTINAS DE SERVICIOS </w:t>
            </w:r>
            <w:r w:rsidRPr="00BF54F6">
              <w:rPr>
                <w:rFonts w:ascii="Verdana" w:eastAsia="Times New Roman" w:hAnsi="Verdana" w:cs="Arial"/>
                <w:b/>
                <w:color w:val="FFFFFF" w:themeColor="background1"/>
                <w:sz w:val="18"/>
                <w:szCs w:val="18"/>
                <w:u w:val="single"/>
              </w:rPr>
              <w:t>PREVENTIVOS</w:t>
            </w:r>
            <w:r w:rsidRPr="00BF54F6">
              <w:rPr>
                <w:rFonts w:ascii="Verdana" w:eastAsia="Times New Roman" w:hAnsi="Verdana" w:cs="Arial"/>
                <w:color w:val="FFFFFF" w:themeColor="background1"/>
                <w:sz w:val="18"/>
                <w:szCs w:val="18"/>
              </w:rPr>
              <w:t>:</w:t>
            </w:r>
          </w:p>
        </w:tc>
        <w:tc>
          <w:tcPr>
            <w:tcW w:w="7087" w:type="dxa"/>
          </w:tcPr>
          <w:p w14:paraId="7A3F5A4C"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b/>
                <w:sz w:val="18"/>
                <w:szCs w:val="18"/>
              </w:rPr>
            </w:pPr>
          </w:p>
          <w:p w14:paraId="6B7807A6"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cinco (5) días hábiles.</w:t>
            </w:r>
          </w:p>
        </w:tc>
      </w:tr>
      <w:tr w:rsidR="00796B9D" w:rsidRPr="007F64D9" w14:paraId="3A41EA15" w14:textId="77777777" w:rsidTr="00A44CC1">
        <w:trPr>
          <w:trHeight w:val="490"/>
        </w:trPr>
        <w:tc>
          <w:tcPr>
            <w:tcW w:w="2547" w:type="dxa"/>
            <w:shd w:val="clear" w:color="auto" w:fill="554F4F" w:themeFill="text1" w:themeFillTint="BF"/>
          </w:tcPr>
          <w:p w14:paraId="4B71CFAB"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6838A611" w14:textId="77777777" w:rsidR="00796B9D" w:rsidRPr="00BF54F6" w:rsidRDefault="00796B9D" w:rsidP="00A44CC1">
            <w:pPr>
              <w:widowControl w:val="0"/>
              <w:tabs>
                <w:tab w:val="left" w:pos="0"/>
                <w:tab w:val="left" w:pos="426"/>
              </w:tabs>
              <w:kinsoku w:val="0"/>
              <w:spacing w:line="276" w:lineRule="auto"/>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PARA ADECUACIONES Y/O REMODELACIONES:</w:t>
            </w:r>
          </w:p>
        </w:tc>
        <w:tc>
          <w:tcPr>
            <w:tcW w:w="7087" w:type="dxa"/>
          </w:tcPr>
          <w:p w14:paraId="6047B6EF" w14:textId="77777777" w:rsidR="00796B9D" w:rsidRPr="007F64D9" w:rsidRDefault="00796B9D" w:rsidP="00A44CC1">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sz w:val="18"/>
                <w:szCs w:val="18"/>
              </w:rPr>
              <w:t xml:space="preserve">Deberá presentarse en un término </w:t>
            </w:r>
            <w:r w:rsidRPr="007F64D9">
              <w:rPr>
                <w:rFonts w:ascii="Verdana" w:eastAsia="Times New Roman" w:hAnsi="Verdana" w:cs="Arial"/>
                <w:b/>
                <w:sz w:val="18"/>
                <w:szCs w:val="18"/>
              </w:rPr>
              <w:t>máximo de siete (7) días</w:t>
            </w:r>
            <w:r w:rsidRPr="007F64D9">
              <w:rPr>
                <w:rFonts w:ascii="Verdana" w:eastAsia="Times New Roman" w:hAnsi="Verdana" w:cs="Arial"/>
                <w:sz w:val="18"/>
                <w:szCs w:val="18"/>
              </w:rPr>
              <w:t xml:space="preserve"> hábiles la propuesta arquitectónica, el cronograma de tiempos y el presupuesto por parte del contratista, previa aprobación del supervisor quien dará la autorización del inicio del requerimiento.</w:t>
            </w:r>
          </w:p>
        </w:tc>
      </w:tr>
    </w:tbl>
    <w:p w14:paraId="0DBDF9C1" w14:textId="77777777" w:rsidR="00796B9D" w:rsidRPr="007F64D9" w:rsidRDefault="00796B9D" w:rsidP="00796B9D">
      <w:pPr>
        <w:widowControl w:val="0"/>
        <w:tabs>
          <w:tab w:val="left" w:pos="0"/>
          <w:tab w:val="left" w:pos="426"/>
        </w:tabs>
        <w:kinsoku w:val="0"/>
        <w:rPr>
          <w:rFonts w:ascii="Verdana" w:eastAsia="Times New Roman" w:hAnsi="Verdana" w:cs="Arial"/>
          <w:b/>
          <w:u w:val="single"/>
          <w:lang w:eastAsia="es-CO"/>
        </w:rPr>
      </w:pPr>
    </w:p>
    <w:p w14:paraId="4C231796" w14:textId="77777777" w:rsidR="00796B9D" w:rsidRPr="007F64D9" w:rsidRDefault="00796B9D" w:rsidP="00796B9D">
      <w:pPr>
        <w:widowControl w:val="0"/>
        <w:tabs>
          <w:tab w:val="left" w:pos="0"/>
          <w:tab w:val="left" w:pos="426"/>
        </w:tabs>
        <w:kinsoku w:val="0"/>
        <w:rPr>
          <w:rFonts w:ascii="Verdana" w:eastAsia="Times New Roman" w:hAnsi="Verdana" w:cs="Arial"/>
          <w:lang w:eastAsia="es-CO"/>
        </w:rPr>
      </w:pPr>
      <w:r w:rsidRPr="007F64D9">
        <w:rPr>
          <w:rFonts w:ascii="Verdana" w:eastAsia="Times New Roman" w:hAnsi="Verdana" w:cs="Arial"/>
          <w:b/>
          <w:u w:val="single"/>
          <w:lang w:eastAsia="es-CO"/>
        </w:rPr>
        <w:t>Nota 1:</w:t>
      </w:r>
      <w:r w:rsidRPr="007F64D9">
        <w:rPr>
          <w:rFonts w:ascii="Verdana" w:eastAsia="Times New Roman" w:hAnsi="Verdana" w:cs="Arial"/>
          <w:lang w:eastAsia="es-CO"/>
        </w:rPr>
        <w:t xml:space="preserve"> Los plazos anteriores se entienden contados desde el momento en que el contratista recibe formalmente las órdenes de trabajo por parte del (os) supervisor (es) del contrato. La no atención oportuna por parte del contratista dentro de los plazos indicados en los cuadros anteriores para atender las ordenes de trabajo, se entenderá como causal de incumplimiento y la Entidad adelantará las acciones correspondientes que establece la Ley.   </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lastRenderedPageBreak/>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D760F7" w:rsidRDefault="00747335" w:rsidP="005C635B">
      <w:pPr>
        <w:pStyle w:val="clusulas"/>
        <w:tabs>
          <w:tab w:val="left" w:pos="1560"/>
        </w:tabs>
        <w:spacing w:before="0" w:after="0"/>
        <w:ind w:left="426"/>
        <w:rPr>
          <w:rFonts w:ascii="Verdana" w:hAnsi="Verdana" w:cstheme="minorHAnsi"/>
          <w:sz w:val="22"/>
          <w:highlight w:val="yellow"/>
        </w:rPr>
      </w:pPr>
      <w:r w:rsidRPr="00D760F7">
        <w:rPr>
          <w:rFonts w:ascii="Verdana" w:hAnsi="Verdana" w:cstheme="minorHAnsi"/>
          <w:sz w:val="22"/>
          <w:highlight w:val="yellow"/>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D760F7" w:rsidRDefault="00A7753C" w:rsidP="005C635B">
      <w:pPr>
        <w:pStyle w:val="clusulas"/>
        <w:tabs>
          <w:tab w:val="left" w:pos="1560"/>
          <w:tab w:val="left" w:pos="1701"/>
        </w:tabs>
        <w:spacing w:before="0" w:after="0"/>
        <w:ind w:left="426"/>
        <w:rPr>
          <w:rFonts w:ascii="Verdana" w:hAnsi="Verdana" w:cstheme="minorHAnsi"/>
          <w:sz w:val="22"/>
          <w:highlight w:val="yellow"/>
        </w:rPr>
      </w:pPr>
      <w:r w:rsidRPr="00D760F7">
        <w:rPr>
          <w:rFonts w:ascii="Verdana" w:hAnsi="Verdana" w:cstheme="minorHAnsi"/>
          <w:sz w:val="22"/>
          <w:highlight w:val="yellow"/>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5343E41E" w14:textId="77777777" w:rsidR="00D6797D" w:rsidRPr="00B424B0" w:rsidRDefault="00D6797D" w:rsidP="009A6FE2">
      <w:pPr>
        <w:rPr>
          <w:rFonts w:ascii="Verdana" w:hAnsi="Verdana" w:cstheme="minorHAnsi"/>
          <w:color w:val="1A1818" w:themeColor="text1"/>
          <w:sz w:val="22"/>
          <w:lang w:val="es-CO"/>
        </w:rPr>
      </w:pPr>
    </w:p>
    <w:p w14:paraId="6316B9D4" w14:textId="77777777" w:rsidR="005D58E5" w:rsidRPr="00B424B0" w:rsidRDefault="005D58E5" w:rsidP="009A6FE2">
      <w:pPr>
        <w:rPr>
          <w:rFonts w:ascii="Verdana" w:hAnsi="Verdana" w:cstheme="minorHAnsi"/>
          <w:sz w:val="22"/>
          <w:lang w:val="es-CO"/>
        </w:rPr>
      </w:pPr>
    </w:p>
    <w:p w14:paraId="6FA787AB" w14:textId="77777777" w:rsidR="008D0DE1" w:rsidRPr="00B424B0" w:rsidRDefault="008D0DE1" w:rsidP="005D58E5">
      <w:pPr>
        <w:rPr>
          <w:rFonts w:ascii="Verdana" w:hAnsi="Verdana" w:cstheme="minorHAnsi"/>
          <w:sz w:val="22"/>
          <w:lang w:val="es-CO"/>
        </w:rPr>
      </w:pP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12BCB5F2" w14:textId="77777777" w:rsidR="00A03744" w:rsidRPr="003331F9" w:rsidRDefault="00A03744" w:rsidP="00A03744">
      <w:pPr>
        <w:rPr>
          <w:rFonts w:ascii="Verdana" w:hAnsi="Verdana" w:cstheme="minorHAnsi"/>
          <w:sz w:val="22"/>
          <w:lang w:val="es-CO"/>
        </w:rPr>
      </w:pPr>
    </w:p>
    <w:p w14:paraId="55CA69EF" w14:textId="77777777" w:rsidR="00A03744" w:rsidRPr="003331F9" w:rsidRDefault="00A03744" w:rsidP="00A03744">
      <w:pPr>
        <w:rPr>
          <w:rFonts w:ascii="Verdana" w:hAnsi="Verdana" w:cstheme="minorHAnsi"/>
          <w:sz w:val="22"/>
          <w:lang w:val="es-CO"/>
        </w:rPr>
      </w:pPr>
    </w:p>
    <w:p w14:paraId="708984E6" w14:textId="77777777" w:rsidR="005D58E5" w:rsidRPr="00B424B0" w:rsidRDefault="005D58E5" w:rsidP="005D58E5">
      <w:pPr>
        <w:rPr>
          <w:rFonts w:ascii="Verdana" w:hAnsi="Verdana" w:cstheme="minorHAnsi"/>
          <w:sz w:val="22"/>
          <w:lang w:val="es-CO"/>
        </w:rPr>
      </w:pP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_____SMMLV por cada día de incumplimiento.</w:t>
      </w:r>
    </w:p>
    <w:p w14:paraId="095D4C96" w14:textId="77777777" w:rsidR="00EB6167" w:rsidRPr="00B424B0" w:rsidRDefault="00EB6167" w:rsidP="009A6FE2">
      <w:pPr>
        <w:rPr>
          <w:rFonts w:ascii="Verdana" w:hAnsi="Verdana" w:cstheme="minorHAnsi"/>
          <w:sz w:val="22"/>
          <w:lang w:val="es-CO"/>
        </w:rPr>
      </w:pP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atraso o incumplimiento del cronograma de obra se causará una multa equivalente al 0,5% del valor del contrato, por cada día calendario de atraso.</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XX, de acuerdo al contrato inicial o sus modificaciones, se causará una multa equivalente al 1% del valor del </w:t>
      </w:r>
      <w:r w:rsidRPr="00B424B0">
        <w:rPr>
          <w:rFonts w:ascii="Verdana" w:hAnsi="Verdana" w:cstheme="minorHAnsi"/>
          <w:sz w:val="22"/>
          <w:lang w:val="es-CO"/>
        </w:rPr>
        <w:lastRenderedPageBreak/>
        <w:t xml:space="preserve">contrato, por cada día calendario de atraso en el cumplimiento; sin perjuicio de que con esta conducta se haga acreedor a otras sanciones más gravosas.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Contratista no entrega la información completa que le solicite el supervisor o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o interventor.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incumplir las órdenes dadas por la supervisión o la interventoría, el Contratista se hará acreedor a una multa equivalente al 0,3% del valor del contrato, por cada orden incumplida.</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Por cambiar el personal presentado a la supervisión o interventoría, sin la aprobación previa de esta, al Contratista se le impondrá una multa equivalente al 0,5% del valor del contrato.</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atraso en el cumplimiento de las obligaciones relacionadas con la seguridad social, parafiscales, o pago de salarios o honorarios de alguno o algunos de sus empleados o Contratistas, al Contratista se le impondrá una multa equivalente a XX salarios mínimos diarios o mensuales legales vigentes, por cada día calendario de atraso en el cumplimiento de dicha obligación.</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lastRenderedPageBreak/>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D760F7" w:rsidRDefault="00FC0FCF" w:rsidP="005C635B">
      <w:pPr>
        <w:pStyle w:val="clusulas"/>
        <w:tabs>
          <w:tab w:val="left" w:pos="1560"/>
        </w:tabs>
        <w:spacing w:before="0" w:after="0"/>
        <w:ind w:left="426"/>
        <w:rPr>
          <w:rFonts w:ascii="Verdana" w:hAnsi="Verdana" w:cstheme="minorHAnsi"/>
          <w:sz w:val="22"/>
          <w:highlight w:val="yellow"/>
        </w:rPr>
      </w:pPr>
      <w:r w:rsidRPr="00D760F7">
        <w:rPr>
          <w:rFonts w:ascii="Verdana" w:hAnsi="Verdana" w:cstheme="minorHAnsi"/>
          <w:sz w:val="22"/>
          <w:highlight w:val="yellow"/>
        </w:rPr>
        <w:t xml:space="preserve">CLÁUSULA PENAL </w:t>
      </w:r>
    </w:p>
    <w:p w14:paraId="3E3EE300" w14:textId="77777777" w:rsidR="005A1362" w:rsidRPr="00B424B0" w:rsidRDefault="005A1362" w:rsidP="00540E0E">
      <w:pPr>
        <w:rPr>
          <w:rFonts w:ascii="Verdana" w:hAnsi="Verdana" w:cstheme="minorHAnsi"/>
          <w:sz w:val="22"/>
        </w:rPr>
      </w:pP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w:t>
      </w:r>
      <w:r w:rsidRPr="00B424B0">
        <w:rPr>
          <w:rFonts w:ascii="Verdana" w:hAnsi="Verdana" w:cstheme="minorHAnsi"/>
          <w:sz w:val="22"/>
        </w:rPr>
        <w:lastRenderedPageBreak/>
        <w:t>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En caso de incumplimiento total o parcial del contrato, el 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veinte por ciento (20%) del valor del contrato, suma que la entidad hará efectiva mediante el cobro de la garantía única de cumplimiento o, a su elección, de los </w:t>
      </w:r>
      <w:r w:rsidRPr="00B424B0">
        <w:rPr>
          <w:rFonts w:ascii="Verdana" w:hAnsi="Verdana" w:cstheme="minorHAnsi"/>
          <w:sz w:val="22"/>
        </w:rPr>
        <w:lastRenderedPageBreak/>
        <w:t>costos que adeude al Contratista, si los hubiere. La aplicación de la cláusula penal no excluye la indemnización de perjuicios, de conformidad con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D760F7">
        <w:rPr>
          <w:rFonts w:ascii="Verdana" w:hAnsi="Verdana" w:cstheme="minorHAnsi"/>
          <w:sz w:val="22"/>
          <w:highlight w:val="yellow"/>
        </w:rPr>
        <w:t>CLÁUSULA RESOLUCIÓN DE CONTROVERSIAS</w:t>
      </w:r>
      <w:r w:rsidRPr="00A12A77">
        <w:rPr>
          <w:rFonts w:ascii="Verdana" w:hAnsi="Verdana" w:cstheme="minorHAnsi"/>
          <w:sz w:val="22"/>
        </w:rPr>
        <w:t xml:space="preserve">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Las partes acudirán a los mecanismos alternativos de solución de conflictos (arreglo directo, conciliación, amigable composición) previstos en la ley para resolver las diferencias que surjan con ocasión de la celebración, ejecución, interpretación, terminación y liquidación del presente Contrato. De no ser posible una solución directa, las controversias se someterán al conocimiento de la Jurisdicción de lo Contencioso Administrativo.</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79"/>
        <w:gridCol w:w="222"/>
        <w:gridCol w:w="6827"/>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Departamento Administrativo de la Presidencia de la República - DAPRE</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899.999.083-6</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18"/>
              <w:gridCol w:w="1819"/>
              <w:gridCol w:w="1964"/>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w:t>
                  </w:r>
                  <w:r w:rsidRPr="00B424B0">
                    <w:rPr>
                      <w:rFonts w:ascii="Verdana" w:eastAsia="Times New Roman" w:hAnsi="Verdana" w:cs="Arial"/>
                      <w:bCs/>
                      <w:color w:val="1A1818" w:themeColor="text1"/>
                      <w:sz w:val="18"/>
                      <w:szCs w:val="18"/>
                      <w:lang w:val="es-ES" w:eastAsia="es-CO"/>
                    </w:rPr>
                    <w:lastRenderedPageBreak/>
                    <w:t>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Veinte por ciento (20%) del valor del Contrato</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No aplica (el presente Proceso de Contratación no contempla el otorgamiento de anticipo ni pago anticipado)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Cinco por ciento (5%) del valor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Cinco (5) años contados a partir de la fecha de recibo definitivo de las obras</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Veinte por ciento (20%) del valor del Contrato</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No aplican amparos adicionales a los descritos en el presente Anexo, conforme al Estudio Previo (numeral 15.3 Otras Garantías).</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w:t>
      </w:r>
      <w:r w:rsidRPr="00B424B0">
        <w:rPr>
          <w:rFonts w:ascii="Verdana" w:hAnsi="Verdana" w:cstheme="minorHAnsi"/>
          <w:bCs/>
          <w:color w:val="auto"/>
          <w:sz w:val="22"/>
          <w:szCs w:val="22"/>
          <w:lang w:val="es-ES" w:eastAsia="es-CO"/>
        </w:rPr>
        <w:lastRenderedPageBreak/>
        <w:t xml:space="preserve">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cinco (5) años</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Departamento Administrativo de la Presidencia de la República - DAPRE</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899.999.083-6</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Doscientos (200) SMMLV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 xml:space="preserve">Terceros afectados y Departamento Administrativo de la Presidencia de la República - DAPRE identificada con NIT </w:t>
            </w:r>
            <w:r w:rsidRPr="00B424B0">
              <w:rPr>
                <w:rFonts w:ascii="Verdana" w:eastAsia="Times New Roman" w:hAnsi="Verdana" w:cs="Arial"/>
                <w:bCs/>
                <w:color w:val="1A1818" w:themeColor="text1"/>
                <w:sz w:val="18"/>
                <w:szCs w:val="18"/>
                <w:highlight w:val="lightGray"/>
                <w:lang w:val="es-ES" w:eastAsia="es-CO"/>
              </w:rPr>
              <w:t>899.999.083-6</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37F04AFE"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Amparo: cobertura expresa de perjuicios por daño emergente y lucro cesante. Plazo: vigencia del Contrato. Valor del amparo: doscientos (200) SMMLV.</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w:t>
      </w:r>
      <w:r w:rsidRPr="00B424B0">
        <w:rPr>
          <w:rFonts w:ascii="Verdana" w:eastAsia="Times New Roman" w:hAnsi="Verdana" w:cstheme="minorHAnsi"/>
          <w:bCs/>
          <w:sz w:val="22"/>
          <w:lang w:val="es-ES" w:eastAsia="es-CO"/>
        </w:rPr>
        <w:lastRenderedPageBreak/>
        <w:t>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D934EF" w:rsidRDefault="000B4B36" w:rsidP="005C635B">
      <w:pPr>
        <w:pStyle w:val="clusulas"/>
        <w:tabs>
          <w:tab w:val="left" w:pos="1843"/>
        </w:tabs>
        <w:spacing w:before="0" w:after="0"/>
        <w:ind w:left="720"/>
        <w:rPr>
          <w:rFonts w:ascii="Verdana" w:eastAsia="Times New Roman" w:hAnsi="Verdana" w:cstheme="minorHAnsi"/>
          <w:bCs/>
          <w:sz w:val="22"/>
          <w:highlight w:val="yellow"/>
          <w:lang w:val="es-ES" w:eastAsia="es-CO"/>
        </w:rPr>
      </w:pPr>
      <w:r w:rsidRPr="00D934EF">
        <w:rPr>
          <w:rFonts w:ascii="Verdana" w:eastAsia="Times New Roman" w:hAnsi="Verdana" w:cstheme="minorHAnsi"/>
          <w:bCs/>
          <w:sz w:val="22"/>
          <w:highlight w:val="yellow"/>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4B6A465E"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El término para la liquidac</w:t>
      </w:r>
      <w:bookmarkStart w:id="1" w:name="_GoBack"/>
      <w:bookmarkEnd w:id="1"/>
      <w:r w:rsidRPr="00B424B0">
        <w:rPr>
          <w:rFonts w:ascii="Verdana" w:eastAsia="Times New Roman" w:hAnsi="Verdana" w:cstheme="minorHAnsi"/>
          <w:b w:val="0"/>
          <w:bCs/>
          <w:sz w:val="22"/>
          <w:lang w:val="es-ES" w:eastAsia="es-CO"/>
        </w:rPr>
        <w:t xml:space="preserve">ión del contrato será de </w:t>
      </w:r>
      <w:r w:rsidR="00710867">
        <w:rPr>
          <w:rFonts w:ascii="Verdana" w:eastAsia="Times New Roman" w:hAnsi="Verdana" w:cstheme="minorHAnsi"/>
          <w:b w:val="0"/>
          <w:bCs/>
          <w:sz w:val="22"/>
          <w:lang w:val="es-ES" w:eastAsia="es-CO"/>
        </w:rPr>
        <w:t xml:space="preserve">los seis </w:t>
      </w:r>
      <w:r w:rsidR="00710867">
        <w:rPr>
          <w:rFonts w:ascii="Verdana" w:eastAsia="Times New Roman" w:hAnsi="Verdana" w:cstheme="minorHAnsi"/>
          <w:b w:val="0"/>
          <w:sz w:val="22"/>
          <w:highlight w:val="yellow"/>
          <w:lang w:val="es-ES" w:eastAsia="es-CO"/>
        </w:rPr>
        <w:t>(6</w:t>
      </w:r>
      <w:r w:rsidR="0010244D" w:rsidRPr="00710867">
        <w:rPr>
          <w:rFonts w:ascii="Verdana" w:eastAsia="Times New Roman" w:hAnsi="Verdana" w:cstheme="minorHAnsi"/>
          <w:b w:val="0"/>
          <w:sz w:val="22"/>
          <w:highlight w:val="yellow"/>
          <w:lang w:val="es-ES" w:eastAsia="es-CO"/>
        </w:rPr>
        <w:t xml:space="preserve">) meses </w:t>
      </w:r>
      <w:r w:rsidR="0010244D" w:rsidRPr="00B424B0">
        <w:rPr>
          <w:rFonts w:ascii="Verdana" w:eastAsia="Times New Roman" w:hAnsi="Verdana" w:cstheme="minorHAnsi"/>
          <w:b w:val="0"/>
          <w:sz w:val="22"/>
          <w:highlight w:val="lightGray"/>
          <w:lang w:val="es-ES" w:eastAsia="es-CO"/>
        </w:rPr>
        <w:t>contados a partir de la terminación del Contrato o de la expedición del acto administrativo que ordene su liquidación</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w:t>
      </w:r>
      <w:r w:rsidRPr="00D934EF">
        <w:rPr>
          <w:rFonts w:ascii="Verdana" w:hAnsi="Verdana" w:cstheme="minorHAnsi"/>
          <w:sz w:val="22"/>
          <w:highlight w:val="yellow"/>
        </w:rPr>
        <w:t>EJECUCIÓN Y DOMICILIO</w:t>
      </w:r>
      <w:r w:rsidRPr="00B424B0">
        <w:rPr>
          <w:rFonts w:ascii="Verdana" w:hAnsi="Verdana" w:cstheme="minorHAnsi"/>
          <w:sz w:val="22"/>
        </w:rPr>
        <w:t xml:space="preserve">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las nueve (9) sedes del Departamento Administrativo de la Presidencia de la República: Casa de Nariño (Cra 7 # 7-63), Vicepresidencia (Cra 8A # 7-57), Sede Administrativa (Calle 8 # 6-97), Edificio DAPRE (Calle 7 # 6-70), Casa Republicana (Calle 8 # 6-63), Edificio Galán (Cra 8 # 7-67) y Casa Equidad para la Mujer (Calle 10 # 1-15), en Bogotá D.C.; Hacienda Hato Grande (Av. Km 13, 225-00), en Sopó, Cundinamarca; y Casa de Huéspedes Ilustres (Bosque Manzanillo - Escuela Naval), en Cartagena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Bogotá D.C..</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lastRenderedPageBreak/>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En constancia se firma el presente contrato en Bogotá D.C., el [PENDIENTE -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5A20011" w:rsidR="003E4D98" w:rsidRDefault="003E4D98" w:rsidP="00700244">
      <w:pPr>
        <w:pStyle w:val="Ttulo"/>
        <w:numPr>
          <w:ilvl w:val="0"/>
          <w:numId w:val="0"/>
        </w:numPr>
        <w:rPr>
          <w:rFonts w:ascii="Verdana" w:eastAsia="Times New Roman" w:hAnsi="Verdana" w:cstheme="minorHAnsi"/>
          <w:bCs/>
          <w:color w:val="1A1818" w:themeColor="text1"/>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p w14:paraId="72E96B1B" w14:textId="577A89D4" w:rsidR="00FE39B6" w:rsidRPr="00FE39B6" w:rsidRDefault="00FE39B6" w:rsidP="00FE39B6">
      <w:pPr>
        <w:rPr>
          <w:lang w:val="es-ES" w:eastAsia="es-CO"/>
        </w:rPr>
      </w:pPr>
      <w:r w:rsidRPr="00FE39B6">
        <w:rPr>
          <w:highlight w:val="yellow"/>
          <w:lang w:val="es-ES" w:eastAsia="es-CO"/>
        </w:rPr>
        <w:t xml:space="preserve">La nota de firma por </w:t>
      </w:r>
      <w:proofErr w:type="spellStart"/>
      <w:r w:rsidRPr="00FE39B6">
        <w:rPr>
          <w:highlight w:val="yellow"/>
          <w:lang w:val="es-ES" w:eastAsia="es-CO"/>
        </w:rPr>
        <w:t>secop</w:t>
      </w:r>
      <w:proofErr w:type="spellEnd"/>
    </w:p>
    <w:sectPr w:rsidR="00FE39B6" w:rsidRPr="00FE39B6"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DF7EE6"/>
    <w:multiLevelType w:val="hybridMultilevel"/>
    <w:tmpl w:val="458C5EF8"/>
    <w:lvl w:ilvl="0" w:tplc="CEBC972C">
      <w:start w:val="1"/>
      <w:numFmt w:val="decimal"/>
      <w:lvlText w:val="%1."/>
      <w:lvlJc w:val="left"/>
      <w:pPr>
        <w:ind w:left="360" w:hanging="360"/>
      </w:pPr>
      <w:rPr>
        <w:rFonts w:hint="default"/>
        <w:b/>
        <w:bCs w:val="0"/>
        <w:sz w:val="22"/>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start w:val="1"/>
      <w:numFmt w:val="decimal"/>
      <w:lvlText w:val="%4."/>
      <w:lvlJc w:val="left"/>
      <w:pPr>
        <w:ind w:left="-2081" w:hanging="360"/>
      </w:pPr>
    </w:lvl>
    <w:lvl w:ilvl="4" w:tplc="240A0019">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1"/>
  </w:num>
  <w:num w:numId="5">
    <w:abstractNumId w:val="22"/>
  </w:num>
  <w:num w:numId="6">
    <w:abstractNumId w:val="20"/>
  </w:num>
  <w:num w:numId="7">
    <w:abstractNumId w:val="11"/>
  </w:num>
  <w:num w:numId="8">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8"/>
  </w:num>
  <w:num w:numId="11">
    <w:abstractNumId w:val="18"/>
  </w:num>
  <w:num w:numId="12">
    <w:abstractNumId w:val="10"/>
  </w:num>
  <w:num w:numId="13">
    <w:abstractNumId w:val="14"/>
  </w:num>
  <w:num w:numId="14">
    <w:abstractNumId w:val="7"/>
  </w:num>
  <w:num w:numId="15">
    <w:abstractNumId w:val="1"/>
  </w:num>
  <w:num w:numId="16">
    <w:abstractNumId w:val="9"/>
  </w:num>
  <w:num w:numId="17">
    <w:abstractNumId w:val="19"/>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2"/>
  </w:num>
  <w:num w:numId="30">
    <w:abstractNumId w:val="6"/>
  </w:num>
  <w:num w:numId="31">
    <w:abstractNumId w:val="6"/>
  </w:num>
  <w:num w:numId="32">
    <w:abstractNumId w:val="22"/>
  </w:num>
  <w:num w:numId="33">
    <w:abstractNumId w:val="22"/>
  </w:num>
  <w:num w:numId="34">
    <w:abstractNumId w:val="15"/>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3"/>
  </w:num>
  <w:num w:numId="40">
    <w:abstractNumId w:val="3"/>
  </w:num>
  <w:num w:numId="41">
    <w:abstractNumId w:val="17"/>
  </w:num>
  <w:num w:numId="42">
    <w:abstractNumId w:val="0"/>
  </w:num>
  <w:num w:numId="43">
    <w:abstractNumId w:val="6"/>
  </w:num>
  <w:num w:numId="44">
    <w:abstractNumId w:val="6"/>
    <w:lvlOverride w:ilvl="0">
      <w:startOverride w:val="18"/>
    </w:lvlOverride>
  </w:num>
  <w:num w:numId="45">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A62"/>
    <w:rsid w:val="005E1FC7"/>
    <w:rsid w:val="005E49CC"/>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0867"/>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B9D"/>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0F7"/>
    <w:rsid w:val="00D7639C"/>
    <w:rsid w:val="00D86C44"/>
    <w:rsid w:val="00D92AA3"/>
    <w:rsid w:val="00D934EF"/>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9B6"/>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96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purl.org/dc/dcmitype/"/>
    <ds:schemaRef ds:uri="http://purl.org/dc/terms/"/>
    <ds:schemaRef ds:uri="http://schemas.openxmlformats.org/package/2006/metadata/core-properties"/>
    <ds:schemaRef ds:uri="http://purl.org/dc/elements/1.1/"/>
    <ds:schemaRef ds:uri="http://schemas.microsoft.com/office/2006/metadata/properties"/>
    <ds:schemaRef ds:uri="9d85dbaf-23eb-4e57-a637-93dcacc8b1a1"/>
    <ds:schemaRef ds:uri="http://www.w3.org/XML/1998/namespace"/>
    <ds:schemaRef ds:uri="http://schemas.microsoft.com/office/2006/documentManagement/types"/>
    <ds:schemaRef ds:uri="http://schemas.microsoft.com/office/infopath/2007/PartnerControls"/>
    <ds:schemaRef ds:uri="a6cb9e4b-f1d1-4245-83ec-6cad768d538a"/>
  </ds:schemaRefs>
</ds:datastoreItem>
</file>

<file path=customXml/itemProps4.xml><?xml version="1.0" encoding="utf-8"?>
<ds:datastoreItem xmlns:ds="http://schemas.openxmlformats.org/officeDocument/2006/customXml" ds:itemID="{F5674CAB-1A5D-49DC-ADA1-58F29338B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8291</Words>
  <Characters>45604</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Martin Francisco Ortiz Herrera</cp:lastModifiedBy>
  <cp:revision>5</cp:revision>
  <cp:lastPrinted>2020-11-13T23:11:00Z</cp:lastPrinted>
  <dcterms:created xsi:type="dcterms:W3CDTF">2026-08-21T20:36:00Z</dcterms:created>
  <dcterms:modified xsi:type="dcterms:W3CDTF">2026-09-04T15:33:00Z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