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Arial Narrow" w:hAnsi="Arial Narrow" w:eastAsia="Arial Narrow"/>
          <w:b/>
          <w:color w:val="1F4E79"/>
          <w:sz w:val="28"/>
        </w:rPr>
        <w:t>MATRIZ DE RIESGOS</w:t>
      </w:r>
    </w:p>
    <w:p>
      <w:pPr>
        <w:spacing w:after="40"/>
        <w:jc w:val="center"/>
      </w:pPr>
      <w:r>
        <w:rPr>
          <w:rFonts w:ascii="Arial Narrow" w:hAnsi="Arial Narrow" w:eastAsia="Arial Narrow"/>
          <w:b/>
          <w:color w:val="1F4E79"/>
          <w:sz w:val="20"/>
        </w:rPr>
        <w:t>SELECCIÓN ABREVIADA DE MENOR CUANTÍA – OBRA PÚBLICA</w:t>
      </w:r>
    </w:p>
    <w:p>
      <w:pPr>
        <w:spacing w:after="200"/>
        <w:jc w:val="center"/>
      </w:pPr>
      <w:r>
        <w:rPr>
          <w:rFonts w:ascii="Arial Narrow" w:hAnsi="Arial Narrow" w:eastAsia="Arial Narrow"/>
          <w:b/>
          <w:sz w:val="18"/>
        </w:rPr>
        <w:t>Objeto: CONSTRUCCIÓN DE ALCANTARILLADO PARA EL MANEJO DE VERTIMIENTOS DEL SECTOR ITALIA 90 DEL MUNICIPIO DE GACHETÁ, CUNDINAMARCA</w:t>
      </w:r>
    </w:p>
    <w:p>
      <w:pPr>
        <w:spacing w:after="120"/>
        <w:jc w:val="both"/>
      </w:pPr>
      <w:r>
        <w:rPr>
          <w:rFonts w:ascii="Arial Narrow" w:hAnsi="Arial Narrow" w:eastAsia="Arial Narrow"/>
          <w:b w:val="0"/>
          <w:sz w:val="18"/>
        </w:rPr>
        <w:t>Para el presente Proceso de Contratación, en atención al artículo 4 de la Ley 1150 de 2007 y a los artículos 2.2.1.1.1.3.1 y 2.2.1.1.1.6.3 del Decreto 1082 de 2015, entiéndase por riesgo el evento que puede generar efectos adversos y de distinta magnitud en el logro de los objetivos del Proceso de Contratación o en la ejecución del contrato, alterando el equilibrio económico y financiero previsto al momento de presentar la oferta. La identificación, tipificación, estimación y asignación que se consigna en el presente documento se realiza siguiendo la metodología del Manual para la Identificación y Cobertura del Riesgo en los Procesos de Contratación expedido por la Agencia Nacional de Contratación Pública – Colombia Compra Eficiente, y los lineamientos del Documento CONPES 3714 de 2011.</w:t>
      </w:r>
    </w:p>
    <w:p>
      <w:pPr>
        <w:spacing w:after="120"/>
        <w:jc w:val="both"/>
      </w:pPr>
      <w:r>
        <w:rPr>
          <w:rFonts w:ascii="Arial Narrow" w:hAnsi="Arial Narrow" w:eastAsia="Arial Narrow"/>
          <w:b w:val="0"/>
          <w:sz w:val="18"/>
        </w:rPr>
        <w:t>El Municipio de Gachetá deja constancia de que el presente Proceso de Contratación no se encuentra sometido a los Documentos Tipo, por no corresponder a las modalidades ni a los umbrales que activan su obligatoriedad; no obstante, la Entidad acoge voluntariamente como referente metodológico la estructura de la matriz de riesgos de los Documentos Tipo de licitación de obra pública de agua potable y saneamiento básico, en cuanto resulta compatible con la naturaleza del objeto contractual y con la modalidad de selección abreviada de menor cuantía aquí adoptada.</w:t>
      </w:r>
    </w:p>
    <w:p>
      <w:pPr>
        <w:spacing w:after="200"/>
        <w:jc w:val="both"/>
      </w:pPr>
      <w:r>
        <w:rPr>
          <w:rFonts w:ascii="Arial Narrow" w:hAnsi="Arial Narrow" w:eastAsia="Arial Narrow"/>
          <w:b w:val="0"/>
          <w:sz w:val="18"/>
        </w:rPr>
        <w:t>La asignación de los riesgos se efectúa atendiendo al principio conforme al cual cada riesgo debe ser asumido por la parte que se encuentra en mejor posición para administrarlo, controlarlo y mitigarlo, considerando el plazo de ejecución de dos (2) meses, la ausencia de anticipo y el ejercicio de la supervisión directamente a cargo de la Secretaría de Planeación del Municipio, sin interventoría externa. Los riesgos que se relacionan a continuación son los previsibles a la fecha de estructuración del proceso; los eventos constitutivos de fuerza mayor, caso fortuito o hechos de un tercero no imputables a las partes se regirán por las reglas generales de la responsabilidad contractual.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000000"/>
          <w:left w:val="single" w:sz="4" w:color="000000"/>
          <w:bottom w:val="single" w:sz="4" w:color="000000"/>
          <w:right w:val="single" w:sz="4" w:color="000000"/>
          <w:insideH w:val="single" w:sz="4" w:color="000000"/>
          <w:insideV w:val="single" w:sz="4" w:color="000000"/>
        </w:tblBorders>
        <w:tblLayout w:type="fixed"/>
        <w:tblW w:w="22846" w:type="dxa"/>
      </w:tblPr>
      <w:tblGrid>
        <w:gridCol w:w="453"/>
        <w:gridCol w:w="850"/>
        <w:gridCol w:w="736"/>
        <w:gridCol w:w="850"/>
        <w:gridCol w:w="907"/>
        <w:gridCol w:w="2267"/>
        <w:gridCol w:w="1700"/>
        <w:gridCol w:w="765"/>
        <w:gridCol w:w="765"/>
        <w:gridCol w:w="765"/>
        <w:gridCol w:w="963"/>
        <w:gridCol w:w="1020"/>
        <w:gridCol w:w="2040"/>
        <w:gridCol w:w="765"/>
        <w:gridCol w:w="765"/>
        <w:gridCol w:w="765"/>
        <w:gridCol w:w="963"/>
        <w:gridCol w:w="850"/>
        <w:gridCol w:w="1190"/>
        <w:gridCol w:w="1190"/>
        <w:gridCol w:w="1360"/>
        <w:gridCol w:w="907"/>
      </w:tblGrid>
      <w:tr>
        <w:trPr>
          <w:tblHeader w:val="true"/>
        </w:trPr>
        <w:tc>
          <w:tcPr>
            <w:tcW w:type="dxa" w:w="454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No.</w:t>
            </w:r>
          </w:p>
        </w:tc>
        <w:tc>
          <w:tcPr>
            <w:tcW w:type="dxa" w:w="850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Clase</w:t>
            </w:r>
          </w:p>
        </w:tc>
        <w:tc>
          <w:tcPr>
            <w:tcW w:type="dxa" w:w="737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Fuente</w:t>
            </w:r>
          </w:p>
        </w:tc>
        <w:tc>
          <w:tcPr>
            <w:tcW w:type="dxa" w:w="850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Etapa</w:t>
            </w:r>
          </w:p>
        </w:tc>
        <w:tc>
          <w:tcPr>
            <w:tcW w:type="dxa" w:w="907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Tipo</w:t>
            </w:r>
          </w:p>
        </w:tc>
        <w:tc>
          <w:tcPr>
            <w:tcW w:type="dxa" w:w="2268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Descripción (qué puede pasar y cómo puede ocurrir)</w:t>
            </w:r>
          </w:p>
        </w:tc>
        <w:tc>
          <w:tcPr>
            <w:tcW w:type="dxa" w:w="1701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Consecuencia de la ocurrencia del evento</w:t>
            </w:r>
          </w:p>
        </w:tc>
        <w:tc>
          <w:tcPr>
            <w:tcW w:type="dxa" w:w="765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Probabilidad</w:t>
            </w:r>
          </w:p>
        </w:tc>
        <w:tc>
          <w:tcPr>
            <w:tcW w:type="dxa" w:w="765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Impacto</w:t>
            </w:r>
          </w:p>
        </w:tc>
        <w:tc>
          <w:tcPr>
            <w:tcW w:type="dxa" w:w="765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Valoración del riesgo</w:t>
            </w:r>
          </w:p>
        </w:tc>
        <w:tc>
          <w:tcPr>
            <w:tcW w:type="dxa" w:w="964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Categoría</w:t>
            </w:r>
          </w:p>
        </w:tc>
        <w:tc>
          <w:tcPr>
            <w:tcW w:type="dxa" w:w="1020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¿A quién se le asigna?</w:t>
            </w:r>
          </w:p>
        </w:tc>
        <w:tc>
          <w:tcPr>
            <w:tcW w:type="dxa" w:w="2041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Tratamiento / controles a ser implementados</w:t>
            </w:r>
          </w:p>
        </w:tc>
        <w:tc>
          <w:tcPr>
            <w:tcW w:type="dxa" w:w="964"/>
            <w:gridSpan w:val="4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Impacto después del tratamiento</w:t>
            </w:r>
          </w:p>
        </w:tc>
        <w:tc>
          <w:tcPr>
            <w:tcW w:type="dxa" w:w="850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¿Afecta la ejecución del contrato?</w:t>
            </w:r>
          </w:p>
        </w:tc>
        <w:tc>
          <w:tcPr>
            <w:tcW w:type="dxa" w:w="1191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Persona responsable por implementar el tratamiento</w:t>
            </w:r>
          </w:p>
        </w:tc>
        <w:tc>
          <w:tcPr>
            <w:tcW w:type="dxa" w:w="1191"/>
            <w:vMerge w:val="restart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Fecha estimada en que se completa el tratamiento</w:t>
            </w:r>
          </w:p>
        </w:tc>
        <w:tc>
          <w:tcPr>
            <w:tcW w:type="dxa" w:w="907"/>
            <w:gridSpan w:val="2"/>
            <w:shd w:val="clear" w:color="auto" w:fill="BFBFBF"/>
            <w:vAlign w:val="center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Monitoreo y revisión</w:t>
            </w:r>
          </w:p>
        </w:tc>
      </w:tr>
      <w:tr>
        <w:trPr>
          <w:tblHeader w:val="true"/>
        </w:trPr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765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Probabilidad</w:t>
            </w:r>
          </w:p>
        </w:tc>
        <w:tc>
          <w:tcPr>
            <w:tcW w:type="dxa" w:w="765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Impacto</w:t>
            </w:r>
          </w:p>
        </w:tc>
        <w:tc>
          <w:tcPr>
            <w:tcW w:type="dxa" w:w="765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Valoración del riesgo</w:t>
            </w:r>
          </w:p>
        </w:tc>
        <w:tc>
          <w:tcPr>
            <w:tcW w:type="dxa" w:w="96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Categoría</w:t>
            </w:r>
          </w:p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051"/>
            <w:vMerge/>
            <w:shd w:val="clear" w:color="auto" w:fill="BFBFBF"/>
            <w:vAlign w:val="center"/>
          </w:tcPr>
          <w:p/>
        </w:tc>
        <w:tc>
          <w:tcPr>
            <w:tcW w:type="dxa" w:w="1361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¿Cómo se realiza el monitoreo?</w:t>
            </w:r>
          </w:p>
        </w:tc>
        <w:tc>
          <w:tcPr>
            <w:tcW w:type="dxa" w:w="907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Periodicidad ¿cuándo?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General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Planeación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Económico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Que el presupuesto oficial no corresponda a los precios reales del mercado a la fecha de apertura del proceso, por desactualización de los análisis de precios unitarios elaborados en la consultoría del Plan Maestro Fase II.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Ausencia de oferentes, declaratoria de desierto o presentación de ofertas artificialmente bajas que comprometan la ejecución.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Actualización del análisis del sector con cotizaciones vigentes y verificación de los APU frente a las listas de precios de referencia antes de la apertura del proceso.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Comité Estructurador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Antes de la apertura del proceso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Revisión del análisis del sector y contraste con cotizaciones de mercado.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Antes de la apertura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General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Selección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Que no se presenten oferentes o que ninguna de las ofertas presentadas resulte habilitada por incumplimiento de los requisitos habilitantes.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Declaratoria de desierto del proceso e imposibilidad de satisfacer la necesidad en la vigencia.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Requisitos habilitantes proporcionales al valor y complejidad del objeto; publicación oportuna del proyecto de pliego y respuesta a las observaciones dentro de los términos.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Comité Estructurador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Fecha prevista para la adjudicación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Seguimiento a las manifestaciones de interés y a las observaciones presentadas en SECOP II.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Diaria durante el proceso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General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Contratación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Demora del contratista en la constitución y aprobación de las garantías y en el cumplimiento de los requisitos de perfeccionamiento y ejecución del contrato.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Reducción efectiva del plazo de ejecución, que resulta crítico por tratarse de un plazo de dos (2) meses.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Requerimiento escrito de los documentos de legalización dentro del término señalado en el pliego y aprobación de garantías por el área jurídica.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Fecha prevista para la suscripción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documental por el área jurídica y por el supervisor.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Diaria hasta la legalización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General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Contratación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Financiero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Que no se expida oportunamente el registro presupuestal o que se afecte la disponibilidad de los recursos que respaldan el contrato.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Imposibilidad de suscribir o iniciar el contrato y eventual pérdida de la apropiación en la vigencia.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previa del CDP y de la certificación del Banco de Proyectos, y solicitud del registro presupuestal de manera simultánea a la suscripción del contrato.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Secretaría de Hacienda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Fecha de suscripción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Conciliación entre la Secretaría de Hacienda y la Secretaría de Planeación.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Mensual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Que las condiciones del subsuelo encontradas durante la excavación de las zanjas difieran de las previstas en el estudio de suelos de la consultoría, por presencia de roca, materiales inestables o nivel freático alto.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Mayores tiempos y costos de excavación, rendimientos inferiores a los programados y retraso en la instalación de la tubería.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Visita obligatoria al sitio de la obra antes de ofertar; verificación de apiques y del estudio de suelos; el contratista asume la variación previsible al haber conocido las condiciones del terreno.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Registro diario de la bitácora de obra y comparación de rendimientos con el programa de trabajo.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Semanal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Inestabilidad o derrumbe de las paredes de la excavación de las zanjas para la instalación de la tubería y para la construcción de los pozos de inspección.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Accidentes de trabajo, daños a bienes de terceros, sobreexcavación y retraso en el frente de obra.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Implementación de entibados, conformación de taludes y cerramiento del frente de obra conforme al plan de seguridad y salud en el trabajo aprobado por la supervisión.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Inspección del frente de obra por parte del supervisor y verificación del cumplimiento del plan SST.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Semanal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Interferencia con redes de servicios públicos existentes no identificadas en los planos de la consultoría (acueducto, energía, gas o telecomunicaciones) durante la excavación.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Daño a las redes, suspensión del servicio a la comunidad, reclamaciones de las empresas prestadoras y paralización parcial del frente de obra.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Localización y sondeo previo de redes con las empresas prestadoras, apiques exploratorios antes de la excavación mecánica y protocolo de suspensión ante hallazgo de redes.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de los apiques exploratorios y actas de coordinación con las empresas de servicios públicos.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Semanal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8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Presencia de aguas de escorrentía o de caudales sanitarios provenientes de las descargas existentes del sector en el frente de obra, que impidan la instalación de la tubería y la fundida de las estructuras.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Suspensión de actividades, deterioro del material de fundación de la tubería y afectación de la calidad de la obra.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Plan de manejo de aguas con desviaciones provisionales, bombeo y programación de actividades críticas en períodos de menor caudal.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en sitio del plan de manejo de aguas por parte del supervisor.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Semanal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9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De la naturaleza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Ocurrencia de precipitaciones superiores al promedio histórico de la zona durante los dos (2) meses de ejecución, que impidan el desarrollo de las actividades de excavación e instalación.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Suspensión de la obra, retraso del cronograma y eventual necesidad de prórroga del plazo contractual.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Programación de obra que contemple los días no laborables por lluvia según los registros del IDEAM, protección de los frentes abiertos y refuerzo de cuadrillas en períodos secos.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Registro diario de condiciones climáticas en la bitácora y seguimiento al avance frente al programa.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Diaria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10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Económico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Variación al alza de los precios de los insumos principales de la obra, en particular la tubería en PVC de 8" y 10" y el concreto hidráulico, durante el plazo de ejecución.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Desequilibrio económico del contrato, disminución de la utilidad del contratista y eventual desabastecimiento del frente de obra.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El contratista asume la variación de precios por tratarse de un riesgo previsible en un plazo corto de dos (2) meses; se recomienda el aseguramiento anticipado del suministro mediante órdenes de compra en firme.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No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Seguimiento a las órdenes de compra y a la programación de suministros.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Quincenal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11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Incumplimiento del contratista de las obligaciones contractuales en cuanto a plazo, cantidades y especificaciones técnicas de la obra.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Retraso o paralización de la obra, imposición de multas, eventual declaratoria de incumplimiento y no satisfacción de la necesidad.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7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Exigencia de la garantía de cumplimiento; seguimiento permanente de la supervisión y aplicación de los apremios contractuales.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Finalización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Informes de supervisión y comparación del avance físico contra el programa de trabajo.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Semanal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12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Deficiente calidad de los materiales o de la instalación, evidenciada en fallas de estanqueidad, pendientes fuera de diseño o asentamientos de la tubería y de los pozos de inspección.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Rechazo de las actividades, rehacer obra ejecutada, mayores costos para el contratista y compromiso de la funcionalidad del sistema.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Presentación de certificados de calidad y fichas técnicas de los materiales; realización de pruebas de estanqueidad y verificación topográfica de pendientes antes del relleno de la zanja.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Finalización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Ensayos de laboratorio, pruebas hidráulicas y actas parciales de recibo.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Por tramo ejecutado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13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Daños a predios, cerramientos, andenes o bienes de terceros aledaños al corredor de la obra como consecuencia de la excavación y del tránsito de maquinaria.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Reclamaciones de la comunidad, indemnizaciones a cargo del contratista y suspensión del frente de obra.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Exigencia de la garantía de responsabilidad civil extracontractual, levantamiento de actas de vecindad previas al inicio de las actividades y señalización del corredor.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Revisión de las actas de vecindad y atención de las peticiones y quejas recibidas.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Semanal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14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Ocurrencia de accidentes de trabajo o incumplimiento de las obligaciones en materia de seguridad y salud en el trabajo por parte del personal del contratista.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Lesiones al personal, suspensión de actividades por parte de la autoridad competente y responsabilidad solidaria de la Entidad.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de la afiliación al Sistema General de Seguridad Social y a la ARL antes del inicio; suministro de elementos de protección personal e implementación del plan SST.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de planillas de aportes y de la matriz de peligros por parte del supervisor.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Mensual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15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Social o político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Inconformidad u oposición de la comunidad del sector Italia 90 por los cierres de vía, la afectación de la movilidad peatonal y vehicular y la suspensión temporal de servicios durante la ejecución.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Bloqueos del frente de obra, presentación de derechos de petición y retraso en el cronograma.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 y 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Socialización previa del proyecto con la comunidad y la junta de acción comunal, implementación del plan de manejo de tránsito y del plan de gestión social e información permanente sobre el avance.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Actas de socialización, atención de PQRS y seguimiento al plan de manejo de tránsito.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Mensual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16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Que se requieran mayores cantidades de obra o ítems no previstos en el presupuesto oficial, derivados de ajustes al diseño hidráulico en campo.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Necesidad de adición y de modificación contractual, mayor valor del contrato y afectación de la disponibilidad presupuestal.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previa de las cantidades de obra frente a los planos y al informe de diseño hidráulico; contrato pactado a precios unitarios fijos sin fórmula de reajuste, con control estricto de cantidades por la supervisión.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Control de cantidades ejecutadas contra las contratadas en cada acta parcial.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Por acta parcial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17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Dificultad de acceso al corredor de la obra o falta de disponibilidad de los predios y servidumbres requeridos para el trazado del alcantarillado.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Imposibilidad de iniciar o continuar la obra en los tramos afectados y retraso del cronograma.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previa de la titularidad y de la disponibilidad de las áreas de intervención, y gestión de los permisos de ocupación del espacio público antes del acta de inicio.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Antes del acta de inicio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documental de la disponibilidad predial y de los permisos.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Antes del acta de inicio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18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Regulatorio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Hallazgo de bienes integrantes del patrimonio arqueológico durante las excavaciones, con la consecuente obligación de reporte al ICANH conforme a la Ley 1185 de 2008.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Suspensión inmediata de las actividades en el tramo afectado y retraso del plazo de ejecución.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Protocolo de suspensión y reporte inmediato al ICANH; capacitación al personal sobre el manejo de hallazgos fortuitos.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del cumplimiento del protocolo por parte del supervisor.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 la ocurrencia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19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Ambiental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Manejo y disposición final inadecuada del material sobrante de excavación y de los residuos de construcción y demolición en sitios no autorizados.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Sanciones ambientales impuestas por la autoridad competente y afectación de fuentes hídricas y del entorno del sector.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Exigencia del certificado del sitio autorizado de disposición final, control de volúmenes retirados y cumplimiento del plan de gestión integral de residuos de la obra.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Revisión de los certificados de disposición final y de los registros de volúmenes.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Mensual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20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Regulatorio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Expedición de disposiciones normativas o tributarias que modifiquen los costos previstos por el contratista al momento de presentar su oferta.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Incremento de los costos de ejecución y solicitud de restablecimiento del equilibrio económico del contrato.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El contratista asume las variaciones normativas ordinarias previsibles; únicamente se analizarán aquellas que resulten imprevisibles y que alteren de manera grave y anormal la ecuación contractual.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No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 / Residente de obra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Durante la ejecución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Seguimiento normativo por parte del área jurídica y del supervisor.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Mensual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21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Financiero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Incumplimiento del contratista en el pago de salarios, prestaciones sociales y aportes al Sistema de Seguridad Social integral y parafiscales del personal vinculado a la obra.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Reclamaciones laborales, responsabilidad solidaria de la Entidad y retención de los pagos al contratista.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Medio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Exigencia de la garantía de pago de salarios y prestaciones sociales; verificación de las planillas de aportes como requisito previo a cada pago.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Finalización del contrato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Verificación de planillas y certificaciones del revisor fiscal o representante legal previa a cada desembolso.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Por cada pago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22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Específico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Post-contractual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Operacional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Aparición de defectos, asentamientos, hundimientos o fallas de funcionamiento del sistema de alcantarillado construido, dentro del término de estabilidad de la obra.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Necesidad de reparaciones a cargo del contratista, afectación del servicio a la comunidad y eventual siniestro de la garantía.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Exigencia de la garantía de estabilidad y calidad de la obra por el término y porcentaje señalados en el pliego, y liquidación del contrato con acta de recibo a satisfacción.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Vigencia de la garantía de estabilidad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Inspecciones periódicas al sistema construido por la Secretaría de Planeación.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Anual durante la garantía</w:t>
            </w:r>
          </w:p>
        </w:tc>
      </w:tr>
      <w:tr>
        <w:trPr>
          <w:cantSplit w:val="true"/>
        </w:trPr>
        <w:tc>
          <w:tcPr>
            <w:tcW w:type="dxa" w:w="45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23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General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Externo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Ejecución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De la naturaleza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Ocurrencia de eventos constitutivos de fuerza mayor o caso fortuito, tales como movimientos en masa, avenidas torrenciales o sismos, que afecten el corredor de la obra.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Suspensión o terminación anticipada del contrato y pérdida de las obras parcialmente ejecutadas.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5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6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Alto</w:t>
            </w:r>
          </w:p>
        </w:tc>
        <w:tc>
          <w:tcPr>
            <w:tcW w:type="dxa" w:w="1020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Municipio de Gachetá y Contratista</w:t>
            </w:r>
          </w:p>
        </w:tc>
        <w:tc>
          <w:tcPr>
            <w:tcW w:type="dxa" w:w="2041"/>
            <w:vAlign w:val="center"/>
          </w:tcPr>
          <w:p>
            <w:pPr>
              <w:spacing w:after="0" w:before="0"/>
              <w:jc w:val="both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Aplicación de las reglas generales sobre fuerza mayor y caso fortuito; suspensión del contrato mediante acta y evaluación conjunta de las condiciones para su reanudación.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1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3</w:t>
            </w:r>
          </w:p>
        </w:tc>
        <w:tc>
          <w:tcPr>
            <w:tcW w:type="dxa" w:w="765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4</w:t>
            </w:r>
          </w:p>
        </w:tc>
        <w:tc>
          <w:tcPr>
            <w:tcW w:type="dxa" w:w="96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Riesgo Bajo</w:t>
            </w:r>
          </w:p>
        </w:tc>
        <w:tc>
          <w:tcPr>
            <w:tcW w:type="dxa" w:w="850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Sí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Supervisor designado por la Secretaría de Planeación</w:t>
            </w:r>
          </w:p>
        </w:tc>
        <w:tc>
          <w:tcPr>
            <w:tcW w:type="dxa" w:w="119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 la ocurrencia del evento</w:t>
            </w:r>
          </w:p>
        </w:tc>
        <w:tc>
          <w:tcPr>
            <w:tcW w:type="dxa" w:w="1361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Evaluación conjunta entre el supervisor y el contratista, con levantamiento de acta.</w:t>
            </w:r>
          </w:p>
        </w:tc>
        <w:tc>
          <w:tcPr>
            <w:tcW w:type="dxa" w:w="90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5"/>
              </w:rPr>
              <w:t>Ante la ocurrencia</w:t>
            </w:r>
          </w:p>
        </w:tc>
      </w:tr>
    </w:tbl>
    <w:p/>
    <w:p>
      <w:pPr>
        <w:spacing w:after="240"/>
        <w:jc w:val="both"/>
      </w:pPr>
      <w:r>
        <w:rPr>
          <w:rFonts w:ascii="Arial Narrow" w:hAnsi="Arial Narrow" w:eastAsia="Arial Narrow"/>
          <w:b w:val="0"/>
          <w:sz w:val="16"/>
        </w:rPr>
        <w:t>Nota: la valoración del riesgo corresponde a la suma de los valores asignados a la probabilidad y al impacto, conforme a la Tabla C; la categoría resultante se determina según la Tabla D.</w:t>
      </w:r>
    </w:p>
    <w:p>
      <w:r>
        <w:br w:type="page"/>
      </w:r>
    </w:p>
    <w:p>
      <w:pPr>
        <w:spacing w:after="60"/>
        <w:jc w:val="left"/>
      </w:pPr>
      <w:r>
        <w:rPr>
          <w:rFonts w:ascii="Arial Narrow" w:hAnsi="Arial Narrow" w:eastAsia="Arial Narrow"/>
          <w:b/>
          <w:color w:val="1F4E79"/>
          <w:sz w:val="20"/>
        </w:rPr>
        <w:t>TABLA A – PROBABILIDAD DE OCURRENCIA DEL RIESGO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Borders>
          <w:top w:val="single" w:sz="4" w:color="000000"/>
          <w:left w:val="single" w:sz="4" w:color="000000"/>
          <w:bottom w:val="single" w:sz="4" w:color="000000"/>
          <w:right w:val="single" w:sz="4" w:color="000000"/>
          <w:insideH w:val="single" w:sz="4" w:color="000000"/>
          <w:insideV w:val="single" w:sz="4" w:color="000000"/>
        </w:tblBorders>
        <w:tblLayout w:type="fixed"/>
        <w:tblW w:w="8503" w:type="dxa"/>
      </w:tblPr>
      <w:tblGrid>
        <w:gridCol w:w="6802"/>
        <w:gridCol w:w="1700"/>
      </w:tblGrid>
      <w:tr>
        <w:trPr>
          <w:cantSplit w:val="true"/>
        </w:trPr>
        <w:tc>
          <w:tcPr>
            <w:tcW w:type="dxa" w:w="6803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Categoría</w:t>
            </w:r>
          </w:p>
        </w:tc>
        <w:tc>
          <w:tcPr>
            <w:tcW w:type="dxa" w:w="1701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Valoración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Raro (puede ocurrir excepcionalmente)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1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Improbable (puede ocurrir ocasionalmente)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2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Posible (puede ocurrir en cualquier momento futuro)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3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Probable (probablemente va a ocurrir)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4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Casi cierto (ocurre en la mayoría de las circunstancias)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</w:tr>
    </w:tbl>
    <w:p/>
    <w:p>
      <w:pPr>
        <w:spacing w:after="60"/>
        <w:jc w:val="left"/>
      </w:pPr>
      <w:r>
        <w:rPr>
          <w:rFonts w:ascii="Arial Narrow" w:hAnsi="Arial Narrow" w:eastAsia="Arial Narrow"/>
          <w:b/>
          <w:color w:val="1F4E79"/>
          <w:sz w:val="20"/>
        </w:rPr>
        <w:t>TABLA B – IMPACTO DEL RIESGO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Borders>
          <w:top w:val="single" w:sz="4" w:color="000000"/>
          <w:left w:val="single" w:sz="4" w:color="000000"/>
          <w:bottom w:val="single" w:sz="4" w:color="000000"/>
          <w:right w:val="single" w:sz="4" w:color="000000"/>
          <w:insideH w:val="single" w:sz="4" w:color="000000"/>
          <w:insideV w:val="single" w:sz="4" w:color="000000"/>
        </w:tblBorders>
        <w:tblLayout w:type="fixed"/>
        <w:tblW w:w="8503" w:type="dxa"/>
      </w:tblPr>
      <w:tblGrid>
        <w:gridCol w:w="6802"/>
        <w:gridCol w:w="1700"/>
      </w:tblGrid>
      <w:tr>
        <w:trPr>
          <w:cantSplit w:val="true"/>
        </w:trPr>
        <w:tc>
          <w:tcPr>
            <w:tcW w:type="dxa" w:w="6803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Categoría</w:t>
            </w:r>
          </w:p>
        </w:tc>
        <w:tc>
          <w:tcPr>
            <w:tcW w:type="dxa" w:w="1701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Valoración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Insignificante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1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Menor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2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Moderado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3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Mayor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4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Catastrófico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</w:tr>
    </w:tbl>
    <w:p/>
    <w:p>
      <w:pPr>
        <w:spacing w:after="60"/>
        <w:jc w:val="left"/>
      </w:pPr>
      <w:r>
        <w:rPr>
          <w:rFonts w:ascii="Arial Narrow" w:hAnsi="Arial Narrow" w:eastAsia="Arial Narrow"/>
          <w:b/>
          <w:color w:val="1F4E79"/>
          <w:sz w:val="20"/>
        </w:rPr>
        <w:t>TABLA C – VALORACIÓN DEL RIESGO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Borders>
          <w:top w:val="single" w:sz="4" w:color="000000"/>
          <w:left w:val="single" w:sz="4" w:color="000000"/>
          <w:bottom w:val="single" w:sz="4" w:color="000000"/>
          <w:right w:val="single" w:sz="4" w:color="000000"/>
          <w:insideH w:val="single" w:sz="4" w:color="000000"/>
          <w:insideV w:val="single" w:sz="4" w:color="000000"/>
        </w:tblBorders>
        <w:tblLayout w:type="fixed"/>
        <w:tblW w:w="13718" w:type="dxa"/>
      </w:tblPr>
      <w:tblGrid>
        <w:gridCol w:w="5102"/>
        <w:gridCol w:w="1247"/>
        <w:gridCol w:w="1473"/>
        <w:gridCol w:w="1473"/>
        <w:gridCol w:w="1473"/>
        <w:gridCol w:w="1473"/>
        <w:gridCol w:w="1473"/>
      </w:tblGrid>
      <w:tr>
        <w:trPr>
          <w:cantSplit w:val="true"/>
        </w:trPr>
        <w:tc>
          <w:tcPr>
            <w:tcW w:type="dxa" w:w="5102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Probabilidad</w:t>
            </w:r>
          </w:p>
        </w:tc>
        <w:tc>
          <w:tcPr>
            <w:tcW w:type="dxa" w:w="1247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Valoración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Insignificante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Menor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Moderado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Mayor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Catastrófico</w:t>
            </w:r>
          </w:p>
        </w:tc>
      </w:tr>
      <w:tr>
        <w:trPr>
          <w:cantSplit w:val="true"/>
        </w:trPr>
        <w:tc>
          <w:tcPr>
            <w:tcW w:type="dxa" w:w="5102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</w:r>
          </w:p>
        </w:tc>
        <w:tc>
          <w:tcPr>
            <w:tcW w:type="dxa" w:w="1247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1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2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3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4</w:t>
            </w:r>
          </w:p>
        </w:tc>
        <w:tc>
          <w:tcPr>
            <w:tcW w:type="dxa" w:w="1474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5</w:t>
            </w:r>
          </w:p>
        </w:tc>
      </w:tr>
      <w:tr>
        <w:trPr>
          <w:cantSplit w:val="true"/>
        </w:trPr>
        <w:tc>
          <w:tcPr>
            <w:tcW w:type="dxa" w:w="5102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Raro (puede ocurrir excepcionalmente)</w:t>
            </w:r>
          </w:p>
        </w:tc>
        <w:tc>
          <w:tcPr>
            <w:tcW w:type="dxa" w:w="124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1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2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3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4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6</w:t>
            </w:r>
          </w:p>
        </w:tc>
      </w:tr>
      <w:tr>
        <w:trPr>
          <w:cantSplit w:val="true"/>
        </w:trPr>
        <w:tc>
          <w:tcPr>
            <w:tcW w:type="dxa" w:w="5102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Improbable (puede ocurrir ocasionalmente)</w:t>
            </w:r>
          </w:p>
        </w:tc>
        <w:tc>
          <w:tcPr>
            <w:tcW w:type="dxa" w:w="124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2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3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4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6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7</w:t>
            </w:r>
          </w:p>
        </w:tc>
      </w:tr>
      <w:tr>
        <w:trPr>
          <w:cantSplit w:val="true"/>
        </w:trPr>
        <w:tc>
          <w:tcPr>
            <w:tcW w:type="dxa" w:w="5102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Posible (puede ocurrir en cualquier momento futuro)</w:t>
            </w:r>
          </w:p>
        </w:tc>
        <w:tc>
          <w:tcPr>
            <w:tcW w:type="dxa" w:w="124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3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4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6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7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8</w:t>
            </w:r>
          </w:p>
        </w:tc>
      </w:tr>
      <w:tr>
        <w:trPr>
          <w:cantSplit w:val="true"/>
        </w:trPr>
        <w:tc>
          <w:tcPr>
            <w:tcW w:type="dxa" w:w="5102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Probable (probablemente va a ocurrir)</w:t>
            </w:r>
          </w:p>
        </w:tc>
        <w:tc>
          <w:tcPr>
            <w:tcW w:type="dxa" w:w="124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4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6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7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8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9</w:t>
            </w:r>
          </w:p>
        </w:tc>
      </w:tr>
      <w:tr>
        <w:trPr>
          <w:cantSplit w:val="true"/>
        </w:trPr>
        <w:tc>
          <w:tcPr>
            <w:tcW w:type="dxa" w:w="5102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Casi cierto (ocurre en la mayoría de las circunstancias)</w:t>
            </w:r>
          </w:p>
        </w:tc>
        <w:tc>
          <w:tcPr>
            <w:tcW w:type="dxa" w:w="1247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5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6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7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8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9</w:t>
            </w:r>
          </w:p>
        </w:tc>
        <w:tc>
          <w:tcPr>
            <w:tcW w:type="dxa" w:w="1474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10</w:t>
            </w:r>
          </w:p>
        </w:tc>
      </w:tr>
    </w:tbl>
    <w:p/>
    <w:p>
      <w:pPr>
        <w:spacing w:after="60"/>
        <w:jc w:val="left"/>
      </w:pPr>
      <w:r>
        <w:rPr>
          <w:rFonts w:ascii="Arial Narrow" w:hAnsi="Arial Narrow" w:eastAsia="Arial Narrow"/>
          <w:b/>
          <w:color w:val="1F4E79"/>
          <w:sz w:val="20"/>
        </w:rPr>
        <w:t>TABLA D – CATEGORÍA DEL RIESGO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Borders>
          <w:top w:val="single" w:sz="4" w:color="000000"/>
          <w:left w:val="single" w:sz="4" w:color="000000"/>
          <w:bottom w:val="single" w:sz="4" w:color="000000"/>
          <w:right w:val="single" w:sz="4" w:color="000000"/>
          <w:insideH w:val="single" w:sz="4" w:color="000000"/>
          <w:insideV w:val="single" w:sz="4" w:color="000000"/>
        </w:tblBorders>
        <w:tblLayout w:type="fixed"/>
        <w:tblW w:w="9070" w:type="dxa"/>
      </w:tblPr>
      <w:tblGrid>
        <w:gridCol w:w="6802"/>
        <w:gridCol w:w="2267"/>
      </w:tblGrid>
      <w:tr>
        <w:trPr>
          <w:cantSplit w:val="true"/>
        </w:trPr>
        <w:tc>
          <w:tcPr>
            <w:tcW w:type="dxa" w:w="6803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Categoría</w:t>
            </w:r>
          </w:p>
        </w:tc>
        <w:tc>
          <w:tcPr>
            <w:tcW w:type="dxa" w:w="2268"/>
            <w:shd w:val="clear" w:color="auto" w:fill="BFBFBF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/>
                <w:sz w:val="16"/>
              </w:rPr>
              <w:t>Valoración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Riesgo extremo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8, 9 y 10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Riesgo alto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6 y 7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Riesgo medio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5</w:t>
            </w:r>
          </w:p>
        </w:tc>
      </w:tr>
      <w:tr>
        <w:trPr>
          <w:cantSplit w:val="true"/>
        </w:trPr>
        <w:tc>
          <w:tcPr>
            <w:tcW w:type="dxa" w:w="6803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Riesgo bajo</w:t>
            </w:r>
          </w:p>
        </w:tc>
        <w:tc>
          <w:tcPr>
            <w:tcW w:type="dxa" w:w="2268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 Narrow" w:hAnsi="Arial Narrow" w:eastAsia="Arial Narrow"/>
                <w:b w:val="0"/>
                <w:sz w:val="16"/>
              </w:rPr>
              <w:t>2, 3 y 4</w:t>
            </w:r>
          </w:p>
        </w:tc>
      </w:tr>
    </w:tbl>
    <w:p/>
    <w:p>
      <w:pPr>
        <w:spacing w:after="360"/>
        <w:jc w:val="both"/>
      </w:pPr>
      <w:r>
        <w:rPr>
          <w:rFonts w:ascii="Arial Narrow" w:hAnsi="Arial Narrow" w:eastAsia="Arial Narrow"/>
          <w:b w:val="0"/>
          <w:sz w:val="18"/>
        </w:rPr>
        <w:t>El presente documento hace parte integral de los estudios y documentos previos del proceso de selección abreviada de menor cuantía y del pliego de condiciones que lo rige.</w:t>
      </w:r>
    </w:p>
    <w:p>
      <w:pPr>
        <w:jc w:val="left"/>
      </w:pPr>
      <w:r>
        <w:rPr>
          <w:rFonts w:ascii="Arial Narrow" w:hAnsi="Arial Narrow"/>
          <w:sz w:val="18"/>
        </w:rPr>
        <w:t>Proyectó y elaboró: Comité Estructurador – Secretaría de Planeación del Municipio de Gachetá, Cundinamarca.</w:t>
      </w:r>
    </w:p>
    <w:sectPr w:rsidR="00FC693F" w:rsidRPr="0006063C" w:rsidSect="00034616">
      <w:headerReference w:type="default" r:id="rId9"/>
      <w:footerReference w:type="default" r:id="rId10"/>
      <w:pgSz w:w="24480" w:h="15840" w:orient="landscape"/>
      <w:pgMar w:top="680" w:right="680" w:bottom="680" w:left="680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 Narrow" w:hAnsi="Arial Narrow" w:eastAsia="Arial Narrow"/>
        <w:sz w:val="14"/>
      </w:rPr>
      <w:t>Construcción de alcantarillado para el manejo de vertimientos del sector Italia 90 – Municipio de Gachetá, Cundinamarca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Arial Narrow" w:hAnsi="Arial Narrow" w:eastAsia="Arial Narrow"/>
        <w:b/>
        <w:color w:val="1F4E79"/>
        <w:sz w:val="24"/>
      </w:rPr>
      <w:t>MUNICIPIO DE GACHETÁ – CUNDINAMARCA</w:t>
    </w:r>
    <w:r>
      <w:br/>
    </w:r>
    <w:r>
      <w:rPr>
        <w:rFonts w:ascii="Arial Narrow" w:hAnsi="Arial Narrow" w:eastAsia="Arial Narrow"/>
        <w:b/>
        <w:color w:val="1F4E79"/>
        <w:sz w:val="20"/>
      </w:rPr>
      <w:t>SECRETARÍA DE PLANEACIÓN</w:t>
    </w:r>
    <w:r>
      <w:br/>
    </w:r>
    <w:r>
      <w:rPr>
        <w:rFonts w:ascii="Arial Narrow" w:hAnsi="Arial Narrow" w:eastAsia="Arial Narrow"/>
        <w:b/>
        <w:color w:val="1F4E79"/>
        <w:sz w:val="20"/>
      </w:rPr>
      <w:t>ANEXO – MATRIZ DE RIESGOS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rial Narrow" w:hAnsi="Arial Narrow" w:eastAsia="Arial Narrow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