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4197E4A1" w:rsidR="3520600D" w:rsidRPr="00D23BA9" w:rsidRDefault="16AAF97D" w:rsidP="00957B36">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w:t>
      </w:r>
      <w:r w:rsidRPr="00D23BA9">
        <w:rPr>
          <w:rFonts w:ascii="Verdana" w:hAnsi="Verdana" w:cs="Arial"/>
          <w:sz w:val="22"/>
          <w:szCs w:val="22"/>
          <w:lang w:val="es-ES"/>
        </w:rPr>
        <w:lastRenderedPageBreak/>
        <w:t>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00B3691A" w:rsidRPr="00D23BA9">
        <w:rPr>
          <w:rFonts w:ascii="Verdana" w:hAnsi="Verdana" w:cs="Arial"/>
          <w:sz w:val="22"/>
          <w:szCs w:val="22"/>
          <w:lang w:val="es-CO"/>
        </w:rPr>
        <w:lastRenderedPageBreak/>
        <w:t>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w:t>
      </w:r>
      <w:r w:rsidR="00B3691A" w:rsidRPr="00D23BA9">
        <w:rPr>
          <w:rFonts w:ascii="Verdana" w:hAnsi="Verdana" w:cs="Arial"/>
          <w:sz w:val="22"/>
          <w:szCs w:val="22"/>
          <w:lang w:val="es-ES"/>
        </w:rPr>
        <w:lastRenderedPageBreak/>
        <w:t>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w:t>
      </w:r>
      <w:r w:rsidRPr="00D23BA9">
        <w:rPr>
          <w:rFonts w:ascii="Verdana" w:hAnsi="Verdana" w:cs="Arial"/>
          <w:bCs/>
          <w:sz w:val="22"/>
          <w:szCs w:val="22"/>
          <w:lang w:val="es-ES"/>
        </w:rPr>
        <w:lastRenderedPageBreak/>
        <w:t>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23BA9">
        <w:rPr>
          <w:rFonts w:ascii="Verdana" w:hAnsi="Verdana" w:cs="Arial"/>
          <w:sz w:val="22"/>
          <w:szCs w:val="22"/>
          <w:lang w:val="es-CO"/>
        </w:rPr>
        <w:t>del mismo</w:t>
      </w:r>
      <w:proofErr w:type="gramEnd"/>
      <w:r w:rsidRPr="00D23BA9">
        <w:rPr>
          <w:rFonts w:ascii="Verdana" w:hAnsi="Verdana" w:cs="Arial"/>
          <w:sz w:val="22"/>
          <w:szCs w:val="22"/>
          <w:lang w:val="es-CO"/>
        </w:rPr>
        <w:t xml:space="preserve">.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w:t>
      </w:r>
      <w:r w:rsidRPr="00D23BA9">
        <w:rPr>
          <w:rFonts w:ascii="Verdana" w:eastAsia="Arial" w:hAnsi="Verdana" w:cs="Arial"/>
          <w:sz w:val="22"/>
          <w:szCs w:val="22"/>
          <w:lang w:val="es-ES"/>
        </w:rPr>
        <w:lastRenderedPageBreak/>
        <w:t>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w:t>
      </w:r>
      <w:r w:rsidRPr="00D23BA9">
        <w:rPr>
          <w:rFonts w:ascii="Verdana" w:eastAsia="Arial" w:hAnsi="Verdana" w:cs="Arial"/>
          <w:sz w:val="22"/>
          <w:szCs w:val="22"/>
          <w:lang w:val="es-ES"/>
        </w:rPr>
        <w:lastRenderedPageBreak/>
        <w:t>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lastRenderedPageBreak/>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w:t>
      </w:r>
      <w:r w:rsidRPr="00D23BA9">
        <w:rPr>
          <w:rFonts w:ascii="Verdana" w:eastAsia="Arial" w:hAnsi="Verdana" w:cs="Arial"/>
          <w:sz w:val="22"/>
          <w:szCs w:val="22"/>
          <w:lang w:val="es-ES" w:eastAsia="es-ES"/>
        </w:rPr>
        <w:lastRenderedPageBreak/>
        <w:t>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 xml:space="preserve">Calzada destinada de manera permanente a la circulación de bicicletas, ubicada en el andén, el separador o segregada de la calzada </w:t>
      </w:r>
      <w:r w:rsidRPr="00D23BA9">
        <w:rPr>
          <w:rFonts w:ascii="Verdana" w:eastAsia="Arial" w:hAnsi="Verdana" w:cs="Arial"/>
          <w:sz w:val="22"/>
          <w:szCs w:val="22"/>
          <w:lang w:val="es-ES"/>
        </w:rPr>
        <w:lastRenderedPageBreak/>
        <w:t>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 xml:space="preserve">es un tipo de concreto usado especialmente para construir o reparar estructuras complejas o para revestir taludes de tal </w:t>
      </w:r>
      <w:r w:rsidRPr="00D23BA9">
        <w:rPr>
          <w:rFonts w:ascii="Verdana" w:eastAsia="Arial" w:hAnsi="Verdana" w:cs="Arial"/>
          <w:sz w:val="22"/>
          <w:szCs w:val="22"/>
          <w:lang w:val="es-ES"/>
        </w:rPr>
        <w:lastRenderedPageBreak/>
        <w:t>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w:t>
      </w:r>
      <w:r w:rsidR="334FE0C1" w:rsidRPr="00D23BA9">
        <w:rPr>
          <w:rFonts w:ascii="Verdana" w:eastAsia="Arial" w:hAnsi="Verdana" w:cs="Arial"/>
          <w:sz w:val="22"/>
          <w:szCs w:val="22"/>
          <w:lang w:val="es-ES"/>
        </w:rPr>
        <w:lastRenderedPageBreak/>
        <w:t>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 xml:space="preserve">revestidas o no, construidas paralelamente a las bermas, destinadas a facilitar el drenaje superficial </w:t>
      </w:r>
      <w:r w:rsidRPr="00D23BA9">
        <w:rPr>
          <w:rFonts w:ascii="Verdana" w:eastAsia="Arial" w:hAnsi="Verdana" w:cs="Arial"/>
          <w:sz w:val="22"/>
          <w:szCs w:val="22"/>
          <w:lang w:val="es-ES"/>
        </w:rPr>
        <w:lastRenderedPageBreak/>
        <w:t>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w:t>
      </w:r>
      <w:r w:rsidR="00DE6D74" w:rsidRPr="00D23BA9">
        <w:rPr>
          <w:rFonts w:ascii="Verdana" w:eastAsia="Arial" w:hAnsi="Verdana" w:cs="Arial"/>
          <w:sz w:val="22"/>
          <w:szCs w:val="22"/>
          <w:lang w:val="es-ES" w:eastAsia="es-ES"/>
        </w:rPr>
        <w:lastRenderedPageBreak/>
        <w:t xml:space="preserve">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w:t>
      </w:r>
      <w:r w:rsidR="671CE17A" w:rsidRPr="00D23BA9">
        <w:rPr>
          <w:rFonts w:ascii="Verdana" w:eastAsia="Arial" w:hAnsi="Verdana" w:cs="Arial"/>
          <w:sz w:val="22"/>
          <w:szCs w:val="22"/>
          <w:lang w:val="es-ES"/>
        </w:rPr>
        <w:lastRenderedPageBreak/>
        <w:t xml:space="preserve">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w:t>
      </w:r>
      <w:r w:rsidRPr="00D23BA9">
        <w:rPr>
          <w:rFonts w:ascii="Verdana" w:eastAsia="Arial" w:hAnsi="Verdana" w:cs="Arial"/>
          <w:sz w:val="22"/>
          <w:szCs w:val="22"/>
          <w:lang w:val="es-ES"/>
        </w:rPr>
        <w:lastRenderedPageBreak/>
        <w:t>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 xml:space="preserve">Conjunto, de tuberías, accesorios, estructura y equipos que integran el sistema de abastecimiento de agua del inmueble, a partir del medidor. Para edificios </w:t>
      </w:r>
      <w:r w:rsidRPr="00D23BA9">
        <w:rPr>
          <w:rFonts w:ascii="Verdana" w:eastAsia="Arial" w:hAnsi="Verdana" w:cs="Arial"/>
          <w:sz w:val="22"/>
          <w:szCs w:val="22"/>
          <w:lang w:val="es-ES"/>
        </w:rPr>
        <w:lastRenderedPageBreak/>
        <w:t>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w:t>
      </w:r>
      <w:r w:rsidRPr="00D23BA9">
        <w:rPr>
          <w:rFonts w:ascii="Verdana" w:eastAsia="Arial" w:hAnsi="Verdana" w:cs="Arial"/>
          <w:sz w:val="22"/>
          <w:szCs w:val="22"/>
          <w:lang w:val="es-ES" w:eastAsia="es-ES"/>
        </w:rPr>
        <w:lastRenderedPageBreak/>
        <w:t>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w:t>
      </w:r>
      <w:r w:rsidRPr="00D23BA9">
        <w:rPr>
          <w:rFonts w:ascii="Verdana" w:eastAsia="Arial" w:hAnsi="Verdana" w:cs="Arial"/>
          <w:sz w:val="22"/>
          <w:szCs w:val="22"/>
          <w:lang w:val="es-ES" w:eastAsia="es-ES"/>
        </w:rPr>
        <w:lastRenderedPageBreak/>
        <w:t xml:space="preserve">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w:t>
      </w:r>
      <w:r w:rsidRPr="00D23BA9">
        <w:rPr>
          <w:rFonts w:ascii="Verdana" w:eastAsia="Arial" w:hAnsi="Verdana" w:cs="Arial"/>
          <w:sz w:val="22"/>
          <w:szCs w:val="22"/>
          <w:lang w:val="es-ES"/>
        </w:rPr>
        <w:lastRenderedPageBreak/>
        <w:t>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 xml:space="preserve">Estructura constituida por un conjunto de capas </w:t>
      </w:r>
      <w:r w:rsidR="20A035F9" w:rsidRPr="00D23BA9">
        <w:rPr>
          <w:rFonts w:ascii="Verdana" w:eastAsia="Arial" w:hAnsi="Verdana" w:cs="Arial"/>
          <w:sz w:val="22"/>
          <w:szCs w:val="22"/>
          <w:lang w:val="es-ES"/>
        </w:rPr>
        <w:lastRenderedPageBreak/>
        <w:t>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 xml:space="preserve">Dirigido a desmovilizados individuales certificados por el Comité Operativo para la Dejación de las </w:t>
      </w:r>
      <w:r w:rsidRPr="00D23BA9">
        <w:rPr>
          <w:rFonts w:ascii="Verdana" w:eastAsia="Arial" w:hAnsi="Verdana" w:cs="Arial"/>
          <w:sz w:val="22"/>
          <w:szCs w:val="22"/>
        </w:rPr>
        <w:lastRenderedPageBreak/>
        <w:t>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w:t>
      </w:r>
      <w:r w:rsidR="5228035E" w:rsidRPr="00D23BA9">
        <w:rPr>
          <w:rFonts w:ascii="Verdana" w:eastAsia="Arial" w:hAnsi="Verdana" w:cs="Arial"/>
          <w:sz w:val="22"/>
          <w:szCs w:val="22"/>
          <w:lang w:val="es-ES"/>
        </w:rPr>
        <w:lastRenderedPageBreak/>
        <w:t xml:space="preserve">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 xml:space="preserve">Este trabajo consiste en la remoción, desecho y disposición o en la remoción, cargue, transporte hasta la distancia de acarreo libre, descargue y disposición de los materiales </w:t>
      </w:r>
      <w:r w:rsidRPr="00D23BA9">
        <w:rPr>
          <w:rFonts w:ascii="Verdana" w:eastAsia="Arial" w:hAnsi="Verdana" w:cs="Arial"/>
          <w:sz w:val="22"/>
          <w:szCs w:val="22"/>
          <w:lang w:val="es-ES"/>
        </w:rPr>
        <w:lastRenderedPageBreak/>
        <w:t>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 xml:space="preserve">Depósito temporal en un espacio físico definido y por un tiempo determinado con carácter previo </w:t>
      </w:r>
      <w:r w:rsidRPr="00D23BA9">
        <w:rPr>
          <w:rFonts w:ascii="Verdana" w:eastAsia="Arial" w:hAnsi="Verdana" w:cs="Arial"/>
          <w:sz w:val="22"/>
          <w:szCs w:val="22"/>
          <w:lang w:val="es-ES"/>
        </w:rPr>
        <w:lastRenderedPageBreak/>
        <w:t>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w:t>
      </w:r>
      <w:r w:rsidRPr="00D23BA9">
        <w:rPr>
          <w:rFonts w:ascii="Verdana" w:eastAsia="Arial" w:hAnsi="Verdana" w:cs="Arial"/>
          <w:sz w:val="22"/>
          <w:szCs w:val="22"/>
          <w:lang w:val="es-ES"/>
        </w:rPr>
        <w:lastRenderedPageBreak/>
        <w:t>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w:t>
      </w:r>
      <w:r w:rsidRPr="00D23BA9">
        <w:rPr>
          <w:rFonts w:ascii="Verdana" w:eastAsia="Arial" w:hAnsi="Verdana" w:cs="Arial"/>
          <w:sz w:val="22"/>
          <w:szCs w:val="22"/>
          <w:lang w:val="es-ES"/>
        </w:rPr>
        <w:lastRenderedPageBreak/>
        <w:t xml:space="preserve">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7B2ADA76"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12A36476" w:rsidR="00E56956" w:rsidRPr="00D23BA9" w:rsidRDefault="00957B36"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Pr>
          <w:rFonts w:ascii="Verdana" w:eastAsia="Arial" w:hAnsi="Verdana" w:cs="Arial"/>
          <w:sz w:val="22"/>
          <w:szCs w:val="22"/>
          <w:lang w:val="es-ES"/>
        </w:rPr>
        <w:t xml:space="preserve">           </w:t>
      </w:r>
      <w:r w:rsidR="1180BE99"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 xml:space="preserve">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w:t>
      </w:r>
      <w:r w:rsidRPr="00D23BA9">
        <w:rPr>
          <w:rFonts w:ascii="Verdana" w:hAnsi="Verdana" w:cstheme="minorHAnsi"/>
          <w:sz w:val="22"/>
          <w:szCs w:val="22"/>
          <w:lang w:val="es-ES"/>
        </w:rPr>
        <w:lastRenderedPageBreak/>
        <w:t>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w:t>
      </w:r>
      <w:r w:rsidR="564B3A39" w:rsidRPr="00D23BA9">
        <w:rPr>
          <w:rFonts w:ascii="Verdana" w:eastAsiaTheme="minorEastAsia" w:hAnsi="Verdana" w:cstheme="minorBidi"/>
          <w:sz w:val="22"/>
          <w:szCs w:val="22"/>
          <w:lang w:val="es-ES" w:eastAsia="es-ES"/>
        </w:rPr>
        <w:lastRenderedPageBreak/>
        <w:t xml:space="preserve">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w:t>
      </w:r>
      <w:r w:rsidRPr="00D23BA9">
        <w:rPr>
          <w:rFonts w:ascii="Verdana" w:eastAsiaTheme="minorEastAsia" w:hAnsi="Verdana" w:cstheme="minorHAnsi"/>
          <w:sz w:val="22"/>
          <w:szCs w:val="22"/>
          <w:lang w:eastAsia="es-ES"/>
        </w:rPr>
        <w:lastRenderedPageBreak/>
        <w:t>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 xml:space="preserve">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w:t>
      </w:r>
      <w:r w:rsidRPr="00D23BA9">
        <w:rPr>
          <w:rFonts w:ascii="Verdana" w:hAnsi="Verdana" w:cstheme="minorHAnsi"/>
          <w:sz w:val="22"/>
          <w:szCs w:val="22"/>
          <w:lang w:val="es-ES"/>
        </w:rPr>
        <w:lastRenderedPageBreak/>
        <w:t>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w:t>
      </w:r>
      <w:r w:rsidRPr="00D23BA9">
        <w:rPr>
          <w:rFonts w:ascii="Verdana" w:eastAsiaTheme="minorEastAsia" w:hAnsi="Verdana" w:cstheme="minorHAnsi"/>
          <w:sz w:val="22"/>
          <w:szCs w:val="22"/>
          <w:lang w:val="es-ES" w:eastAsia="es-ES"/>
        </w:rPr>
        <w:lastRenderedPageBreak/>
        <w:t>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lastRenderedPageBreak/>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lastRenderedPageBreak/>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w:t>
      </w:r>
      <w:r w:rsidRPr="00D23BA9">
        <w:rPr>
          <w:rFonts w:ascii="Verdana" w:hAnsi="Verdana" w:cstheme="minorHAnsi"/>
          <w:sz w:val="22"/>
          <w:szCs w:val="22"/>
          <w:lang w:val="es-ES"/>
        </w:rPr>
        <w:lastRenderedPageBreak/>
        <w:t xml:space="preserve">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w:t>
      </w:r>
      <w:r w:rsidRPr="00D23BA9">
        <w:rPr>
          <w:rFonts w:ascii="Verdana" w:eastAsia="Arial" w:hAnsi="Verdana" w:cstheme="minorHAnsi"/>
          <w:sz w:val="22"/>
          <w:szCs w:val="22"/>
          <w:lang w:val="es-ES"/>
        </w:rPr>
        <w:lastRenderedPageBreak/>
        <w:t>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w:t>
      </w:r>
      <w:r w:rsidRPr="00D23BA9">
        <w:rPr>
          <w:rFonts w:ascii="Verdana" w:eastAsiaTheme="minorEastAsia" w:hAnsi="Verdana" w:cstheme="minorHAnsi"/>
          <w:sz w:val="22"/>
          <w:szCs w:val="22"/>
          <w:lang w:val="es-ES" w:eastAsia="es-ES"/>
        </w:rPr>
        <w:lastRenderedPageBreak/>
        <w:t>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 xml:space="preserve">Son un instrumento de gestión de los bienes de interés cultural mediante el cual se establecen </w:t>
      </w:r>
      <w:r w:rsidRPr="00D23BA9">
        <w:rPr>
          <w:rFonts w:ascii="Verdana" w:eastAsia="Arial" w:hAnsi="Verdana" w:cstheme="minorHAnsi"/>
          <w:sz w:val="22"/>
          <w:szCs w:val="22"/>
          <w:lang w:val="es-ES"/>
        </w:rPr>
        <w:lastRenderedPageBreak/>
        <w:t>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lastRenderedPageBreak/>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FBBC5" w14:textId="77777777" w:rsidR="007E419C" w:rsidRDefault="007E419C" w:rsidP="004F2C35">
      <w:r>
        <w:separator/>
      </w:r>
    </w:p>
  </w:endnote>
  <w:endnote w:type="continuationSeparator" w:id="0">
    <w:p w14:paraId="41831777" w14:textId="77777777" w:rsidR="007E419C" w:rsidRDefault="007E419C" w:rsidP="004F2C35">
      <w:r>
        <w:continuationSeparator/>
      </w:r>
    </w:p>
  </w:endnote>
  <w:endnote w:type="continuationNotice" w:id="1">
    <w:p w14:paraId="62ACF681" w14:textId="77777777" w:rsidR="007E419C" w:rsidRDefault="007E41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161D9EEF" w:rsidR="00702111" w:rsidRPr="000F3177"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F3177">
      <w:rPr>
        <w:rFonts w:ascii="Verdana" w:hAnsi="Verdana" w:cs="Arial"/>
        <w:color w:val="1A1818" w:themeColor="accent1"/>
        <w:sz w:val="18"/>
        <w:szCs w:val="18"/>
      </w:rPr>
      <w:t xml:space="preserve">Versión: </w:t>
    </w:r>
    <w:r w:rsidR="003A7AB8" w:rsidRPr="000F3177">
      <w:rPr>
        <w:rFonts w:ascii="Verdana" w:hAnsi="Verdana" w:cs="Arial"/>
        <w:color w:val="1A1818" w:themeColor="accent1"/>
        <w:sz w:val="18"/>
        <w:szCs w:val="18"/>
      </w:rPr>
      <w:t>1</w:t>
    </w:r>
    <w:r w:rsidRPr="000F3177">
      <w:rPr>
        <w:rFonts w:ascii="Verdana" w:hAnsi="Verdana" w:cs="Arial"/>
        <w:color w:val="1A1818" w:themeColor="accent1"/>
        <w:sz w:val="18"/>
        <w:szCs w:val="18"/>
      </w:rPr>
      <w:t xml:space="preserve"> del </w:t>
    </w:r>
    <w:r w:rsidR="000F3177" w:rsidRPr="000F3177">
      <w:rPr>
        <w:rFonts w:ascii="Verdana" w:hAnsi="Verdana" w:cs="Arial"/>
        <w:color w:val="1A1818" w:themeColor="accent1"/>
        <w:sz w:val="18"/>
        <w:szCs w:val="18"/>
      </w:rPr>
      <w:t>21</w:t>
    </w:r>
    <w:r w:rsidRPr="000F3177">
      <w:rPr>
        <w:rFonts w:ascii="Verdana" w:hAnsi="Verdana" w:cs="Arial"/>
        <w:color w:val="1A1818" w:themeColor="accent1"/>
        <w:sz w:val="18"/>
        <w:szCs w:val="18"/>
      </w:rPr>
      <w:t xml:space="preserve"> de </w:t>
    </w:r>
    <w:r w:rsidR="000F3177" w:rsidRPr="000F3177">
      <w:rPr>
        <w:rFonts w:ascii="Verdana" w:hAnsi="Verdana" w:cs="Arial"/>
        <w:color w:val="1A1818" w:themeColor="accent1"/>
        <w:sz w:val="18"/>
        <w:szCs w:val="18"/>
      </w:rPr>
      <w:t>agosto</w:t>
    </w:r>
    <w:r w:rsidRPr="000F3177">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BCB5E" w14:textId="77777777" w:rsidR="007E419C" w:rsidRDefault="007E419C" w:rsidP="004F2C35">
      <w:r>
        <w:separator/>
      </w:r>
    </w:p>
  </w:footnote>
  <w:footnote w:type="continuationSeparator" w:id="0">
    <w:p w14:paraId="20E5C2EA" w14:textId="77777777" w:rsidR="007E419C" w:rsidRDefault="007E419C" w:rsidP="004F2C35">
      <w:r>
        <w:continuationSeparator/>
      </w:r>
    </w:p>
  </w:footnote>
  <w:footnote w:type="continuationNotice" w:id="1">
    <w:p w14:paraId="4764535F" w14:textId="77777777" w:rsidR="007E419C" w:rsidRDefault="007E419C"/>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30AB5C4A"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 xml:space="preserve"> M</w:t>
    </w:r>
    <w:r w:rsidR="0040303D">
      <w:rPr>
        <w:rFonts w:ascii="Verdana" w:hAnsi="Verdana" w:cs="Arial"/>
        <w:b/>
        <w:bCs/>
        <w:sz w:val="22"/>
        <w:szCs w:val="22"/>
      </w:rPr>
      <w:t>ÍNIMA</w:t>
    </w:r>
    <w:r w:rsidRPr="00C530F4">
      <w:rPr>
        <w:rFonts w:ascii="Verdana" w:hAnsi="Verdana" w:cs="Arial"/>
        <w:b/>
        <w:bCs/>
        <w:sz w:val="22"/>
        <w:szCs w:val="22"/>
      </w:rPr>
      <w:t xml:space="preserve">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266039639">
    <w:abstractNumId w:val="2"/>
  </w:num>
  <w:num w:numId="2" w16cid:durableId="961115488">
    <w:abstractNumId w:val="5"/>
  </w:num>
  <w:num w:numId="3" w16cid:durableId="259261085">
    <w:abstractNumId w:val="11"/>
  </w:num>
  <w:num w:numId="4" w16cid:durableId="215896806">
    <w:abstractNumId w:val="7"/>
  </w:num>
  <w:num w:numId="5" w16cid:durableId="116293071">
    <w:abstractNumId w:val="15"/>
  </w:num>
  <w:num w:numId="6" w16cid:durableId="1144929153">
    <w:abstractNumId w:val="9"/>
  </w:num>
  <w:num w:numId="7" w16cid:durableId="2087846746">
    <w:abstractNumId w:val="12"/>
  </w:num>
  <w:num w:numId="8" w16cid:durableId="1773548427">
    <w:abstractNumId w:val="0"/>
  </w:num>
  <w:num w:numId="9" w16cid:durableId="1259488599">
    <w:abstractNumId w:val="8"/>
  </w:num>
  <w:num w:numId="10" w16cid:durableId="469371876">
    <w:abstractNumId w:val="13"/>
  </w:num>
  <w:num w:numId="11" w16cid:durableId="1735619993">
    <w:abstractNumId w:val="14"/>
  </w:num>
  <w:num w:numId="12" w16cid:durableId="379328643">
    <w:abstractNumId w:val="4"/>
  </w:num>
  <w:num w:numId="13" w16cid:durableId="1067729381">
    <w:abstractNumId w:val="3"/>
  </w:num>
  <w:num w:numId="14" w16cid:durableId="2017733269">
    <w:abstractNumId w:val="10"/>
  </w:num>
  <w:num w:numId="15" w16cid:durableId="462046325">
    <w:abstractNumId w:val="1"/>
  </w:num>
  <w:num w:numId="16" w16cid:durableId="152057965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3177"/>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4E75"/>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259B"/>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303D"/>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2623"/>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0534"/>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3D8D"/>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419C"/>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57B36"/>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B6F68"/>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585"/>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756C"/>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753"/>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8165504-9E7C-4598-9C71-310F54FD8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23717</Words>
  <Characters>130445</Characters>
  <Application>Microsoft Office Word</Application>
  <DocSecurity>0</DocSecurity>
  <Lines>1087</Lines>
  <Paragraphs>307</Paragraphs>
  <ScaleCrop>false</ScaleCrop>
  <Company/>
  <LinksUpToDate>false</LinksUpToDate>
  <CharactersWithSpaces>153855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Ana Milena Villada Palacio</cp:lastModifiedBy>
  <cp:revision>2</cp:revision>
  <cp:lastPrinted>2022-06-28T19:25:00Z</cp:lastPrinted>
  <dcterms:created xsi:type="dcterms:W3CDTF">2026-09-16T20:28:00Z</dcterms:created>
  <dcterms:modified xsi:type="dcterms:W3CDTF">2026-09-16T20:28:00Z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