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93F" w:rsidRPr="005C793F" w:rsidRDefault="005C793F" w:rsidP="005C793F">
      <w:pPr>
        <w:jc w:val="center"/>
        <w:rPr>
          <w:rFonts w:ascii="Arial" w:hAnsi="Arial" w:cs="Arial"/>
          <w:b/>
          <w:sz w:val="20"/>
          <w:szCs w:val="20"/>
        </w:rPr>
      </w:pPr>
      <w:r w:rsidRPr="005C793F">
        <w:rPr>
          <w:rFonts w:ascii="Arial" w:hAnsi="Arial" w:cs="Arial"/>
          <w:b/>
          <w:sz w:val="20"/>
          <w:szCs w:val="20"/>
        </w:rPr>
        <w:t xml:space="preserve">ANEXO </w:t>
      </w:r>
    </w:p>
    <w:p w:rsidR="00A01FF9" w:rsidRDefault="00A01FF9" w:rsidP="005C793F">
      <w:pPr>
        <w:jc w:val="center"/>
        <w:rPr>
          <w:rFonts w:ascii="Arial" w:hAnsi="Arial" w:cs="Arial"/>
          <w:b/>
          <w:sz w:val="20"/>
          <w:szCs w:val="20"/>
        </w:rPr>
      </w:pPr>
    </w:p>
    <w:p w:rsidR="005C793F" w:rsidRPr="005C793F" w:rsidRDefault="005C793F" w:rsidP="005C793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C793F">
        <w:rPr>
          <w:rFonts w:ascii="Arial" w:hAnsi="Arial" w:cs="Arial"/>
          <w:b/>
          <w:sz w:val="20"/>
          <w:szCs w:val="20"/>
        </w:rPr>
        <w:t>CONSIDERACIONES</w:t>
      </w:r>
      <w:r w:rsidRPr="005C793F">
        <w:rPr>
          <w:rFonts w:ascii="Arial" w:hAnsi="Arial" w:cs="Arial"/>
          <w:b/>
          <w:bCs/>
          <w:sz w:val="20"/>
          <w:szCs w:val="20"/>
        </w:rPr>
        <w:t xml:space="preserve"> DE REFERENCIA:</w:t>
      </w:r>
    </w:p>
    <w:p w:rsidR="005C793F" w:rsidRPr="005C793F" w:rsidRDefault="005C793F" w:rsidP="005C793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5C793F" w:rsidRPr="005C793F" w:rsidRDefault="005C793F" w:rsidP="005C793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C793F">
        <w:rPr>
          <w:rFonts w:ascii="Arial" w:hAnsi="Arial" w:cs="Arial"/>
          <w:b/>
          <w:bCs/>
          <w:sz w:val="20"/>
          <w:szCs w:val="20"/>
        </w:rPr>
        <w:t>TABLA MARCAS Y REFERENCIAS</w:t>
      </w:r>
    </w:p>
    <w:p w:rsidR="005C793F" w:rsidRPr="005C793F" w:rsidRDefault="005C793F" w:rsidP="005C793F">
      <w:pPr>
        <w:pStyle w:val="NormalWeb"/>
        <w:jc w:val="both"/>
        <w:rPr>
          <w:rFonts w:ascii="Arial" w:hAnsi="Arial" w:cs="Arial"/>
          <w:sz w:val="20"/>
          <w:szCs w:val="20"/>
          <w:lang w:val="es-CO"/>
        </w:rPr>
      </w:pPr>
      <w:r w:rsidRPr="005C793F">
        <w:rPr>
          <w:rFonts w:ascii="Arial" w:hAnsi="Arial" w:cs="Arial"/>
          <w:sz w:val="20"/>
          <w:szCs w:val="20"/>
          <w:lang w:val="es-CO"/>
        </w:rPr>
        <w:t xml:space="preserve">El </w:t>
      </w:r>
      <w:r w:rsidR="00052393" w:rsidRPr="00052393">
        <w:rPr>
          <w:rFonts w:ascii="Arial" w:hAnsi="Arial" w:cs="Arial"/>
          <w:b/>
          <w:sz w:val="20"/>
          <w:szCs w:val="20"/>
          <w:lang w:val="es-CO"/>
        </w:rPr>
        <w:t>oferente</w:t>
      </w:r>
      <w:r w:rsidRPr="005C793F">
        <w:rPr>
          <w:rFonts w:ascii="Arial" w:hAnsi="Arial" w:cs="Arial"/>
          <w:sz w:val="20"/>
          <w:szCs w:val="20"/>
          <w:lang w:val="es-CO"/>
        </w:rPr>
        <w:t xml:space="preserve"> debe completar todos los campos en blanco de la tabla al presentar su oferta, asegurando que la marca y referencia ofertadas coincidan con las indicadas y entregando los manuales y fichas técnicas para verificar el cumplimiento de los requisitos. Este requisito garantiza la compatibilidad y calidad de los componentes, facilitando la administración, mantenimiento y escalabilidad de la infraestructura tecnológica. Además, permite una evaluación objetiva y transparente de las propuestas, asegurando que los productos cumplan con los estándares exigidos.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4435"/>
        <w:gridCol w:w="985"/>
        <w:gridCol w:w="2885"/>
      </w:tblGrid>
      <w:tr w:rsidR="005C793F" w:rsidRPr="005C793F" w:rsidTr="00497B8E">
        <w:trPr>
          <w:trHeight w:val="320"/>
          <w:tblHeader/>
        </w:trPr>
        <w:tc>
          <w:tcPr>
            <w:tcW w:w="260" w:type="pct"/>
            <w:shd w:val="clear" w:color="auto" w:fill="BDD6EE" w:themeFill="accent1" w:themeFillTint="66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ÍTEM</w:t>
            </w:r>
          </w:p>
        </w:tc>
        <w:tc>
          <w:tcPr>
            <w:tcW w:w="2206" w:type="pct"/>
            <w:shd w:val="clear" w:color="auto" w:fill="BDD6EE" w:themeFill="accent1" w:themeFillTint="66"/>
            <w:noWrap/>
            <w:vAlign w:val="center"/>
            <w:hideMark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DESCRIPCIÓN</w:t>
            </w:r>
          </w:p>
        </w:tc>
        <w:tc>
          <w:tcPr>
            <w:tcW w:w="490" w:type="pct"/>
            <w:shd w:val="clear" w:color="auto" w:fill="BDD6EE" w:themeFill="accent1" w:themeFillTint="66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2044" w:type="pct"/>
            <w:shd w:val="clear" w:color="auto" w:fill="BDD6EE" w:themeFill="accent1" w:themeFillTint="66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REFERENCIA / ESPECIFICACIÓN</w:t>
            </w: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740" w:type="pct"/>
            <w:gridSpan w:val="3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INFRAESTRCTURA DE DATOS</w:t>
            </w: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  <w:hideMark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 xml:space="preserve">CABLE ESTRUCTURADO </w:t>
            </w:r>
            <w:r w:rsidRPr="005C793F">
              <w:rPr>
                <w:rFonts w:ascii="Arial" w:hAnsi="Arial" w:cs="Arial"/>
                <w:sz w:val="16"/>
                <w:szCs w:val="16"/>
              </w:rPr>
              <w:t>U/UTP CAT 6A</w:t>
            </w: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 xml:space="preserve"> Y ACCESORIOS</w:t>
            </w:r>
          </w:p>
        </w:tc>
        <w:tc>
          <w:tcPr>
            <w:tcW w:w="490" w:type="pct"/>
            <w:vMerge w:val="restar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PANDUIT</w:t>
            </w: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 xml:space="preserve">CONECTORES RJ45, TIPO JACK, </w:t>
            </w:r>
            <w:r w:rsidRPr="005C793F">
              <w:rPr>
                <w:rFonts w:ascii="Arial" w:hAnsi="Arial" w:cs="Arial"/>
                <w:sz w:val="16"/>
                <w:szCs w:val="16"/>
              </w:rPr>
              <w:t>FIELDCORD ETC.</w:t>
            </w:r>
          </w:p>
        </w:tc>
        <w:tc>
          <w:tcPr>
            <w:tcW w:w="490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ORGANIZADORES DE CABLES</w:t>
            </w:r>
          </w:p>
        </w:tc>
        <w:tc>
          <w:tcPr>
            <w:tcW w:w="490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PATCH CORD</w:t>
            </w:r>
          </w:p>
        </w:tc>
        <w:tc>
          <w:tcPr>
            <w:tcW w:w="490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PATCH PANEL</w:t>
            </w:r>
          </w:p>
        </w:tc>
        <w:tc>
          <w:tcPr>
            <w:tcW w:w="490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TOMAS DE DATOS O SALIDAS LÓGICAS</w:t>
            </w:r>
          </w:p>
        </w:tc>
        <w:tc>
          <w:tcPr>
            <w:tcW w:w="490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MARQUILLAS E IDENTIFICACIÓN</w:t>
            </w:r>
          </w:p>
        </w:tc>
        <w:tc>
          <w:tcPr>
            <w:tcW w:w="490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740" w:type="pct"/>
            <w:gridSpan w:val="3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INFRAESTRCTURA ELÉCTRICA</w:t>
            </w: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BREAKERS ENCHUFABLES</w:t>
            </w:r>
          </w:p>
        </w:tc>
        <w:tc>
          <w:tcPr>
            <w:tcW w:w="490" w:type="pct"/>
            <w:vMerge w:val="restar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LEGRAND</w:t>
            </w: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CANALETA Y ACCESORIOS</w:t>
            </w:r>
          </w:p>
        </w:tc>
        <w:tc>
          <w:tcPr>
            <w:tcW w:w="490" w:type="pct"/>
            <w:vMerge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TABLEROS ELÉCTRICOS</w:t>
            </w:r>
          </w:p>
        </w:tc>
        <w:tc>
          <w:tcPr>
            <w:tcW w:w="490" w:type="pct"/>
            <w:vMerge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TOMACORRIENTES NORMAL Y REGULADO</w:t>
            </w:r>
          </w:p>
        </w:tc>
        <w:tc>
          <w:tcPr>
            <w:tcW w:w="490" w:type="pct"/>
            <w:vMerge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CABLEADO ELÉCTRICO Y ACCESORIOS</w:t>
            </w:r>
          </w:p>
        </w:tc>
        <w:tc>
          <w:tcPr>
            <w:tcW w:w="490" w:type="pct"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sz w:val="16"/>
                <w:szCs w:val="16"/>
              </w:rPr>
              <w:t>CENTELSA</w:t>
            </w:r>
          </w:p>
        </w:tc>
        <w:tc>
          <w:tcPr>
            <w:tcW w:w="2044" w:type="pct"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  <w:hideMark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BANDEJAS PORTACABLES Y ACCESORIOS</w:t>
            </w:r>
          </w:p>
        </w:tc>
        <w:tc>
          <w:tcPr>
            <w:tcW w:w="490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  <w:hideMark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CONVENCIONES</w:t>
            </w:r>
          </w:p>
        </w:tc>
        <w:tc>
          <w:tcPr>
            <w:tcW w:w="490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40" w:type="pct"/>
            <w:gridSpan w:val="3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COMPONENTES Y EQUIPOS</w:t>
            </w: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PUNTO DE ACCESO INALÁMBRICO WI-FI</w:t>
            </w:r>
          </w:p>
        </w:tc>
        <w:tc>
          <w:tcPr>
            <w:tcW w:w="493" w:type="pct"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FORTINET</w:t>
            </w:r>
          </w:p>
        </w:tc>
        <w:tc>
          <w:tcPr>
            <w:tcW w:w="2041" w:type="pct"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FORTIAP-231k</w:t>
            </w:r>
          </w:p>
        </w:tc>
      </w:tr>
      <w:tr w:rsidR="005C793F" w:rsidRPr="005C793F" w:rsidTr="00497B8E">
        <w:trPr>
          <w:trHeight w:val="320"/>
        </w:trPr>
        <w:tc>
          <w:tcPr>
            <w:tcW w:w="260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6" w:type="pct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TARJETA INALÁMBRICA PCI EXPRESS TRIBANDA</w:t>
            </w:r>
          </w:p>
        </w:tc>
        <w:tc>
          <w:tcPr>
            <w:tcW w:w="493" w:type="pct"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pct"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C793F" w:rsidRPr="005C793F" w:rsidRDefault="005C793F" w:rsidP="005C793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5C793F">
        <w:rPr>
          <w:rFonts w:ascii="Arial" w:hAnsi="Arial" w:cs="Arial"/>
          <w:sz w:val="20"/>
          <w:szCs w:val="20"/>
          <w:lang w:val="es-CO"/>
        </w:rPr>
        <w:t>La selección de PANDUIT, LEGRAND y FORTINET responde a un estudio de mercado que prioriza la estandarización tecnológica, continuidad operativa y compatibilidad entre subsistemas.</w:t>
      </w:r>
    </w:p>
    <w:p w:rsidR="005C793F" w:rsidRPr="005C793F" w:rsidRDefault="005C793F" w:rsidP="005C793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  <w:lang w:val="es-CO"/>
        </w:rPr>
      </w:pPr>
      <w:r w:rsidRPr="005C793F">
        <w:rPr>
          <w:rFonts w:ascii="Arial" w:hAnsi="Arial" w:cs="Arial"/>
          <w:sz w:val="20"/>
          <w:szCs w:val="20"/>
          <w:lang w:val="es-CO"/>
        </w:rPr>
        <w:t xml:space="preserve">PANDUIT garantiza un sistema de cableado estructurado de alto desempeño, cumpliendo con normativas internacionales como ANSI/TIA-568.2-D, TIA-606-C, y el RETIE, optimizando la transmisión de datos, la interoperabilidad con dispositivos de red y la adopción de tecnologías emergentes como </w:t>
      </w:r>
      <w:proofErr w:type="spellStart"/>
      <w:r w:rsidRPr="005C793F">
        <w:rPr>
          <w:rFonts w:ascii="Arial" w:hAnsi="Arial" w:cs="Arial"/>
          <w:sz w:val="20"/>
          <w:szCs w:val="20"/>
          <w:lang w:val="es-CO"/>
        </w:rPr>
        <w:t>Wi</w:t>
      </w:r>
      <w:proofErr w:type="spellEnd"/>
      <w:r w:rsidRPr="005C793F">
        <w:rPr>
          <w:rFonts w:ascii="Arial" w:hAnsi="Arial" w:cs="Arial"/>
          <w:sz w:val="20"/>
          <w:szCs w:val="20"/>
          <w:lang w:val="es-CO"/>
        </w:rPr>
        <w:t xml:space="preserve">-Fi 6E, </w:t>
      </w:r>
      <w:proofErr w:type="spellStart"/>
      <w:r w:rsidRPr="005C793F">
        <w:rPr>
          <w:rFonts w:ascii="Arial" w:hAnsi="Arial" w:cs="Arial"/>
          <w:sz w:val="20"/>
          <w:szCs w:val="20"/>
          <w:lang w:val="es-CO"/>
        </w:rPr>
        <w:t>IoT</w:t>
      </w:r>
      <w:proofErr w:type="spellEnd"/>
      <w:r w:rsidRPr="005C793F">
        <w:rPr>
          <w:rFonts w:ascii="Arial" w:hAnsi="Arial" w:cs="Arial"/>
          <w:sz w:val="20"/>
          <w:szCs w:val="20"/>
          <w:lang w:val="es-CO"/>
        </w:rPr>
        <w:t xml:space="preserve"> y redes de alta densidad.</w:t>
      </w:r>
    </w:p>
    <w:p w:rsidR="005C793F" w:rsidRPr="005C793F" w:rsidRDefault="005C793F" w:rsidP="005C793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  <w:lang w:val="es-CO"/>
        </w:rPr>
      </w:pPr>
      <w:r w:rsidRPr="005C793F">
        <w:rPr>
          <w:rFonts w:ascii="Arial" w:hAnsi="Arial" w:cs="Arial"/>
          <w:sz w:val="20"/>
          <w:szCs w:val="20"/>
          <w:lang w:val="es-CO"/>
        </w:rPr>
        <w:t xml:space="preserve">LEGRAND, por su parte, proporciona soluciones de infraestructura eléctrica seguras, robustas y eficientes, esenciales para ambientes críticos como centros de datos, salas técnicas y áreas con disponibilidad 24/7. Su línea de productos, incluidos tableros, canaletas, </w:t>
      </w:r>
      <w:proofErr w:type="spellStart"/>
      <w:r w:rsidRPr="005C793F">
        <w:rPr>
          <w:rFonts w:ascii="Arial" w:hAnsi="Arial" w:cs="Arial"/>
          <w:sz w:val="20"/>
          <w:szCs w:val="20"/>
          <w:lang w:val="es-CO"/>
        </w:rPr>
        <w:t>breakers</w:t>
      </w:r>
      <w:proofErr w:type="spellEnd"/>
      <w:r w:rsidRPr="005C793F">
        <w:rPr>
          <w:rFonts w:ascii="Arial" w:hAnsi="Arial" w:cs="Arial"/>
          <w:sz w:val="20"/>
          <w:szCs w:val="20"/>
          <w:lang w:val="es-CO"/>
        </w:rPr>
        <w:t xml:space="preserve"> y tomas reguladas, cumple con NTC 2050, RETIE y estándares internacionales como UL, asegurando protección, continuidad y facilidad de mantenimiento.</w:t>
      </w:r>
    </w:p>
    <w:p w:rsidR="005C793F" w:rsidRPr="005C793F" w:rsidRDefault="005C793F" w:rsidP="005C793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  <w:lang w:val="es-CO"/>
        </w:rPr>
      </w:pPr>
      <w:r w:rsidRPr="005C793F">
        <w:rPr>
          <w:rFonts w:ascii="Arial" w:hAnsi="Arial" w:cs="Arial"/>
          <w:sz w:val="20"/>
          <w:szCs w:val="20"/>
          <w:lang w:val="es-CO"/>
        </w:rPr>
        <w:lastRenderedPageBreak/>
        <w:t xml:space="preserve">FORTINET, fabricante líder en ciberseguridad y redes, ofrece soluciones inalámbricas empresariales de alto rendimiento como el FortiAP-231G, con soporte para </w:t>
      </w:r>
      <w:proofErr w:type="spellStart"/>
      <w:r w:rsidRPr="005C793F">
        <w:rPr>
          <w:rFonts w:ascii="Arial" w:hAnsi="Arial" w:cs="Arial"/>
          <w:sz w:val="20"/>
          <w:szCs w:val="20"/>
          <w:lang w:val="es-CO"/>
        </w:rPr>
        <w:t>Wi</w:t>
      </w:r>
      <w:proofErr w:type="spellEnd"/>
      <w:r w:rsidRPr="005C793F">
        <w:rPr>
          <w:rFonts w:ascii="Arial" w:hAnsi="Arial" w:cs="Arial"/>
          <w:sz w:val="20"/>
          <w:szCs w:val="20"/>
          <w:lang w:val="es-CO"/>
        </w:rPr>
        <w:t xml:space="preserve">-Fi 6E </w:t>
      </w:r>
      <w:proofErr w:type="spellStart"/>
      <w:r w:rsidRPr="005C793F">
        <w:rPr>
          <w:rFonts w:ascii="Arial" w:hAnsi="Arial" w:cs="Arial"/>
          <w:sz w:val="20"/>
          <w:szCs w:val="20"/>
          <w:lang w:val="es-CO"/>
        </w:rPr>
        <w:t>tribanda</w:t>
      </w:r>
      <w:proofErr w:type="spellEnd"/>
      <w:r w:rsidRPr="005C793F">
        <w:rPr>
          <w:rFonts w:ascii="Arial" w:hAnsi="Arial" w:cs="Arial"/>
          <w:sz w:val="20"/>
          <w:szCs w:val="20"/>
          <w:lang w:val="es-CO"/>
        </w:rPr>
        <w:t xml:space="preserve"> (2.4/5/6 GHz), seguridad integrada, administración centralizada, e interoperabilidad total con la infraestructura de seguridad de la entidad. La selección de </w:t>
      </w:r>
      <w:proofErr w:type="spellStart"/>
      <w:r w:rsidRPr="005C793F">
        <w:rPr>
          <w:rFonts w:ascii="Arial" w:hAnsi="Arial" w:cs="Arial"/>
          <w:sz w:val="20"/>
          <w:szCs w:val="20"/>
          <w:lang w:val="es-CO"/>
        </w:rPr>
        <w:t>Fortinet</w:t>
      </w:r>
      <w:proofErr w:type="spellEnd"/>
      <w:r w:rsidRPr="005C793F">
        <w:rPr>
          <w:rFonts w:ascii="Arial" w:hAnsi="Arial" w:cs="Arial"/>
          <w:sz w:val="20"/>
          <w:szCs w:val="20"/>
          <w:lang w:val="es-CO"/>
        </w:rPr>
        <w:t xml:space="preserve"> permite consolidar una arquitectura unificada de acceso inalámbrico segura, escalable y centralmente administrada desde la plataforma </w:t>
      </w:r>
      <w:proofErr w:type="spellStart"/>
      <w:r w:rsidRPr="005C793F">
        <w:rPr>
          <w:rFonts w:ascii="Arial" w:hAnsi="Arial" w:cs="Arial"/>
          <w:sz w:val="20"/>
          <w:szCs w:val="20"/>
          <w:lang w:val="es-CO"/>
        </w:rPr>
        <w:t>FortiGate</w:t>
      </w:r>
      <w:proofErr w:type="spellEnd"/>
      <w:r w:rsidRPr="005C793F">
        <w:rPr>
          <w:rFonts w:ascii="Arial" w:hAnsi="Arial" w:cs="Arial"/>
          <w:sz w:val="20"/>
          <w:szCs w:val="20"/>
          <w:lang w:val="es-CO"/>
        </w:rPr>
        <w:t>, mejorando la gestión, la trazabilidad y la protección de los activos de información.</w:t>
      </w:r>
    </w:p>
    <w:p w:rsidR="005C793F" w:rsidRPr="005C793F" w:rsidRDefault="005C793F" w:rsidP="005C793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  <w:lang w:val="es-CO"/>
        </w:rPr>
      </w:pPr>
      <w:r w:rsidRPr="005C793F">
        <w:rPr>
          <w:rFonts w:ascii="Arial" w:hAnsi="Arial" w:cs="Arial"/>
          <w:sz w:val="20"/>
          <w:szCs w:val="20"/>
          <w:lang w:val="es-CO"/>
        </w:rPr>
        <w:t>Desde el punto de vista normativo, la solicitud de marcas específicas en este proceso no vulnera los principios de libre concurrencia ni de selección objetiva, conforme a lo establecido por Colombia Compra Eficiente y el Decreto 1082 de 2015, artículo 2.2.1.1.2.1.4, el cual permite incluir marcas determinadas cuando se justifique la necesidad técnica, la interoperabilidad, el soporte y la estandarización, siempre que no se restrinja la competencia.</w:t>
      </w:r>
    </w:p>
    <w:p w:rsidR="005C793F" w:rsidRPr="005C793F" w:rsidRDefault="005C793F" w:rsidP="005C793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  <w:lang w:val="es-CO"/>
        </w:rPr>
      </w:pPr>
      <w:r w:rsidRPr="005C793F">
        <w:rPr>
          <w:rFonts w:ascii="Arial" w:hAnsi="Arial" w:cs="Arial"/>
          <w:sz w:val="20"/>
          <w:szCs w:val="20"/>
          <w:lang w:val="es-CO"/>
        </w:rPr>
        <w:t>En este contexto, la selección de PANDUIT, LEGRAND y FORTINET se justifica plenamente por su capacidad para garantizar una infraestructura tecnológica estandarizada, segura, eficiente y de fácil mantenimiento, lo cual es clave para la operación continua, la escalabilidad, la homologación técnica, y la optimización de los recursos institucionales. La estandarización de marcas facilita además la aplicación de mejores prácticas en mantenimiento, soporte, formación técnica del personal y reducción de tiempos de respuesta ante incidentes, fortaleciendo la capacidad operativa y estratégica de la entidad.</w:t>
      </w:r>
    </w:p>
    <w:p w:rsidR="005C793F" w:rsidRPr="005C793F" w:rsidRDefault="005C793F" w:rsidP="005C793F">
      <w:pPr>
        <w:spacing w:before="120"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5C793F">
        <w:rPr>
          <w:rFonts w:ascii="Arial" w:hAnsi="Arial" w:cs="Arial"/>
          <w:b/>
          <w:sz w:val="20"/>
          <w:szCs w:val="20"/>
        </w:rPr>
        <w:t>TABLA MONOMARCA</w:t>
      </w:r>
    </w:p>
    <w:p w:rsidR="005C793F" w:rsidRPr="005C793F" w:rsidRDefault="005C793F" w:rsidP="005C793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C793F">
        <w:rPr>
          <w:rFonts w:ascii="Arial" w:hAnsi="Arial" w:cs="Arial"/>
          <w:sz w:val="20"/>
          <w:szCs w:val="20"/>
        </w:rPr>
        <w:t xml:space="preserve">El </w:t>
      </w:r>
      <w:bookmarkStart w:id="0" w:name="_GoBack"/>
      <w:r w:rsidR="00052393" w:rsidRPr="00052393">
        <w:rPr>
          <w:rFonts w:ascii="Arial" w:hAnsi="Arial" w:cs="Arial"/>
          <w:b/>
          <w:sz w:val="20"/>
          <w:szCs w:val="20"/>
        </w:rPr>
        <w:t>oferente</w:t>
      </w:r>
      <w:bookmarkEnd w:id="0"/>
      <w:r w:rsidRPr="005C793F">
        <w:rPr>
          <w:rFonts w:ascii="Arial" w:hAnsi="Arial" w:cs="Arial"/>
          <w:sz w:val="20"/>
          <w:szCs w:val="20"/>
        </w:rPr>
        <w:t xml:space="preserve"> debe completar todos los campos en blanco de la tabla al presentar su oferta, especificando la referencia ofertada y garantizando que esta coincida estrictamente con las marcas indicadas. Asimismo, deberá proporcionar las fichas técnicas del fabricante, donde se evidencie el cumplimiento de los requisitos técnicos bajo el criterio de </w:t>
      </w:r>
      <w:proofErr w:type="spellStart"/>
      <w:r w:rsidRPr="005C793F">
        <w:rPr>
          <w:rFonts w:ascii="Arial" w:hAnsi="Arial" w:cs="Arial"/>
          <w:sz w:val="20"/>
          <w:szCs w:val="20"/>
        </w:rPr>
        <w:t>monomarca</w:t>
      </w:r>
      <w:proofErr w:type="spellEnd"/>
      <w:r w:rsidRPr="005C793F">
        <w:rPr>
          <w:rFonts w:ascii="Arial" w:hAnsi="Arial" w:cs="Arial"/>
          <w:sz w:val="20"/>
          <w:szCs w:val="20"/>
        </w:rPr>
        <w:t>. Este enfoque garantiza la compatibilidad total entre los componentes, optimiza la gestión y el mantenimiento de la infraestructura, y asegura un desempeño uniforme y confiable en la operación.</w:t>
      </w:r>
    </w:p>
    <w:p w:rsidR="005C793F" w:rsidRPr="005C793F" w:rsidRDefault="005C793F" w:rsidP="005C79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4435"/>
        <w:gridCol w:w="985"/>
        <w:gridCol w:w="2885"/>
      </w:tblGrid>
      <w:tr w:rsidR="005C793F" w:rsidRPr="005C793F" w:rsidTr="00497B8E">
        <w:trPr>
          <w:trHeight w:val="320"/>
          <w:tblHeader/>
        </w:trPr>
        <w:tc>
          <w:tcPr>
            <w:tcW w:w="278" w:type="pct"/>
            <w:shd w:val="clear" w:color="auto" w:fill="BDD6EE" w:themeFill="accent1" w:themeFillTint="66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ÍTEM</w:t>
            </w:r>
          </w:p>
        </w:tc>
        <w:tc>
          <w:tcPr>
            <w:tcW w:w="2361" w:type="pct"/>
            <w:shd w:val="clear" w:color="auto" w:fill="BDD6EE" w:themeFill="accent1" w:themeFillTint="66"/>
            <w:noWrap/>
            <w:vAlign w:val="center"/>
            <w:hideMark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DESCRIPCIÓN</w:t>
            </w:r>
          </w:p>
        </w:tc>
        <w:tc>
          <w:tcPr>
            <w:tcW w:w="524" w:type="pct"/>
            <w:shd w:val="clear" w:color="auto" w:fill="BDD6EE" w:themeFill="accent1" w:themeFillTint="66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1837" w:type="pct"/>
            <w:shd w:val="clear" w:color="auto" w:fill="BDD6EE" w:themeFill="accent1" w:themeFillTint="66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REFERENCIA / ESPECIFICACIÓN</w:t>
            </w: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722" w:type="pct"/>
            <w:gridSpan w:val="3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INFRAESTRCTURA DE DATOS</w:t>
            </w: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  <w:hideMark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 xml:space="preserve">CABLE ESTRUCTURADO </w:t>
            </w:r>
            <w:r w:rsidRPr="005C793F">
              <w:rPr>
                <w:rFonts w:ascii="Arial" w:hAnsi="Arial" w:cs="Arial"/>
                <w:sz w:val="16"/>
                <w:szCs w:val="16"/>
              </w:rPr>
              <w:t>U/UTP CAT 6A</w:t>
            </w: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 xml:space="preserve"> Y ACCESORIOS</w:t>
            </w:r>
          </w:p>
        </w:tc>
        <w:tc>
          <w:tcPr>
            <w:tcW w:w="524" w:type="pct"/>
            <w:vMerge w:val="restar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PANDUIT</w:t>
            </w: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 xml:space="preserve">CONECTORES RJ45, TIPO JACK, </w:t>
            </w:r>
            <w:r w:rsidRPr="005C793F">
              <w:rPr>
                <w:rFonts w:ascii="Arial" w:hAnsi="Arial" w:cs="Arial"/>
                <w:sz w:val="16"/>
                <w:szCs w:val="16"/>
              </w:rPr>
              <w:t>FIELDCORD ETC.</w:t>
            </w:r>
          </w:p>
        </w:tc>
        <w:tc>
          <w:tcPr>
            <w:tcW w:w="524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ORGANIZADORES DE CABLES</w:t>
            </w:r>
          </w:p>
        </w:tc>
        <w:tc>
          <w:tcPr>
            <w:tcW w:w="524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PATCH CORD</w:t>
            </w:r>
          </w:p>
        </w:tc>
        <w:tc>
          <w:tcPr>
            <w:tcW w:w="524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PATCH PANEL</w:t>
            </w:r>
          </w:p>
        </w:tc>
        <w:tc>
          <w:tcPr>
            <w:tcW w:w="524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TOMAS DE DATOS O SALIDAS LÓGICAS</w:t>
            </w:r>
          </w:p>
        </w:tc>
        <w:tc>
          <w:tcPr>
            <w:tcW w:w="524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RACK DE COMUNICACIONES</w:t>
            </w:r>
          </w:p>
        </w:tc>
        <w:tc>
          <w:tcPr>
            <w:tcW w:w="524" w:type="pct"/>
            <w:vMerge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MARQUILLAS E IDENTIFICACIÓN</w:t>
            </w:r>
          </w:p>
        </w:tc>
        <w:tc>
          <w:tcPr>
            <w:tcW w:w="524" w:type="pct"/>
            <w:vMerge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722" w:type="pct"/>
            <w:gridSpan w:val="3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INFRAESTRCTURA ELÉCTRICA</w:t>
            </w: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BREAKERS ENCHUFABLES</w:t>
            </w:r>
          </w:p>
        </w:tc>
        <w:tc>
          <w:tcPr>
            <w:tcW w:w="524" w:type="pct"/>
            <w:vMerge w:val="restar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LEGRAND</w:t>
            </w: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CANALETA Y ACCESORIOS</w:t>
            </w:r>
          </w:p>
        </w:tc>
        <w:tc>
          <w:tcPr>
            <w:tcW w:w="524" w:type="pct"/>
            <w:vMerge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TABLEROS ELÉCTRICOS</w:t>
            </w:r>
          </w:p>
        </w:tc>
        <w:tc>
          <w:tcPr>
            <w:tcW w:w="524" w:type="pct"/>
            <w:vMerge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TOMACORRIENTES NORMAL Y REGULADO</w:t>
            </w:r>
          </w:p>
        </w:tc>
        <w:tc>
          <w:tcPr>
            <w:tcW w:w="524" w:type="pct"/>
            <w:vMerge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CABLEADO ELÉCTRICO Y ACCESORIOS</w:t>
            </w:r>
          </w:p>
        </w:tc>
        <w:tc>
          <w:tcPr>
            <w:tcW w:w="524" w:type="pct"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sz w:val="16"/>
                <w:szCs w:val="16"/>
              </w:rPr>
              <w:t>CENTELSA</w:t>
            </w:r>
          </w:p>
        </w:tc>
        <w:tc>
          <w:tcPr>
            <w:tcW w:w="1837" w:type="pct"/>
            <w:noWrap/>
            <w:vAlign w:val="center"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  <w:hideMark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BANDEJAS PORTACABLES Y ACCESORIOS</w:t>
            </w:r>
          </w:p>
        </w:tc>
        <w:tc>
          <w:tcPr>
            <w:tcW w:w="52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  <w:hideMark/>
          </w:tcPr>
          <w:p w:rsidR="005C793F" w:rsidRPr="005C793F" w:rsidRDefault="005C793F" w:rsidP="00497B8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CONVENCIONES</w:t>
            </w:r>
          </w:p>
        </w:tc>
        <w:tc>
          <w:tcPr>
            <w:tcW w:w="524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noWrap/>
            <w:vAlign w:val="center"/>
            <w:hideMark/>
          </w:tcPr>
          <w:p w:rsidR="005C793F" w:rsidRPr="005C793F" w:rsidRDefault="005C793F" w:rsidP="00497B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0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22" w:type="pct"/>
            <w:gridSpan w:val="3"/>
            <w:shd w:val="clear" w:color="auto" w:fill="D9D9D9" w:themeFill="background1" w:themeFillShade="D9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COMPONENTES Y EQUIPOS</w:t>
            </w: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PUNTO DE ACCESO INALÁMBRICO WI-FI</w:t>
            </w:r>
          </w:p>
        </w:tc>
        <w:tc>
          <w:tcPr>
            <w:tcW w:w="524" w:type="pct"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FORTINET</w:t>
            </w:r>
          </w:p>
        </w:tc>
        <w:tc>
          <w:tcPr>
            <w:tcW w:w="1837" w:type="pct"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FORTIAP-231G</w:t>
            </w:r>
          </w:p>
        </w:tc>
      </w:tr>
      <w:tr w:rsidR="005C793F" w:rsidRPr="005C793F" w:rsidTr="00497B8E">
        <w:trPr>
          <w:trHeight w:val="320"/>
        </w:trPr>
        <w:tc>
          <w:tcPr>
            <w:tcW w:w="278" w:type="pct"/>
            <w:noWrap/>
            <w:vAlign w:val="center"/>
          </w:tcPr>
          <w:p w:rsidR="005C793F" w:rsidRPr="005C793F" w:rsidRDefault="005C793F" w:rsidP="005C793F">
            <w:pPr>
              <w:pStyle w:val="Prrafodelista"/>
              <w:numPr>
                <w:ilvl w:val="1"/>
                <w:numId w:val="1"/>
              </w:numPr>
              <w:ind w:left="0" w:right="372"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pct"/>
            <w:noWrap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3F">
              <w:rPr>
                <w:rFonts w:ascii="Arial" w:hAnsi="Arial" w:cs="Arial"/>
                <w:color w:val="000000"/>
                <w:sz w:val="16"/>
                <w:szCs w:val="16"/>
              </w:rPr>
              <w:t>TARJETA INALÁMBRICA PCI EXPRESS TRIBANDA</w:t>
            </w:r>
          </w:p>
        </w:tc>
        <w:tc>
          <w:tcPr>
            <w:tcW w:w="524" w:type="pct"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37" w:type="pct"/>
            <w:vAlign w:val="center"/>
          </w:tcPr>
          <w:p w:rsidR="005C793F" w:rsidRPr="005C793F" w:rsidRDefault="005C793F" w:rsidP="00497B8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C793F" w:rsidRDefault="005C793F" w:rsidP="005C793F">
      <w:pPr>
        <w:jc w:val="both"/>
        <w:rPr>
          <w:rFonts w:ascii="Arial" w:hAnsi="Arial" w:cs="Arial"/>
          <w:sz w:val="20"/>
          <w:szCs w:val="20"/>
        </w:rPr>
      </w:pPr>
    </w:p>
    <w:p w:rsidR="005A4310" w:rsidRDefault="005A4310" w:rsidP="005C793F">
      <w:pPr>
        <w:jc w:val="both"/>
        <w:rPr>
          <w:rFonts w:ascii="Arial" w:hAnsi="Arial" w:cs="Arial"/>
          <w:sz w:val="20"/>
          <w:szCs w:val="20"/>
        </w:rPr>
      </w:pPr>
    </w:p>
    <w:p w:rsidR="005A4310" w:rsidRDefault="005A4310" w:rsidP="005C793F">
      <w:pPr>
        <w:jc w:val="both"/>
        <w:rPr>
          <w:rFonts w:ascii="Arial" w:hAnsi="Arial" w:cs="Arial"/>
          <w:sz w:val="20"/>
          <w:szCs w:val="20"/>
        </w:rPr>
      </w:pPr>
    </w:p>
    <w:p w:rsidR="005A4310" w:rsidRDefault="005A4310" w:rsidP="005C793F">
      <w:pPr>
        <w:jc w:val="both"/>
        <w:rPr>
          <w:rFonts w:ascii="Arial" w:hAnsi="Arial" w:cs="Arial"/>
          <w:sz w:val="20"/>
          <w:szCs w:val="20"/>
        </w:rPr>
      </w:pPr>
    </w:p>
    <w:p w:rsidR="005A4310" w:rsidRPr="005A4310" w:rsidRDefault="005A4310" w:rsidP="005C793F">
      <w:pPr>
        <w:jc w:val="both"/>
        <w:rPr>
          <w:rFonts w:ascii="Arial" w:hAnsi="Arial" w:cs="Arial"/>
          <w:sz w:val="20"/>
          <w:szCs w:val="20"/>
        </w:rPr>
      </w:pPr>
    </w:p>
    <w:p w:rsidR="005A4310" w:rsidRPr="005A4310" w:rsidRDefault="005A4310" w:rsidP="005A4310">
      <w:pPr>
        <w:ind w:left="142" w:right="426"/>
        <w:jc w:val="both"/>
        <w:rPr>
          <w:rFonts w:ascii="Arial" w:hAnsi="Arial" w:cs="Arial"/>
          <w:sz w:val="20"/>
          <w:szCs w:val="20"/>
          <w:lang w:eastAsia="en-US"/>
        </w:rPr>
      </w:pPr>
    </w:p>
    <w:p w:rsidR="005A4310" w:rsidRPr="005A4310" w:rsidRDefault="005A4310" w:rsidP="005A4310">
      <w:pPr>
        <w:tabs>
          <w:tab w:val="left" w:pos="851"/>
        </w:tabs>
        <w:autoSpaceDE w:val="0"/>
        <w:autoSpaceDN w:val="0"/>
        <w:spacing w:line="220" w:lineRule="atLeast"/>
        <w:ind w:right="139"/>
        <w:jc w:val="both"/>
        <w:outlineLvl w:val="0"/>
        <w:rPr>
          <w:rFonts w:ascii="Arial" w:hAnsi="Arial" w:cs="Arial"/>
          <w:sz w:val="20"/>
          <w:szCs w:val="20"/>
          <w:lang w:val="es-ES" w:eastAsia="es-ES"/>
        </w:rPr>
      </w:pPr>
      <w:r w:rsidRPr="005A4310">
        <w:rPr>
          <w:rFonts w:ascii="Arial" w:hAnsi="Arial" w:cs="Arial"/>
          <w:sz w:val="20"/>
          <w:szCs w:val="20"/>
          <w:lang w:val="es-ES" w:eastAsia="es-ES"/>
        </w:rPr>
        <w:t>Nombre del Proponente: _____________________</w:t>
      </w:r>
    </w:p>
    <w:p w:rsidR="005A4310" w:rsidRPr="005A4310" w:rsidRDefault="005A4310" w:rsidP="005A4310">
      <w:pPr>
        <w:tabs>
          <w:tab w:val="left" w:pos="851"/>
        </w:tabs>
        <w:autoSpaceDE w:val="0"/>
        <w:autoSpaceDN w:val="0"/>
        <w:spacing w:line="220" w:lineRule="atLeast"/>
        <w:ind w:right="139"/>
        <w:jc w:val="both"/>
        <w:outlineLvl w:val="0"/>
        <w:rPr>
          <w:rFonts w:ascii="Arial" w:hAnsi="Arial" w:cs="Arial"/>
          <w:sz w:val="20"/>
          <w:szCs w:val="20"/>
          <w:lang w:val="es-ES" w:eastAsia="es-ES"/>
        </w:rPr>
      </w:pPr>
      <w:r w:rsidRPr="005A4310">
        <w:rPr>
          <w:rFonts w:ascii="Arial" w:hAnsi="Arial" w:cs="Arial"/>
          <w:sz w:val="20"/>
          <w:szCs w:val="20"/>
          <w:lang w:val="es-ES" w:eastAsia="es-ES"/>
        </w:rPr>
        <w:t>Dirección: ______________________</w:t>
      </w:r>
    </w:p>
    <w:p w:rsidR="005A4310" w:rsidRPr="005A4310" w:rsidRDefault="005A4310" w:rsidP="005A4310">
      <w:pPr>
        <w:tabs>
          <w:tab w:val="left" w:pos="851"/>
        </w:tabs>
        <w:autoSpaceDE w:val="0"/>
        <w:autoSpaceDN w:val="0"/>
        <w:spacing w:line="220" w:lineRule="atLeast"/>
        <w:ind w:right="139"/>
        <w:jc w:val="both"/>
        <w:rPr>
          <w:rFonts w:ascii="Arial" w:hAnsi="Arial" w:cs="Arial"/>
          <w:sz w:val="20"/>
          <w:szCs w:val="20"/>
          <w:lang w:val="es-ES" w:eastAsia="es-ES"/>
        </w:rPr>
      </w:pPr>
      <w:r w:rsidRPr="005A4310">
        <w:rPr>
          <w:rFonts w:ascii="Arial" w:hAnsi="Arial" w:cs="Arial"/>
          <w:sz w:val="20"/>
          <w:szCs w:val="20"/>
          <w:lang w:val="es-ES" w:eastAsia="es-ES"/>
        </w:rPr>
        <w:t>Teléfono: ______________         Fax: ________________</w:t>
      </w:r>
    </w:p>
    <w:p w:rsidR="005A4310" w:rsidRPr="005A4310" w:rsidRDefault="005A4310" w:rsidP="005A4310">
      <w:pPr>
        <w:tabs>
          <w:tab w:val="left" w:pos="851"/>
        </w:tabs>
        <w:autoSpaceDE w:val="0"/>
        <w:autoSpaceDN w:val="0"/>
        <w:spacing w:line="220" w:lineRule="atLeast"/>
        <w:ind w:right="139"/>
        <w:jc w:val="both"/>
        <w:outlineLvl w:val="0"/>
        <w:rPr>
          <w:rFonts w:ascii="Arial" w:hAnsi="Arial" w:cs="Arial"/>
          <w:sz w:val="20"/>
          <w:szCs w:val="20"/>
          <w:lang w:val="es-ES" w:eastAsia="es-ES"/>
        </w:rPr>
      </w:pPr>
      <w:r w:rsidRPr="005A4310">
        <w:rPr>
          <w:rFonts w:ascii="Arial" w:hAnsi="Arial" w:cs="Arial"/>
          <w:sz w:val="20"/>
          <w:szCs w:val="20"/>
          <w:lang w:val="es-ES" w:eastAsia="es-ES"/>
        </w:rPr>
        <w:t>Nombre del Representante Legal: _________________________</w:t>
      </w:r>
    </w:p>
    <w:p w:rsidR="005A4310" w:rsidRPr="005A4310" w:rsidRDefault="005A4310" w:rsidP="005A4310">
      <w:pPr>
        <w:tabs>
          <w:tab w:val="left" w:pos="851"/>
        </w:tabs>
        <w:autoSpaceDE w:val="0"/>
        <w:autoSpaceDN w:val="0"/>
        <w:spacing w:line="220" w:lineRule="atLeast"/>
        <w:ind w:right="139"/>
        <w:jc w:val="both"/>
        <w:outlineLvl w:val="0"/>
        <w:rPr>
          <w:rFonts w:ascii="Arial" w:hAnsi="Arial" w:cs="Arial"/>
          <w:sz w:val="20"/>
          <w:szCs w:val="20"/>
          <w:lang w:val="es-ES" w:eastAsia="es-ES"/>
        </w:rPr>
      </w:pPr>
      <w:r w:rsidRPr="005A4310">
        <w:rPr>
          <w:rFonts w:ascii="Arial" w:hAnsi="Arial" w:cs="Arial"/>
          <w:sz w:val="20"/>
          <w:szCs w:val="20"/>
          <w:lang w:val="es-ES" w:eastAsia="es-ES"/>
        </w:rPr>
        <w:t>Firma del Representante Legal o Apoderado: ___________________</w:t>
      </w:r>
    </w:p>
    <w:p w:rsidR="005A4310" w:rsidRDefault="005A4310" w:rsidP="005A4310">
      <w:pPr>
        <w:autoSpaceDE w:val="0"/>
        <w:autoSpaceDN w:val="0"/>
        <w:spacing w:line="220" w:lineRule="atLeast"/>
        <w:ind w:right="139"/>
        <w:jc w:val="center"/>
        <w:rPr>
          <w:rFonts w:ascii="Arial Narrow" w:hAnsi="Arial Narrow" w:cs="Arial"/>
          <w:b/>
          <w:bCs/>
          <w:sz w:val="20"/>
          <w:szCs w:val="20"/>
          <w:lang w:val="es-ES" w:eastAsia="es-ES"/>
        </w:rPr>
      </w:pPr>
    </w:p>
    <w:p w:rsidR="004F7399" w:rsidRDefault="004F7399"/>
    <w:sectPr w:rsidR="004F73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254B2"/>
    <w:multiLevelType w:val="multilevel"/>
    <w:tmpl w:val="C908ECB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93F"/>
    <w:rsid w:val="00052393"/>
    <w:rsid w:val="00234F29"/>
    <w:rsid w:val="004F7399"/>
    <w:rsid w:val="005A4310"/>
    <w:rsid w:val="005C793F"/>
    <w:rsid w:val="00A01FF9"/>
    <w:rsid w:val="00BD037F"/>
    <w:rsid w:val="00DC245E"/>
    <w:rsid w:val="00E9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97399"/>
  <w15:chartTrackingRefBased/>
  <w15:docId w15:val="{0998E73A-DE15-42EF-9CE4-312A08FB7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Párrafo de lista4,BOLADEF,Párrafo de lista3,Párrafo de lista21,BOLA,Nivel 1 OS,Colorful List Accent 1,Colorful List - Accent 11,Lista vistosa - Énfasis 11,COLEGIO,Segundo nivel de viñetas,lp1,List Paragraph1,G,Bullet List,Fo"/>
    <w:basedOn w:val="Normal"/>
    <w:link w:val="PrrafodelistaCar"/>
    <w:uiPriority w:val="34"/>
    <w:qFormat/>
    <w:rsid w:val="005C793F"/>
    <w:pPr>
      <w:ind w:left="708"/>
    </w:pPr>
  </w:style>
  <w:style w:type="paragraph" w:styleId="NormalWeb">
    <w:name w:val="Normal (Web)"/>
    <w:aliases w:val="Normal (Web) Car Car,Normal (Web)1"/>
    <w:basedOn w:val="Normal"/>
    <w:link w:val="NormalWebCar"/>
    <w:uiPriority w:val="99"/>
    <w:qFormat/>
    <w:rsid w:val="005C793F"/>
    <w:pPr>
      <w:spacing w:before="100" w:beforeAutospacing="1" w:after="100" w:afterAutospacing="1"/>
    </w:pPr>
    <w:rPr>
      <w:lang w:val="es-ES"/>
    </w:rPr>
  </w:style>
  <w:style w:type="character" w:customStyle="1" w:styleId="NormalWebCar">
    <w:name w:val="Normal (Web) Car"/>
    <w:aliases w:val="Normal (Web) Car Car Car,Normal (Web)1 Car"/>
    <w:link w:val="NormalWeb"/>
    <w:uiPriority w:val="99"/>
    <w:qFormat/>
    <w:rsid w:val="005C793F"/>
    <w:rPr>
      <w:rFonts w:ascii="Times New Roman" w:eastAsia="Times New Roman" w:hAnsi="Times New Roman" w:cs="Times New Roman"/>
      <w:sz w:val="24"/>
      <w:szCs w:val="24"/>
      <w:lang w:val="es-ES" w:eastAsia="es-MX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ista vistosa - Énfasis 11 Car,COLEGIO Car,lp1 Car"/>
    <w:link w:val="Prrafodelista"/>
    <w:uiPriority w:val="34"/>
    <w:qFormat/>
    <w:rsid w:val="005C793F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1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Natalia Mayorga Ruge</dc:creator>
  <cp:keywords/>
  <dc:description/>
  <cp:lastModifiedBy>Laura Natalia Mayorga Ruge</cp:lastModifiedBy>
  <cp:revision>5</cp:revision>
  <dcterms:created xsi:type="dcterms:W3CDTF">2026-09-15T20:46:00Z</dcterms:created>
  <dcterms:modified xsi:type="dcterms:W3CDTF">2026-09-15T21:28:00Z</dcterms:modified>
</cp:coreProperties>
</file>