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A7596C" w:rsidRDefault="0077727E" w:rsidP="0077727E">
      <w:pPr>
        <w:jc w:val="center"/>
        <w:rPr>
          <w:rFonts w:ascii="Verdana" w:hAnsi="Verdana" w:cs="Arial"/>
          <w:b/>
        </w:rPr>
      </w:pPr>
      <w:r w:rsidRPr="00A7596C">
        <w:rPr>
          <w:rFonts w:ascii="Verdana" w:hAnsi="Verdana" w:cs="Arial"/>
          <w:b/>
        </w:rPr>
        <w:t>MATRIZ 3</w:t>
      </w:r>
      <w:r w:rsidR="00136C78" w:rsidRPr="00A7596C">
        <w:rPr>
          <w:rFonts w:ascii="Verdana" w:hAnsi="Verdana" w:cs="Arial"/>
          <w:b/>
        </w:rPr>
        <w:t xml:space="preserve"> - </w:t>
      </w:r>
      <w:r w:rsidRPr="00A7596C">
        <w:rPr>
          <w:rFonts w:ascii="Verdana" w:hAnsi="Verdana" w:cs="Arial"/>
          <w:b/>
        </w:rPr>
        <w:t>RIESGOS</w:t>
      </w:r>
    </w:p>
    <w:p w14:paraId="09226901" w14:textId="77777777" w:rsidR="0058222E" w:rsidRPr="00A7596C" w:rsidRDefault="0058222E" w:rsidP="007C702A">
      <w:pPr>
        <w:rPr>
          <w:rFonts w:ascii="Verdana" w:hAnsi="Verdana" w:cs="Arial"/>
          <w:lang w:val="es-ES_tradnl" w:eastAsia="es-CO"/>
        </w:rPr>
      </w:pPr>
    </w:p>
    <w:p w14:paraId="0822FEEB" w14:textId="753028C6" w:rsidR="00D70D7B" w:rsidRPr="00A7596C" w:rsidRDefault="00D70D7B" w:rsidP="007C702A">
      <w:pPr>
        <w:rPr>
          <w:rFonts w:ascii="Verdana" w:hAnsi="Verdana" w:cs="Arial"/>
          <w:lang w:val="es-ES_tradnl" w:eastAsia="es-CO"/>
        </w:rPr>
      </w:pPr>
      <w:r w:rsidRPr="00A7596C">
        <w:rPr>
          <w:rFonts w:ascii="Verdana" w:hAnsi="Verdana" w:cs="Arial"/>
          <w:lang w:val="es-ES_tradnl" w:eastAsia="es-CO"/>
        </w:rPr>
        <w:t xml:space="preserve">Para el presente </w:t>
      </w:r>
      <w:r w:rsidR="00A05CCA" w:rsidRPr="00A7596C">
        <w:rPr>
          <w:rFonts w:ascii="Verdana" w:hAnsi="Verdana" w:cs="Arial"/>
          <w:lang w:val="es-ES_tradnl" w:eastAsia="es-CO"/>
        </w:rPr>
        <w:t>P</w:t>
      </w:r>
      <w:r w:rsidRPr="00A7596C">
        <w:rPr>
          <w:rFonts w:ascii="Verdana" w:hAnsi="Verdana" w:cs="Arial"/>
          <w:lang w:val="es-ES_tradnl" w:eastAsia="es-CO"/>
        </w:rPr>
        <w:t xml:space="preserve">roceso </w:t>
      </w:r>
      <w:r w:rsidR="00A05CCA" w:rsidRPr="00A7596C">
        <w:rPr>
          <w:rFonts w:ascii="Verdana" w:hAnsi="Verdana" w:cs="Arial"/>
          <w:lang w:val="es-ES_tradnl" w:eastAsia="es-CO"/>
        </w:rPr>
        <w:t>C</w:t>
      </w:r>
      <w:r w:rsidRPr="00A7596C">
        <w:rPr>
          <w:rFonts w:ascii="Verdana" w:hAnsi="Verdana" w:cs="Arial"/>
          <w:lang w:val="es-ES_tradnl" w:eastAsia="es-CO"/>
        </w:rPr>
        <w:t xml:space="preserve">ontractual, </w:t>
      </w:r>
      <w:r w:rsidR="00822C78" w:rsidRPr="00A7596C">
        <w:rPr>
          <w:rFonts w:ascii="Verdana" w:hAnsi="Verdana" w:cs="Arial"/>
          <w:lang w:val="es-ES_tradnl" w:eastAsia="es-CO"/>
        </w:rPr>
        <w:t>de acuerdo con</w:t>
      </w:r>
      <w:r w:rsidR="00B81B1F" w:rsidRPr="00A7596C">
        <w:rPr>
          <w:rFonts w:ascii="Verdana" w:hAnsi="Verdana" w:cs="Arial"/>
          <w:lang w:val="es-ES_tradnl" w:eastAsia="es-CO"/>
        </w:rPr>
        <w:t xml:space="preserve"> l</w:t>
      </w:r>
      <w:r w:rsidR="00822C78" w:rsidRPr="00A7596C">
        <w:rPr>
          <w:rFonts w:ascii="Verdana" w:hAnsi="Verdana" w:cs="Arial"/>
          <w:lang w:val="es-ES_tradnl" w:eastAsia="es-CO"/>
        </w:rPr>
        <w:t>o dispuesto en la</w:t>
      </w:r>
      <w:r w:rsidRPr="00A7596C">
        <w:rPr>
          <w:rFonts w:ascii="Verdana" w:hAnsi="Verdana" w:cs="Arial"/>
          <w:lang w:val="es-ES_tradnl" w:eastAsia="es-CO"/>
        </w:rPr>
        <w:t xml:space="preserve"> Ley 1150 de 2007 y los artículos 2.2.1.1.1.3.1 y 2.2.1.1.1.6.</w:t>
      </w:r>
      <w:r w:rsidR="00B81B1F" w:rsidRPr="00A7596C">
        <w:rPr>
          <w:rFonts w:ascii="Verdana" w:hAnsi="Verdana" w:cs="Arial"/>
          <w:lang w:val="es-ES_tradnl" w:eastAsia="es-CO"/>
        </w:rPr>
        <w:t>3 del</w:t>
      </w:r>
      <w:r w:rsidRPr="00A7596C">
        <w:rPr>
          <w:rFonts w:ascii="Verdana" w:hAnsi="Verdana" w:cs="Arial"/>
          <w:lang w:val="es-ES_tradnl" w:eastAsia="es-CO"/>
        </w:rPr>
        <w:t xml:space="preserve"> Decreto </w:t>
      </w:r>
      <w:r w:rsidR="00B81B1F" w:rsidRPr="00A7596C">
        <w:rPr>
          <w:rFonts w:ascii="Verdana" w:hAnsi="Verdana" w:cs="Arial"/>
          <w:lang w:val="es-ES_tradnl" w:eastAsia="es-CO"/>
        </w:rPr>
        <w:t>1082 de</w:t>
      </w:r>
      <w:r w:rsidR="006E6D9B" w:rsidRPr="00A7596C">
        <w:rPr>
          <w:rFonts w:ascii="Verdana" w:hAnsi="Verdana" w:cs="Arial"/>
          <w:lang w:val="es-ES_tradnl" w:eastAsia="es-CO"/>
        </w:rPr>
        <w:t xml:space="preserve"> 2015, entiéndase por </w:t>
      </w:r>
      <w:r w:rsidR="00A05CCA" w:rsidRPr="00A7596C">
        <w:rPr>
          <w:rFonts w:ascii="Verdana" w:hAnsi="Verdana" w:cs="Arial"/>
          <w:lang w:val="es-ES_tradnl" w:eastAsia="es-CO"/>
        </w:rPr>
        <w:t>R</w:t>
      </w:r>
      <w:r w:rsidRPr="00A7596C">
        <w:rPr>
          <w:rFonts w:ascii="Verdana" w:hAnsi="Verdana" w:cs="Arial"/>
          <w:lang w:val="es-ES_tradnl" w:eastAsia="es-CO"/>
        </w:rPr>
        <w:t>iesgo</w:t>
      </w:r>
      <w:r w:rsidR="006E6D9B" w:rsidRPr="00A7596C">
        <w:rPr>
          <w:rFonts w:ascii="Verdana" w:hAnsi="Verdana" w:cs="Arial"/>
          <w:lang w:val="es-ES_tradnl" w:eastAsia="es-CO"/>
        </w:rPr>
        <w:t xml:space="preserve"> </w:t>
      </w:r>
      <w:r w:rsidRPr="00A7596C">
        <w:rPr>
          <w:rFonts w:ascii="Verdana" w:hAnsi="Verdana" w:cs="Arial"/>
          <w:lang w:val="es-ES_tradnl" w:eastAsia="es-CO"/>
        </w:rPr>
        <w:t>la probabilidad de ocurrencia de eventos aleatorios que afecten el desarrollo de</w:t>
      </w:r>
      <w:r w:rsidR="001418C0" w:rsidRPr="00A7596C">
        <w:rPr>
          <w:rFonts w:ascii="Verdana" w:hAnsi="Verdana" w:cs="Arial"/>
          <w:lang w:val="es-ES_tradnl" w:eastAsia="es-CO"/>
        </w:rPr>
        <w:t xml:space="preserve"> este</w:t>
      </w:r>
      <w:r w:rsidRPr="00A7596C">
        <w:rPr>
          <w:rFonts w:ascii="Verdana" w:hAnsi="Verdana" w:cs="Arial"/>
          <w:lang w:val="es-ES_tradnl" w:eastAsia="es-CO"/>
        </w:rPr>
        <w:t xml:space="preserve">, generando una variación sobre el resultado esperado, tanto en relación con los costos </w:t>
      </w:r>
      <w:r w:rsidR="00B81B1F" w:rsidRPr="00A7596C">
        <w:rPr>
          <w:rFonts w:ascii="Verdana" w:hAnsi="Verdana" w:cs="Arial"/>
          <w:lang w:val="es-ES_tradnl" w:eastAsia="es-CO"/>
        </w:rPr>
        <w:t>como con</w:t>
      </w:r>
      <w:r w:rsidRPr="00A7596C">
        <w:rPr>
          <w:rFonts w:ascii="Verdana" w:hAnsi="Verdana" w:cs="Arial"/>
          <w:lang w:val="es-ES_tradnl" w:eastAsia="es-CO"/>
        </w:rPr>
        <w:t xml:space="preserve"> las actividades a </w:t>
      </w:r>
      <w:r w:rsidR="001418C0" w:rsidRPr="00A7596C">
        <w:rPr>
          <w:rFonts w:ascii="Verdana" w:hAnsi="Verdana" w:cs="Arial"/>
          <w:lang w:val="es-ES_tradnl" w:eastAsia="es-CO"/>
        </w:rPr>
        <w:t>ejecutar</w:t>
      </w:r>
      <w:r w:rsidRPr="00A7596C">
        <w:rPr>
          <w:rFonts w:ascii="Verdana" w:hAnsi="Verdana" w:cs="Arial"/>
          <w:lang w:val="es-ES_tradnl" w:eastAsia="es-CO"/>
        </w:rPr>
        <w:t xml:space="preserve"> en la ejecución contractual.</w:t>
      </w:r>
    </w:p>
    <w:p w14:paraId="419A2FA6" w14:textId="77777777" w:rsidR="00B81B1F" w:rsidRPr="00A7596C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3A1F6536" w:rsidR="00D70D7B" w:rsidRPr="00A7596C" w:rsidRDefault="00D70D7B" w:rsidP="007C702A">
      <w:pPr>
        <w:rPr>
          <w:rFonts w:ascii="Verdana" w:hAnsi="Verdana" w:cs="Arial"/>
          <w:lang w:val="es-ES_tradnl" w:eastAsia="es-CO"/>
        </w:rPr>
      </w:pPr>
      <w:r w:rsidRPr="00A7596C">
        <w:rPr>
          <w:rFonts w:ascii="Verdana" w:hAnsi="Verdana" w:cs="Arial"/>
          <w:lang w:val="es-ES_tradnl" w:eastAsia="es-CO"/>
        </w:rPr>
        <w:t xml:space="preserve">Corresponderá al </w:t>
      </w:r>
      <w:r w:rsidR="00DA765A" w:rsidRPr="00A7596C">
        <w:rPr>
          <w:rFonts w:ascii="Verdana" w:hAnsi="Verdana" w:cs="Arial"/>
          <w:lang w:val="es-ES_tradnl" w:eastAsia="es-CO"/>
        </w:rPr>
        <w:t>C</w:t>
      </w:r>
      <w:r w:rsidRPr="00A7596C">
        <w:rPr>
          <w:rFonts w:ascii="Verdana" w:hAnsi="Verdana" w:cs="Arial"/>
          <w:lang w:val="es-ES_tradnl" w:eastAsia="es-CO"/>
        </w:rPr>
        <w:t>ontratista seleccionado la asunción de</w:t>
      </w:r>
      <w:r w:rsidR="006E6D9B" w:rsidRPr="00A7596C">
        <w:rPr>
          <w:rFonts w:ascii="Verdana" w:hAnsi="Verdana" w:cs="Arial"/>
          <w:lang w:val="es-ES_tradnl" w:eastAsia="es-CO"/>
        </w:rPr>
        <w:t xml:space="preserve">l </w:t>
      </w:r>
      <w:r w:rsidR="00A05CCA" w:rsidRPr="00A7596C">
        <w:rPr>
          <w:rFonts w:ascii="Verdana" w:hAnsi="Verdana" w:cs="Arial"/>
          <w:lang w:val="es-ES_tradnl" w:eastAsia="es-CO"/>
        </w:rPr>
        <w:t>R</w:t>
      </w:r>
      <w:r w:rsidRPr="00A7596C">
        <w:rPr>
          <w:rFonts w:ascii="Verdana" w:hAnsi="Verdana" w:cs="Arial"/>
          <w:lang w:val="es-ES_tradnl" w:eastAsia="es-CO"/>
        </w:rPr>
        <w:t>iesgo previsible propio de este tipo de contratación a</w:t>
      </w:r>
      <w:r w:rsidR="00210698" w:rsidRPr="00A7596C">
        <w:rPr>
          <w:rFonts w:ascii="Verdana" w:hAnsi="Verdana" w:cs="Arial"/>
          <w:lang w:val="es-ES_tradnl" w:eastAsia="es-CO"/>
        </w:rPr>
        <w:t>ceptando</w:t>
      </w:r>
      <w:r w:rsidRPr="00A7596C">
        <w:rPr>
          <w:rFonts w:ascii="Verdana" w:hAnsi="Verdana" w:cs="Arial"/>
          <w:lang w:val="es-ES_tradnl" w:eastAsia="es-CO"/>
        </w:rPr>
        <w:t xml:space="preserve"> su costo, siempre que el mismo no se encuentre expresamente </w:t>
      </w:r>
      <w:r w:rsidR="001E281B" w:rsidRPr="00A7596C">
        <w:rPr>
          <w:rFonts w:ascii="Verdana" w:hAnsi="Verdana" w:cs="Arial"/>
          <w:lang w:val="es-ES_tradnl" w:eastAsia="es-CO"/>
        </w:rPr>
        <w:t>asignado</w:t>
      </w:r>
      <w:r w:rsidRPr="00A7596C">
        <w:rPr>
          <w:rFonts w:ascii="Verdana" w:hAnsi="Verdana" w:cs="Arial"/>
          <w:lang w:val="es-ES_tradnl" w:eastAsia="es-CO"/>
        </w:rPr>
        <w:t xml:space="preserve"> </w:t>
      </w:r>
      <w:r w:rsidR="001E281B" w:rsidRPr="00A7596C">
        <w:rPr>
          <w:rFonts w:ascii="Verdana" w:hAnsi="Verdana" w:cs="Arial"/>
          <w:lang w:val="es-ES_tradnl" w:eastAsia="es-CO"/>
        </w:rPr>
        <w:t xml:space="preserve">a </w:t>
      </w:r>
      <w:r w:rsidRPr="00A7596C">
        <w:rPr>
          <w:rFonts w:ascii="Verdana" w:hAnsi="Verdana" w:cs="Arial"/>
          <w:lang w:val="es-ES_tradnl" w:eastAsia="es-CO"/>
        </w:rPr>
        <w:t xml:space="preserve">la </w:t>
      </w:r>
      <w:r w:rsidR="001165BC" w:rsidRPr="00A7596C">
        <w:rPr>
          <w:rFonts w:ascii="Verdana" w:hAnsi="Verdana" w:cs="Arial"/>
          <w:lang w:val="es-ES_tradnl" w:eastAsia="es-CO"/>
        </w:rPr>
        <w:t>E</w:t>
      </w:r>
      <w:r w:rsidRPr="00A7596C">
        <w:rPr>
          <w:rFonts w:ascii="Verdana" w:hAnsi="Verdana" w:cs="Arial"/>
          <w:lang w:val="es-ES_tradnl" w:eastAsia="es-CO"/>
        </w:rPr>
        <w:t xml:space="preserve">ntidad </w:t>
      </w:r>
      <w:r w:rsidR="001165BC" w:rsidRPr="00A7596C">
        <w:rPr>
          <w:rFonts w:ascii="Verdana" w:hAnsi="Verdana" w:cs="Arial"/>
          <w:lang w:val="es-ES_tradnl" w:eastAsia="es-CO"/>
        </w:rPr>
        <w:t xml:space="preserve">Estatal </w:t>
      </w:r>
      <w:r w:rsidRPr="00A7596C">
        <w:rPr>
          <w:rFonts w:ascii="Verdana" w:hAnsi="Verdana" w:cs="Arial"/>
          <w:lang w:val="es-ES_tradnl" w:eastAsia="es-CO"/>
        </w:rPr>
        <w:t xml:space="preserve">en el </w:t>
      </w:r>
      <w:r w:rsidR="00A05CCA" w:rsidRPr="00A7596C">
        <w:rPr>
          <w:rFonts w:ascii="Verdana" w:hAnsi="Verdana" w:cs="Arial"/>
          <w:lang w:val="es-ES_tradnl" w:eastAsia="es-CO"/>
        </w:rPr>
        <w:t>C</w:t>
      </w:r>
      <w:r w:rsidRPr="00A7596C">
        <w:rPr>
          <w:rFonts w:ascii="Verdana" w:hAnsi="Verdana" w:cs="Arial"/>
          <w:lang w:val="es-ES_tradnl" w:eastAsia="es-CO"/>
        </w:rPr>
        <w:t xml:space="preserve">ontrato. </w:t>
      </w:r>
    </w:p>
    <w:p w14:paraId="78757E00" w14:textId="77777777" w:rsidR="00B81B1F" w:rsidRPr="00A7596C" w:rsidRDefault="00B81B1F" w:rsidP="007C702A">
      <w:pPr>
        <w:rPr>
          <w:rFonts w:ascii="Verdana" w:hAnsi="Verdana" w:cs="Arial"/>
          <w:lang w:val="es-ES_tradnl" w:eastAsia="es-CO"/>
        </w:rPr>
      </w:pPr>
    </w:p>
    <w:p w14:paraId="4E6FB498" w14:textId="279E5B3E" w:rsidR="00545461" w:rsidRPr="00A7596C" w:rsidRDefault="006E6D9B" w:rsidP="3F5862FC">
      <w:pPr>
        <w:rPr>
          <w:rFonts w:ascii="Verdana" w:hAnsi="Verdana" w:cs="Arial"/>
          <w:lang w:val="es-ES" w:eastAsia="es-CO"/>
        </w:rPr>
      </w:pPr>
      <w:r w:rsidRPr="00A7596C">
        <w:rPr>
          <w:rFonts w:ascii="Verdana" w:hAnsi="Verdana" w:cs="Arial"/>
          <w:lang w:val="es-ES" w:eastAsia="es-CO"/>
        </w:rPr>
        <w:t xml:space="preserve">De acuerdo con </w:t>
      </w:r>
      <w:r w:rsidR="00822C78" w:rsidRPr="00A7596C">
        <w:rPr>
          <w:rFonts w:ascii="Verdana" w:hAnsi="Verdana" w:cs="Arial"/>
          <w:lang w:val="es-ES" w:eastAsia="es-CO"/>
        </w:rPr>
        <w:t xml:space="preserve">el </w:t>
      </w:r>
      <w:r w:rsidR="00AF41A0" w:rsidRPr="00A7596C">
        <w:rPr>
          <w:rFonts w:ascii="Verdana" w:hAnsi="Verdana" w:cs="Arial"/>
          <w:lang w:val="es-ES" w:eastAsia="es-CO"/>
        </w:rPr>
        <w:t>procedimiento</w:t>
      </w:r>
      <w:r w:rsidR="00545461" w:rsidRPr="00A7596C">
        <w:rPr>
          <w:rFonts w:ascii="Verdana" w:hAnsi="Verdana" w:cs="Arial"/>
          <w:lang w:val="es-ES" w:eastAsia="es-CO"/>
        </w:rPr>
        <w:t xml:space="preserve"> de la referencia, </w:t>
      </w:r>
      <w:r w:rsidR="00822C78" w:rsidRPr="00A7596C">
        <w:rPr>
          <w:rFonts w:ascii="Verdana" w:hAnsi="Verdana" w:cs="Arial"/>
          <w:lang w:val="es-ES" w:eastAsia="es-CO"/>
        </w:rPr>
        <w:t xml:space="preserve">se </w:t>
      </w:r>
      <w:r w:rsidR="00545461" w:rsidRPr="00A7596C">
        <w:rPr>
          <w:rFonts w:ascii="Verdana" w:hAnsi="Verdana" w:cs="Arial"/>
          <w:lang w:val="es-ES" w:eastAsia="es-CO"/>
        </w:rPr>
        <w:t xml:space="preserve">establece la tipificación, estimación y asignación de los </w:t>
      </w:r>
      <w:r w:rsidR="00A05CCA" w:rsidRPr="00A7596C">
        <w:rPr>
          <w:rFonts w:ascii="Verdana" w:hAnsi="Verdana" w:cs="Arial"/>
          <w:lang w:val="es-ES" w:eastAsia="es-CO"/>
        </w:rPr>
        <w:t>R</w:t>
      </w:r>
      <w:r w:rsidR="0052653F" w:rsidRPr="00A7596C">
        <w:rPr>
          <w:rFonts w:ascii="Verdana" w:hAnsi="Verdana" w:cs="Arial"/>
          <w:lang w:val="es-ES" w:eastAsia="es-CO"/>
        </w:rPr>
        <w:t>i</w:t>
      </w:r>
      <w:r w:rsidR="00545461" w:rsidRPr="00A7596C">
        <w:rPr>
          <w:rFonts w:ascii="Verdana" w:hAnsi="Verdana" w:cs="Arial"/>
          <w:lang w:val="es-ES" w:eastAsia="es-CO"/>
        </w:rPr>
        <w:t xml:space="preserve">esgos previsibles que puedan afectar el presente </w:t>
      </w:r>
      <w:r w:rsidR="000D74FC" w:rsidRPr="00A7596C">
        <w:rPr>
          <w:rFonts w:ascii="Verdana" w:hAnsi="Verdana" w:cs="Arial"/>
          <w:lang w:val="es-ES" w:eastAsia="es-CO"/>
        </w:rPr>
        <w:t>P</w:t>
      </w:r>
      <w:r w:rsidR="00545461" w:rsidRPr="00A7596C">
        <w:rPr>
          <w:rFonts w:ascii="Verdana" w:hAnsi="Verdana" w:cs="Arial"/>
          <w:lang w:val="es-ES" w:eastAsia="es-CO"/>
        </w:rPr>
        <w:t>roce</w:t>
      </w:r>
      <w:r w:rsidR="00210698" w:rsidRPr="00A7596C">
        <w:rPr>
          <w:rFonts w:ascii="Verdana" w:hAnsi="Verdana" w:cs="Arial"/>
          <w:lang w:val="es-ES" w:eastAsia="es-CO"/>
        </w:rPr>
        <w:t xml:space="preserve">so </w:t>
      </w:r>
      <w:r w:rsidR="000D74FC" w:rsidRPr="00A7596C">
        <w:rPr>
          <w:rFonts w:ascii="Verdana" w:hAnsi="Verdana" w:cs="Arial"/>
          <w:lang w:val="es-ES" w:eastAsia="es-CO"/>
        </w:rPr>
        <w:t>C</w:t>
      </w:r>
      <w:r w:rsidR="00210698" w:rsidRPr="00A7596C">
        <w:rPr>
          <w:rFonts w:ascii="Verdana" w:hAnsi="Verdana" w:cs="Arial"/>
          <w:lang w:val="es-ES" w:eastAsia="es-CO"/>
        </w:rPr>
        <w:t>ontractual</w:t>
      </w:r>
      <w:r w:rsidR="00545461" w:rsidRPr="00A7596C">
        <w:rPr>
          <w:rFonts w:ascii="Verdana" w:hAnsi="Verdana" w:cs="Arial"/>
          <w:lang w:val="es-ES" w:eastAsia="es-CO"/>
        </w:rPr>
        <w:t>.</w:t>
      </w:r>
    </w:p>
    <w:p w14:paraId="2E7008F5" w14:textId="77777777" w:rsidR="00545461" w:rsidRPr="00A7596C" w:rsidRDefault="00545461" w:rsidP="007C702A">
      <w:pPr>
        <w:rPr>
          <w:rFonts w:ascii="Verdana" w:hAnsi="Verdana" w:cs="Arial"/>
          <w:lang w:val="es-ES_tradnl" w:eastAsia="es-CO"/>
        </w:rPr>
      </w:pPr>
    </w:p>
    <w:p w14:paraId="1B145B66" w14:textId="140F7B34" w:rsidR="00D70D7B" w:rsidRPr="00A7596C" w:rsidRDefault="00822C78" w:rsidP="007C702A">
      <w:pPr>
        <w:rPr>
          <w:rFonts w:ascii="Verdana" w:hAnsi="Verdana" w:cs="Arial"/>
          <w:lang w:val="es-ES_tradnl" w:eastAsia="es-CO"/>
        </w:rPr>
      </w:pPr>
      <w:r w:rsidRPr="00A7596C">
        <w:rPr>
          <w:rFonts w:ascii="Verdana" w:hAnsi="Verdana" w:cs="Arial"/>
          <w:lang w:val="es-ES_tradnl" w:eastAsia="es-CO"/>
        </w:rPr>
        <w:t>La</w:t>
      </w:r>
      <w:r w:rsidR="00D70D7B" w:rsidRPr="00A7596C">
        <w:rPr>
          <w:rFonts w:ascii="Verdana" w:hAnsi="Verdana" w:cs="Arial"/>
          <w:lang w:val="es-ES_tradnl" w:eastAsia="es-CO"/>
        </w:rPr>
        <w:t xml:space="preserve"> tipificación, estimación y asignación de los </w:t>
      </w:r>
      <w:r w:rsidR="00A05CCA" w:rsidRPr="00A7596C">
        <w:rPr>
          <w:rFonts w:ascii="Verdana" w:hAnsi="Verdana" w:cs="Arial"/>
          <w:lang w:val="es-ES_tradnl" w:eastAsia="es-CO"/>
        </w:rPr>
        <w:t>R</w:t>
      </w:r>
      <w:r w:rsidR="00D70D7B" w:rsidRPr="00A7596C">
        <w:rPr>
          <w:rFonts w:ascii="Verdana" w:hAnsi="Verdana" w:cs="Arial"/>
          <w:lang w:val="es-ES_tradnl" w:eastAsia="es-CO"/>
        </w:rPr>
        <w:t xml:space="preserve">iesgos que puedan afectar el </w:t>
      </w:r>
      <w:r w:rsidR="00A05CCA" w:rsidRPr="00A7596C">
        <w:rPr>
          <w:rFonts w:ascii="Verdana" w:hAnsi="Verdana" w:cs="Arial"/>
          <w:lang w:val="es-ES_tradnl" w:eastAsia="es-CO"/>
        </w:rPr>
        <w:t>P</w:t>
      </w:r>
      <w:r w:rsidR="00D70D7B" w:rsidRPr="00A7596C">
        <w:rPr>
          <w:rFonts w:ascii="Verdana" w:hAnsi="Verdana" w:cs="Arial"/>
          <w:lang w:val="es-ES_tradnl" w:eastAsia="es-CO"/>
        </w:rPr>
        <w:t xml:space="preserve">roceso de </w:t>
      </w:r>
      <w:r w:rsidR="00A05CCA" w:rsidRPr="00A7596C">
        <w:rPr>
          <w:rFonts w:ascii="Verdana" w:hAnsi="Verdana" w:cs="Arial"/>
          <w:lang w:val="es-ES_tradnl" w:eastAsia="es-CO"/>
        </w:rPr>
        <w:t>C</w:t>
      </w:r>
      <w:r w:rsidR="00D70D7B" w:rsidRPr="00A7596C">
        <w:rPr>
          <w:rFonts w:ascii="Verdana" w:hAnsi="Verdana" w:cs="Arial"/>
          <w:lang w:val="es-ES_tradnl" w:eastAsia="es-CO"/>
        </w:rPr>
        <w:t xml:space="preserve">ontratación o la ejecución del </w:t>
      </w:r>
      <w:r w:rsidR="00A05CCA" w:rsidRPr="00A7596C">
        <w:rPr>
          <w:rFonts w:ascii="Verdana" w:hAnsi="Verdana" w:cs="Arial"/>
          <w:lang w:val="es-ES_tradnl" w:eastAsia="es-CO"/>
        </w:rPr>
        <w:t>C</w:t>
      </w:r>
      <w:r w:rsidR="00D70D7B" w:rsidRPr="00A7596C">
        <w:rPr>
          <w:rFonts w:ascii="Verdana" w:hAnsi="Verdana" w:cs="Arial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A7596C">
        <w:rPr>
          <w:rFonts w:ascii="Verdana" w:hAnsi="Verdana" w:cs="Arial"/>
          <w:lang w:val="es-ES_tradnl" w:eastAsia="es-CO"/>
        </w:rPr>
        <w:t>ONPES</w:t>
      </w:r>
      <w:r w:rsidR="00D70D7B" w:rsidRPr="00A7596C">
        <w:rPr>
          <w:rFonts w:ascii="Verdana" w:hAnsi="Verdana" w:cs="Arial"/>
          <w:lang w:val="es-ES_tradnl" w:eastAsia="es-CO"/>
        </w:rPr>
        <w:t xml:space="preserve"> 3714 de 2011</w:t>
      </w:r>
      <w:r w:rsidR="006E6D9B" w:rsidRPr="00A7596C">
        <w:rPr>
          <w:rFonts w:ascii="Verdana" w:hAnsi="Verdana" w:cs="Arial"/>
          <w:lang w:val="es-ES_tradnl" w:eastAsia="es-CO"/>
        </w:rPr>
        <w:t>.</w:t>
      </w:r>
    </w:p>
    <w:p w14:paraId="77031AF6" w14:textId="250AF235" w:rsidR="0058222E" w:rsidRPr="00A7596C" w:rsidRDefault="0058222E" w:rsidP="007C702A">
      <w:pPr>
        <w:rPr>
          <w:rFonts w:ascii="Verdana" w:hAnsi="Verdana" w:cs="Arial"/>
          <w:lang w:val="es-ES_tradnl" w:eastAsia="es-CO"/>
        </w:rPr>
      </w:pPr>
    </w:p>
    <w:p w14:paraId="6AE0CF7D" w14:textId="4309164F" w:rsidR="0058222E" w:rsidRPr="00A7596C" w:rsidRDefault="0058222E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50AA65CC" w14:textId="77777777" w:rsidR="005E5030" w:rsidRPr="00A7596C" w:rsidRDefault="005E5030" w:rsidP="00D70D7B">
      <w:pPr>
        <w:spacing w:after="100" w:afterAutospacing="1"/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0CE476E6" w:rsidR="0058222E" w:rsidRPr="00A7596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A7596C">
        <w:rPr>
          <w:rFonts w:ascii="Verdana" w:eastAsia="SimSun" w:hAnsi="Verdana" w:cs="Arial"/>
          <w:b/>
          <w:kern w:val="3"/>
          <w:u w:val="single"/>
          <w:lang w:eastAsia="zh-CN" w:bidi="hi-IN"/>
        </w:rPr>
        <w:t xml:space="preserve">Matriz de </w:t>
      </w:r>
      <w:r w:rsidR="00087B27" w:rsidRPr="00A7596C">
        <w:rPr>
          <w:rFonts w:ascii="Verdana" w:eastAsia="SimSun" w:hAnsi="Verdana" w:cs="Arial"/>
          <w:b/>
          <w:kern w:val="3"/>
          <w:u w:val="single"/>
          <w:lang w:eastAsia="zh-CN" w:bidi="hi-IN"/>
        </w:rPr>
        <w:t>R</w:t>
      </w:r>
      <w:r w:rsidRPr="00A7596C">
        <w:rPr>
          <w:rFonts w:ascii="Verdana" w:eastAsia="SimSun" w:hAnsi="Verdana" w:cs="Arial"/>
          <w:b/>
          <w:kern w:val="3"/>
          <w:u w:val="single"/>
          <w:lang w:eastAsia="zh-CN" w:bidi="hi-IN"/>
        </w:rPr>
        <w:t>iesgos</w:t>
      </w:r>
    </w:p>
    <w:p w14:paraId="7ED9F954" w14:textId="77777777" w:rsidR="00815604" w:rsidRPr="00A7596C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aconcuadrcula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360"/>
        <w:gridCol w:w="576"/>
        <w:gridCol w:w="576"/>
        <w:gridCol w:w="648"/>
        <w:gridCol w:w="720"/>
        <w:gridCol w:w="1800"/>
        <w:gridCol w:w="1655"/>
        <w:gridCol w:w="432"/>
        <w:gridCol w:w="432"/>
        <w:gridCol w:w="576"/>
        <w:gridCol w:w="720"/>
        <w:gridCol w:w="864"/>
        <w:gridCol w:w="1872"/>
        <w:gridCol w:w="432"/>
        <w:gridCol w:w="432"/>
        <w:gridCol w:w="576"/>
        <w:gridCol w:w="720"/>
        <w:gridCol w:w="576"/>
        <w:gridCol w:w="1007"/>
        <w:gridCol w:w="1007"/>
        <w:gridCol w:w="1584"/>
        <w:gridCol w:w="864"/>
      </w:tblGrid>
      <w:tr w:rsidR="007634F1" w:rsidRPr="00A7596C" w14:paraId="64A698D4" w14:textId="77777777" w:rsidTr="00284C5E">
        <w:trPr>
          <w:cantSplit/>
          <w:trHeight w:val="1212"/>
        </w:trPr>
        <w:tc>
          <w:tcPr>
            <w:tcW w:w="360" w:type="dxa"/>
            <w:vMerge w:val="restart"/>
            <w:shd w:val="clear" w:color="auto" w:fill="4D4D4D"/>
            <w:textDirection w:val="btLr"/>
            <w:vAlign w:val="center"/>
          </w:tcPr>
          <w:p w14:paraId="0B3F0DBF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lastRenderedPageBreak/>
              <w:t>No.</w:t>
            </w:r>
          </w:p>
        </w:tc>
        <w:tc>
          <w:tcPr>
            <w:tcW w:w="576" w:type="dxa"/>
            <w:vMerge w:val="restart"/>
            <w:shd w:val="clear" w:color="auto" w:fill="4D4D4D"/>
            <w:textDirection w:val="btLr"/>
            <w:vAlign w:val="center"/>
          </w:tcPr>
          <w:p w14:paraId="0CFF002D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Clase</w:t>
            </w:r>
          </w:p>
        </w:tc>
        <w:tc>
          <w:tcPr>
            <w:tcW w:w="576" w:type="dxa"/>
            <w:vMerge w:val="restart"/>
            <w:shd w:val="clear" w:color="auto" w:fill="4D4D4D"/>
            <w:textDirection w:val="btLr"/>
            <w:vAlign w:val="center"/>
          </w:tcPr>
          <w:p w14:paraId="2DB68322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Fuente</w:t>
            </w:r>
          </w:p>
        </w:tc>
        <w:tc>
          <w:tcPr>
            <w:tcW w:w="648" w:type="dxa"/>
            <w:vMerge w:val="restart"/>
            <w:shd w:val="clear" w:color="auto" w:fill="4D4D4D"/>
            <w:textDirection w:val="btLr"/>
            <w:vAlign w:val="center"/>
          </w:tcPr>
          <w:p w14:paraId="4DD17F73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Etapa</w:t>
            </w:r>
          </w:p>
        </w:tc>
        <w:tc>
          <w:tcPr>
            <w:tcW w:w="720" w:type="dxa"/>
            <w:vMerge w:val="restart"/>
            <w:shd w:val="clear" w:color="auto" w:fill="4D4D4D"/>
            <w:textDirection w:val="btLr"/>
            <w:vAlign w:val="center"/>
          </w:tcPr>
          <w:p w14:paraId="79133F48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Tipo</w:t>
            </w:r>
          </w:p>
        </w:tc>
        <w:tc>
          <w:tcPr>
            <w:tcW w:w="1800" w:type="dxa"/>
            <w:vMerge w:val="restart"/>
            <w:shd w:val="clear" w:color="auto" w:fill="4D4D4D"/>
            <w:textDirection w:val="btLr"/>
            <w:vAlign w:val="center"/>
          </w:tcPr>
          <w:p w14:paraId="726FAB8F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Descripción</w:t>
            </w:r>
          </w:p>
          <w:p w14:paraId="41157746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1655" w:type="dxa"/>
            <w:vMerge w:val="restart"/>
            <w:shd w:val="clear" w:color="auto" w:fill="4D4D4D"/>
            <w:textDirection w:val="btLr"/>
            <w:vAlign w:val="center"/>
          </w:tcPr>
          <w:p w14:paraId="23C1434B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Consecuencia de la ocurrencia del evento</w:t>
            </w:r>
          </w:p>
        </w:tc>
        <w:tc>
          <w:tcPr>
            <w:tcW w:w="432" w:type="dxa"/>
            <w:vMerge w:val="restart"/>
            <w:shd w:val="clear" w:color="auto" w:fill="4D4D4D"/>
            <w:textDirection w:val="btLr"/>
            <w:vAlign w:val="center"/>
          </w:tcPr>
          <w:p w14:paraId="483F6432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Probabilidad</w:t>
            </w:r>
          </w:p>
        </w:tc>
        <w:tc>
          <w:tcPr>
            <w:tcW w:w="432" w:type="dxa"/>
            <w:vMerge w:val="restart"/>
            <w:shd w:val="clear" w:color="auto" w:fill="4D4D4D"/>
            <w:textDirection w:val="btLr"/>
            <w:vAlign w:val="center"/>
          </w:tcPr>
          <w:p w14:paraId="42F3A4BC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Impacto</w:t>
            </w:r>
          </w:p>
        </w:tc>
        <w:tc>
          <w:tcPr>
            <w:tcW w:w="576" w:type="dxa"/>
            <w:vMerge w:val="restart"/>
            <w:shd w:val="clear" w:color="auto" w:fill="4D4D4D"/>
            <w:textDirection w:val="btLr"/>
            <w:vAlign w:val="center"/>
          </w:tcPr>
          <w:p w14:paraId="1803A095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Valoración del riesgo</w:t>
            </w:r>
          </w:p>
        </w:tc>
        <w:tc>
          <w:tcPr>
            <w:tcW w:w="720" w:type="dxa"/>
            <w:vMerge w:val="restart"/>
            <w:shd w:val="clear" w:color="auto" w:fill="4D4D4D"/>
            <w:textDirection w:val="btLr"/>
            <w:vAlign w:val="center"/>
          </w:tcPr>
          <w:p w14:paraId="5E343743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FFFFFF" w:themeColor="background1"/>
                <w:kern w:val="3"/>
                <w:sz w:val="10"/>
                <w:lang w:eastAsia="zh-CN" w:bidi="hi-IN"/>
              </w:rPr>
              <w:t>Categoría</w:t>
            </w:r>
          </w:p>
        </w:tc>
        <w:tc>
          <w:tcPr>
            <w:tcW w:w="864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38FBF4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¿A quién se le asigna?</w:t>
            </w:r>
          </w:p>
        </w:tc>
        <w:tc>
          <w:tcPr>
            <w:tcW w:w="1872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692687B8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Tratamiento/Controles a ser implementados</w:t>
            </w:r>
          </w:p>
        </w:tc>
        <w:tc>
          <w:tcPr>
            <w:tcW w:w="720" w:type="dxa"/>
            <w:gridSpan w:val="4"/>
            <w:shd w:val="clear" w:color="auto" w:fill="BFBFBF" w:themeFill="background1" w:themeFillShade="BF"/>
            <w:vAlign w:val="center"/>
          </w:tcPr>
          <w:p w14:paraId="06319402" w14:textId="77777777" w:rsidR="0076567A" w:rsidRPr="00A7596C" w:rsidRDefault="0076567A" w:rsidP="0076567A">
            <w:pPr>
              <w:spacing w:after="0" w:afterAutospacing="1" w:before="0" w:line="192" w:lineRule="auto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  <w:p w14:paraId="3707D55D" w14:textId="77777777" w:rsidR="0076567A" w:rsidRPr="00A7596C" w:rsidRDefault="0076567A" w:rsidP="0076567A">
            <w:pPr>
              <w:spacing w:after="0" w:afterAutospacing="1" w:before="0" w:line="192" w:lineRule="auto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  <w:p w14:paraId="779A3650" w14:textId="77777777" w:rsidR="0076567A" w:rsidRDefault="0076567A" w:rsidP="0076567A">
            <w:pPr>
              <w:spacing w:after="0" w:afterAutospacing="1" w:before="0" w:line="192" w:lineRule="auto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Impacto después del tratamiento</w:t>
            </w:r>
          </w:p>
          <w:p w14:paraId="33975DDE" w14:textId="77777777" w:rsidR="00C006ED" w:rsidRPr="00C006ED" w:rsidRDefault="00C006ED" w:rsidP="00C006ED">
            <w:pPr>
              <w:spacing w:before="0" w:after="0" w:line="192" w:lineRule="auto"/>
              <w:jc w:val="center"/>
              <w:rPr>
                <w:rFonts w:ascii="Verdana" w:eastAsia="SimSun" w:hAnsi="Verdana" w:cs="Arial"/>
                <w:lang w:eastAsia="zh-CN" w:bidi="hi-IN"/>
              </w:rPr>
            </w:pPr>
          </w:p>
          <w:p w14:paraId="74DE9A39" w14:textId="77777777" w:rsidR="00C006ED" w:rsidRPr="00C006ED" w:rsidRDefault="00C006ED" w:rsidP="00C006ED">
            <w:pPr>
              <w:spacing w:before="0" w:after="0" w:line="192" w:lineRule="auto"/>
              <w:jc w:val="center"/>
              <w:rPr>
                <w:rFonts w:ascii="Verdana" w:eastAsia="SimSun" w:hAnsi="Verdana" w:cs="Arial"/>
                <w:lang w:eastAsia="zh-CN" w:bidi="hi-IN"/>
              </w:rPr>
            </w:pPr>
          </w:p>
          <w:p w14:paraId="429112F2" w14:textId="50F8D3B5" w:rsidR="00C006ED" w:rsidRPr="00C006ED" w:rsidRDefault="00C006ED" w:rsidP="00C006ED">
            <w:pPr>
              <w:spacing w:before="0" w:after="0" w:line="192" w:lineRule="auto"/>
              <w:jc w:val="center"/>
              <w:rPr>
                <w:rFonts w:ascii="Verdana" w:eastAsia="SimSun" w:hAnsi="Verdana" w:cs="Arial"/>
                <w:lang w:eastAsia="zh-CN" w:bidi="hi-IN"/>
              </w:rPr>
            </w:pPr>
          </w:p>
        </w:tc>
        <w:tc>
          <w:tcPr>
            <w:tcW w:w="576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5290B6AA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¿Afecta la ejecución del contrato?</w:t>
            </w:r>
          </w:p>
        </w:tc>
        <w:tc>
          <w:tcPr>
            <w:tcW w:w="1007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4BC6F0D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Persona responsable por implementar el tratamiento</w:t>
            </w:r>
          </w:p>
        </w:tc>
        <w:tc>
          <w:tcPr>
            <w:tcW w:w="1007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BFD10A7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Fecha estimada en que se completa el tratamiento</w:t>
            </w:r>
          </w:p>
        </w:tc>
        <w:tc>
          <w:tcPr>
            <w:tcW w:w="864" w:type="dxa"/>
            <w:gridSpan w:val="2"/>
            <w:shd w:val="clear" w:color="auto" w:fill="BFBFBF" w:themeFill="background1" w:themeFillShade="BF"/>
            <w:vAlign w:val="center"/>
          </w:tcPr>
          <w:p w14:paraId="5674A2B8" w14:textId="77777777" w:rsidR="0076567A" w:rsidRPr="00A7596C" w:rsidRDefault="0076567A" w:rsidP="0076567A">
            <w:pPr>
              <w:spacing w:after="0" w:afterAutospacing="1" w:before="0" w:line="192" w:lineRule="auto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  <w:p w14:paraId="539354B2" w14:textId="77777777" w:rsidR="0076567A" w:rsidRPr="00A7596C" w:rsidRDefault="0076567A" w:rsidP="0076567A">
            <w:pPr>
              <w:spacing w:after="0" w:afterAutospacing="1" w:before="0" w:line="192" w:lineRule="auto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  <w:p w14:paraId="56250110" w14:textId="77777777" w:rsidR="0076567A" w:rsidRPr="00A7596C" w:rsidRDefault="0076567A" w:rsidP="0076567A">
            <w:pPr>
              <w:spacing w:after="0" w:afterAutospacing="1" w:before="0" w:line="192" w:lineRule="auto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Monitoreo y revisión</w:t>
            </w:r>
          </w:p>
        </w:tc>
      </w:tr>
      <w:tr w:rsidR="007634F1" w:rsidRPr="00A7596C" w14:paraId="678B7917" w14:textId="77777777" w:rsidTr="00284C5E">
        <w:trPr>
          <w:cantSplit/>
          <w:trHeight w:val="2063"/>
        </w:trPr>
        <w:tc>
          <w:tcPr>
            <w:tcW w:w="388" w:type="dxa"/>
            <w:vMerge/>
            <w:shd w:val="clear" w:color="auto" w:fill="4D4D4D"/>
            <w:textDirection w:val="btLr"/>
          </w:tcPr>
          <w:p w14:paraId="6641EAEF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88" w:type="dxa"/>
            <w:vMerge/>
            <w:shd w:val="clear" w:color="auto" w:fill="4D4D4D"/>
            <w:textDirection w:val="btLr"/>
          </w:tcPr>
          <w:p w14:paraId="09DEBE93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88" w:type="dxa"/>
            <w:vMerge/>
            <w:shd w:val="clear" w:color="auto" w:fill="4D4D4D"/>
            <w:textDirection w:val="btLr"/>
          </w:tcPr>
          <w:p w14:paraId="4141C885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</w:tcPr>
          <w:p w14:paraId="13B67C39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</w:tcPr>
          <w:p w14:paraId="5AC84B61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556" w:type="dxa"/>
            <w:vMerge/>
            <w:shd w:val="clear" w:color="auto" w:fill="4D4D4D"/>
            <w:textDirection w:val="btLr"/>
          </w:tcPr>
          <w:p w14:paraId="5100BCAD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</w:tcPr>
          <w:p w14:paraId="24531D07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</w:tcPr>
          <w:p w14:paraId="238D69C4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</w:tcPr>
          <w:p w14:paraId="031F3DFA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</w:tcPr>
          <w:p w14:paraId="60995505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4D4D4D"/>
            <w:textDirection w:val="btLr"/>
          </w:tcPr>
          <w:p w14:paraId="755F794E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</w:p>
        </w:tc>
        <w:tc>
          <w:tcPr>
            <w:tcW w:w="389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</w:tc>
        <w:tc>
          <w:tcPr>
            <w:tcW w:w="542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</w:tc>
        <w:tc>
          <w:tcPr>
            <w:tcW w:w="432" w:type="dxa"/>
            <w:shd w:val="clear" w:color="auto" w:fill="BFBFBF" w:themeFill="background1" w:themeFillShade="BF"/>
            <w:textDirection w:val="btLr"/>
            <w:vAlign w:val="center"/>
          </w:tcPr>
          <w:p w14:paraId="346C1989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Probabilidad</w:t>
            </w:r>
          </w:p>
        </w:tc>
        <w:tc>
          <w:tcPr>
            <w:tcW w:w="432" w:type="dxa"/>
            <w:shd w:val="clear" w:color="auto" w:fill="BFBFBF" w:themeFill="background1" w:themeFillShade="BF"/>
            <w:textDirection w:val="btLr"/>
            <w:vAlign w:val="center"/>
          </w:tcPr>
          <w:p w14:paraId="321C7D5A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Impacto</w:t>
            </w:r>
          </w:p>
        </w:tc>
        <w:tc>
          <w:tcPr>
            <w:tcW w:w="576" w:type="dxa"/>
            <w:shd w:val="clear" w:color="auto" w:fill="BFBFBF" w:themeFill="background1" w:themeFillShade="BF"/>
            <w:textDirection w:val="btLr"/>
            <w:vAlign w:val="center"/>
          </w:tcPr>
          <w:p w14:paraId="0A01C4B5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Valoración del Riesgo</w:t>
            </w:r>
          </w:p>
        </w:tc>
        <w:tc>
          <w:tcPr>
            <w:tcW w:w="720" w:type="dxa"/>
            <w:shd w:val="clear" w:color="auto" w:fill="BFBFBF" w:themeFill="background1" w:themeFillShade="BF"/>
            <w:textDirection w:val="btLr"/>
            <w:vAlign w:val="center"/>
          </w:tcPr>
          <w:p w14:paraId="00E41386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Categoría</w:t>
            </w:r>
          </w:p>
        </w:tc>
        <w:tc>
          <w:tcPr>
            <w:tcW w:w="389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</w:tc>
        <w:tc>
          <w:tcPr>
            <w:tcW w:w="484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A7596C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</w:p>
        </w:tc>
        <w:tc>
          <w:tcPr>
            <w:tcW w:w="1584" w:type="dxa"/>
            <w:shd w:val="clear" w:color="auto" w:fill="BFBFBF" w:themeFill="background1" w:themeFillShade="BF"/>
            <w:textDirection w:val="btLr"/>
            <w:vAlign w:val="center"/>
          </w:tcPr>
          <w:p w14:paraId="6708B798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¿Cómo se realiza el monitoreo?</w:t>
            </w:r>
          </w:p>
        </w:tc>
        <w:tc>
          <w:tcPr>
            <w:tcW w:w="864" w:type="dxa"/>
            <w:shd w:val="clear" w:color="auto" w:fill="BFBFBF" w:themeFill="background1" w:themeFillShade="BF"/>
            <w:textDirection w:val="btLr"/>
            <w:vAlign w:val="center"/>
          </w:tcPr>
          <w:p w14:paraId="5478208D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Periodicidad</w:t>
            </w:r>
          </w:p>
          <w:p w14:paraId="1F85B55D" w14:textId="77777777" w:rsidR="0076567A" w:rsidRPr="00A7596C" w:rsidRDefault="0076567A" w:rsidP="004D7C35">
            <w:pPr>
              <w:spacing w:after="0" w:afterAutospacing="1" w:before="0" w:line="192" w:lineRule="auto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lang w:eastAsia="zh-CN" w:bidi="hi-IN"/>
              </w:rPr>
            </w:pPr>
            <w:r w:rsidRPr="00A7596C">
              <w:rPr>
                <w:rFonts w:ascii="Arial" w:eastAsia="SimSun" w:hAnsi="Arial" w:cs="Arial"/>
                <w:b/>
                <w:color w:val="404040" w:themeColor="text1" w:themeTint="BF"/>
                <w:kern w:val="3"/>
                <w:sz w:val="10"/>
                <w:lang w:eastAsia="zh-CN" w:bidi="hi-IN"/>
              </w:rPr>
              <w:t>¿Cuándo?</w:t>
            </w:r>
          </w:p>
        </w:tc>
      </w:tr>
      <w:tr w:rsidR="00284C5E" w:rsidRPr="00A7596C" w14:paraId="52FADA9D" w14:textId="77777777" w:rsidTr="00626393">
        <w:trPr>
          <w:cantSplit/>
          <w:trHeight w:val="466"/>
        </w:trPr>
        <w:tc>
          <w:tcPr>
            <w:tcW w:w="360" w:type="dxa"/>
            <w:shd w:val="clear" w:color="auto" w:fill="auto"/>
            <w:vAlign w:val="center"/>
          </w:tcPr>
          <w:p w14:paraId="6CB14C0F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8BFBA1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1E52A15B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w="648" w:type="dxa"/>
            <w:shd w:val="clear" w:color="auto" w:fill="auto"/>
            <w:vAlign w:val="center"/>
          </w:tcPr>
          <w:p w14:paraId="6304DED9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4CE60CE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08A3DEE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La información, planos o antecedentes existentes entregados por la Entidad pueden estar incompletos, desactualizados o diferir de las condiciones reales del escenario.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4276B3E5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Reprocesos de levantamiento y diseño, ajustes de alcance técnico y posible afectación del cronograma.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5EE0294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589BDDB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E9557F2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25BCE08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Alto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6FBF122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Entidad y Consultor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4A5E724D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La Entidad entrega los antecedentes disponibles. El Consultor debe verificarlos en campo, realizar levantamientos y dejar trazabilidad de supuestos, diferencias y decisiones técnicas antes de desarrollar diseños definitivos.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453E2B8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12D7227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7811CAF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F36293B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Bajo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5BD8BD7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4E9299E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Entidad y Consultor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1FEE4C6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Durante el diagnóstico inicial y cada vez que se incorpore información nueva.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13F588CC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Actas de visita, registro de verificación, control de cambios y revisión de la supervisión.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4D8DC63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Semanal y por hito técnico</w:t>
            </w:r>
          </w:p>
        </w:tc>
      </w:tr>
      <w:tr w:rsidR="00284C5E" w:rsidRPr="00A7596C" w14:paraId="7C020497" w14:textId="77777777" w:rsidTr="00626393">
        <w:trPr>
          <w:cantSplit/>
          <w:trHeight w:val="418"/>
        </w:trPr>
        <w:tc>
          <w:tcPr>
            <w:tcW w:w="360" w:type="dxa"/>
            <w:shd w:val="clear" w:color="auto" w:fill="auto"/>
            <w:vAlign w:val="center"/>
          </w:tcPr>
          <w:p w14:paraId="7CA1ABA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143E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44B28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w="648" w:type="dxa"/>
            <w:shd w:val="clear" w:color="auto" w:fill="auto"/>
            <w:vAlign w:val="center"/>
          </w:tcPr>
          <w:p w14:paraId="5262ACF6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92389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A92409D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Restricciones de acceso al escenario, programación cultural u operación de El Muelle pueden limitar visitas, mediciones o inspecciones en las fechas previstas.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C5AA9E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Reprogramación de actividades de campo y posible retraso parcial en entregables.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52F3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EA70289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8191A5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614238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Bajo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DA45E4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Entidad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5C23226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La FUGA coordina con anticipación ventanas de acceso y comunica restricciones operativas. El Consultor programa visitas críticas desde el inicio y prevé actividades de gabinete alternas.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60A999F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FB43CF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094495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CD841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Bajo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E50394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76B1F5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Entidad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4296BC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Antes de cada visita o actividad de campo.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4193511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Programación concertada, actas de acceso y seguimiento al cronograma.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615C3B7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Por cada visita</w:t>
            </w:r>
          </w:p>
        </w:tc>
      </w:tr>
      <w:tr w:rsidR="00284C5E" w:rsidRPr="00A7596C" w14:paraId="7C020497" w14:textId="77777777" w:rsidTr="00626393">
        <w:trPr>
          <w:cantSplit/>
          <w:trHeight w:val="418"/>
        </w:trPr>
        <w:tc>
          <w:tcPr>
            <w:tcW w:w="360" w:type="dxa"/>
            <w:shd w:val="clear" w:color="auto" w:fill="auto"/>
            <w:vAlign w:val="center"/>
          </w:tcPr>
          <w:p w14:paraId="7CA1ABA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143E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44B28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w="648" w:type="dxa"/>
            <w:shd w:val="clear" w:color="auto" w:fill="auto"/>
            <w:vAlign w:val="center"/>
          </w:tcPr>
          <w:p w14:paraId="5262ACF6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92389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A92409D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Pueden presentarse interferencias o incompatibilidades entre los diseños arquitectónico, estructural, eléctrico y de accesibilidad.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C5AA9E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Inconsistencias entre planos, memorias, cantidades y especificaciones; reprocesos y riesgo de inviabilidad para la futura obra.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52F3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EA70289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8191A5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614238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Alto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DA45E4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5C23226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Coordinación interdisciplinaria obligatoria, reuniones técnicas, revisión cruzada de productos, modelo 3D cuando aplique y verificación de consistencia antes de cada entrega.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60A999F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FB43CF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094495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CD841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Bajo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E50394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76B1F5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4296BC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Durante toda la elaboración de diseños y antes de cada entrega.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4193511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Matriz de interferencias, actas de coordinación, listas de chequeo y control de versiones.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615C3B7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Semanal y por entrega</w:t>
            </w:r>
          </w:p>
        </w:tc>
      </w:tr>
      <w:tr w:rsidR="00284C5E" w:rsidRPr="00A7596C" w14:paraId="7C020497" w14:textId="77777777" w:rsidTr="00626393">
        <w:trPr>
          <w:cantSplit/>
          <w:trHeight w:val="418"/>
        </w:trPr>
        <w:tc>
          <w:tcPr>
            <w:tcW w:w="360" w:type="dxa"/>
            <w:shd w:val="clear" w:color="auto" w:fill="auto"/>
            <w:vAlign w:val="center"/>
          </w:tcPr>
          <w:p w14:paraId="7CA1ABA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143E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44B28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Externo</w:t>
            </w:r>
          </w:p>
        </w:tc>
        <w:tc>
          <w:tcPr>
            <w:tcW w:w="648" w:type="dxa"/>
            <w:shd w:val="clear" w:color="auto" w:fill="auto"/>
            <w:vAlign w:val="center"/>
          </w:tcPr>
          <w:p w14:paraId="5262ACF6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92389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Regulatorio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A92409D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La revisión puede determinar permisos, conceptos o autorizaciones no previstos inicialmente, o las autoridades competentes pueden tardar en pronunciarse.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C5AA9E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Necesidad de ajustes documentales, trámites adicionales o afectación del cronograma por causas externas.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52F3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EA70289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8191A5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614238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Alto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DA45E4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Entidad y Consultor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5C23226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Identificación normativa temprana; preparación completa de soportes; radicación oportuna cuando corresponda; seguimiento documentado. La FUGA facilita documentos institucionales y asume expensas oficiales que legalmente le correspondan.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60A999F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FB43CF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094495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CD841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Bajo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E50394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76B1F5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Entidad y Consultor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4296BC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Desde el diagnóstico normativo y durante los trámites que resulten aplicables.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4193511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Matriz de trámites, radicados, respuestas de entidades y seguimiento en comités.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615C3B7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Quincenal y por actuación</w:t>
            </w:r>
          </w:p>
        </w:tc>
      </w:tr>
      <w:tr w:rsidR="00284C5E" w:rsidRPr="00A7596C" w14:paraId="7C020497" w14:textId="77777777" w:rsidTr="00626393">
        <w:trPr>
          <w:cantSplit/>
          <w:trHeight w:val="418"/>
        </w:trPr>
        <w:tc>
          <w:tcPr>
            <w:tcW w:w="360" w:type="dxa"/>
            <w:shd w:val="clear" w:color="auto" w:fill="auto"/>
            <w:vAlign w:val="center"/>
          </w:tcPr>
          <w:p w14:paraId="7CA1ABA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143E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44B28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Externo</w:t>
            </w:r>
          </w:p>
        </w:tc>
        <w:tc>
          <w:tcPr>
            <w:tcW w:w="648" w:type="dxa"/>
            <w:shd w:val="clear" w:color="auto" w:fill="auto"/>
            <w:vAlign w:val="center"/>
          </w:tcPr>
          <w:p w14:paraId="5262ACF6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92389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De la naturaleza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A92409D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Lluvias intensas u otras condiciones climáticas pueden impedir temporalmente visitas, mediciones o verificaciones exteriores.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C5AA9E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Reprogramación de actividades de campo y retrasos puntuales.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52F3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EA70289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8191A5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614238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Medio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DA45E4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5C23226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Planificar visitas considerando condiciones meteorológicas, priorizar levantamientos críticos, contar con fechas alternativas y adoptar medidas de seguridad para trabajo de campo.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60A999F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FB43CF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094495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CD841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Bajo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E50394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76B1F5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4296BC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Antes y durante las actividades de campo.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4193511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Revisión de condiciones previas a visita y reprogramación documentada cuando aplique.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615C3B7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Por cada visita</w:t>
            </w:r>
          </w:p>
        </w:tc>
      </w:tr>
      <w:tr w:rsidR="00284C5E" w:rsidRPr="00A7596C" w14:paraId="7C020497" w14:textId="77777777" w:rsidTr="00626393">
        <w:trPr>
          <w:cantSplit/>
          <w:trHeight w:val="418"/>
        </w:trPr>
        <w:tc>
          <w:tcPr>
            <w:tcW w:w="360" w:type="dxa"/>
            <w:shd w:val="clear" w:color="auto" w:fill="auto"/>
            <w:vAlign w:val="center"/>
          </w:tcPr>
          <w:p w14:paraId="7CA1ABA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143E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44B28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w="648" w:type="dxa"/>
            <w:shd w:val="clear" w:color="auto" w:fill="auto"/>
            <w:vAlign w:val="center"/>
          </w:tcPr>
          <w:p w14:paraId="5262ACF6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92389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A92409D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Errores, omisiones de cálculo, especificaciones insuficientes o inconsistencias técnicas pueden afectar la calidad y completitud de los estudios y diseños.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C5AA9E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Productos no aprobados, reprocesos, riesgo para la futura contratación y ejecución de la intervención.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52F3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EA70289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8191A5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7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614238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Alto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DA45E4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5C23226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Control de calidad interno, revisión por profesionales idóneos, memorias de cálculo verificables, listas de chequeo, trazabilidad de cambios y corrección sin costo adicional hasta aprobación.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60A999F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FB43CF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094495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CD841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Bajo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E50394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76B1F5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4296BC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Durante toda la consultoría y antes de cada entrega.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4193511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Revisión técnica de supervisión, listas de chequeo, control documental y registro de observaciones/respuestas.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615C3B7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Por entrega y cuando haya ajustes</w:t>
            </w:r>
          </w:p>
        </w:tc>
      </w:tr>
      <w:tr w:rsidR="00284C5E" w:rsidRPr="00A7596C" w14:paraId="7C020497" w14:textId="77777777" w:rsidTr="00626393">
        <w:trPr>
          <w:cantSplit/>
          <w:trHeight w:val="418"/>
        </w:trPr>
        <w:tc>
          <w:tcPr>
            <w:tcW w:w="360" w:type="dxa"/>
            <w:shd w:val="clear" w:color="auto" w:fill="auto"/>
            <w:vAlign w:val="center"/>
          </w:tcPr>
          <w:p w14:paraId="7CA1ABA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7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143E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44B28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w="648" w:type="dxa"/>
            <w:shd w:val="clear" w:color="auto" w:fill="auto"/>
            <w:vAlign w:val="center"/>
          </w:tcPr>
          <w:p w14:paraId="5262ACF6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92389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Operacional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A92409D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Retrasos en la entrega o ajuste de productos, o indisponibilidad del personal clave, pueden afectar el cumplimiento del plazo contractual de dos (2) meses.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C5AA9E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Incumplimiento de hitos, concentración de revisiones al final del plazo y riesgo de entrega incompleta.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52F3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EA70289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8191A5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6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614238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Alto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DA45E4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5C23226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Plan de trabajo detallado desde el inicio, disponibilidad efectiva del personal clave, control de ruta crítica, alertas tempranas y sustituciones que cumplan los requisitos del proceso cuando sean procedentes.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60A999F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FB43CF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094495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CD841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Bajo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E50394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76B1F5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4296BC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Desde el acta de inicio y durante toda la ejecución.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4193511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Seguimiento al cronograma, comités de avance y verificación de dedicaciones.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615C3B7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Semanal</w:t>
            </w:r>
          </w:p>
        </w:tc>
      </w:tr>
      <w:tr w:rsidR="00284C5E" w:rsidRPr="00A7596C" w14:paraId="7C020497" w14:textId="77777777" w:rsidTr="00626393">
        <w:trPr>
          <w:cantSplit/>
          <w:trHeight w:val="418"/>
        </w:trPr>
        <w:tc>
          <w:tcPr>
            <w:tcW w:w="360" w:type="dxa"/>
            <w:shd w:val="clear" w:color="auto" w:fill="auto"/>
            <w:vAlign w:val="center"/>
          </w:tcPr>
          <w:p w14:paraId="7CA1ABA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8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143E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44B28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Externo</w:t>
            </w:r>
          </w:p>
        </w:tc>
        <w:tc>
          <w:tcPr>
            <w:tcW w:w="648" w:type="dxa"/>
            <w:shd w:val="clear" w:color="auto" w:fill="auto"/>
            <w:vAlign w:val="center"/>
          </w:tcPr>
          <w:p w14:paraId="5262ACF6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92389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Económico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A92409D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Variaciones de precios de materiales, equipos o mano de obra pueden afectar la vigencia del presupuesto estimado para la futura intervención.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C5AA9E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Diferencias entre el presupuesto de diseño y los valores de mercado al momento de contratar la futura obra.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52F3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EA70289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8191A5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614238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Medio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DA45E4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5C23226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Usar precios de mercado actualizados, soportar fuentes y cotizaciones, indicar fecha base del presupuesto y aplicar análisis de precios unitarios coherentes con especificaciones y cantidades.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60A999F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FB43CF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094495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4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CD841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Bajo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E50394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76B1F5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4296BC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Durante la elaboración y cierre del presupuesto de la futura intervención.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4193511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Revisión de fuentes, cotizaciones, APU y fecha base de precios.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615C3B7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Al elaborar y actualizar presupuesto</w:t>
            </w:r>
          </w:p>
        </w:tc>
      </w:tr>
      <w:tr w:rsidR="00284C5E" w:rsidRPr="00A7596C" w14:paraId="7C020497" w14:textId="77777777" w:rsidTr="00626393">
        <w:trPr>
          <w:cantSplit/>
          <w:trHeight w:val="418"/>
        </w:trPr>
        <w:tc>
          <w:tcPr>
            <w:tcW w:w="360" w:type="dxa"/>
            <w:shd w:val="clear" w:color="auto" w:fill="auto"/>
            <w:vAlign w:val="center"/>
          </w:tcPr>
          <w:p w14:paraId="7CA1ABA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9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6143E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Específico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044B28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Interno</w:t>
            </w:r>
          </w:p>
        </w:tc>
        <w:tc>
          <w:tcPr>
            <w:tcW w:w="648" w:type="dxa"/>
            <w:shd w:val="clear" w:color="auto" w:fill="auto"/>
            <w:vAlign w:val="center"/>
          </w:tcPr>
          <w:p w14:paraId="5262ACF6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Ejecución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2E92389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Tecnológico</w:t>
            </w:r>
          </w:p>
        </w:tc>
        <w:tc>
          <w:tcPr>
            <w:tcW w:w="1800" w:type="dxa"/>
            <w:shd w:val="clear" w:color="auto" w:fill="auto"/>
            <w:vAlign w:val="center"/>
          </w:tcPr>
          <w:p w14:paraId="3A92409D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Pérdida, corrupción o incompatibilidad de archivos fuente, modelos o bases de cálculo puede impedir la revisión y uso institucional de los productos.</w:t>
            </w:r>
          </w:p>
        </w:tc>
        <w:tc>
          <w:tcPr>
            <w:tcW w:w="1655" w:type="dxa"/>
            <w:shd w:val="clear" w:color="auto" w:fill="auto"/>
            <w:vAlign w:val="center"/>
          </w:tcPr>
          <w:p w14:paraId="17C5AA9E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Pérdida de información, reprocesos y productos no utilizables para permisos o futura contratación.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152F323D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4EA70289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78191A5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5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7614238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Medio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7DA45E4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25C23226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Copias de respaldo, control de versiones, software licenciado, entrega periódica de avances y entrega final en PDF y formatos fuente editables abiertos o interoperables según aplique.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260A999F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1</w:t>
            </w:r>
          </w:p>
        </w:tc>
        <w:tc>
          <w:tcPr>
            <w:tcW w:w="432" w:type="dxa"/>
            <w:shd w:val="clear" w:color="auto" w:fill="auto"/>
            <w:vAlign w:val="center"/>
          </w:tcPr>
          <w:p w14:paraId="7FB43CFA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2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094495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3</w:t>
            </w:r>
          </w:p>
        </w:tc>
        <w:tc>
          <w:tcPr>
            <w:tcW w:w="720" w:type="dxa"/>
            <w:shd w:val="clear" w:color="auto" w:fill="auto"/>
            <w:vAlign w:val="center"/>
          </w:tcPr>
          <w:p w14:paraId="13CD8411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Riesgo Bajo</w:t>
            </w:r>
          </w:p>
        </w:tc>
        <w:tc>
          <w:tcPr>
            <w:tcW w:w="576" w:type="dxa"/>
            <w:shd w:val="clear" w:color="auto" w:fill="auto"/>
            <w:vAlign w:val="center"/>
          </w:tcPr>
          <w:p w14:paraId="4E503945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Sí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76B1F5A3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Consultor</w:t>
            </w:r>
          </w:p>
        </w:tc>
        <w:tc>
          <w:tcPr>
            <w:tcW w:w="1007" w:type="dxa"/>
            <w:shd w:val="clear" w:color="auto" w:fill="auto"/>
            <w:vAlign w:val="center"/>
          </w:tcPr>
          <w:p w14:paraId="24296BCC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Durante toda la producción y entrega documental.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64193511" w14:textId="77777777" w:rsidR="0076567A" w:rsidRPr="00A7596C" w:rsidRDefault="0076567A" w:rsidP="0076567A">
            <w:pPr>
              <w:spacing w:after="0" w:afterAutospacing="1" w:before="0" w:line="204" w:lineRule="auto"/>
              <w:jc w:val="left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Verificación de integridad de archivos, estructura de carpetas y respaldos.</w:t>
            </w:r>
          </w:p>
        </w:tc>
        <w:tc>
          <w:tcPr>
            <w:tcW w:w="864" w:type="dxa"/>
            <w:shd w:val="clear" w:color="auto" w:fill="auto"/>
            <w:vAlign w:val="center"/>
          </w:tcPr>
          <w:p w14:paraId="3615C3B7" w14:textId="77777777" w:rsidR="0076567A" w:rsidRPr="00A7596C" w:rsidRDefault="0076567A" w:rsidP="0076567A">
            <w:pPr>
              <w:spacing w:after="0" w:afterAutospacing="1" w:before="0" w:line="204" w:lineRule="auto"/>
              <w:jc w:val="center"/>
              <w:rPr>
                <w:rFonts w:ascii="Verdana" w:eastAsia="SimSun" w:hAnsi="Verdana" w:cs="Arial"/>
                <w:b/>
                <w:kern w:val="3"/>
                <w:lang w:eastAsia="zh-CN" w:bidi="hi-IN"/>
              </w:rPr>
            </w:pPr>
            <w:r>
              <w:rPr>
                <w:rFonts w:ascii="Arial" w:hAnsi="Arial"/>
                <w:sz w:val="10"/>
              </w:rPr>
              <w:t>Semanal y por entrega</w:t>
            </w:r>
          </w:p>
        </w:tc>
      </w:tr>
    </w:tbl>
    <w:p w14:paraId="168C9C57" w14:textId="06F368D3" w:rsidR="00D70D7B" w:rsidRPr="00A7596C" w:rsidRDefault="00D70D7B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sectPr w:rsidR="00D70D7B" w:rsidRPr="00A7596C" w:rsidSect="00071AA4">
      <w:headerReference w:type="default" r:id="rId11"/>
      <w:footerReference w:type="default" r:id="rId12"/>
      <w:pgSz w:w="20160" w:h="12240" w:code="1" w:orient="landscape"/>
      <w:pgMar w:top="504" w:right="360" w:bottom="504" w:left="36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C4633" w14:textId="77777777" w:rsidR="0065576C" w:rsidRDefault="0065576C" w:rsidP="00091875">
      <w:pPr>
        <w:spacing w:line="240" w:lineRule="auto"/>
      </w:pPr>
      <w:r>
        <w:separator/>
      </w:r>
    </w:p>
  </w:endnote>
  <w:endnote w:type="continuationSeparator" w:id="0">
    <w:p w14:paraId="79101E20" w14:textId="77777777" w:rsidR="0065576C" w:rsidRDefault="0065576C" w:rsidP="00091875">
      <w:pPr>
        <w:spacing w:line="240" w:lineRule="auto"/>
      </w:pPr>
      <w:r>
        <w:continuationSeparator/>
      </w:r>
    </w:p>
  </w:endnote>
  <w:endnote w:type="continuationNotice" w:id="1">
    <w:p w14:paraId="6C14126E" w14:textId="77777777" w:rsidR="0065576C" w:rsidRDefault="0065576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6665D565" w14:textId="77777777" w:rsidR="004B2C32" w:rsidRDefault="004B2C32" w:rsidP="004B2C32">
    <w:pPr>
      <w:pStyle w:val="Piedepgina"/>
      <w:jc w:val="right"/>
    </w:pPr>
    <w:r>
      <w:rPr>
        <w:rStyle w:val="normaltextrun"/>
        <w:rFonts w:ascii="Verdana" w:hAnsi="Verdana"/>
        <w:color w:val="000000"/>
        <w:sz w:val="18"/>
        <w:szCs w:val="18"/>
        <w:shd w:val="clear" w:color="auto" w:fill="FFFFFF"/>
      </w:rPr>
      <w:t>Versión 1 del 15 de diciembre de 2025</w:t>
    </w:r>
    <w:r>
      <w:rPr>
        <w:rStyle w:val="eop"/>
        <w:rFonts w:ascii="Verdana" w:hAnsi="Verdana"/>
        <w:color w:val="000000"/>
        <w:sz w:val="18"/>
        <w:szCs w:val="18"/>
        <w:shd w:val="clear" w:color="auto" w:fill="FFFFFF"/>
      </w:rPr>
      <w:t> </w:t>
    </w:r>
  </w:p>
  <w:p w14:paraId="21ED77E0" w14:textId="0BB6EEFC" w:rsidR="00091875" w:rsidRPr="00A7596C" w:rsidRDefault="00091875" w:rsidP="00C006ED">
    <w:pPr>
      <w:pStyle w:val="Piedepgina"/>
      <w:jc w:val="right"/>
      <w:rPr>
        <w:rFonts w:ascii="Verdana" w:hAnsi="Verdan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9BF4A" w14:textId="77777777" w:rsidR="0065576C" w:rsidRDefault="0065576C" w:rsidP="00091875">
      <w:pPr>
        <w:spacing w:line="240" w:lineRule="auto"/>
      </w:pPr>
      <w:r>
        <w:separator/>
      </w:r>
    </w:p>
  </w:footnote>
  <w:footnote w:type="continuationSeparator" w:id="0">
    <w:p w14:paraId="217959A8" w14:textId="77777777" w:rsidR="0065576C" w:rsidRDefault="0065576C" w:rsidP="00091875">
      <w:pPr>
        <w:spacing w:line="240" w:lineRule="auto"/>
      </w:pPr>
      <w:r>
        <w:continuationSeparator/>
      </w:r>
    </w:p>
  </w:footnote>
  <w:footnote w:type="continuationNotice" w:id="1">
    <w:p w14:paraId="609C85AD" w14:textId="77777777" w:rsidR="0065576C" w:rsidRDefault="0065576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29E0A" w14:textId="77777777" w:rsidR="00A7596C" w:rsidRPr="00A7596C" w:rsidRDefault="00A7596C" w:rsidP="00A7596C">
    <w:pPr>
      <w:pStyle w:val="Encabezado"/>
      <w:jc w:val="center"/>
      <w:rPr>
        <w:rFonts w:ascii="Verdana" w:hAnsi="Verdana" w:cs="Arial"/>
        <w:b/>
        <w:sz w:val="24"/>
        <w:szCs w:val="24"/>
      </w:rPr>
    </w:pPr>
    <w:r w:rsidRPr="00A7596C">
      <w:rPr>
        <w:rFonts w:ascii="Verdana" w:hAnsi="Verdana" w:cs="Arial"/>
        <w:b/>
        <w:sz w:val="24"/>
        <w:szCs w:val="24"/>
      </w:rPr>
      <w:t>MATRIZ 3 - RIESGOS</w:t>
    </w:r>
  </w:p>
  <w:p w14:paraId="16A9E58F" w14:textId="19821BFE" w:rsidR="00C71F76" w:rsidRPr="00A7596C" w:rsidRDefault="00A7596C" w:rsidP="00A7596C">
    <w:pPr>
      <w:pStyle w:val="Encabezado"/>
      <w:jc w:val="center"/>
      <w:rPr>
        <w:rFonts w:ascii="Verdana" w:hAnsi="Verdana"/>
        <w:sz w:val="24"/>
        <w:szCs w:val="24"/>
      </w:rPr>
    </w:pPr>
    <w:r w:rsidRPr="00A7596C">
      <w:rPr>
        <w:rFonts w:ascii="Verdana" w:hAnsi="Verdana" w:cs="Arial"/>
        <w:b/>
        <w:sz w:val="24"/>
        <w:szCs w:val="24"/>
      </w:rPr>
      <w:t>CONSULTORÍA DE ESTUDIOS DE INGENIERÍA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3EB8"/>
    <w:rsid w:val="00071AA4"/>
    <w:rsid w:val="00087B27"/>
    <w:rsid w:val="00091875"/>
    <w:rsid w:val="000A2F3B"/>
    <w:rsid w:val="000C2AAE"/>
    <w:rsid w:val="000D1AB7"/>
    <w:rsid w:val="000D74FC"/>
    <w:rsid w:val="00101037"/>
    <w:rsid w:val="00103B17"/>
    <w:rsid w:val="00106362"/>
    <w:rsid w:val="001165BC"/>
    <w:rsid w:val="001246B3"/>
    <w:rsid w:val="00136C78"/>
    <w:rsid w:val="001418C0"/>
    <w:rsid w:val="001477DE"/>
    <w:rsid w:val="0015719E"/>
    <w:rsid w:val="0018442A"/>
    <w:rsid w:val="001D1F23"/>
    <w:rsid w:val="001E0068"/>
    <w:rsid w:val="001E281B"/>
    <w:rsid w:val="001E7630"/>
    <w:rsid w:val="0021061A"/>
    <w:rsid w:val="00210698"/>
    <w:rsid w:val="002115ED"/>
    <w:rsid w:val="002401FD"/>
    <w:rsid w:val="00277255"/>
    <w:rsid w:val="00284C5E"/>
    <w:rsid w:val="00286083"/>
    <w:rsid w:val="00290DAD"/>
    <w:rsid w:val="002A4809"/>
    <w:rsid w:val="002D2409"/>
    <w:rsid w:val="002F66C0"/>
    <w:rsid w:val="003322F8"/>
    <w:rsid w:val="00352B55"/>
    <w:rsid w:val="00374B32"/>
    <w:rsid w:val="00375454"/>
    <w:rsid w:val="0039239D"/>
    <w:rsid w:val="003B0F50"/>
    <w:rsid w:val="003B1CA8"/>
    <w:rsid w:val="003B7338"/>
    <w:rsid w:val="003E331F"/>
    <w:rsid w:val="003E4428"/>
    <w:rsid w:val="003F50E3"/>
    <w:rsid w:val="0041494A"/>
    <w:rsid w:val="004338C5"/>
    <w:rsid w:val="004720B2"/>
    <w:rsid w:val="004B2C32"/>
    <w:rsid w:val="004C79F3"/>
    <w:rsid w:val="004D7C35"/>
    <w:rsid w:val="00507FAA"/>
    <w:rsid w:val="00511F46"/>
    <w:rsid w:val="00513343"/>
    <w:rsid w:val="0052653F"/>
    <w:rsid w:val="00540CF2"/>
    <w:rsid w:val="00545461"/>
    <w:rsid w:val="005752CE"/>
    <w:rsid w:val="0058222E"/>
    <w:rsid w:val="005849BA"/>
    <w:rsid w:val="0059214D"/>
    <w:rsid w:val="005A2CF0"/>
    <w:rsid w:val="005B4AEB"/>
    <w:rsid w:val="005D2051"/>
    <w:rsid w:val="005D338E"/>
    <w:rsid w:val="005E5030"/>
    <w:rsid w:val="006030C5"/>
    <w:rsid w:val="00615605"/>
    <w:rsid w:val="00626393"/>
    <w:rsid w:val="0065576C"/>
    <w:rsid w:val="00686C25"/>
    <w:rsid w:val="00692562"/>
    <w:rsid w:val="00694CC1"/>
    <w:rsid w:val="006A3288"/>
    <w:rsid w:val="006B4FEE"/>
    <w:rsid w:val="006E6D9B"/>
    <w:rsid w:val="007115DA"/>
    <w:rsid w:val="00721886"/>
    <w:rsid w:val="00762556"/>
    <w:rsid w:val="007634F1"/>
    <w:rsid w:val="0076567A"/>
    <w:rsid w:val="00776850"/>
    <w:rsid w:val="0077727E"/>
    <w:rsid w:val="007840F9"/>
    <w:rsid w:val="007B33E6"/>
    <w:rsid w:val="007C5B18"/>
    <w:rsid w:val="007C702A"/>
    <w:rsid w:val="007D1074"/>
    <w:rsid w:val="00805ECB"/>
    <w:rsid w:val="00815604"/>
    <w:rsid w:val="00822C78"/>
    <w:rsid w:val="00833F3B"/>
    <w:rsid w:val="0083624D"/>
    <w:rsid w:val="00850927"/>
    <w:rsid w:val="008537E3"/>
    <w:rsid w:val="0085653A"/>
    <w:rsid w:val="0085672F"/>
    <w:rsid w:val="0086197B"/>
    <w:rsid w:val="00874392"/>
    <w:rsid w:val="00876193"/>
    <w:rsid w:val="00885039"/>
    <w:rsid w:val="00885932"/>
    <w:rsid w:val="00886FA1"/>
    <w:rsid w:val="008B731C"/>
    <w:rsid w:val="008E39CA"/>
    <w:rsid w:val="00912B23"/>
    <w:rsid w:val="009321E7"/>
    <w:rsid w:val="009418E4"/>
    <w:rsid w:val="009771F1"/>
    <w:rsid w:val="009C5BB5"/>
    <w:rsid w:val="009D366A"/>
    <w:rsid w:val="009E77AD"/>
    <w:rsid w:val="00A05CCA"/>
    <w:rsid w:val="00A1437D"/>
    <w:rsid w:val="00A213B7"/>
    <w:rsid w:val="00A36E4A"/>
    <w:rsid w:val="00A411F2"/>
    <w:rsid w:val="00A577E1"/>
    <w:rsid w:val="00A7073D"/>
    <w:rsid w:val="00A7596C"/>
    <w:rsid w:val="00A802EF"/>
    <w:rsid w:val="00A9107A"/>
    <w:rsid w:val="00AB5F8B"/>
    <w:rsid w:val="00AE2ECB"/>
    <w:rsid w:val="00AF41A0"/>
    <w:rsid w:val="00B26E25"/>
    <w:rsid w:val="00B46B54"/>
    <w:rsid w:val="00B60C9E"/>
    <w:rsid w:val="00B65396"/>
    <w:rsid w:val="00B76DAD"/>
    <w:rsid w:val="00B773A4"/>
    <w:rsid w:val="00B81B1F"/>
    <w:rsid w:val="00B83621"/>
    <w:rsid w:val="00B92158"/>
    <w:rsid w:val="00B94790"/>
    <w:rsid w:val="00BA3870"/>
    <w:rsid w:val="00C006ED"/>
    <w:rsid w:val="00C359F7"/>
    <w:rsid w:val="00C53FEB"/>
    <w:rsid w:val="00C54F77"/>
    <w:rsid w:val="00C71F76"/>
    <w:rsid w:val="00C92AA6"/>
    <w:rsid w:val="00CB7D17"/>
    <w:rsid w:val="00CD1911"/>
    <w:rsid w:val="00CD267D"/>
    <w:rsid w:val="00D13765"/>
    <w:rsid w:val="00D70D7B"/>
    <w:rsid w:val="00D86ECC"/>
    <w:rsid w:val="00DA2321"/>
    <w:rsid w:val="00DA765A"/>
    <w:rsid w:val="00DC4D42"/>
    <w:rsid w:val="00DD4300"/>
    <w:rsid w:val="00DE5182"/>
    <w:rsid w:val="00DF421A"/>
    <w:rsid w:val="00E011A2"/>
    <w:rsid w:val="00E3575A"/>
    <w:rsid w:val="00E46F79"/>
    <w:rsid w:val="00E56873"/>
    <w:rsid w:val="00E62BCF"/>
    <w:rsid w:val="00E84733"/>
    <w:rsid w:val="00E93807"/>
    <w:rsid w:val="00F56CD2"/>
    <w:rsid w:val="00F6022F"/>
    <w:rsid w:val="00F63350"/>
    <w:rsid w:val="00F65A8E"/>
    <w:rsid w:val="00F77C04"/>
    <w:rsid w:val="00F92793"/>
    <w:rsid w:val="00F9784E"/>
    <w:rsid w:val="3F586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744A344"/>
  <w15:docId w15:val="{233A3708-D974-449A-88BA-FABA04598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rmalWeb">
    <w:name w:val="Normal (Web)"/>
    <w:basedOn w:val="Normal"/>
    <w:uiPriority w:val="99"/>
    <w:semiHidden/>
    <w:unhideWhenUsed/>
    <w:rsid w:val="00822C78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character" w:customStyle="1" w:styleId="normaltextrun">
    <w:name w:val="normaltextrun"/>
    <w:basedOn w:val="Fuentedeprrafopredeter"/>
    <w:rsid w:val="00C006ED"/>
  </w:style>
  <w:style w:type="character" w:customStyle="1" w:styleId="eop">
    <w:name w:val="eop"/>
    <w:basedOn w:val="Fuentedeprrafopredeter"/>
    <w:rsid w:val="00C006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563816eff7b27c518f4452e301140c9d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eb2d2e0593e1272b3512cc9bb12824ba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CDA980-B793-F944-A8B2-4581E9DABC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purl.org/dc/dcmitype/"/>
    <ds:schemaRef ds:uri="http://schemas.microsoft.com/office/infopath/2007/PartnerControls"/>
    <ds:schemaRef ds:uri="a6cb9e4b-f1d1-4245-83ec-6cad768d538a"/>
    <ds:schemaRef ds:uri="http://schemas.openxmlformats.org/package/2006/metadata/core-properties"/>
    <ds:schemaRef ds:uri="http://purl.org/dc/terms/"/>
    <ds:schemaRef ds:uri="9d85dbaf-23eb-4e57-a637-93dcacc8b1a1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8939E1D2-219E-4674-9456-1CCBD199A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1965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Adriana</cp:lastModifiedBy>
  <cp:revision>8</cp:revision>
  <cp:lastPrinted>2021-07-12T17:48:00Z</cp:lastPrinted>
  <dcterms:created xsi:type="dcterms:W3CDTF">2022-08-02T16:18:00Z</dcterms:created>
  <dcterms:modified xsi:type="dcterms:W3CDTF">2025-12-16T19:46:00Z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