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C7B0B2" w14:textId="77777777" w:rsidR="004342C9" w:rsidRDefault="00000000">
      <w:pPr>
        <w:rPr>
          <w:rFonts w:ascii="Verdana" w:eastAsia="Verdana" w:hAnsi="Verdana" w:cs="Verdana"/>
          <w:b/>
          <w:bCs/>
          <w:sz w:val="22"/>
          <w:szCs w:val="22"/>
        </w:rPr>
      </w:pPr>
      <w:r>
        <w:rPr>
          <w:rFonts w:ascii="Verdana" w:eastAsia="Verdana" w:hAnsi="Verdana" w:cs="Verdana"/>
          <w:b/>
          <w:bCs/>
          <w:sz w:val="22"/>
          <w:szCs w:val="22"/>
          <w:highlight w:val="lightGray"/>
        </w:rPr>
        <w:t>[Número del Proceso de Contratación]</w:t>
      </w:r>
      <w:r>
        <w:rPr>
          <w:rFonts w:ascii="Verdana" w:eastAsia="Verdana" w:hAnsi="Verdana" w:cs="Verdana"/>
          <w:b/>
          <w:bCs/>
          <w:sz w:val="22"/>
          <w:szCs w:val="22"/>
        </w:rPr>
        <w:t xml:space="preserve"> </w:t>
      </w:r>
    </w:p>
    <w:p w14:paraId="1ED25F94" w14:textId="77777777" w:rsidR="004342C9" w:rsidRDefault="004342C9">
      <w:pPr>
        <w:jc w:val="right"/>
        <w:rPr>
          <w:rFonts w:ascii="Verdana" w:eastAsia="Verdana" w:hAnsi="Verdana" w:cs="Verdana"/>
          <w:b/>
          <w:bCs/>
          <w:sz w:val="22"/>
          <w:szCs w:val="22"/>
        </w:rPr>
      </w:pPr>
    </w:p>
    <w:p w14:paraId="07A96C1D" w14:textId="77777777" w:rsidR="004342C9" w:rsidRDefault="00000000">
      <w:pPr>
        <w:pStyle w:val="Ttulo"/>
        <w:rPr>
          <w:rFonts w:ascii="Verdana" w:eastAsia="Verdana" w:hAnsi="Verdana" w:cs="Verdana"/>
          <w:sz w:val="22"/>
          <w:szCs w:val="22"/>
        </w:rPr>
      </w:pPr>
      <w:r>
        <w:rPr>
          <w:rFonts w:ascii="Verdana" w:eastAsia="Verdana" w:hAnsi="Verdana" w:cs="Verdana"/>
          <w:sz w:val="22"/>
          <w:szCs w:val="22"/>
        </w:rPr>
        <w:t>ANEXO 1— ANEXO TÉCNICO CONSULTORÍA</w:t>
      </w:r>
    </w:p>
    <w:p w14:paraId="09A5429F" w14:textId="77777777" w:rsidR="004342C9" w:rsidRDefault="004342C9">
      <w:pPr>
        <w:rPr>
          <w:rFonts w:ascii="Verdana" w:eastAsia="Verdana" w:hAnsi="Verdana" w:cs="Verdana"/>
          <w:sz w:val="22"/>
          <w:szCs w:val="22"/>
        </w:rPr>
      </w:pPr>
    </w:p>
    <w:p w14:paraId="23F97613" w14:textId="77777777" w:rsidR="004342C9" w:rsidRDefault="004342C9">
      <w:pPr>
        <w:pBdr>
          <w:top w:val="nil"/>
          <w:left w:val="nil"/>
          <w:bottom w:val="nil"/>
          <w:right w:val="nil"/>
          <w:between w:val="nil"/>
        </w:pBdr>
        <w:spacing w:after="0" w:line="240" w:lineRule="auto"/>
        <w:rPr>
          <w:rFonts w:ascii="Verdana" w:eastAsia="Verdana" w:hAnsi="Verdana" w:cs="Verdana"/>
          <w:color w:val="000000"/>
          <w:sz w:val="22"/>
          <w:szCs w:val="22"/>
        </w:rPr>
      </w:pPr>
    </w:p>
    <w:p w14:paraId="3433861A" w14:textId="77777777" w:rsidR="004342C9" w:rsidRDefault="00000000">
      <w:pPr>
        <w:rPr>
          <w:rFonts w:ascii="Verdana" w:eastAsia="Verdana" w:hAnsi="Verdana" w:cs="Verdana"/>
          <w:b/>
          <w:bCs/>
          <w:sz w:val="22"/>
          <w:szCs w:val="22"/>
          <w:highlight w:val="lightGray"/>
        </w:rPr>
      </w:pPr>
      <w:r>
        <w:rPr>
          <w:rFonts w:ascii="Verdana" w:eastAsia="Verdana" w:hAnsi="Verdana" w:cs="Verdana"/>
          <w:b/>
          <w:bCs/>
          <w:sz w:val="22"/>
          <w:szCs w:val="22"/>
        </w:rPr>
        <w:t>Realizar los estudios y diseños técnicos integrales para la complementación de la membrana arquitectónica, las soluciones de accesibilidad para personas con movilidad reducida (PMR) y las adecuaciones técnicas del escenario “El Muelle” de la Fundación Gilberto Álzate Avendaño – FUGA.</w:t>
      </w:r>
    </w:p>
    <w:p w14:paraId="37AC6D0F" w14:textId="77777777" w:rsidR="004342C9" w:rsidRDefault="00000000">
      <w:pPr>
        <w:numPr>
          <w:ilvl w:val="0"/>
          <w:numId w:val="1"/>
        </w:numPr>
        <w:rPr>
          <w:rFonts w:ascii="Verdana" w:eastAsia="Verdana" w:hAnsi="Verdana" w:cs="Verdana"/>
          <w:b/>
          <w:bCs/>
          <w:sz w:val="22"/>
          <w:szCs w:val="22"/>
          <w:highlight w:val="lightGray"/>
        </w:rPr>
      </w:pPr>
      <w:r>
        <w:rPr>
          <w:rFonts w:ascii="Verdana" w:eastAsia="Verdana" w:hAnsi="Verdana" w:cs="Verdana"/>
          <w:b/>
          <w:bCs/>
          <w:sz w:val="22"/>
          <w:szCs w:val="22"/>
          <w:highlight w:val="lightGray"/>
        </w:rPr>
        <w:t>DESCRIPCIÓN DEL PROYECTO DE CONSULTORÍA</w:t>
      </w:r>
    </w:p>
    <w:p w14:paraId="6CE0BB94" w14:textId="77777777" w:rsidR="004342C9" w:rsidRDefault="00000000">
      <w:pPr>
        <w:ind w:right="46"/>
        <w:rPr>
          <w:sz w:val="22"/>
          <w:szCs w:val="22"/>
        </w:rPr>
      </w:pPr>
      <w:r>
        <w:rPr>
          <w:b/>
          <w:bCs/>
          <w:sz w:val="22"/>
          <w:szCs w:val="22"/>
        </w:rPr>
        <w:t>1.</w:t>
      </w:r>
      <w:r>
        <w:rPr>
          <w:sz w:val="22"/>
          <w:szCs w:val="22"/>
        </w:rPr>
        <w:t> La Constitución Política de 1991 en el artículo 70 dispone que </w:t>
      </w:r>
      <w:r>
        <w:rPr>
          <w:i/>
          <w:iCs/>
          <w:sz w:val="22"/>
          <w:szCs w:val="22"/>
        </w:rPr>
        <w:t>“El Estado tiene el deber de promover y fomentar el acceso a la cultura de todos los colombianos en igualdad de oportunidades, por medio de la educación permanente y la enseñanza científica, técnica, artística y profesional en todas las etapas del proceso de creación de la identidad nacional”</w:t>
      </w:r>
      <w:r>
        <w:rPr>
          <w:sz w:val="22"/>
          <w:szCs w:val="22"/>
        </w:rPr>
        <w:t>.</w:t>
      </w:r>
    </w:p>
    <w:p w14:paraId="04890286" w14:textId="77777777" w:rsidR="004342C9" w:rsidRDefault="00000000">
      <w:pPr>
        <w:ind w:right="46"/>
        <w:rPr>
          <w:sz w:val="22"/>
          <w:szCs w:val="22"/>
        </w:rPr>
      </w:pPr>
      <w:r>
        <w:rPr>
          <w:b/>
          <w:bCs/>
          <w:sz w:val="22"/>
          <w:szCs w:val="22"/>
        </w:rPr>
        <w:t>2.</w:t>
      </w:r>
      <w:r>
        <w:rPr>
          <w:sz w:val="22"/>
          <w:szCs w:val="22"/>
        </w:rPr>
        <w:t> A su vez, en el artículo 209 de la Carta Política de Colombia determina que </w:t>
      </w:r>
      <w:r>
        <w:rPr>
          <w:i/>
          <w:iCs/>
          <w:sz w:val="22"/>
          <w:szCs w:val="22"/>
        </w:rPr>
        <w:t>“La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Las autoridades administrativas deben coordinar sus actuaciones para el adecuado cumplimiento de los fines del Estado. La administración pública, en todos sus órdenes, tendrá un control interno que se ejercerá en los términos que señale la ley”.</w:t>
      </w:r>
    </w:p>
    <w:p w14:paraId="1732756C" w14:textId="77777777" w:rsidR="004342C9" w:rsidRDefault="00000000">
      <w:pPr>
        <w:ind w:right="46"/>
        <w:rPr>
          <w:i/>
          <w:iCs/>
          <w:sz w:val="22"/>
          <w:szCs w:val="22"/>
        </w:rPr>
      </w:pPr>
      <w:r>
        <w:rPr>
          <w:b/>
          <w:bCs/>
          <w:sz w:val="22"/>
          <w:szCs w:val="22"/>
        </w:rPr>
        <w:t>3.</w:t>
      </w:r>
      <w:r>
        <w:rPr>
          <w:sz w:val="22"/>
          <w:szCs w:val="22"/>
        </w:rPr>
        <w:t> En desarrollo de los anteriores postulados constitucionales, la Ley 397 de 1997 </w:t>
      </w:r>
      <w:r>
        <w:rPr>
          <w:i/>
          <w:iCs/>
          <w:sz w:val="22"/>
          <w:szCs w:val="22"/>
        </w:rPr>
        <w:t>“Por la cual se desarrollan los artículos </w:t>
      </w:r>
      <w:hyperlink r:id="rId8" w:anchor="70">
        <w:r>
          <w:rPr>
            <w:i/>
            <w:iCs/>
            <w:sz w:val="22"/>
            <w:szCs w:val="22"/>
          </w:rPr>
          <w:t>70</w:t>
        </w:r>
      </w:hyperlink>
      <w:r>
        <w:rPr>
          <w:i/>
          <w:iCs/>
          <w:sz w:val="22"/>
          <w:szCs w:val="22"/>
        </w:rPr>
        <w:t>, </w:t>
      </w:r>
      <w:hyperlink r:id="rId9" w:anchor="71">
        <w:r>
          <w:rPr>
            <w:i/>
            <w:iCs/>
            <w:sz w:val="22"/>
            <w:szCs w:val="22"/>
          </w:rPr>
          <w:t>71</w:t>
        </w:r>
      </w:hyperlink>
      <w:r>
        <w:rPr>
          <w:i/>
          <w:iCs/>
          <w:sz w:val="22"/>
          <w:szCs w:val="22"/>
        </w:rPr>
        <w:t> y </w:t>
      </w:r>
      <w:hyperlink r:id="rId10" w:anchor="72">
        <w:r>
          <w:rPr>
            <w:i/>
            <w:iCs/>
            <w:sz w:val="22"/>
            <w:szCs w:val="22"/>
          </w:rPr>
          <w:t>72</w:t>
        </w:r>
      </w:hyperlink>
      <w:r>
        <w:rPr>
          <w:i/>
          <w:iCs/>
          <w:sz w:val="22"/>
          <w:szCs w:val="22"/>
        </w:rPr>
        <w:t> y demás artículos concordantes de la Constitución Política y se dictan normas sobre patrimonio cultural, fomentos y estímulos a la cultura, se crea el Ministerio de la Cultura y se trasladan algunas dependencias” </w:t>
      </w:r>
      <w:r>
        <w:rPr>
          <w:sz w:val="22"/>
          <w:szCs w:val="22"/>
        </w:rPr>
        <w:t>señala en el artículo 17 que </w:t>
      </w:r>
      <w:r>
        <w:rPr>
          <w:i/>
          <w:iCs/>
          <w:sz w:val="22"/>
          <w:szCs w:val="22"/>
        </w:rPr>
        <w:t>“El Estado a través del Ministerio de Cultura y las entidades territoriales, fomentará las artes en todas sus expresiones y las demás manifestaciones simbólicas expresivas, como elementos del diálogo, el intercambio, la participación y como expresión libre y primordial del pensamiento del ser humano que construye en la convivencia pacífica”.</w:t>
      </w:r>
    </w:p>
    <w:p w14:paraId="05CF6031" w14:textId="77777777" w:rsidR="004342C9" w:rsidRDefault="00000000">
      <w:pPr>
        <w:ind w:right="46"/>
        <w:rPr>
          <w:sz w:val="22"/>
          <w:szCs w:val="22"/>
        </w:rPr>
      </w:pPr>
      <w:r>
        <w:rPr>
          <w:sz w:val="22"/>
          <w:szCs w:val="22"/>
        </w:rPr>
        <w:t xml:space="preserve">Del mismo modo, el artículo 18 </w:t>
      </w:r>
      <w:proofErr w:type="spellStart"/>
      <w:r>
        <w:rPr>
          <w:sz w:val="22"/>
          <w:szCs w:val="22"/>
        </w:rPr>
        <w:t>Ibídem</w:t>
      </w:r>
      <w:proofErr w:type="spellEnd"/>
      <w:r>
        <w:rPr>
          <w:sz w:val="22"/>
          <w:szCs w:val="22"/>
        </w:rPr>
        <w:t xml:space="preserve"> dispone que </w:t>
      </w:r>
      <w:r>
        <w:rPr>
          <w:i/>
          <w:iCs/>
          <w:sz w:val="22"/>
          <w:szCs w:val="22"/>
        </w:rPr>
        <w:t>“El Estado, a través del Ministerio de Cultura y las entidades territoriales, establecerá estímulos especiales y promocionará la creación, la actividad artística y cultural, la investigación y el fortalecimiento de las expresiones culturales (…)”. </w:t>
      </w:r>
    </w:p>
    <w:p w14:paraId="7FA9F4DD" w14:textId="77777777" w:rsidR="004342C9" w:rsidRDefault="00000000">
      <w:pPr>
        <w:ind w:right="46"/>
        <w:rPr>
          <w:sz w:val="22"/>
          <w:szCs w:val="22"/>
        </w:rPr>
      </w:pPr>
      <w:r>
        <w:rPr>
          <w:b/>
          <w:bCs/>
          <w:sz w:val="22"/>
          <w:szCs w:val="22"/>
        </w:rPr>
        <w:lastRenderedPageBreak/>
        <w:t>4.</w:t>
      </w:r>
      <w:r>
        <w:rPr>
          <w:sz w:val="22"/>
          <w:szCs w:val="22"/>
        </w:rPr>
        <w:t> La Fundación Gilberto Álzate Avendaño – FUGA es un establecimiento público del orden Distrital, con personería jurídica, autonomía administrativa y patrimonio propio e independiente, adscrito a la Secretaría Distrital de Cultura Recreación y Deporte - SCRD, cuyo objeto principal es la adopción, integración, coordinación y financiación de programas dirigidos al fomento y desarrollo de la cultura. La FUGA es la entidad pública del sector Cultura Recreación y Deporte del Distrito Capital, que lidera, articula y fomenta, de manera incluyente y participativa, la actividad artística, la gestión cultural, y las industrias culturales y creativas, potenciando la transformación cultural, social, económica y patrimonial del centro de Bogotá, para avanzar en la garantía de los derechos culturales de la ciudadanía y en la sostenibilidad de los agentes culturales y creativos.</w:t>
      </w:r>
    </w:p>
    <w:p w14:paraId="3623C3E9" w14:textId="77777777" w:rsidR="004342C9" w:rsidRDefault="00000000">
      <w:pPr>
        <w:ind w:right="46"/>
        <w:rPr>
          <w:sz w:val="22"/>
          <w:szCs w:val="22"/>
        </w:rPr>
      </w:pPr>
      <w:r>
        <w:rPr>
          <w:sz w:val="22"/>
          <w:szCs w:val="22"/>
        </w:rPr>
        <w:t>A lo largo de los años, la FUGA se ha constituido como una plataforma pública de la administración distrital que articula y gestiona la revitalización y transformación participativa del Centro de Bogotá a través de su potencial creativo, el arte y la cultura.</w:t>
      </w:r>
    </w:p>
    <w:p w14:paraId="151FA4A1" w14:textId="77777777" w:rsidR="004342C9" w:rsidRDefault="00000000">
      <w:pPr>
        <w:ind w:right="46"/>
        <w:rPr>
          <w:sz w:val="22"/>
          <w:szCs w:val="22"/>
        </w:rPr>
      </w:pPr>
      <w:r>
        <w:rPr>
          <w:sz w:val="22"/>
          <w:szCs w:val="22"/>
        </w:rPr>
        <w:t>Para este fin, se han propuesto los siguientes objetivos estratégicos:</w:t>
      </w:r>
    </w:p>
    <w:p w14:paraId="79FB65F0" w14:textId="77777777" w:rsidR="004342C9" w:rsidRDefault="00000000">
      <w:pPr>
        <w:numPr>
          <w:ilvl w:val="0"/>
          <w:numId w:val="4"/>
        </w:numPr>
        <w:spacing w:after="0" w:line="240" w:lineRule="auto"/>
        <w:rPr>
          <w:rFonts w:ascii="Noto Sans Symbols" w:eastAsia="Noto Sans Symbols" w:hAnsi="Noto Sans Symbols" w:cs="Noto Sans Symbols"/>
          <w:b/>
          <w:bCs/>
          <w:sz w:val="22"/>
          <w:szCs w:val="22"/>
        </w:rPr>
      </w:pPr>
      <w:r>
        <w:rPr>
          <w:color w:val="212529"/>
          <w:sz w:val="22"/>
          <w:szCs w:val="22"/>
        </w:rPr>
        <w:t>Incrementar la gestión territorial en el centro de Bogotá con procesos inclusivos, diversos y pluriculturales, mediante la articulación de diferentes actores del ecosistema artístico, cultural y creativo, para transformar espacios e imaginarios sociales.</w:t>
      </w:r>
    </w:p>
    <w:p w14:paraId="3C82A3E5" w14:textId="77777777" w:rsidR="004342C9" w:rsidRDefault="00000000">
      <w:pPr>
        <w:numPr>
          <w:ilvl w:val="0"/>
          <w:numId w:val="4"/>
        </w:numPr>
        <w:spacing w:after="0" w:line="240" w:lineRule="auto"/>
        <w:rPr>
          <w:rFonts w:ascii="Noto Sans Symbols" w:eastAsia="Noto Sans Symbols" w:hAnsi="Noto Sans Symbols" w:cs="Noto Sans Symbols"/>
          <w:b/>
          <w:bCs/>
          <w:sz w:val="22"/>
          <w:szCs w:val="22"/>
        </w:rPr>
      </w:pPr>
      <w:r>
        <w:rPr>
          <w:color w:val="212529"/>
          <w:sz w:val="22"/>
          <w:szCs w:val="22"/>
        </w:rPr>
        <w:t>Fortalecer el ecosistema artístico, creativo y cultural del centro de la ciudad, mediante acciones de transformación social, cultural y económica, contribuyendo a la participación de la ciudadanía y a su posicionamiento como el corazón de las industrias culturales y creativas de Bogotá.</w:t>
      </w:r>
    </w:p>
    <w:p w14:paraId="7AD65DD5" w14:textId="77777777" w:rsidR="004342C9" w:rsidRDefault="00000000">
      <w:pPr>
        <w:numPr>
          <w:ilvl w:val="0"/>
          <w:numId w:val="4"/>
        </w:numPr>
        <w:spacing w:after="0" w:line="240" w:lineRule="auto"/>
        <w:rPr>
          <w:rFonts w:ascii="Noto Sans Symbols" w:eastAsia="Noto Sans Symbols" w:hAnsi="Noto Sans Symbols" w:cs="Noto Sans Symbols"/>
          <w:b/>
          <w:bCs/>
          <w:sz w:val="22"/>
          <w:szCs w:val="22"/>
        </w:rPr>
      </w:pPr>
      <w:r>
        <w:rPr>
          <w:color w:val="212529"/>
          <w:sz w:val="22"/>
          <w:szCs w:val="22"/>
        </w:rPr>
        <w:t>Fomentar las prácticas artísticas y culturales mediante el impulso, apoyo y reconocimiento a los artistas y agentes del sector, posicionando el centro de Bogotá y la oferta artística y cultural de la FUGA, para el uso, goce y disfrute de los derechos culturales de la ciudadanía.</w:t>
      </w:r>
    </w:p>
    <w:p w14:paraId="0CDAA5D3" w14:textId="77777777" w:rsidR="004342C9" w:rsidRDefault="00000000">
      <w:pPr>
        <w:numPr>
          <w:ilvl w:val="0"/>
          <w:numId w:val="4"/>
        </w:numPr>
        <w:spacing w:after="0" w:line="240" w:lineRule="auto"/>
        <w:rPr>
          <w:rFonts w:ascii="Noto Sans Symbols" w:eastAsia="Noto Sans Symbols" w:hAnsi="Noto Sans Symbols" w:cs="Noto Sans Symbols"/>
          <w:b/>
          <w:bCs/>
          <w:sz w:val="22"/>
          <w:szCs w:val="22"/>
        </w:rPr>
      </w:pPr>
      <w:r>
        <w:rPr>
          <w:color w:val="212529"/>
          <w:sz w:val="22"/>
          <w:szCs w:val="22"/>
        </w:rPr>
        <w:t>Fortalecer la gestión institucional, optimizando los recursos tecnológicos, financieros, físicos y su equipo humano, para mejorar el relacionamiento integral con los grupos de valor y asegurar el cumplimiento de la misión.</w:t>
      </w:r>
    </w:p>
    <w:p w14:paraId="3B184347" w14:textId="77777777" w:rsidR="004342C9" w:rsidRDefault="004342C9">
      <w:pPr>
        <w:spacing w:after="0" w:line="240" w:lineRule="auto"/>
        <w:ind w:left="720"/>
        <w:rPr>
          <w:rFonts w:ascii="Noto Sans Symbols" w:eastAsia="Noto Sans Symbols" w:hAnsi="Noto Sans Symbols" w:cs="Noto Sans Symbols"/>
          <w:b/>
          <w:bCs/>
          <w:sz w:val="22"/>
          <w:szCs w:val="22"/>
        </w:rPr>
      </w:pPr>
    </w:p>
    <w:p w14:paraId="2CD9DA67" w14:textId="77777777" w:rsidR="004342C9" w:rsidRDefault="00000000">
      <w:pPr>
        <w:ind w:right="46"/>
        <w:rPr>
          <w:sz w:val="22"/>
          <w:szCs w:val="22"/>
        </w:rPr>
      </w:pPr>
      <w:r>
        <w:rPr>
          <w:sz w:val="22"/>
          <w:szCs w:val="22"/>
        </w:rPr>
        <w:t xml:space="preserve">Para dar cumplimiento de su misionalidad, y de según el Acuerdo de Junta Directiva 004 de 2017, la FUGA cuenta con varias dependencias, dentro de las cuales una es la </w:t>
      </w:r>
      <w:r>
        <w:rPr>
          <w:b/>
          <w:bCs/>
          <w:sz w:val="22"/>
          <w:szCs w:val="22"/>
        </w:rPr>
        <w:t>Subdirección Artística y Cultural – SAC</w:t>
      </w:r>
      <w:r>
        <w:rPr>
          <w:sz w:val="22"/>
          <w:szCs w:val="22"/>
        </w:rPr>
        <w:t>, la cual tiene las siguientes funciones:</w:t>
      </w:r>
    </w:p>
    <w:p w14:paraId="3C9C7291" w14:textId="77777777" w:rsidR="004342C9" w:rsidRDefault="00000000">
      <w:pPr>
        <w:ind w:right="46"/>
        <w:rPr>
          <w:i/>
          <w:iCs/>
          <w:sz w:val="22"/>
          <w:szCs w:val="22"/>
        </w:rPr>
      </w:pPr>
      <w:r>
        <w:rPr>
          <w:b/>
          <w:bCs/>
          <w:sz w:val="22"/>
          <w:szCs w:val="22"/>
        </w:rPr>
        <w:t>Subdirección Artística y Cultural – SAC</w:t>
      </w:r>
      <w:r>
        <w:rPr>
          <w:sz w:val="22"/>
          <w:szCs w:val="22"/>
        </w:rPr>
        <w:t xml:space="preserve">, cuyas funciones son: </w:t>
      </w:r>
      <w:r>
        <w:rPr>
          <w:i/>
          <w:iCs/>
          <w:sz w:val="22"/>
          <w:szCs w:val="22"/>
        </w:rPr>
        <w:t xml:space="preserve">“1. Gestionar el diseño, implementación y ejecución de planes, programas y proyectos tendientes a la formación, creación, investigación, circulación y apropiación del arte y la cultura. 2. Establecer junto con la Dirección General el diseño de estrategias, planes y proyectos que garanticen el desarrollo de las expresiones artísticas y que interpreten la diversidad cultural de los habitantes del Distrito Capital. 3. Planear, ejecutar, evaluar y gestionar los programas, </w:t>
      </w:r>
      <w:r>
        <w:rPr>
          <w:i/>
          <w:iCs/>
          <w:sz w:val="22"/>
          <w:szCs w:val="22"/>
        </w:rPr>
        <w:lastRenderedPageBreak/>
        <w:t>planes y proyectos artísticos y culturales que se enmarquen en las políticas públicas artísticas y culturales del nivel Distrital. 4. Gestionar los aspectos misionales, organizativos y administrativos para el desarrollo de los planes, programas y proyectos dirigidos a la formación, investigación, creación, circulación y apropiación de las artes y la cultura en la ciudad. 5. Diseñar las herramientas necesarias para la promoción y el fortalecimiento de las alianzas entre agentes artísticos y culturales y la Fundación. 6. Diseñar los lineamientos específicos y hacer seguimiento a las convocatorias públicas ofertadas en el arte y la cultura conforme a las políticas del Sector Cultura, Recreación y Deporte. 7. Dirigir la producción técnica requerida para la ejecución de las actividades y eventos artísticos y culturales de la Fundación. 8. Dirigir conceptual, técnica y operativamente, la programación y el funcionamiento de los espacios de la Fundación.9. Las demás que le sean propias de acuerdo con la naturaleza de la dependencia”.</w:t>
      </w:r>
    </w:p>
    <w:p w14:paraId="58E3F3A6" w14:textId="77777777" w:rsidR="004342C9" w:rsidRDefault="00000000">
      <w:pPr>
        <w:ind w:right="46"/>
        <w:rPr>
          <w:sz w:val="22"/>
          <w:szCs w:val="22"/>
        </w:rPr>
      </w:pPr>
      <w:r>
        <w:rPr>
          <w:sz w:val="22"/>
          <w:szCs w:val="22"/>
        </w:rPr>
        <w:t xml:space="preserve">Ahora bien, el Plan de Desarrollo vigente denominado “Bogotá camina segura”, tiene como objetivo mejorar la calidad de vida de las personas garantizándoles una mayor seguridad, inclusión, libertad, igualdad de oportunidades y un acceso más justo a bienes y servicios públicos, fortaleciendo el tejido social en un marco de construcción de confianza y aprovechando el potencial de la sociedad y su territorio a partir de un modelo de desarrollo comprometido con la acción climática y la integración regional. </w:t>
      </w:r>
    </w:p>
    <w:p w14:paraId="3C071261" w14:textId="77777777" w:rsidR="004342C9" w:rsidRDefault="00000000">
      <w:pPr>
        <w:rPr>
          <w:b/>
          <w:bCs/>
          <w:sz w:val="22"/>
          <w:szCs w:val="22"/>
        </w:rPr>
      </w:pPr>
      <w:r>
        <w:rPr>
          <w:sz w:val="22"/>
          <w:szCs w:val="22"/>
        </w:rPr>
        <w:t xml:space="preserve">Teniendo en cuenta lo anterior, para la presente administración se le asignó a la FUGA, el presupuesto necesario para el cumplimiento de las metas del Plan de Desarrollo. Específicamente, la Subdirección Artística y Cultural cuenta con el proyecto de inversión 7923 - Mantenimiento de equipamientos de la FUGA para la circulación artística en el Centro de Bogotá D.C. cuya meta producto corresponde a </w:t>
      </w:r>
      <w:r>
        <w:rPr>
          <w:i/>
          <w:iCs/>
          <w:sz w:val="22"/>
          <w:szCs w:val="22"/>
        </w:rPr>
        <w:t>“Realizar el 100 % las actividades de mantenimiento físico, técnico y operativo de los equipamientos de la FUGA”</w:t>
      </w:r>
      <w:r>
        <w:rPr>
          <w:sz w:val="22"/>
          <w:szCs w:val="22"/>
        </w:rPr>
        <w:t xml:space="preserve">. Este proyecto constituye el instrumento de planeación y gestión financiera indispensable para apalancar, gestionar e incorporar los recursos desembolsados por la Secretaría Distrital de Cultura, Recreación y Deporte (SCRD), los cuales permiten intervenir, mantener y dotar la infraestructura de la Entidad. Para el cumplimiento de estos fines misionales, la Fundación dispone de su sede e infraestructura cultural ubicada en la Calle 10 No. 3 – 16 en el centro histórico de Bogotá D.C., escenario que alberga el teatro o auditorio principal, 5 salas de exposición, la biblioteca especializada en historia política de Colombia y el espacio multifuncional al aire libre denominado </w:t>
      </w:r>
      <w:r>
        <w:rPr>
          <w:b/>
          <w:bCs/>
          <w:sz w:val="22"/>
          <w:szCs w:val="22"/>
        </w:rPr>
        <w:t>“El Muelle”</w:t>
      </w:r>
      <w:r>
        <w:rPr>
          <w:sz w:val="22"/>
          <w:szCs w:val="22"/>
        </w:rPr>
        <w:t>.</w:t>
      </w:r>
    </w:p>
    <w:p w14:paraId="7658DC5E" w14:textId="77777777" w:rsidR="004342C9" w:rsidRDefault="00000000">
      <w:pPr>
        <w:spacing w:before="240" w:after="240"/>
        <w:rPr>
          <w:sz w:val="22"/>
          <w:szCs w:val="22"/>
        </w:rPr>
      </w:pPr>
      <w:r>
        <w:rPr>
          <w:sz w:val="22"/>
          <w:szCs w:val="22"/>
        </w:rPr>
        <w:t xml:space="preserve">En años anteriores, el escenario “El Muelle” de la Fundación Gilberto </w:t>
      </w:r>
      <w:proofErr w:type="spellStart"/>
      <w:r>
        <w:rPr>
          <w:sz w:val="22"/>
          <w:szCs w:val="22"/>
        </w:rPr>
        <w:t>Alzate</w:t>
      </w:r>
      <w:proofErr w:type="spellEnd"/>
      <w:r>
        <w:rPr>
          <w:sz w:val="22"/>
          <w:szCs w:val="22"/>
        </w:rPr>
        <w:t xml:space="preserve"> Avendaño (FUGA) se consolidó como uno de los epicentros culturales al aire libre más dinámicos y vitales para el centro histórico de Bogotá, sirviendo como una plataforma multidisciplinar ininterrumpida. Durante diversas temporadas, este espacio albergó anualmente más de 300 eventos de acceso público que abarcaron desde conciertos de música en vivo en géneros como jazz, rock, música colombiana y ritmos urbanos, hasta temporadas de danza contemporánea, obras teatrales, performances de artes vivas e intervenciones de artes plásticas y audiovisuales. Asimismo, “El Muelle” funcionó como la sede principal de </w:t>
      </w:r>
      <w:r>
        <w:rPr>
          <w:sz w:val="22"/>
          <w:szCs w:val="22"/>
        </w:rPr>
        <w:lastRenderedPageBreak/>
        <w:t>importantes festivales locales, circuitos artísticos distritales y ferias de emprendimiento cultural y creativo, posicionándose como un catalizador clave para la circulación tanto de artistas emergentes que buscaban proyectar su carrera, como de creadores de mediana y larga trayectoria.</w:t>
      </w:r>
    </w:p>
    <w:p w14:paraId="4A0AE6C7" w14:textId="77777777" w:rsidR="004342C9" w:rsidRDefault="00000000">
      <w:pPr>
        <w:spacing w:before="240" w:after="240"/>
        <w:rPr>
          <w:sz w:val="22"/>
          <w:szCs w:val="22"/>
        </w:rPr>
      </w:pPr>
      <w:r>
        <w:rPr>
          <w:sz w:val="22"/>
          <w:szCs w:val="22"/>
        </w:rPr>
        <w:t>Más allá de su agenda de espectáculos, en los años previos, este equipamiento operó como un punto de encuentro comunitario esencial para los habitantes y visitantes de las localidades de La Candelaria, Santa Fe y Los Mártires. En sus instalaciones se adelantaron de forma continua jornadas de formación de públicos, talleres interactivos, conversatorios, proyecciones cinematográficas y actividades de apropiación del espacio público que convocaron bastante comunidad. La versatilidad de su infraestructura permitió articular la oferta institucional de la Entidad con las dinámicas de la economía popular y las redes comunitarias del Distrito Creativo La Candelaria, promoviendo el acceso democratizado a las artes fuera de los formatos tradicionales de salas cerradas y consolidando a “El Muelle” como el corazón pulsante de la vida cultural en el centro de la ciudad.</w:t>
      </w:r>
    </w:p>
    <w:p w14:paraId="1F443809" w14:textId="77777777" w:rsidR="004342C9" w:rsidRDefault="00000000">
      <w:pPr>
        <w:numPr>
          <w:ilvl w:val="1"/>
          <w:numId w:val="6"/>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b/>
          <w:bCs/>
          <w:color w:val="000000"/>
          <w:sz w:val="22"/>
          <w:szCs w:val="22"/>
        </w:rPr>
        <w:t>Alcance</w:t>
      </w:r>
    </w:p>
    <w:p w14:paraId="17267FA6" w14:textId="77777777" w:rsidR="004342C9" w:rsidRDefault="00000000">
      <w:pPr>
        <w:rPr>
          <w:sz w:val="22"/>
          <w:szCs w:val="22"/>
        </w:rPr>
      </w:pPr>
      <w:r>
        <w:rPr>
          <w:sz w:val="22"/>
          <w:szCs w:val="22"/>
        </w:rPr>
        <w:t>El alcance comprende la elaboración, coordinación, revisión y entrega de los estudios y diseños técnicos integrales requeridos para la futura intervención del escenario “El Muelle”, a partir del levantamiento y diagnóstico de las condiciones existentes y de la formulación de soluciones arquitectónicas, estructurales, eléctricas y de accesibilidad universal. La consultoría deberá desarrollar, como mínimo, los siguientes componentes:</w:t>
      </w:r>
    </w:p>
    <w:p w14:paraId="3AFBB6A2" w14:textId="77777777" w:rsidR="004342C9" w:rsidRDefault="004342C9">
      <w:pPr>
        <w:rPr>
          <w:sz w:val="22"/>
          <w:szCs w:val="22"/>
        </w:rPr>
      </w:pPr>
    </w:p>
    <w:p w14:paraId="659A2896" w14:textId="77777777" w:rsidR="004342C9" w:rsidRDefault="00000000">
      <w:pPr>
        <w:spacing w:after="20"/>
        <w:ind w:left="198" w:hanging="102"/>
      </w:pPr>
      <w:r>
        <w:rPr>
          <w:sz w:val="22"/>
          <w:szCs w:val="22"/>
        </w:rPr>
        <w:t>• Diagnóstico técnico integral del escenario y levantamiento de las condiciones existentes de acuerdo a las especialidades solicitadas en el presente estudio previo.</w:t>
      </w:r>
    </w:p>
    <w:p w14:paraId="6613E41F" w14:textId="77777777" w:rsidR="004342C9" w:rsidRDefault="00000000">
      <w:pPr>
        <w:spacing w:after="20"/>
        <w:ind w:left="198" w:hanging="102"/>
      </w:pPr>
      <w:r>
        <w:rPr>
          <w:sz w:val="22"/>
          <w:szCs w:val="22"/>
        </w:rPr>
        <w:t>• Diseño arquitectónico para la complementación de la membrana existente, su integración con el escenario y el manejo de aguas lluvias.</w:t>
      </w:r>
    </w:p>
    <w:p w14:paraId="24236D1A" w14:textId="77777777" w:rsidR="004342C9" w:rsidRDefault="00000000">
      <w:pPr>
        <w:spacing w:after="20"/>
        <w:ind w:left="198" w:hanging="102"/>
      </w:pPr>
      <w:r>
        <w:rPr>
          <w:sz w:val="22"/>
          <w:szCs w:val="22"/>
        </w:rPr>
        <w:t>• Diseño estructural de soportes, elementos metálicos, anclajes, fijaciones, tensionamiento y demás componentes necesarios, con memorias de cálculo y detalles constructivos, lo anterior deberá incluir en caso de ser necesario las pruebas, ensayos de laboratorio y demás validaciones técnicas aplicables a la ejecución del presente objeto.</w:t>
      </w:r>
    </w:p>
    <w:p w14:paraId="7E1D513D" w14:textId="77777777" w:rsidR="004342C9" w:rsidRDefault="00000000">
      <w:pPr>
        <w:spacing w:after="20"/>
        <w:ind w:left="198" w:hanging="102"/>
      </w:pPr>
      <w:r>
        <w:rPr>
          <w:sz w:val="22"/>
          <w:szCs w:val="22"/>
        </w:rPr>
        <w:t>• Diseño de soluciones de accesibilidad universal para personas con movilidad reducida (PMR), incluyendo accesos, rampas, circulaciones, cambios de nivel, elementos de apoyo y superficies seguras.</w:t>
      </w:r>
    </w:p>
    <w:p w14:paraId="45C28659" w14:textId="77777777" w:rsidR="004342C9" w:rsidRDefault="00000000">
      <w:pPr>
        <w:spacing w:after="20"/>
        <w:ind w:left="198" w:hanging="102"/>
      </w:pPr>
      <w:r>
        <w:rPr>
          <w:sz w:val="22"/>
          <w:szCs w:val="22"/>
        </w:rPr>
        <w:t>• Diagnóstico y diseño eléctrico del escenario, incluyendo inventario de redes, análisis de cargas, capacidad instalada, protecciones, puesta a tierra, diagramas unifilares, cuadros de carga, canalizaciones, puntos requeridos y medidas de protección frente a humedad e intemperie.</w:t>
      </w:r>
    </w:p>
    <w:p w14:paraId="52A8E178" w14:textId="77777777" w:rsidR="004342C9" w:rsidRDefault="00000000">
      <w:pPr>
        <w:spacing w:after="20"/>
        <w:ind w:left="198" w:hanging="102"/>
      </w:pPr>
      <w:r>
        <w:rPr>
          <w:sz w:val="22"/>
          <w:szCs w:val="22"/>
        </w:rPr>
        <w:t>• Especificaciones técnicas, cantidades de obra, análisis de precios unitarios, presupuesto detallado y cronograma físico-financiero para la futura intervención.</w:t>
      </w:r>
    </w:p>
    <w:p w14:paraId="33DE89F8" w14:textId="77777777" w:rsidR="004342C9" w:rsidRDefault="00000000">
      <w:pPr>
        <w:spacing w:after="20"/>
        <w:ind w:left="198" w:hanging="102"/>
      </w:pPr>
      <w:r>
        <w:rPr>
          <w:sz w:val="22"/>
          <w:szCs w:val="22"/>
        </w:rPr>
        <w:lastRenderedPageBreak/>
        <w:t>• Modelos tridimensionales, planos en formatos editables y PDF, memorias técnicas y de cálculo, manual técnico y recomendaciones de operación y mantenimiento.</w:t>
      </w:r>
    </w:p>
    <w:p w14:paraId="7B5FAC9B" w14:textId="77777777" w:rsidR="004342C9" w:rsidRDefault="00000000">
      <w:pPr>
        <w:spacing w:after="20"/>
        <w:ind w:left="198" w:hanging="102"/>
      </w:pPr>
      <w:r>
        <w:rPr>
          <w:sz w:val="22"/>
          <w:szCs w:val="22"/>
        </w:rPr>
        <w:t>• Revisión normativa y gestión técnica de los permisos, conceptos o autorizaciones que resulten aplicables, de acuerdo con el alcance definido y la condición del inmueble.</w:t>
      </w:r>
    </w:p>
    <w:p w14:paraId="206DBB62" w14:textId="77777777" w:rsidR="004342C9" w:rsidRDefault="00000000">
      <w:pPr>
        <w:spacing w:after="20"/>
        <w:ind w:left="198" w:hanging="102"/>
        <w:rPr>
          <w:sz w:val="22"/>
          <w:szCs w:val="22"/>
        </w:rPr>
      </w:pPr>
      <w:r>
        <w:rPr>
          <w:sz w:val="22"/>
          <w:szCs w:val="22"/>
        </w:rPr>
        <w:t>• Consolidación y entrega de un paquete final coordinado, suscrito por los profesionales legalmente facultados para cada disciplina y apto para ser utilizado como insumo del futuro proceso de ejecución.</w:t>
      </w:r>
    </w:p>
    <w:p w14:paraId="2CBA68DB" w14:textId="77777777" w:rsidR="004342C9" w:rsidRDefault="004342C9">
      <w:pPr>
        <w:spacing w:after="20"/>
        <w:ind w:left="198" w:hanging="102"/>
        <w:rPr>
          <w:sz w:val="22"/>
          <w:szCs w:val="22"/>
        </w:rPr>
      </w:pPr>
    </w:p>
    <w:p w14:paraId="065573A0" w14:textId="77777777" w:rsidR="004342C9" w:rsidRDefault="00000000">
      <w:pPr>
        <w:rPr>
          <w:sz w:val="22"/>
          <w:szCs w:val="22"/>
        </w:rPr>
      </w:pPr>
      <w:r>
        <w:rPr>
          <w:b/>
          <w:bCs/>
          <w:sz w:val="22"/>
          <w:szCs w:val="22"/>
        </w:rPr>
        <w:t xml:space="preserve">Aclaración de alcance: </w:t>
      </w:r>
      <w:r>
        <w:rPr>
          <w:sz w:val="22"/>
          <w:szCs w:val="22"/>
        </w:rPr>
        <w:t>el presente contrato no incluye la fabricación, suministro, instalación, montaje o construcción de la membrana, la estructura, los elementos de accesibilidad o las adecuaciones eléctricas. Las referencias a instalación, fabricación, garantías de materiales o puesta en funcionamiento contenidas en la ficha técnica deberán entenderse como condiciones que el consultor debe prever, especificar y documentar para la futura etapa de ejecución, no como actividades materiales a cargo de la presente consultoría</w:t>
      </w:r>
    </w:p>
    <w:p w14:paraId="17418157" w14:textId="77777777" w:rsidR="004342C9" w:rsidRDefault="00000000">
      <w:pPr>
        <w:numPr>
          <w:ilvl w:val="1"/>
          <w:numId w:val="6"/>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b/>
          <w:bCs/>
          <w:color w:val="000000"/>
          <w:sz w:val="22"/>
          <w:szCs w:val="22"/>
        </w:rPr>
        <w:t xml:space="preserve">Localización </w:t>
      </w:r>
    </w:p>
    <w:p w14:paraId="470BB3A2" w14:textId="77777777" w:rsidR="004342C9" w:rsidRDefault="00000000">
      <w:pPr>
        <w:rPr>
          <w:sz w:val="22"/>
          <w:szCs w:val="22"/>
        </w:rPr>
      </w:pPr>
      <w:r>
        <w:rPr>
          <w:sz w:val="22"/>
          <w:szCs w:val="22"/>
        </w:rPr>
        <w:t>El lugar principal de ejecución será el escenario cultural “El Muelle” de la Fundación Gilberto Álzate Avendaño - FUGA, ubicado en la Calle 10 No. 3-16 de Bogotá D.C., sin perjuicio de las actividades de gabinete, coordinación y trámites que deban adelantarse en otros lugares o ante entidades competentes.</w:t>
      </w:r>
    </w:p>
    <w:p w14:paraId="26F71D34" w14:textId="77777777" w:rsidR="004342C9" w:rsidRDefault="00000000">
      <w:pPr>
        <w:keepNext/>
        <w:spacing w:before="100" w:after="40"/>
      </w:pPr>
      <w:r>
        <w:rPr>
          <w:b/>
          <w:bCs/>
          <w:sz w:val="22"/>
          <w:szCs w:val="22"/>
        </w:rPr>
        <w:t>1.3 Justificación de la consultoría</w:t>
      </w:r>
    </w:p>
    <w:p w14:paraId="71281513" w14:textId="77777777" w:rsidR="004342C9" w:rsidRDefault="00000000">
      <w:pPr>
        <w:rPr>
          <w:sz w:val="22"/>
          <w:szCs w:val="22"/>
        </w:rPr>
      </w:pPr>
      <w:r>
        <w:rPr>
          <w:sz w:val="22"/>
          <w:szCs w:val="22"/>
        </w:rPr>
        <w:t>La necesidad institucional no corresponde a la ejecución inmediata de obras, fabricación de elementos o instalación de la membrana complementaria. Previamente, la FUGA requiere contar con un paquete completo, coordinado y técnicamente viable de estudios y diseños que permita definir con precisión la solución futura, sus especificaciones, cantidades, costos, permisos y condiciones de ejecución. En consecuencia, el presente proceso se limita estrictamente a actividades de consultoría y a la entrega de productos técnicos de diagnóstico, diseño, cálculo, presupuesto y gestión documental; cualquier ejecución material futura deberá adelantarse mediante el proceso contractual que corresponda.</w:t>
      </w:r>
    </w:p>
    <w:p w14:paraId="29BD7B28" w14:textId="77777777" w:rsidR="004342C9" w:rsidRDefault="00000000">
      <w:pPr>
        <w:rPr>
          <w:color w:val="FF0000"/>
          <w:sz w:val="22"/>
          <w:szCs w:val="22"/>
        </w:rPr>
      </w:pPr>
      <w:r>
        <w:rPr>
          <w:sz w:val="22"/>
          <w:szCs w:val="22"/>
        </w:rPr>
        <w:t>En este sentido, los estudios y diseños que se desarrollen en el marco de la presente consultoría deberán formularse con estricta observancia de la normativa técnica, urbanística, estructural, eléctrica, de accesibilidad, seguridad humana y demás disposiciones legales y reglamentarias vigentes que resulten aplicables a cada uno de los componentes del proyecto. Los productos deberán garantizar el cumplimiento de los estándares exigibles para la posterior ejecución de las intervenciones previstas en el escenario “El Muelle”, incorporando las normas, reglamentos técnicos y especificaciones que se encuentren vigentes durante la ejecución contractual, así como los requerimientos que, de acuerdo con la naturaleza del inmueble y de las intervenciones proyectadas, establezcan las autoridades competentes.</w:t>
      </w:r>
    </w:p>
    <w:p w14:paraId="652A6DBE" w14:textId="77777777" w:rsidR="004342C9" w:rsidRDefault="00000000">
      <w:pPr>
        <w:rPr>
          <w:sz w:val="22"/>
          <w:szCs w:val="22"/>
        </w:rPr>
      </w:pPr>
      <w:r>
        <w:rPr>
          <w:sz w:val="22"/>
          <w:szCs w:val="22"/>
        </w:rPr>
        <w:lastRenderedPageBreak/>
        <w:t>La consultoría deberá formular una solución integral para: (i) complementar la membrana arquitectónica existente y garantizar el adecuado cubrimiento del escenario y sus áreas operativas; (</w:t>
      </w:r>
      <w:proofErr w:type="spellStart"/>
      <w:r>
        <w:rPr>
          <w:sz w:val="22"/>
          <w:szCs w:val="22"/>
        </w:rPr>
        <w:t>ii</w:t>
      </w:r>
      <w:proofErr w:type="spellEnd"/>
      <w:r>
        <w:rPr>
          <w:sz w:val="22"/>
          <w:szCs w:val="22"/>
        </w:rPr>
        <w:t>) resolver las condiciones de accesibilidad universal para personas con movilidad reducida; y (</w:t>
      </w:r>
      <w:proofErr w:type="spellStart"/>
      <w:r>
        <w:rPr>
          <w:sz w:val="22"/>
          <w:szCs w:val="22"/>
        </w:rPr>
        <w:t>iii</w:t>
      </w:r>
      <w:proofErr w:type="spellEnd"/>
      <w:r>
        <w:rPr>
          <w:sz w:val="22"/>
          <w:szCs w:val="22"/>
        </w:rPr>
        <w:t>) diagnosticar y diseñar las adecuaciones técnicas, particularmente las relacionadas con infraestructura eléctrica, seguridad de operación y protección frente a condiciones de humedad e intemperie.</w:t>
      </w:r>
    </w:p>
    <w:p w14:paraId="27C1056A" w14:textId="77777777" w:rsidR="004342C9" w:rsidRDefault="00000000">
      <w:pPr>
        <w:rPr>
          <w:sz w:val="22"/>
          <w:szCs w:val="22"/>
        </w:rPr>
      </w:pPr>
      <w:r>
        <w:rPr>
          <w:sz w:val="22"/>
          <w:szCs w:val="22"/>
        </w:rPr>
        <w:t>Con los estudios y diseños se busca reducir incertidumbres técnicas para la futura ejecución, prevenir cambios de alcance y sobrecostos, garantizar la coordinación interdisciplinaria y disponer de documentos suficientemente desarrollados para adelantar posteriores trámites de aprobación, permisos y contratación de la intervención física. En consecuencia, la contratación resulta necesaria, conveniente y oportuna para garantizar la adecuada planeación de la intervención de El Muelle y la continuidad de su función como escenario cultural de la FUGA.</w:t>
      </w:r>
    </w:p>
    <w:p w14:paraId="32F982DC" w14:textId="77777777" w:rsidR="004342C9" w:rsidRDefault="00000000">
      <w:pPr>
        <w:rPr>
          <w:sz w:val="22"/>
          <w:szCs w:val="22"/>
        </w:rPr>
      </w:pPr>
      <w:r>
        <w:rPr>
          <w:sz w:val="22"/>
          <w:szCs w:val="22"/>
        </w:rPr>
        <w:t>La presente contratación deberá encontrarse incluida en el Plan Anual de Adquisiciones de la vigencia 2026. El identificador definitivo del PAA se incorporará al expediente contractual antes de la publicación del proceso.</w:t>
      </w:r>
    </w:p>
    <w:p w14:paraId="291DF31C" w14:textId="77777777" w:rsidR="004342C9" w:rsidRDefault="00000000">
      <w:pPr>
        <w:numPr>
          <w:ilvl w:val="0"/>
          <w:numId w:val="6"/>
        </w:numPr>
        <w:rPr>
          <w:rFonts w:ascii="Verdana" w:eastAsia="Verdana" w:hAnsi="Verdana" w:cs="Verdana"/>
          <w:b/>
          <w:bCs/>
          <w:sz w:val="22"/>
          <w:szCs w:val="22"/>
        </w:rPr>
      </w:pPr>
      <w:r>
        <w:rPr>
          <w:rFonts w:ascii="Verdana" w:eastAsia="Verdana" w:hAnsi="Verdana" w:cs="Verdana"/>
          <w:b/>
          <w:bCs/>
          <w:sz w:val="22"/>
          <w:szCs w:val="22"/>
        </w:rPr>
        <w:t xml:space="preserve">ANTECEDENTES </w:t>
      </w:r>
    </w:p>
    <w:p w14:paraId="7D04540E" w14:textId="77777777" w:rsidR="004342C9" w:rsidRDefault="00000000">
      <w:pPr>
        <w:spacing w:before="240" w:after="240"/>
      </w:pPr>
      <w:r>
        <w:rPr>
          <w:b/>
          <w:bCs/>
          <w:sz w:val="22"/>
          <w:szCs w:val="22"/>
        </w:rPr>
        <w:t>Antecedentes y condición actual de El Muelle</w:t>
      </w:r>
    </w:p>
    <w:p w14:paraId="2A19A9F4" w14:textId="77777777" w:rsidR="004342C9" w:rsidRDefault="00000000">
      <w:pPr>
        <w:rPr>
          <w:sz w:val="22"/>
          <w:szCs w:val="22"/>
        </w:rPr>
      </w:pPr>
      <w:r>
        <w:rPr>
          <w:sz w:val="22"/>
          <w:szCs w:val="22"/>
        </w:rPr>
        <w:t>El escenario “El Muelle” cuenta actualmente con una membrana arquitectónica que cubre parcialmente el área de escenario y permite su operación bajo determinadas condiciones climáticas. Sin embargo, la cobertura existente no protege de manera integral el proscenio, zonas de circulación y áreas técnicas asociadas a la operación, lo que ha ocasionado exposición a lluvia, humedad y radiación solar, con riesgo de deterioro progresivo de materiales, afectación de equipos técnicos y restricciones para el uso seguro y continuo del espacio.</w:t>
      </w:r>
    </w:p>
    <w:p w14:paraId="3599BBB3" w14:textId="77777777" w:rsidR="004342C9" w:rsidRDefault="00000000">
      <w:pPr>
        <w:rPr>
          <w:sz w:val="22"/>
          <w:szCs w:val="22"/>
        </w:rPr>
      </w:pPr>
      <w:r>
        <w:rPr>
          <w:sz w:val="22"/>
          <w:szCs w:val="22"/>
        </w:rPr>
        <w:t>Durante la revisión técnica se han identificado filtraciones de agua lluvia sobre sectores de la tarima y áreas de operación, así como exposición de tomacorrientes, conexiones eléctricas y elementos técnicos a condiciones de humedad. Estas circunstancias generan riesgos funcionales y de seguridad, especialmente en un escenario que requiere de manera permanente sistemas de sonido, iluminación, equipos audiovisuales y demás dispositivos eléctricos y electrónicos propios de la producción escénica.</w:t>
      </w:r>
    </w:p>
    <w:p w14:paraId="65C2957F" w14:textId="77777777" w:rsidR="004342C9" w:rsidRDefault="00000000">
      <w:pPr>
        <w:rPr>
          <w:sz w:val="22"/>
          <w:szCs w:val="22"/>
        </w:rPr>
      </w:pPr>
      <w:r>
        <w:rPr>
          <w:sz w:val="22"/>
          <w:szCs w:val="22"/>
        </w:rPr>
        <w:t>Adicionalmente, el escenario presenta barreras arquitectónicas que limitan el acceso, desplazamiento y permanencia de personas con movilidad reducida (PMR), tanto en calidad de asistentes como de artistas, técnicos y demás usuarios. En consecuencia, se requiere formular soluciones de accesibilidad universal articuladas con la configuración física y operativa del espacio.</w:t>
      </w:r>
    </w:p>
    <w:p w14:paraId="74EE104F" w14:textId="77777777" w:rsidR="004342C9" w:rsidRDefault="00000000">
      <w:pPr>
        <w:rPr>
          <w:sz w:val="22"/>
          <w:szCs w:val="22"/>
        </w:rPr>
      </w:pPr>
      <w:r>
        <w:rPr>
          <w:sz w:val="22"/>
          <w:szCs w:val="22"/>
        </w:rPr>
        <w:lastRenderedPageBreak/>
        <w:t>De igual manera, no se cuenta con un diagnóstico técnico integral y actualizado de la infraestructura eléctrica asociada al escenario que permita establecer con precisión el estado de redes, tableros, circuitos, canalizaciones y puntos eléctricos; la capacidad instalada y distribución de cargas; las condiciones del sistema de puesta a tierra y protecciones; los riesgos asociados a humedad e intemperie; y los requerimientos de adecuación o crecimiento para la operación técnica presente y futura.</w:t>
      </w:r>
    </w:p>
    <w:p w14:paraId="6BF4AB78" w14:textId="77777777" w:rsidR="004342C9" w:rsidRDefault="00000000">
      <w:r>
        <w:rPr>
          <w:sz w:val="22"/>
          <w:szCs w:val="22"/>
        </w:rPr>
        <w:t>Por tratarse de una intervención que deberá integrarse a una infraestructura existente, las soluciones de arquitectura, estructura, accesibilidad y electricidad deben desarrollarse de manera coordinada, verificando las condiciones reales del sitio, las cargas y sistemas de anclaje, el manejo de aguas lluvias, las interferencias entre disciplinas, la normativa aplicable y, cuando corresponda, las autorizaciones y permisos de las autoridades competentes.</w:t>
      </w:r>
    </w:p>
    <w:p w14:paraId="246315B4" w14:textId="77777777" w:rsidR="004342C9" w:rsidRDefault="00000000">
      <w:pPr>
        <w:keepNext/>
        <w:spacing w:before="100" w:after="40"/>
      </w:pPr>
      <w:r>
        <w:rPr>
          <w:b/>
          <w:bCs/>
          <w:sz w:val="22"/>
          <w:szCs w:val="22"/>
        </w:rPr>
        <w:t>Financiación y articulación con el Convenio Interadministrativo No. 833 de 2025</w:t>
      </w:r>
    </w:p>
    <w:p w14:paraId="08445EA7" w14:textId="77777777" w:rsidR="004342C9" w:rsidRDefault="00000000">
      <w:pPr>
        <w:rPr>
          <w:sz w:val="22"/>
          <w:szCs w:val="22"/>
        </w:rPr>
      </w:pPr>
      <w:r>
        <w:rPr>
          <w:sz w:val="22"/>
          <w:szCs w:val="22"/>
        </w:rPr>
        <w:t>Con el propósito de atender esta necesidad, la FUGA gestionó ante la Secretaría Distrital de Cultura, Recreación y Deporte recursos provenientes de la Contribución Parafiscal Cultural de los Espectáculos Públicos de las Artes Escénicas, en el marco de la Línea Estratégica de Proyectos - LEP. Como resultado de dicha gestión se suscribió el Convenio Interadministrativo No. 833 de 2025 entre la SCRD y la FUGA, asociado al proyecto de estudios y diseños de El Muelle, por valor de CUARENTA Y UN MILLONES SETECIENTOS SESENTA Y NUEVE MIL PESOS M/CTE ($41.769.000).</w:t>
      </w:r>
    </w:p>
    <w:p w14:paraId="41EFF25A" w14:textId="77777777" w:rsidR="004342C9" w:rsidRDefault="00000000">
      <w:pPr>
        <w:rPr>
          <w:sz w:val="22"/>
          <w:szCs w:val="22"/>
        </w:rPr>
      </w:pPr>
      <w:r>
        <w:rPr>
          <w:sz w:val="22"/>
          <w:szCs w:val="22"/>
        </w:rPr>
        <w:t>Dentro de los compromisos específicos de la FUGA se encuentra desarrollar los contratos y/o convenios requeridos para ejecutar el proyecto “Estudios y diseños del Muelle - Fundación Gilberto Álzate Avendaño” y garantizar las condiciones técnicas del proyecto seleccionado. En desarrollo de este compromiso, la entidad ha adelantado la estructuración técnica, financiera, administrativa y jurídica del proceso contractual, incluyendo la revisión del anexo técnico, la definición de los perfiles requeridos y la preparación del estudio de mercado y del estudio del sector.</w:t>
      </w:r>
    </w:p>
    <w:p w14:paraId="2D313DB0" w14:textId="77777777" w:rsidR="004342C9" w:rsidRDefault="00000000">
      <w:r>
        <w:rPr>
          <w:sz w:val="22"/>
          <w:szCs w:val="22"/>
        </w:rPr>
        <w:t>Los recursos correspondientes al proyecto fueron incorporados a la vigencia 2026 y la entidad cuenta con disponibilidad presupuestal para avanzar con la contratación. Para efectos del presente documento, el valor del proceso conserva la trazabilidad con el valor aprobado y asignado al proyecto LEP, sin perjuicio de la validación definitiva del estudio de mercado y de la información presupuestal que se incorpore a los documentos del proceso.</w:t>
      </w:r>
    </w:p>
    <w:p w14:paraId="55185E5B" w14:textId="77777777" w:rsidR="004342C9" w:rsidRDefault="00000000">
      <w:pPr>
        <w:rPr>
          <w:sz w:val="22"/>
          <w:szCs w:val="22"/>
        </w:rPr>
      </w:pPr>
      <w:r>
        <w:rPr>
          <w:sz w:val="22"/>
          <w:szCs w:val="22"/>
        </w:rPr>
        <w:t xml:space="preserve">Para la estructuración y ejecución del presente proceso se contará con recursos provenientes de distintas fuentes de financiación. Por una parte, se incorporan los recursos asignados por la Secretaría Distrital de Cultura, Recreación y Deporte – SCRD, provenientes de la Contribución Parafiscal de los Espectáculos Públicos de las Artes Escénicas – LEP, destinados al desarrollo de los estudios y diseños requeridos para el escenario “El Muelle”. De manera complementaria, la Fundación Gilberto </w:t>
      </w:r>
      <w:proofErr w:type="spellStart"/>
      <w:r>
        <w:rPr>
          <w:sz w:val="22"/>
          <w:szCs w:val="22"/>
        </w:rPr>
        <w:t>Alzate</w:t>
      </w:r>
      <w:proofErr w:type="spellEnd"/>
      <w:r>
        <w:rPr>
          <w:sz w:val="22"/>
          <w:szCs w:val="22"/>
        </w:rPr>
        <w:t xml:space="preserve"> Avendaño – FUGA aportará recursos propios destinados a cubrir el componente asociado a los </w:t>
      </w:r>
      <w:r>
        <w:rPr>
          <w:sz w:val="22"/>
          <w:szCs w:val="22"/>
        </w:rPr>
        <w:lastRenderedPageBreak/>
        <w:t>estudios, diseños y adecuaciones técnicas del sistema eléctrico requeridos dentro del alcance integral de la consultoría. En consecuencia, la financiación del proceso se estructura mediante la concurrencia de recursos LEP y recursos propios de la FUGA, articulados para garantizar el desarrollo integral de los productos técnicos previstos.</w:t>
      </w:r>
    </w:p>
    <w:p w14:paraId="22E8A599" w14:textId="77777777" w:rsidR="004342C9" w:rsidRDefault="00000000">
      <w:pPr>
        <w:numPr>
          <w:ilvl w:val="0"/>
          <w:numId w:val="6"/>
        </w:numPr>
        <w:rPr>
          <w:rFonts w:ascii="Verdana" w:eastAsia="Verdana" w:hAnsi="Verdana" w:cs="Verdana"/>
          <w:b/>
          <w:bCs/>
          <w:sz w:val="22"/>
          <w:szCs w:val="22"/>
        </w:rPr>
      </w:pPr>
      <w:r>
        <w:rPr>
          <w:rFonts w:ascii="Verdana" w:eastAsia="Verdana" w:hAnsi="Verdana" w:cs="Verdana"/>
          <w:b/>
          <w:bCs/>
          <w:sz w:val="22"/>
          <w:szCs w:val="22"/>
        </w:rPr>
        <w:t xml:space="preserve">INTERVENTORÍA PARA EL PROYECTO DE CONSULTORÍA </w:t>
      </w:r>
    </w:p>
    <w:p w14:paraId="52259E92" w14:textId="77777777" w:rsidR="004342C9" w:rsidRDefault="00000000">
      <w:pPr>
        <w:pBdr>
          <w:top w:val="nil"/>
          <w:left w:val="nil"/>
          <w:bottom w:val="nil"/>
          <w:right w:val="nil"/>
          <w:between w:val="nil"/>
        </w:pBdr>
        <w:tabs>
          <w:tab w:val="left" w:pos="-142"/>
        </w:tabs>
        <w:spacing w:line="240" w:lineRule="auto"/>
        <w:rPr>
          <w:rFonts w:ascii="Verdana" w:eastAsia="Verdana" w:hAnsi="Verdana" w:cs="Verdana"/>
          <w:color w:val="000000"/>
          <w:sz w:val="22"/>
          <w:szCs w:val="22"/>
        </w:rPr>
      </w:pPr>
      <w:r>
        <w:rPr>
          <w:rFonts w:ascii="Verdana" w:eastAsia="Verdana" w:hAnsi="Verdana" w:cs="Verdana"/>
          <w:color w:val="000000"/>
          <w:sz w:val="22"/>
          <w:szCs w:val="22"/>
        </w:rPr>
        <w:t>N/A</w:t>
      </w:r>
    </w:p>
    <w:p w14:paraId="08412587" w14:textId="77777777" w:rsidR="004342C9" w:rsidRDefault="00000000">
      <w:pPr>
        <w:numPr>
          <w:ilvl w:val="0"/>
          <w:numId w:val="6"/>
        </w:numPr>
        <w:rPr>
          <w:rFonts w:ascii="Verdana" w:eastAsia="Verdana" w:hAnsi="Verdana" w:cs="Verdana"/>
          <w:b/>
          <w:bCs/>
          <w:sz w:val="22"/>
          <w:szCs w:val="22"/>
        </w:rPr>
      </w:pPr>
      <w:r>
        <w:rPr>
          <w:rFonts w:ascii="Verdana" w:eastAsia="Verdana" w:hAnsi="Verdana" w:cs="Verdana"/>
          <w:b/>
          <w:bCs/>
          <w:sz w:val="22"/>
          <w:szCs w:val="22"/>
        </w:rPr>
        <w:t>PRINCIPALES ACTIVIDADES POR EJECUTAR A CARGO DEL CONSULTOR Y SU ALCANCE</w:t>
      </w:r>
    </w:p>
    <w:p w14:paraId="46496164" w14:textId="77777777" w:rsidR="004342C9" w:rsidRDefault="00000000">
      <w:pPr>
        <w:rPr>
          <w:rFonts w:ascii="Verdana" w:eastAsia="Verdana" w:hAnsi="Verdana" w:cs="Verdana"/>
          <w:sz w:val="22"/>
          <w:szCs w:val="22"/>
        </w:rPr>
      </w:pPr>
      <w:r>
        <w:rPr>
          <w:rFonts w:ascii="Verdana" w:eastAsia="Verdana" w:hAnsi="Verdana" w:cs="Verdana"/>
          <w:sz w:val="22"/>
          <w:szCs w:val="22"/>
        </w:rPr>
        <w:t xml:space="preserve">Aparte de las obligaciones que se encuentren a cargo del contratista, el consultor deberá realizar las siguientes actividades: </w:t>
      </w:r>
    </w:p>
    <w:p w14:paraId="082A1FC2" w14:textId="77777777" w:rsidR="004342C9" w:rsidRDefault="00000000">
      <w:pPr>
        <w:rPr>
          <w:rFonts w:ascii="Verdana" w:eastAsia="Verdana" w:hAnsi="Verdana" w:cs="Verdana"/>
          <w:sz w:val="22"/>
          <w:szCs w:val="22"/>
        </w:rPr>
      </w:pPr>
      <w:r>
        <w:rPr>
          <w:rFonts w:ascii="Verdana" w:eastAsia="Verdana" w:hAnsi="Verdana" w:cs="Verdana"/>
          <w:sz w:val="22"/>
          <w:szCs w:val="22"/>
        </w:rPr>
        <w:t>Elaboración, coordinación, revisión y entrega de los estudios y diseños técnicos integrales requeridos para la futura intervención del escenario “El Muelle”, a partir del levantamiento y diagnóstico de las condiciones existentes y de la formulación de soluciones arquitectónicas, estructurales, eléctricas y de accesibilidad universal. La consultoría deberá desarrollar, como mínimo, los siguientes componentes:</w:t>
      </w:r>
    </w:p>
    <w:p w14:paraId="53111491" w14:textId="77777777" w:rsidR="004342C9" w:rsidRDefault="00000000">
      <w:pPr>
        <w:spacing w:after="20"/>
        <w:ind w:left="198" w:hanging="56"/>
        <w:rPr>
          <w:rFonts w:ascii="Verdana" w:eastAsia="Verdana" w:hAnsi="Verdana" w:cs="Verdana"/>
          <w:sz w:val="22"/>
          <w:szCs w:val="22"/>
        </w:rPr>
      </w:pPr>
      <w:r>
        <w:rPr>
          <w:rFonts w:ascii="Verdana" w:eastAsia="Verdana" w:hAnsi="Verdana" w:cs="Verdana"/>
          <w:sz w:val="22"/>
          <w:szCs w:val="22"/>
        </w:rPr>
        <w:t>• Diagnóstico técnico integral del escenario y levantamiento de las condiciones existentes de acuerdo con las especialidades solicitadas en el presente estudio previo.</w:t>
      </w:r>
    </w:p>
    <w:p w14:paraId="514ED644" w14:textId="77777777" w:rsidR="004342C9" w:rsidRDefault="00000000">
      <w:pPr>
        <w:spacing w:after="20"/>
        <w:ind w:left="198" w:hanging="56"/>
        <w:rPr>
          <w:rFonts w:ascii="Verdana" w:eastAsia="Verdana" w:hAnsi="Verdana" w:cs="Verdana"/>
          <w:sz w:val="22"/>
          <w:szCs w:val="22"/>
        </w:rPr>
      </w:pPr>
      <w:r>
        <w:rPr>
          <w:rFonts w:ascii="Verdana" w:eastAsia="Verdana" w:hAnsi="Verdana" w:cs="Verdana"/>
          <w:sz w:val="22"/>
          <w:szCs w:val="22"/>
        </w:rPr>
        <w:t>• Diseño arquitectónico para la complementación de la membrana existente, su integración con el escenario y el manejo de aguas lluvias.</w:t>
      </w:r>
    </w:p>
    <w:p w14:paraId="587ED581" w14:textId="77777777" w:rsidR="004342C9" w:rsidRDefault="00000000">
      <w:pPr>
        <w:spacing w:after="20"/>
        <w:ind w:left="198" w:hanging="56"/>
        <w:rPr>
          <w:rFonts w:ascii="Verdana" w:eastAsia="Verdana" w:hAnsi="Verdana" w:cs="Verdana"/>
          <w:sz w:val="22"/>
          <w:szCs w:val="22"/>
        </w:rPr>
      </w:pPr>
      <w:r>
        <w:rPr>
          <w:rFonts w:ascii="Verdana" w:eastAsia="Verdana" w:hAnsi="Verdana" w:cs="Verdana"/>
          <w:sz w:val="22"/>
          <w:szCs w:val="22"/>
        </w:rPr>
        <w:t>• Diseño estructural de soportes, elementos metálicos, anclajes, fijaciones, tensionamiento y demás componentes necesarios, con memorias de cálculo y detalles constructivos, lo anterior deberá incluir en caso de ser necesario las pruebas, ensayos de laboratorio y demás validaciones técnicas aplicables a la ejecución del presente objeto.</w:t>
      </w:r>
    </w:p>
    <w:p w14:paraId="14D197CC" w14:textId="77777777" w:rsidR="004342C9" w:rsidRDefault="00000000">
      <w:pPr>
        <w:spacing w:after="20"/>
        <w:ind w:left="198" w:hanging="56"/>
        <w:rPr>
          <w:rFonts w:ascii="Verdana" w:eastAsia="Verdana" w:hAnsi="Verdana" w:cs="Verdana"/>
          <w:sz w:val="22"/>
          <w:szCs w:val="22"/>
        </w:rPr>
      </w:pPr>
      <w:r>
        <w:rPr>
          <w:rFonts w:ascii="Verdana" w:eastAsia="Verdana" w:hAnsi="Verdana" w:cs="Verdana"/>
          <w:sz w:val="22"/>
          <w:szCs w:val="22"/>
        </w:rPr>
        <w:t>• Diseño de soluciones de accesibilidad universal para personas con movilidad reducida (PMR), incluyendo accesos, rampas, circulaciones, cambios de nivel, elementos de apoyo y superficies seguras.</w:t>
      </w:r>
    </w:p>
    <w:p w14:paraId="47B93018" w14:textId="77777777" w:rsidR="004342C9" w:rsidRDefault="00000000">
      <w:pPr>
        <w:spacing w:after="20"/>
        <w:ind w:left="198" w:hanging="56"/>
        <w:rPr>
          <w:rFonts w:ascii="Verdana" w:eastAsia="Verdana" w:hAnsi="Verdana" w:cs="Verdana"/>
          <w:sz w:val="22"/>
          <w:szCs w:val="22"/>
        </w:rPr>
      </w:pPr>
      <w:r>
        <w:rPr>
          <w:rFonts w:ascii="Verdana" w:eastAsia="Verdana" w:hAnsi="Verdana" w:cs="Verdana"/>
          <w:sz w:val="22"/>
          <w:szCs w:val="22"/>
        </w:rPr>
        <w:t>• Diagnóstico y diseño eléctrico del escenario, incluyendo inventario de redes, análisis de cargas, capacidad instalada, protecciones, puesta a tierra, diagramas unifilares, cuadros de carga, canalizaciones, puntos requeridos y medidas de protección frente a humedad e intemperie.</w:t>
      </w:r>
    </w:p>
    <w:p w14:paraId="2676F165" w14:textId="77777777" w:rsidR="004342C9" w:rsidRDefault="00000000">
      <w:pPr>
        <w:spacing w:after="20"/>
        <w:ind w:left="198" w:hanging="56"/>
        <w:rPr>
          <w:rFonts w:ascii="Verdana" w:eastAsia="Verdana" w:hAnsi="Verdana" w:cs="Verdana"/>
          <w:sz w:val="22"/>
          <w:szCs w:val="22"/>
        </w:rPr>
      </w:pPr>
      <w:r>
        <w:rPr>
          <w:rFonts w:ascii="Verdana" w:eastAsia="Verdana" w:hAnsi="Verdana" w:cs="Verdana"/>
          <w:sz w:val="22"/>
          <w:szCs w:val="22"/>
        </w:rPr>
        <w:t>• Especificaciones técnicas, cantidades de obra, análisis de precios unitarios, presupuesto detallado y cronograma físico-financiero para la futura intervención.</w:t>
      </w:r>
    </w:p>
    <w:p w14:paraId="3C178004" w14:textId="77777777" w:rsidR="004342C9" w:rsidRDefault="00000000">
      <w:pPr>
        <w:spacing w:after="20"/>
        <w:ind w:left="198" w:hanging="56"/>
        <w:rPr>
          <w:rFonts w:ascii="Verdana" w:eastAsia="Verdana" w:hAnsi="Verdana" w:cs="Verdana"/>
          <w:sz w:val="22"/>
          <w:szCs w:val="22"/>
        </w:rPr>
      </w:pPr>
      <w:r>
        <w:rPr>
          <w:rFonts w:ascii="Verdana" w:eastAsia="Verdana" w:hAnsi="Verdana" w:cs="Verdana"/>
          <w:sz w:val="22"/>
          <w:szCs w:val="22"/>
        </w:rPr>
        <w:lastRenderedPageBreak/>
        <w:t>• Modelos tridimensionales, planos en formatos editables y PDF, memorias técnicas y de cálculo, manual técnico y recomendaciones de operación y mantenimiento.</w:t>
      </w:r>
    </w:p>
    <w:p w14:paraId="6C96E880" w14:textId="77777777" w:rsidR="004342C9" w:rsidRDefault="00000000">
      <w:pPr>
        <w:spacing w:after="20"/>
        <w:ind w:left="198" w:hanging="56"/>
        <w:rPr>
          <w:rFonts w:ascii="Verdana" w:eastAsia="Verdana" w:hAnsi="Verdana" w:cs="Verdana"/>
          <w:sz w:val="22"/>
          <w:szCs w:val="22"/>
        </w:rPr>
      </w:pPr>
      <w:r>
        <w:rPr>
          <w:rFonts w:ascii="Verdana" w:eastAsia="Verdana" w:hAnsi="Verdana" w:cs="Verdana"/>
          <w:sz w:val="22"/>
          <w:szCs w:val="22"/>
        </w:rPr>
        <w:t>• Revisión normativa y gestión técnica de los permisos, conceptos o autorizaciones que resulten aplicables, de acuerdo con el alcance definido y la condición del inmueble.</w:t>
      </w:r>
    </w:p>
    <w:p w14:paraId="7462688A" w14:textId="77777777" w:rsidR="004342C9" w:rsidRDefault="00000000">
      <w:pPr>
        <w:spacing w:after="20"/>
        <w:ind w:left="198" w:hanging="56"/>
        <w:rPr>
          <w:rFonts w:ascii="Verdana" w:eastAsia="Verdana" w:hAnsi="Verdana" w:cs="Verdana"/>
          <w:sz w:val="22"/>
          <w:szCs w:val="22"/>
        </w:rPr>
      </w:pPr>
      <w:r>
        <w:rPr>
          <w:rFonts w:ascii="Verdana" w:eastAsia="Verdana" w:hAnsi="Verdana" w:cs="Verdana"/>
          <w:sz w:val="22"/>
          <w:szCs w:val="22"/>
        </w:rPr>
        <w:t>• Consolidación y entrega de un paquete final coordinado, suscrito por los profesionales legalmente facultados para cada disciplina y apto para ser utilizado como insumo del futuro proceso de ejecución.</w:t>
      </w:r>
    </w:p>
    <w:p w14:paraId="7E516180" w14:textId="77777777" w:rsidR="004342C9" w:rsidRDefault="004342C9">
      <w:pPr>
        <w:spacing w:after="20"/>
        <w:ind w:left="198" w:hanging="56"/>
        <w:rPr>
          <w:rFonts w:ascii="Verdana" w:eastAsia="Verdana" w:hAnsi="Verdana" w:cs="Verdana"/>
          <w:sz w:val="22"/>
          <w:szCs w:val="22"/>
        </w:rPr>
      </w:pPr>
    </w:p>
    <w:p w14:paraId="131676F2" w14:textId="77777777" w:rsidR="004342C9" w:rsidRDefault="00000000">
      <w:pPr>
        <w:rPr>
          <w:rFonts w:ascii="Verdana" w:eastAsia="Verdana" w:hAnsi="Verdana" w:cs="Verdana"/>
          <w:b/>
          <w:bCs/>
          <w:sz w:val="22"/>
          <w:szCs w:val="22"/>
          <w:u w:val="single"/>
        </w:rPr>
      </w:pPr>
      <w:r>
        <w:rPr>
          <w:rFonts w:ascii="Verdana" w:eastAsia="Verdana" w:hAnsi="Verdana" w:cs="Verdana"/>
          <w:b/>
          <w:bCs/>
          <w:sz w:val="22"/>
          <w:szCs w:val="22"/>
          <w:u w:val="single"/>
        </w:rPr>
        <w:t>PRODUCTOS MÍNIMOS DE LA CONSULTORÍA</w:t>
      </w:r>
    </w:p>
    <w:tbl>
      <w:tblPr>
        <w:tblStyle w:val="a2"/>
        <w:tblW w:w="8789" w:type="dxa"/>
        <w:jc w:val="center"/>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704"/>
        <w:gridCol w:w="2693"/>
        <w:gridCol w:w="5392"/>
      </w:tblGrid>
      <w:tr w:rsidR="004342C9" w14:paraId="51022A34" w14:textId="77777777">
        <w:trPr>
          <w:cantSplit/>
          <w:tblHeader/>
          <w:jc w:val="center"/>
        </w:trPr>
        <w:tc>
          <w:tcPr>
            <w:tcW w:w="704" w:type="dxa"/>
            <w:shd w:val="clear" w:color="auto" w:fill="D9D9D9"/>
            <w:tcMar>
              <w:top w:w="80" w:type="dxa"/>
              <w:bottom w:w="80" w:type="dxa"/>
            </w:tcMar>
            <w:vAlign w:val="center"/>
          </w:tcPr>
          <w:p w14:paraId="5FDDD6BD" w14:textId="77777777" w:rsidR="004342C9" w:rsidRDefault="00000000">
            <w:pPr>
              <w:jc w:val="center"/>
            </w:pPr>
            <w:r>
              <w:rPr>
                <w:b/>
                <w:bCs/>
                <w:sz w:val="15"/>
                <w:szCs w:val="15"/>
              </w:rPr>
              <w:t>ÍTEM</w:t>
            </w:r>
          </w:p>
        </w:tc>
        <w:tc>
          <w:tcPr>
            <w:tcW w:w="2693" w:type="dxa"/>
            <w:shd w:val="clear" w:color="auto" w:fill="D9D9D9"/>
            <w:tcMar>
              <w:top w:w="80" w:type="dxa"/>
              <w:bottom w:w="80" w:type="dxa"/>
            </w:tcMar>
            <w:vAlign w:val="center"/>
          </w:tcPr>
          <w:p w14:paraId="5C83ECAC" w14:textId="77777777" w:rsidR="004342C9" w:rsidRDefault="00000000">
            <w:pPr>
              <w:jc w:val="center"/>
            </w:pPr>
            <w:r>
              <w:rPr>
                <w:b/>
                <w:bCs/>
                <w:sz w:val="15"/>
                <w:szCs w:val="15"/>
              </w:rPr>
              <w:t>PRODUCTO</w:t>
            </w:r>
          </w:p>
        </w:tc>
        <w:tc>
          <w:tcPr>
            <w:tcW w:w="5392" w:type="dxa"/>
            <w:shd w:val="clear" w:color="auto" w:fill="D9D9D9"/>
            <w:tcMar>
              <w:top w:w="80" w:type="dxa"/>
              <w:bottom w:w="80" w:type="dxa"/>
            </w:tcMar>
            <w:vAlign w:val="center"/>
          </w:tcPr>
          <w:p w14:paraId="4C1B5E6C" w14:textId="77777777" w:rsidR="004342C9" w:rsidRDefault="00000000">
            <w:pPr>
              <w:jc w:val="center"/>
            </w:pPr>
            <w:r>
              <w:rPr>
                <w:b/>
                <w:bCs/>
                <w:sz w:val="15"/>
                <w:szCs w:val="15"/>
              </w:rPr>
              <w:t>CONTENIDO MÍNIMO</w:t>
            </w:r>
          </w:p>
        </w:tc>
      </w:tr>
      <w:tr w:rsidR="004342C9" w14:paraId="2916B33A" w14:textId="77777777">
        <w:trPr>
          <w:cantSplit/>
          <w:trHeight w:val="602"/>
          <w:jc w:val="center"/>
        </w:trPr>
        <w:tc>
          <w:tcPr>
            <w:tcW w:w="704" w:type="dxa"/>
            <w:tcMar>
              <w:top w:w="80" w:type="dxa"/>
              <w:bottom w:w="80" w:type="dxa"/>
            </w:tcMar>
            <w:vAlign w:val="center"/>
          </w:tcPr>
          <w:p w14:paraId="5B19E5FB" w14:textId="77777777" w:rsidR="004342C9" w:rsidRDefault="00000000">
            <w:r>
              <w:rPr>
                <w:sz w:val="15"/>
                <w:szCs w:val="15"/>
              </w:rPr>
              <w:t>1</w:t>
            </w:r>
          </w:p>
        </w:tc>
        <w:tc>
          <w:tcPr>
            <w:tcW w:w="2693" w:type="dxa"/>
            <w:tcMar>
              <w:top w:w="80" w:type="dxa"/>
              <w:bottom w:w="80" w:type="dxa"/>
            </w:tcMar>
            <w:vAlign w:val="center"/>
          </w:tcPr>
          <w:p w14:paraId="0B98A6E7" w14:textId="77777777" w:rsidR="004342C9" w:rsidRDefault="00000000">
            <w:r>
              <w:rPr>
                <w:sz w:val="15"/>
                <w:szCs w:val="15"/>
              </w:rPr>
              <w:t>Diagnóstico técnico del escenario</w:t>
            </w:r>
          </w:p>
        </w:tc>
        <w:tc>
          <w:tcPr>
            <w:tcW w:w="5392" w:type="dxa"/>
            <w:tcMar>
              <w:top w:w="80" w:type="dxa"/>
              <w:bottom w:w="80" w:type="dxa"/>
            </w:tcMar>
            <w:vAlign w:val="center"/>
          </w:tcPr>
          <w:p w14:paraId="7A47A1CA" w14:textId="77777777" w:rsidR="004342C9" w:rsidRDefault="00000000">
            <w:r>
              <w:rPr>
                <w:sz w:val="15"/>
                <w:szCs w:val="15"/>
              </w:rPr>
              <w:t>Informe detallado del estado actual de la membrana, condiciones arquitectónicas y estructurales preliminares, accesibilidad PMR, infraestructura eléctrica, dimensiones, riesgos, registro fotográfico e inventario técnico.</w:t>
            </w:r>
          </w:p>
        </w:tc>
      </w:tr>
      <w:tr w:rsidR="004342C9" w14:paraId="33270E84" w14:textId="77777777">
        <w:trPr>
          <w:cantSplit/>
          <w:jc w:val="center"/>
        </w:trPr>
        <w:tc>
          <w:tcPr>
            <w:tcW w:w="704" w:type="dxa"/>
            <w:tcMar>
              <w:top w:w="80" w:type="dxa"/>
              <w:bottom w:w="80" w:type="dxa"/>
            </w:tcMar>
            <w:vAlign w:val="center"/>
          </w:tcPr>
          <w:p w14:paraId="66E680AC" w14:textId="77777777" w:rsidR="004342C9" w:rsidRDefault="00000000">
            <w:r>
              <w:rPr>
                <w:sz w:val="15"/>
                <w:szCs w:val="15"/>
              </w:rPr>
              <w:t>2</w:t>
            </w:r>
          </w:p>
        </w:tc>
        <w:tc>
          <w:tcPr>
            <w:tcW w:w="2693" w:type="dxa"/>
            <w:tcMar>
              <w:top w:w="80" w:type="dxa"/>
              <w:bottom w:w="80" w:type="dxa"/>
            </w:tcMar>
            <w:vAlign w:val="center"/>
          </w:tcPr>
          <w:p w14:paraId="33E34710" w14:textId="77777777" w:rsidR="004342C9" w:rsidRDefault="00000000">
            <w:r>
              <w:rPr>
                <w:sz w:val="15"/>
                <w:szCs w:val="15"/>
              </w:rPr>
              <w:t>Planos arquitectónicos actualizados - levantamiento y propuesta</w:t>
            </w:r>
          </w:p>
        </w:tc>
        <w:tc>
          <w:tcPr>
            <w:tcW w:w="5392" w:type="dxa"/>
            <w:tcMar>
              <w:top w:w="80" w:type="dxa"/>
              <w:bottom w:w="80" w:type="dxa"/>
            </w:tcMar>
            <w:vAlign w:val="center"/>
          </w:tcPr>
          <w:p w14:paraId="3129FEF7" w14:textId="77777777" w:rsidR="004342C9" w:rsidRDefault="00000000">
            <w:r>
              <w:rPr>
                <w:sz w:val="15"/>
                <w:szCs w:val="15"/>
              </w:rPr>
              <w:t>Levantamiento detallado, propuesta de complementación de membrana, estructura y anclajes, evacuación de aguas lluvias, soluciones de accesibilidad, planos eléctricos, archivos DWG/PDF y modelo 3D.</w:t>
            </w:r>
          </w:p>
        </w:tc>
      </w:tr>
      <w:tr w:rsidR="004342C9" w14:paraId="474BB035" w14:textId="77777777">
        <w:trPr>
          <w:cantSplit/>
          <w:jc w:val="center"/>
        </w:trPr>
        <w:tc>
          <w:tcPr>
            <w:tcW w:w="704" w:type="dxa"/>
            <w:tcMar>
              <w:top w:w="80" w:type="dxa"/>
              <w:bottom w:w="80" w:type="dxa"/>
            </w:tcMar>
            <w:vAlign w:val="center"/>
          </w:tcPr>
          <w:p w14:paraId="7C64AE0C" w14:textId="77777777" w:rsidR="004342C9" w:rsidRDefault="00000000">
            <w:r>
              <w:rPr>
                <w:sz w:val="15"/>
                <w:szCs w:val="15"/>
              </w:rPr>
              <w:t>3</w:t>
            </w:r>
          </w:p>
        </w:tc>
        <w:tc>
          <w:tcPr>
            <w:tcW w:w="2693" w:type="dxa"/>
            <w:tcMar>
              <w:top w:w="80" w:type="dxa"/>
              <w:bottom w:w="80" w:type="dxa"/>
            </w:tcMar>
            <w:vAlign w:val="center"/>
          </w:tcPr>
          <w:p w14:paraId="3D76093B" w14:textId="77777777" w:rsidR="004342C9" w:rsidRDefault="00000000">
            <w:r>
              <w:rPr>
                <w:sz w:val="15"/>
                <w:szCs w:val="15"/>
              </w:rPr>
              <w:t>Diseño técnico y especificaciones constructivas</w:t>
            </w:r>
          </w:p>
        </w:tc>
        <w:tc>
          <w:tcPr>
            <w:tcW w:w="5392" w:type="dxa"/>
            <w:tcMar>
              <w:top w:w="80" w:type="dxa"/>
              <w:bottom w:w="80" w:type="dxa"/>
            </w:tcMar>
            <w:vAlign w:val="center"/>
          </w:tcPr>
          <w:p w14:paraId="744CF479" w14:textId="77777777" w:rsidR="004342C9" w:rsidRDefault="00000000">
            <w:r>
              <w:rPr>
                <w:sz w:val="15"/>
                <w:szCs w:val="15"/>
              </w:rPr>
              <w:t>Memorias arquitectónicas, estructurales y eléctricas; memorias de cálculo; especificaciones; detalles de estructura, fijaciones y tensionamiento; diagramas unifilares; cuadros de carga y recomendaciones de ejecución.</w:t>
            </w:r>
          </w:p>
        </w:tc>
      </w:tr>
      <w:tr w:rsidR="004342C9" w14:paraId="6D75160D" w14:textId="77777777">
        <w:trPr>
          <w:cantSplit/>
          <w:jc w:val="center"/>
        </w:trPr>
        <w:tc>
          <w:tcPr>
            <w:tcW w:w="704" w:type="dxa"/>
            <w:tcMar>
              <w:top w:w="80" w:type="dxa"/>
              <w:bottom w:w="80" w:type="dxa"/>
            </w:tcMar>
            <w:vAlign w:val="center"/>
          </w:tcPr>
          <w:p w14:paraId="3DB3AA76" w14:textId="77777777" w:rsidR="004342C9" w:rsidRDefault="00000000">
            <w:r>
              <w:rPr>
                <w:sz w:val="15"/>
                <w:szCs w:val="15"/>
              </w:rPr>
              <w:t>4</w:t>
            </w:r>
          </w:p>
        </w:tc>
        <w:tc>
          <w:tcPr>
            <w:tcW w:w="2693" w:type="dxa"/>
            <w:tcMar>
              <w:top w:w="80" w:type="dxa"/>
              <w:bottom w:w="80" w:type="dxa"/>
            </w:tcMar>
            <w:vAlign w:val="center"/>
          </w:tcPr>
          <w:p w14:paraId="309F361A" w14:textId="77777777" w:rsidR="004342C9" w:rsidRDefault="00000000">
            <w:r>
              <w:rPr>
                <w:sz w:val="15"/>
                <w:szCs w:val="15"/>
              </w:rPr>
              <w:t>Presupuesto detallado de la futura intervención</w:t>
            </w:r>
          </w:p>
        </w:tc>
        <w:tc>
          <w:tcPr>
            <w:tcW w:w="5392" w:type="dxa"/>
            <w:tcMar>
              <w:top w:w="80" w:type="dxa"/>
              <w:bottom w:w="80" w:type="dxa"/>
            </w:tcMar>
            <w:vAlign w:val="center"/>
          </w:tcPr>
          <w:p w14:paraId="66EB56FD" w14:textId="77777777" w:rsidR="004342C9" w:rsidRDefault="00000000">
            <w:r>
              <w:rPr>
                <w:sz w:val="15"/>
                <w:szCs w:val="15"/>
              </w:rPr>
              <w:t xml:space="preserve">Cantidades y </w:t>
            </w:r>
            <w:proofErr w:type="spellStart"/>
            <w:r>
              <w:rPr>
                <w:sz w:val="15"/>
                <w:szCs w:val="15"/>
              </w:rPr>
              <w:t>metrados</w:t>
            </w:r>
            <w:proofErr w:type="spellEnd"/>
            <w:r>
              <w:rPr>
                <w:sz w:val="15"/>
                <w:szCs w:val="15"/>
              </w:rPr>
              <w:t>, APU, presupuesto general y por componentes, coherente con planos y especificaciones, y cronograma físico-financiero estimado.</w:t>
            </w:r>
          </w:p>
        </w:tc>
      </w:tr>
      <w:tr w:rsidR="004342C9" w14:paraId="1B196357" w14:textId="77777777">
        <w:trPr>
          <w:cantSplit/>
          <w:jc w:val="center"/>
        </w:trPr>
        <w:tc>
          <w:tcPr>
            <w:tcW w:w="704" w:type="dxa"/>
            <w:tcMar>
              <w:top w:w="80" w:type="dxa"/>
              <w:bottom w:w="80" w:type="dxa"/>
            </w:tcMar>
            <w:vAlign w:val="center"/>
          </w:tcPr>
          <w:p w14:paraId="3FDBF160" w14:textId="77777777" w:rsidR="004342C9" w:rsidRDefault="00000000">
            <w:r>
              <w:rPr>
                <w:sz w:val="15"/>
                <w:szCs w:val="15"/>
              </w:rPr>
              <w:t>5</w:t>
            </w:r>
          </w:p>
        </w:tc>
        <w:tc>
          <w:tcPr>
            <w:tcW w:w="2693" w:type="dxa"/>
            <w:tcMar>
              <w:top w:w="80" w:type="dxa"/>
              <w:bottom w:w="80" w:type="dxa"/>
            </w:tcMar>
            <w:vAlign w:val="center"/>
          </w:tcPr>
          <w:p w14:paraId="73C7C511" w14:textId="77777777" w:rsidR="004342C9" w:rsidRDefault="00000000">
            <w:r>
              <w:rPr>
                <w:sz w:val="15"/>
                <w:szCs w:val="15"/>
              </w:rPr>
              <w:t>Cronograma de actividades</w:t>
            </w:r>
          </w:p>
        </w:tc>
        <w:tc>
          <w:tcPr>
            <w:tcW w:w="5392" w:type="dxa"/>
            <w:tcMar>
              <w:top w:w="80" w:type="dxa"/>
              <w:bottom w:w="80" w:type="dxa"/>
            </w:tcMar>
            <w:vAlign w:val="center"/>
          </w:tcPr>
          <w:p w14:paraId="51E00B2B" w14:textId="77777777" w:rsidR="004342C9" w:rsidRDefault="00000000">
            <w:r>
              <w:rPr>
                <w:sz w:val="15"/>
                <w:szCs w:val="15"/>
              </w:rPr>
              <w:t>Programación de la consultoría y proyección preliminar de ejecución de la futura intervención, en formato Gantt o equivalente.</w:t>
            </w:r>
          </w:p>
        </w:tc>
      </w:tr>
      <w:tr w:rsidR="004342C9" w14:paraId="1F46E18B" w14:textId="77777777">
        <w:trPr>
          <w:cantSplit/>
          <w:jc w:val="center"/>
        </w:trPr>
        <w:tc>
          <w:tcPr>
            <w:tcW w:w="704" w:type="dxa"/>
            <w:tcMar>
              <w:top w:w="80" w:type="dxa"/>
              <w:bottom w:w="80" w:type="dxa"/>
            </w:tcMar>
            <w:vAlign w:val="center"/>
          </w:tcPr>
          <w:p w14:paraId="3804B79B" w14:textId="77777777" w:rsidR="004342C9" w:rsidRDefault="00000000">
            <w:r>
              <w:rPr>
                <w:sz w:val="15"/>
                <w:szCs w:val="15"/>
              </w:rPr>
              <w:t>6</w:t>
            </w:r>
          </w:p>
        </w:tc>
        <w:tc>
          <w:tcPr>
            <w:tcW w:w="2693" w:type="dxa"/>
            <w:tcMar>
              <w:top w:w="80" w:type="dxa"/>
              <w:bottom w:w="80" w:type="dxa"/>
            </w:tcMar>
            <w:vAlign w:val="center"/>
          </w:tcPr>
          <w:p w14:paraId="28047539" w14:textId="77777777" w:rsidR="004342C9" w:rsidRDefault="00000000">
            <w:r>
              <w:rPr>
                <w:sz w:val="15"/>
                <w:szCs w:val="15"/>
              </w:rPr>
              <w:t>Manual técnico y de mantenimiento</w:t>
            </w:r>
          </w:p>
        </w:tc>
        <w:tc>
          <w:tcPr>
            <w:tcW w:w="5392" w:type="dxa"/>
            <w:tcMar>
              <w:top w:w="80" w:type="dxa"/>
              <w:bottom w:w="80" w:type="dxa"/>
            </w:tcMar>
            <w:vAlign w:val="center"/>
          </w:tcPr>
          <w:p w14:paraId="4E11E339" w14:textId="77777777" w:rsidR="004342C9" w:rsidRDefault="00000000">
            <w:r>
              <w:rPr>
                <w:sz w:val="15"/>
                <w:szCs w:val="15"/>
              </w:rPr>
              <w:t>Lineamientos de uso, inspección, cuidado, mantenimiento preventivo/correctivo y conservación de membrana, estructura, accesibilidad e infraestructura eléctrica.</w:t>
            </w:r>
          </w:p>
        </w:tc>
      </w:tr>
      <w:tr w:rsidR="004342C9" w14:paraId="15490D63" w14:textId="77777777">
        <w:trPr>
          <w:cantSplit/>
          <w:jc w:val="center"/>
        </w:trPr>
        <w:tc>
          <w:tcPr>
            <w:tcW w:w="704" w:type="dxa"/>
            <w:tcMar>
              <w:top w:w="80" w:type="dxa"/>
              <w:bottom w:w="80" w:type="dxa"/>
            </w:tcMar>
            <w:vAlign w:val="center"/>
          </w:tcPr>
          <w:p w14:paraId="7D47512F" w14:textId="77777777" w:rsidR="004342C9" w:rsidRDefault="00000000">
            <w:r>
              <w:rPr>
                <w:sz w:val="15"/>
                <w:szCs w:val="15"/>
              </w:rPr>
              <w:t>7</w:t>
            </w:r>
          </w:p>
        </w:tc>
        <w:tc>
          <w:tcPr>
            <w:tcW w:w="2693" w:type="dxa"/>
            <w:tcMar>
              <w:top w:w="80" w:type="dxa"/>
              <w:bottom w:w="80" w:type="dxa"/>
            </w:tcMar>
            <w:vAlign w:val="center"/>
          </w:tcPr>
          <w:p w14:paraId="3402610D" w14:textId="77777777" w:rsidR="004342C9" w:rsidRDefault="00000000">
            <w:r>
              <w:rPr>
                <w:sz w:val="15"/>
                <w:szCs w:val="15"/>
              </w:rPr>
              <w:t>Criterios de garantía y recomendaciones técnicas</w:t>
            </w:r>
          </w:p>
        </w:tc>
        <w:tc>
          <w:tcPr>
            <w:tcW w:w="5392" w:type="dxa"/>
            <w:tcMar>
              <w:top w:w="80" w:type="dxa"/>
              <w:bottom w:w="80" w:type="dxa"/>
            </w:tcMar>
            <w:vAlign w:val="center"/>
          </w:tcPr>
          <w:p w14:paraId="5A51F5A1" w14:textId="77777777" w:rsidR="004342C9" w:rsidRDefault="00000000">
            <w:r>
              <w:rPr>
                <w:sz w:val="15"/>
                <w:szCs w:val="15"/>
              </w:rPr>
              <w:t>Documento que establezca las condiciones mínimas recomendadas de garantía para materiales y sistemas de la futura obra, criterios de instalación, protección frente a intemperie y operación segura.</w:t>
            </w:r>
          </w:p>
        </w:tc>
      </w:tr>
      <w:tr w:rsidR="004342C9" w14:paraId="0FF30A35" w14:textId="77777777">
        <w:trPr>
          <w:cantSplit/>
          <w:jc w:val="center"/>
        </w:trPr>
        <w:tc>
          <w:tcPr>
            <w:tcW w:w="704" w:type="dxa"/>
            <w:tcMar>
              <w:top w:w="80" w:type="dxa"/>
              <w:bottom w:w="80" w:type="dxa"/>
            </w:tcMar>
            <w:vAlign w:val="center"/>
          </w:tcPr>
          <w:p w14:paraId="2E935805" w14:textId="77777777" w:rsidR="004342C9" w:rsidRDefault="00000000">
            <w:r>
              <w:rPr>
                <w:sz w:val="15"/>
                <w:szCs w:val="15"/>
              </w:rPr>
              <w:t>8</w:t>
            </w:r>
          </w:p>
        </w:tc>
        <w:tc>
          <w:tcPr>
            <w:tcW w:w="2693" w:type="dxa"/>
            <w:tcMar>
              <w:top w:w="80" w:type="dxa"/>
              <w:bottom w:w="80" w:type="dxa"/>
            </w:tcMar>
            <w:vAlign w:val="center"/>
          </w:tcPr>
          <w:p w14:paraId="65A4957A" w14:textId="77777777" w:rsidR="004342C9" w:rsidRDefault="00000000">
            <w:r>
              <w:rPr>
                <w:sz w:val="15"/>
                <w:szCs w:val="15"/>
              </w:rPr>
              <w:t>Gestión de permisos ante entes competentes - si aplica</w:t>
            </w:r>
          </w:p>
        </w:tc>
        <w:tc>
          <w:tcPr>
            <w:tcW w:w="5392" w:type="dxa"/>
            <w:tcMar>
              <w:top w:w="80" w:type="dxa"/>
              <w:bottom w:w="80" w:type="dxa"/>
            </w:tcMar>
            <w:vAlign w:val="center"/>
          </w:tcPr>
          <w:p w14:paraId="7607451B" w14:textId="77777777" w:rsidR="004342C9" w:rsidRDefault="00000000">
            <w:r>
              <w:rPr>
                <w:sz w:val="15"/>
                <w:szCs w:val="15"/>
              </w:rPr>
              <w:t>Revisión normativa, identificación de trámites, preparación y radicación de documentos técnicos cuando corresponda dentro del plazo contractual y acompañamiento técnico a la revisión.</w:t>
            </w:r>
          </w:p>
        </w:tc>
      </w:tr>
      <w:tr w:rsidR="004342C9" w14:paraId="60A8099A" w14:textId="77777777">
        <w:trPr>
          <w:cantSplit/>
          <w:jc w:val="center"/>
        </w:trPr>
        <w:tc>
          <w:tcPr>
            <w:tcW w:w="704" w:type="dxa"/>
            <w:tcMar>
              <w:top w:w="80" w:type="dxa"/>
              <w:bottom w:w="80" w:type="dxa"/>
            </w:tcMar>
            <w:vAlign w:val="center"/>
          </w:tcPr>
          <w:p w14:paraId="79DB4E38" w14:textId="77777777" w:rsidR="004342C9" w:rsidRDefault="00000000">
            <w:r>
              <w:rPr>
                <w:sz w:val="15"/>
                <w:szCs w:val="15"/>
              </w:rPr>
              <w:lastRenderedPageBreak/>
              <w:t>9</w:t>
            </w:r>
          </w:p>
        </w:tc>
        <w:tc>
          <w:tcPr>
            <w:tcW w:w="2693" w:type="dxa"/>
            <w:tcMar>
              <w:top w:w="80" w:type="dxa"/>
              <w:bottom w:w="80" w:type="dxa"/>
            </w:tcMar>
            <w:vAlign w:val="center"/>
          </w:tcPr>
          <w:p w14:paraId="6D54B8AC" w14:textId="77777777" w:rsidR="004342C9" w:rsidRDefault="00000000">
            <w:r>
              <w:rPr>
                <w:sz w:val="15"/>
                <w:szCs w:val="15"/>
              </w:rPr>
              <w:t>Diagnóstico y diseño eléctrico asociado al escenario</w:t>
            </w:r>
          </w:p>
        </w:tc>
        <w:tc>
          <w:tcPr>
            <w:tcW w:w="5392" w:type="dxa"/>
            <w:tcMar>
              <w:top w:w="80" w:type="dxa"/>
              <w:bottom w:w="80" w:type="dxa"/>
            </w:tcMar>
            <w:vAlign w:val="center"/>
          </w:tcPr>
          <w:p w14:paraId="663D81C3" w14:textId="77777777" w:rsidR="004342C9" w:rsidRDefault="00000000">
            <w:r>
              <w:rPr>
                <w:sz w:val="15"/>
                <w:szCs w:val="15"/>
              </w:rPr>
              <w:t>Inventario eléctrico, análisis de cargas/capacidad, riesgos por humedad, puesta a tierra/protecciones, unifilares, cuadros de carga, memorias, especificaciones y soluciones de adecuación o ampliación.</w:t>
            </w:r>
          </w:p>
        </w:tc>
      </w:tr>
    </w:tbl>
    <w:p w14:paraId="29854B23" w14:textId="77777777" w:rsidR="004342C9" w:rsidRDefault="004342C9"/>
    <w:p w14:paraId="79A050A8" w14:textId="77777777" w:rsidR="004342C9" w:rsidRDefault="00000000">
      <w:pPr>
        <w:numPr>
          <w:ilvl w:val="0"/>
          <w:numId w:val="6"/>
        </w:numPr>
        <w:pBdr>
          <w:top w:val="nil"/>
          <w:left w:val="nil"/>
          <w:bottom w:val="nil"/>
          <w:right w:val="nil"/>
          <w:between w:val="nil"/>
        </w:pBdr>
        <w:rPr>
          <w:rFonts w:ascii="Verdana" w:eastAsia="Verdana" w:hAnsi="Verdana" w:cs="Verdana"/>
          <w:b/>
          <w:bCs/>
          <w:sz w:val="22"/>
          <w:szCs w:val="22"/>
        </w:rPr>
      </w:pPr>
      <w:r>
        <w:rPr>
          <w:rFonts w:ascii="Verdana" w:eastAsia="Verdana" w:hAnsi="Verdana" w:cs="Verdana"/>
          <w:b/>
          <w:bCs/>
          <w:sz w:val="22"/>
          <w:szCs w:val="22"/>
        </w:rPr>
        <w:t xml:space="preserve">PLAZO PARA LA EJECUCIÓN DEL CONTRATO </w:t>
      </w:r>
    </w:p>
    <w:p w14:paraId="16434029" w14:textId="77777777" w:rsidR="004342C9" w:rsidRDefault="00000000">
      <w:pPr>
        <w:rPr>
          <w:rFonts w:ascii="Verdana" w:eastAsia="Verdana" w:hAnsi="Verdana" w:cs="Verdana"/>
          <w:sz w:val="22"/>
          <w:szCs w:val="22"/>
        </w:rPr>
      </w:pPr>
      <w:r>
        <w:rPr>
          <w:rFonts w:ascii="Verdana" w:eastAsia="Verdana" w:hAnsi="Verdana" w:cs="Verdana"/>
          <w:sz w:val="22"/>
          <w:szCs w:val="22"/>
        </w:rPr>
        <w:t>El plazo previsto para la ejecución de las actividades que se deriven del proceso es el establecido en la sección 1.1. del Pliego de Condiciones, el cual se contará en la forma prevista en el Anexo 5 – Minuta del Contrato.</w:t>
      </w:r>
    </w:p>
    <w:p w14:paraId="2D01136D" w14:textId="77777777" w:rsidR="004342C9" w:rsidRDefault="00000000">
      <w:pPr>
        <w:numPr>
          <w:ilvl w:val="0"/>
          <w:numId w:val="6"/>
        </w:numPr>
        <w:rPr>
          <w:rFonts w:ascii="Verdana" w:eastAsia="Verdana" w:hAnsi="Verdana" w:cs="Verdana"/>
          <w:b/>
          <w:bCs/>
          <w:color w:val="000000"/>
          <w:sz w:val="22"/>
          <w:szCs w:val="22"/>
        </w:rPr>
      </w:pPr>
      <w:r>
        <w:rPr>
          <w:rFonts w:ascii="Verdana" w:eastAsia="Verdana" w:hAnsi="Verdana" w:cs="Verdana"/>
          <w:b/>
          <w:bCs/>
          <w:color w:val="000000"/>
          <w:sz w:val="22"/>
          <w:szCs w:val="22"/>
        </w:rPr>
        <w:t>FORMA DE PAGO</w:t>
      </w:r>
    </w:p>
    <w:p w14:paraId="1D530EB9" w14:textId="77777777" w:rsidR="004342C9" w:rsidRDefault="00000000">
      <w:pPr>
        <w:rPr>
          <w:rFonts w:ascii="Verdana" w:eastAsia="Verdana" w:hAnsi="Verdana" w:cs="Verdana"/>
          <w:sz w:val="22"/>
          <w:szCs w:val="22"/>
        </w:rPr>
      </w:pPr>
      <w:r>
        <w:rPr>
          <w:rFonts w:ascii="Verdana" w:eastAsia="Verdana" w:hAnsi="Verdana" w:cs="Verdana"/>
          <w:sz w:val="22"/>
          <w:szCs w:val="22"/>
        </w:rPr>
        <w:t>La Fundación pagará el valor del contrato en dos (2) pagos: un primer pago equivalente al treinta por ciento (30%) y un segundo pago equivalente al setenta por ciento (70%), de acuerdo con la ejecución y aprobación de los productos definidos en el plan de trabajo y con las condiciones mínimas previstas en la tabla de pagos, previa certificación de cumplimiento expedida por la supervisión y la radicación de los documentos de cobro y soportes exigidos por la Entidad.</w:t>
      </w:r>
    </w:p>
    <w:p w14:paraId="166885AF" w14:textId="77777777" w:rsidR="004342C9" w:rsidRDefault="004342C9">
      <w:pPr>
        <w:rPr>
          <w:rFonts w:ascii="Verdana" w:eastAsia="Verdana" w:hAnsi="Verdana" w:cs="Verdana"/>
          <w:sz w:val="22"/>
          <w:szCs w:val="22"/>
        </w:rPr>
      </w:pPr>
    </w:p>
    <w:p w14:paraId="42DD4013" w14:textId="77777777" w:rsidR="004342C9" w:rsidRDefault="00000000">
      <w:pPr>
        <w:rPr>
          <w:rFonts w:ascii="Verdana" w:eastAsia="Verdana" w:hAnsi="Verdana" w:cs="Verdana"/>
          <w:b/>
          <w:bCs/>
          <w:sz w:val="22"/>
          <w:szCs w:val="22"/>
        </w:rPr>
      </w:pPr>
      <w:r>
        <w:rPr>
          <w:rFonts w:ascii="Verdana" w:eastAsia="Verdana" w:hAnsi="Verdana" w:cs="Verdana"/>
          <w:b/>
          <w:bCs/>
          <w:sz w:val="22"/>
          <w:szCs w:val="22"/>
        </w:rPr>
        <w:t>SISTEMA DE PAGO</w:t>
      </w:r>
    </w:p>
    <w:tbl>
      <w:tblPr>
        <w:tblStyle w:val="a3"/>
        <w:tblW w:w="8788" w:type="dxa"/>
        <w:jc w:val="center"/>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2761"/>
        <w:gridCol w:w="3324"/>
        <w:gridCol w:w="2703"/>
      </w:tblGrid>
      <w:tr w:rsidR="004342C9" w14:paraId="6E01E946" w14:textId="77777777">
        <w:trPr>
          <w:cantSplit/>
          <w:tblHeader/>
          <w:jc w:val="center"/>
        </w:trPr>
        <w:tc>
          <w:tcPr>
            <w:tcW w:w="2762" w:type="dxa"/>
            <w:shd w:val="clear" w:color="auto" w:fill="D9D9D9"/>
            <w:tcMar>
              <w:top w:w="80" w:type="dxa"/>
              <w:bottom w:w="80" w:type="dxa"/>
            </w:tcMar>
            <w:vAlign w:val="center"/>
          </w:tcPr>
          <w:p w14:paraId="3CEFE6E7" w14:textId="77777777" w:rsidR="004342C9" w:rsidRDefault="00000000">
            <w:pPr>
              <w:jc w:val="center"/>
              <w:rPr>
                <w:rFonts w:ascii="Verdana" w:eastAsia="Verdana" w:hAnsi="Verdana" w:cs="Verdana"/>
                <w:sz w:val="15"/>
                <w:szCs w:val="15"/>
              </w:rPr>
            </w:pPr>
            <w:r>
              <w:rPr>
                <w:rFonts w:ascii="Verdana" w:eastAsia="Verdana" w:hAnsi="Verdana" w:cs="Verdana"/>
                <w:b/>
                <w:bCs/>
                <w:sz w:val="15"/>
                <w:szCs w:val="15"/>
              </w:rPr>
              <w:t>PAGO</w:t>
            </w:r>
          </w:p>
        </w:tc>
        <w:tc>
          <w:tcPr>
            <w:tcW w:w="3324" w:type="dxa"/>
            <w:shd w:val="clear" w:color="auto" w:fill="D9D9D9"/>
            <w:tcMar>
              <w:top w:w="80" w:type="dxa"/>
              <w:bottom w:w="80" w:type="dxa"/>
            </w:tcMar>
            <w:vAlign w:val="center"/>
          </w:tcPr>
          <w:p w14:paraId="5A7A0921" w14:textId="77777777" w:rsidR="004342C9" w:rsidRDefault="00000000">
            <w:pPr>
              <w:jc w:val="center"/>
              <w:rPr>
                <w:rFonts w:ascii="Verdana" w:eastAsia="Verdana" w:hAnsi="Verdana" w:cs="Verdana"/>
                <w:sz w:val="15"/>
                <w:szCs w:val="15"/>
              </w:rPr>
            </w:pPr>
            <w:r>
              <w:rPr>
                <w:rFonts w:ascii="Verdana" w:eastAsia="Verdana" w:hAnsi="Verdana" w:cs="Verdana"/>
                <w:b/>
                <w:bCs/>
                <w:sz w:val="15"/>
                <w:szCs w:val="15"/>
              </w:rPr>
              <w:t>PORCENTAJE</w:t>
            </w:r>
          </w:p>
        </w:tc>
        <w:tc>
          <w:tcPr>
            <w:tcW w:w="2703" w:type="dxa"/>
            <w:shd w:val="clear" w:color="auto" w:fill="D9D9D9"/>
            <w:tcMar>
              <w:top w:w="80" w:type="dxa"/>
              <w:bottom w:w="80" w:type="dxa"/>
            </w:tcMar>
            <w:vAlign w:val="center"/>
          </w:tcPr>
          <w:p w14:paraId="16BD0F55" w14:textId="77777777" w:rsidR="004342C9" w:rsidRDefault="00000000">
            <w:pPr>
              <w:jc w:val="center"/>
              <w:rPr>
                <w:rFonts w:ascii="Verdana" w:eastAsia="Verdana" w:hAnsi="Verdana" w:cs="Verdana"/>
                <w:sz w:val="15"/>
                <w:szCs w:val="15"/>
              </w:rPr>
            </w:pPr>
            <w:r>
              <w:rPr>
                <w:rFonts w:ascii="Verdana" w:eastAsia="Verdana" w:hAnsi="Verdana" w:cs="Verdana"/>
                <w:b/>
                <w:bCs/>
                <w:sz w:val="15"/>
                <w:szCs w:val="15"/>
              </w:rPr>
              <w:t>CONDICIÓN MÍNIMA PARA TRÁMITE</w:t>
            </w:r>
          </w:p>
        </w:tc>
      </w:tr>
      <w:tr w:rsidR="004342C9" w14:paraId="4D216908" w14:textId="77777777">
        <w:trPr>
          <w:cantSplit/>
          <w:jc w:val="center"/>
        </w:trPr>
        <w:tc>
          <w:tcPr>
            <w:tcW w:w="2762" w:type="dxa"/>
            <w:tcMar>
              <w:top w:w="80" w:type="dxa"/>
              <w:bottom w:w="80" w:type="dxa"/>
            </w:tcMar>
            <w:vAlign w:val="center"/>
          </w:tcPr>
          <w:p w14:paraId="5A5F0183" w14:textId="77777777" w:rsidR="004342C9" w:rsidRDefault="00000000">
            <w:pPr>
              <w:rPr>
                <w:rFonts w:ascii="Verdana" w:eastAsia="Verdana" w:hAnsi="Verdana" w:cs="Verdana"/>
                <w:sz w:val="15"/>
                <w:szCs w:val="15"/>
              </w:rPr>
            </w:pPr>
            <w:r>
              <w:rPr>
                <w:rFonts w:ascii="Verdana" w:eastAsia="Verdana" w:hAnsi="Verdana" w:cs="Verdana"/>
                <w:sz w:val="15"/>
                <w:szCs w:val="15"/>
              </w:rPr>
              <w:t>Pago No. 1</w:t>
            </w:r>
          </w:p>
        </w:tc>
        <w:tc>
          <w:tcPr>
            <w:tcW w:w="3324" w:type="dxa"/>
            <w:tcMar>
              <w:top w:w="80" w:type="dxa"/>
              <w:bottom w:w="80" w:type="dxa"/>
            </w:tcMar>
            <w:vAlign w:val="center"/>
          </w:tcPr>
          <w:p w14:paraId="09C9EBC4" w14:textId="77777777" w:rsidR="004342C9" w:rsidRDefault="00000000">
            <w:pPr>
              <w:rPr>
                <w:rFonts w:ascii="Verdana" w:eastAsia="Verdana" w:hAnsi="Verdana" w:cs="Verdana"/>
                <w:sz w:val="15"/>
                <w:szCs w:val="15"/>
              </w:rPr>
            </w:pPr>
            <w:r>
              <w:rPr>
                <w:rFonts w:ascii="Verdana" w:eastAsia="Verdana" w:hAnsi="Verdana" w:cs="Verdana"/>
                <w:sz w:val="15"/>
                <w:szCs w:val="15"/>
              </w:rPr>
              <w:t>30%</w:t>
            </w:r>
          </w:p>
        </w:tc>
        <w:tc>
          <w:tcPr>
            <w:tcW w:w="2703" w:type="dxa"/>
            <w:tcMar>
              <w:top w:w="80" w:type="dxa"/>
              <w:bottom w:w="80" w:type="dxa"/>
            </w:tcMar>
            <w:vAlign w:val="center"/>
          </w:tcPr>
          <w:p w14:paraId="22666445" w14:textId="77777777" w:rsidR="004342C9" w:rsidRDefault="00000000">
            <w:pPr>
              <w:rPr>
                <w:rFonts w:ascii="Verdana" w:eastAsia="Verdana" w:hAnsi="Verdana" w:cs="Verdana"/>
                <w:sz w:val="15"/>
                <w:szCs w:val="15"/>
              </w:rPr>
            </w:pPr>
            <w:r>
              <w:rPr>
                <w:rFonts w:ascii="Verdana" w:eastAsia="Verdana" w:hAnsi="Verdana" w:cs="Verdana"/>
                <w:sz w:val="15"/>
                <w:szCs w:val="15"/>
              </w:rPr>
              <w:t>Aprobación del diagnóstico técnico, levantamiento arquitectónico, propuesta conceptual coordinada, cronograma definitivo y avance verificable de los componentes arquitectónico, estructural, eléctrico y de accesibilidad conforme al plan de trabajo aprobado.</w:t>
            </w:r>
          </w:p>
        </w:tc>
      </w:tr>
      <w:tr w:rsidR="004342C9" w14:paraId="447232D6" w14:textId="77777777">
        <w:trPr>
          <w:cantSplit/>
          <w:jc w:val="center"/>
        </w:trPr>
        <w:tc>
          <w:tcPr>
            <w:tcW w:w="2762" w:type="dxa"/>
            <w:tcMar>
              <w:top w:w="80" w:type="dxa"/>
              <w:bottom w:w="80" w:type="dxa"/>
            </w:tcMar>
            <w:vAlign w:val="center"/>
          </w:tcPr>
          <w:p w14:paraId="15C73A11" w14:textId="77777777" w:rsidR="004342C9" w:rsidRDefault="00000000">
            <w:pPr>
              <w:rPr>
                <w:rFonts w:ascii="Verdana" w:eastAsia="Verdana" w:hAnsi="Verdana" w:cs="Verdana"/>
                <w:sz w:val="15"/>
                <w:szCs w:val="15"/>
              </w:rPr>
            </w:pPr>
            <w:r>
              <w:rPr>
                <w:rFonts w:ascii="Verdana" w:eastAsia="Verdana" w:hAnsi="Verdana" w:cs="Verdana"/>
                <w:sz w:val="15"/>
                <w:szCs w:val="15"/>
              </w:rPr>
              <w:lastRenderedPageBreak/>
              <w:t>Pago No. 2</w:t>
            </w:r>
          </w:p>
        </w:tc>
        <w:tc>
          <w:tcPr>
            <w:tcW w:w="3324" w:type="dxa"/>
            <w:tcMar>
              <w:top w:w="80" w:type="dxa"/>
              <w:bottom w:w="80" w:type="dxa"/>
            </w:tcMar>
            <w:vAlign w:val="center"/>
          </w:tcPr>
          <w:p w14:paraId="170B4FB5" w14:textId="77777777" w:rsidR="004342C9" w:rsidRDefault="00000000">
            <w:pPr>
              <w:rPr>
                <w:rFonts w:ascii="Verdana" w:eastAsia="Verdana" w:hAnsi="Verdana" w:cs="Verdana"/>
                <w:sz w:val="15"/>
                <w:szCs w:val="15"/>
              </w:rPr>
            </w:pPr>
            <w:r>
              <w:rPr>
                <w:rFonts w:ascii="Verdana" w:eastAsia="Verdana" w:hAnsi="Verdana" w:cs="Verdana"/>
                <w:sz w:val="15"/>
                <w:szCs w:val="15"/>
              </w:rPr>
              <w:t>70%</w:t>
            </w:r>
          </w:p>
        </w:tc>
        <w:tc>
          <w:tcPr>
            <w:tcW w:w="2703" w:type="dxa"/>
            <w:tcMar>
              <w:top w:w="80" w:type="dxa"/>
              <w:bottom w:w="80" w:type="dxa"/>
            </w:tcMar>
            <w:vAlign w:val="center"/>
          </w:tcPr>
          <w:p w14:paraId="27FD88B4" w14:textId="77777777" w:rsidR="004342C9" w:rsidRDefault="00000000">
            <w:pPr>
              <w:rPr>
                <w:rFonts w:ascii="Verdana" w:eastAsia="Verdana" w:hAnsi="Verdana" w:cs="Verdana"/>
                <w:sz w:val="15"/>
                <w:szCs w:val="15"/>
              </w:rPr>
            </w:pPr>
            <w:r>
              <w:rPr>
                <w:rFonts w:ascii="Verdana" w:eastAsia="Verdana" w:hAnsi="Verdana" w:cs="Verdana"/>
                <w:sz w:val="15"/>
                <w:szCs w:val="15"/>
              </w:rPr>
              <w:t>Recibo a satisfacción de la totalidad de los estudios y diseños, memorias y cálculos, planos editables y PDF, especificaciones, presupuesto, APU, cronograma físico-financiero, manual técnico, documento de criterios de garantía, componente de permisos cuando aplique y paquete final coordinado y suscrito por los profesionales competentes.</w:t>
            </w:r>
          </w:p>
        </w:tc>
      </w:tr>
    </w:tbl>
    <w:p w14:paraId="6C152696" w14:textId="77777777" w:rsidR="004342C9" w:rsidRDefault="004342C9"/>
    <w:p w14:paraId="02764973" w14:textId="77777777" w:rsidR="004342C9" w:rsidRDefault="00000000">
      <w:pPr>
        <w:rPr>
          <w:sz w:val="22"/>
          <w:szCs w:val="22"/>
        </w:rPr>
      </w:pPr>
      <w:r>
        <w:rPr>
          <w:sz w:val="22"/>
          <w:szCs w:val="22"/>
        </w:rPr>
        <w:t>Los pagos quedan sujetos al Programa Anual Mensualizado de Caja - PAC y a la disponibilidad efectiva de recursos. Para cada pago deberán presentarse, como mínimo, la factura o documento equivalente cuando aplique, informe de actividades y productos, soportes de pago al Sistema Integral de Seguridad Social y parafiscales, certificación de cumplimiento expedida por la supervisión y demás documentos exigidos por la FUGA.</w:t>
      </w:r>
    </w:p>
    <w:p w14:paraId="0EEC651F" w14:textId="77777777" w:rsidR="004342C9" w:rsidRDefault="00000000">
      <w:pPr>
        <w:rPr>
          <w:sz w:val="22"/>
          <w:szCs w:val="22"/>
        </w:rPr>
      </w:pPr>
      <w:r>
        <w:rPr>
          <w:b/>
          <w:bCs/>
          <w:sz w:val="22"/>
          <w:szCs w:val="22"/>
        </w:rPr>
        <w:t xml:space="preserve">Nota 1. </w:t>
      </w:r>
      <w:r>
        <w:rPr>
          <w:sz w:val="22"/>
          <w:szCs w:val="22"/>
        </w:rPr>
        <w:t>La distribución anterior se formula en coherencia con el plazo estimado de dos meses y podrá ajustarse en los documentos definitivos, siempre que se conserve el valor total, se asegure que los pagos correspondan a productos efectivamente recibidos y no se anticipe remuneración por actividades no ejecutadas.</w:t>
      </w:r>
    </w:p>
    <w:p w14:paraId="1DF00D6A" w14:textId="77777777" w:rsidR="004342C9" w:rsidRDefault="00000000">
      <w:pPr>
        <w:rPr>
          <w:sz w:val="22"/>
          <w:szCs w:val="22"/>
        </w:rPr>
      </w:pPr>
      <w:r>
        <w:rPr>
          <w:b/>
          <w:bCs/>
          <w:sz w:val="22"/>
          <w:szCs w:val="22"/>
        </w:rPr>
        <w:t xml:space="preserve">Nota 2. </w:t>
      </w:r>
      <w:r>
        <w:rPr>
          <w:sz w:val="22"/>
          <w:szCs w:val="22"/>
        </w:rPr>
        <w:t>Los productos parciales que soporten el primer pago deberán contar con aprobación expresa de la supervisión y no exime al consultor de efectuar los ajustes de coordinación necesarios para la entrega final integral.</w:t>
      </w:r>
    </w:p>
    <w:p w14:paraId="1D3F5A00" w14:textId="77777777" w:rsidR="004342C9" w:rsidRDefault="00000000">
      <w:pPr>
        <w:rPr>
          <w:sz w:val="22"/>
          <w:szCs w:val="22"/>
        </w:rPr>
      </w:pPr>
      <w:r>
        <w:rPr>
          <w:b/>
          <w:bCs/>
          <w:sz w:val="22"/>
          <w:szCs w:val="22"/>
        </w:rPr>
        <w:t xml:space="preserve">Nota 3. </w:t>
      </w:r>
      <w:r>
        <w:rPr>
          <w:sz w:val="22"/>
          <w:szCs w:val="22"/>
        </w:rPr>
        <w:t>Las retenciones, estampillas, tributos y descuentos se efectuarán conforme a la normativa vigente y a la información tributaria del contratista.</w:t>
      </w:r>
    </w:p>
    <w:p w14:paraId="226C7836" w14:textId="77777777" w:rsidR="004342C9" w:rsidRDefault="00000000">
      <w:pPr>
        <w:rPr>
          <w:sz w:val="22"/>
          <w:szCs w:val="22"/>
        </w:rPr>
      </w:pPr>
      <w:r>
        <w:rPr>
          <w:b/>
          <w:bCs/>
          <w:sz w:val="22"/>
          <w:szCs w:val="22"/>
        </w:rPr>
        <w:t>Nota 4.</w:t>
      </w:r>
      <w:r>
        <w:rPr>
          <w:sz w:val="22"/>
          <w:szCs w:val="22"/>
        </w:rPr>
        <w:t xml:space="preserve"> El presente proceso de selección no está sujeto a anticipos, considerando que las actividades a desarrollar son de carácter intelectual aunado a su plazo de ejecución.</w:t>
      </w:r>
    </w:p>
    <w:p w14:paraId="364C6AA9" w14:textId="77777777" w:rsidR="004342C9" w:rsidRDefault="004342C9">
      <w:pPr>
        <w:ind w:left="360"/>
        <w:jc w:val="center"/>
        <w:rPr>
          <w:rFonts w:ascii="Verdana" w:eastAsia="Verdana" w:hAnsi="Verdana" w:cs="Verdana"/>
          <w:b/>
          <w:bCs/>
          <w:color w:val="000000"/>
          <w:sz w:val="22"/>
          <w:szCs w:val="22"/>
        </w:rPr>
      </w:pPr>
    </w:p>
    <w:p w14:paraId="2CA4B455" w14:textId="77777777" w:rsidR="004342C9" w:rsidRDefault="00000000">
      <w:pPr>
        <w:numPr>
          <w:ilvl w:val="0"/>
          <w:numId w:val="6"/>
        </w:numPr>
        <w:rPr>
          <w:rFonts w:ascii="Verdana" w:eastAsia="Verdana" w:hAnsi="Verdana" w:cs="Verdana"/>
          <w:b/>
          <w:bCs/>
          <w:color w:val="000000"/>
          <w:sz w:val="22"/>
          <w:szCs w:val="22"/>
        </w:rPr>
      </w:pPr>
      <w:r>
        <w:rPr>
          <w:rFonts w:ascii="Verdana" w:eastAsia="Verdana" w:hAnsi="Verdana" w:cs="Verdana"/>
          <w:b/>
          <w:bCs/>
          <w:color w:val="000000"/>
          <w:sz w:val="22"/>
          <w:szCs w:val="22"/>
        </w:rPr>
        <w:t>CONDICIONES PARTICULARES DEL PROYECTO</w:t>
      </w:r>
    </w:p>
    <w:p w14:paraId="45A6D9AD" w14:textId="77777777" w:rsidR="004342C9" w:rsidRDefault="004342C9">
      <w:pPr>
        <w:ind w:left="360"/>
        <w:rPr>
          <w:rFonts w:ascii="Verdana" w:eastAsia="Verdana" w:hAnsi="Verdana" w:cs="Verdana"/>
          <w:b/>
          <w:bCs/>
          <w:sz w:val="22"/>
          <w:szCs w:val="22"/>
          <w:highlight w:val="red"/>
        </w:rPr>
      </w:pPr>
    </w:p>
    <w:p w14:paraId="2CF98F8D" w14:textId="77777777" w:rsidR="004342C9" w:rsidRDefault="00000000">
      <w:pPr>
        <w:numPr>
          <w:ilvl w:val="1"/>
          <w:numId w:val="6"/>
        </w:numPr>
        <w:pBdr>
          <w:top w:val="nil"/>
          <w:left w:val="nil"/>
          <w:bottom w:val="nil"/>
          <w:right w:val="nil"/>
          <w:between w:val="nil"/>
        </w:pBdr>
        <w:spacing w:after="0"/>
        <w:ind w:left="993" w:hanging="633"/>
        <w:rPr>
          <w:rFonts w:ascii="Verdana" w:eastAsia="Verdana" w:hAnsi="Verdana" w:cs="Verdana"/>
          <w:color w:val="000000"/>
          <w:sz w:val="22"/>
          <w:szCs w:val="22"/>
        </w:rPr>
      </w:pPr>
      <w:r>
        <w:rPr>
          <w:rFonts w:ascii="Verdana" w:eastAsia="Verdana" w:hAnsi="Verdana" w:cs="Verdana"/>
          <w:b/>
          <w:bCs/>
          <w:color w:val="000000"/>
          <w:sz w:val="22"/>
          <w:szCs w:val="22"/>
        </w:rPr>
        <w:t>ASPECTOS AMBIENTALES Y DE SOSTENIBILIDAD</w:t>
      </w:r>
    </w:p>
    <w:p w14:paraId="7D04D58F" w14:textId="77777777" w:rsidR="004342C9" w:rsidRDefault="004342C9">
      <w:pPr>
        <w:rPr>
          <w:rFonts w:ascii="Verdana" w:eastAsia="Verdana" w:hAnsi="Verdana" w:cs="Verdana"/>
          <w:sz w:val="22"/>
          <w:szCs w:val="22"/>
          <w:highlight w:val="lightGray"/>
        </w:rPr>
      </w:pPr>
    </w:p>
    <w:p w14:paraId="3D81B7C6" w14:textId="77777777" w:rsidR="004342C9" w:rsidRDefault="00000000">
      <w:pPr>
        <w:numPr>
          <w:ilvl w:val="0"/>
          <w:numId w:val="5"/>
        </w:numPr>
        <w:spacing w:after="0"/>
        <w:rPr>
          <w:sz w:val="22"/>
          <w:szCs w:val="22"/>
          <w:highlight w:val="lightGray"/>
        </w:rPr>
      </w:pPr>
      <w:r>
        <w:rPr>
          <w:rFonts w:ascii="Verdana" w:eastAsia="Verdana" w:hAnsi="Verdana" w:cs="Verdana"/>
          <w:sz w:val="22"/>
          <w:szCs w:val="22"/>
          <w:highlight w:val="lightGray"/>
        </w:rPr>
        <w:lastRenderedPageBreak/>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Pr>
          <w:rFonts w:ascii="Verdana" w:eastAsia="Verdana" w:hAnsi="Verdana" w:cs="Verdana"/>
          <w:sz w:val="22"/>
          <w:szCs w:val="22"/>
          <w:highlight w:val="lightGray"/>
        </w:rPr>
        <w:t>ii</w:t>
      </w:r>
      <w:proofErr w:type="spellEnd"/>
      <w:r>
        <w:rPr>
          <w:rFonts w:ascii="Verdana" w:eastAsia="Verdana" w:hAnsi="Verdana" w:cs="Verdana"/>
          <w:sz w:val="22"/>
          <w:szCs w:val="22"/>
          <w:highlight w:val="lightGray"/>
        </w:rPr>
        <w:t xml:space="preserve">) sea papel con contenido reciclado o procedente de fuentes forestales sostenibles o naturales y estar libre de cloro elemental.  </w:t>
      </w:r>
    </w:p>
    <w:p w14:paraId="34740544" w14:textId="77777777" w:rsidR="004342C9" w:rsidRDefault="004342C9">
      <w:pPr>
        <w:spacing w:after="0"/>
        <w:ind w:left="720"/>
        <w:rPr>
          <w:rFonts w:ascii="Verdana" w:eastAsia="Verdana" w:hAnsi="Verdana" w:cs="Verdana"/>
          <w:sz w:val="22"/>
          <w:szCs w:val="22"/>
          <w:highlight w:val="lightGray"/>
        </w:rPr>
      </w:pPr>
    </w:p>
    <w:p w14:paraId="61FACF7A" w14:textId="77777777" w:rsidR="004342C9" w:rsidRDefault="00000000">
      <w:pPr>
        <w:numPr>
          <w:ilvl w:val="0"/>
          <w:numId w:val="5"/>
        </w:numPr>
        <w:spacing w:after="0"/>
        <w:rPr>
          <w:sz w:val="22"/>
          <w:szCs w:val="22"/>
          <w:highlight w:val="lightGray"/>
        </w:rPr>
      </w:pPr>
      <w:r>
        <w:rPr>
          <w:rFonts w:ascii="Verdana" w:eastAsia="Verdana" w:hAnsi="Verdana" w:cs="Verdana"/>
          <w:sz w:val="22"/>
          <w:szCs w:val="22"/>
          <w:highlight w:val="lightGray"/>
        </w:rPr>
        <w:t xml:space="preserve">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w:t>
      </w:r>
    </w:p>
    <w:p w14:paraId="6DF669FD" w14:textId="77777777" w:rsidR="004342C9" w:rsidRDefault="004342C9">
      <w:pPr>
        <w:spacing w:after="0"/>
        <w:ind w:left="720"/>
        <w:rPr>
          <w:rFonts w:ascii="Verdana" w:eastAsia="Verdana" w:hAnsi="Verdana" w:cs="Verdana"/>
          <w:sz w:val="22"/>
          <w:szCs w:val="22"/>
          <w:highlight w:val="lightGray"/>
        </w:rPr>
      </w:pPr>
    </w:p>
    <w:p w14:paraId="214CF39E" w14:textId="77777777" w:rsidR="004342C9" w:rsidRDefault="00000000">
      <w:pPr>
        <w:spacing w:after="0"/>
        <w:ind w:left="720"/>
        <w:rPr>
          <w:rFonts w:ascii="Verdana" w:eastAsia="Verdana" w:hAnsi="Verdana" w:cs="Verdana"/>
          <w:sz w:val="22"/>
          <w:szCs w:val="22"/>
          <w:highlight w:val="lightGray"/>
        </w:rPr>
      </w:pPr>
      <w:r>
        <w:rPr>
          <w:rFonts w:ascii="Verdana" w:eastAsia="Verdana" w:hAnsi="Verdana" w:cs="Verdana"/>
          <w:sz w:val="22"/>
          <w:szCs w:val="22"/>
          <w:highlight w:val="lightGray"/>
        </w:rPr>
        <w:t xml:space="preserve">Durante la ejecución del contrato, el futuro contratista adjuntará la ficha técnica del papel a utilizar.  </w:t>
      </w:r>
    </w:p>
    <w:p w14:paraId="202AACAC" w14:textId="77777777" w:rsidR="004342C9" w:rsidRDefault="004342C9">
      <w:pPr>
        <w:spacing w:after="0"/>
        <w:ind w:left="720"/>
        <w:rPr>
          <w:rFonts w:ascii="Verdana" w:eastAsia="Verdana" w:hAnsi="Verdana" w:cs="Verdana"/>
          <w:sz w:val="22"/>
          <w:szCs w:val="22"/>
          <w:highlight w:val="lightGray"/>
        </w:rPr>
      </w:pPr>
    </w:p>
    <w:p w14:paraId="202F05C6" w14:textId="77777777" w:rsidR="004342C9" w:rsidRDefault="00000000">
      <w:pPr>
        <w:numPr>
          <w:ilvl w:val="0"/>
          <w:numId w:val="5"/>
        </w:numPr>
        <w:spacing w:after="0"/>
        <w:rPr>
          <w:sz w:val="22"/>
          <w:szCs w:val="22"/>
          <w:highlight w:val="lightGray"/>
        </w:rPr>
      </w:pPr>
      <w:r>
        <w:rPr>
          <w:rFonts w:ascii="Verdana" w:eastAsia="Verdana" w:hAnsi="Verdana" w:cs="Verdana"/>
          <w:sz w:val="22"/>
          <w:szCs w:val="22"/>
          <w:highlight w:val="lightGray"/>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 Dicho documento debe estar avalado y revisado por el supervisor o interventor.  </w:t>
      </w:r>
    </w:p>
    <w:p w14:paraId="46FD34C0" w14:textId="77777777" w:rsidR="004342C9" w:rsidRDefault="004342C9">
      <w:pPr>
        <w:spacing w:after="0"/>
        <w:ind w:left="720"/>
        <w:rPr>
          <w:rFonts w:ascii="Verdana" w:eastAsia="Verdana" w:hAnsi="Verdana" w:cs="Verdana"/>
          <w:sz w:val="22"/>
          <w:szCs w:val="22"/>
          <w:highlight w:val="lightGray"/>
        </w:rPr>
      </w:pPr>
    </w:p>
    <w:p w14:paraId="7ADD8FF3" w14:textId="77777777" w:rsidR="004342C9" w:rsidRDefault="00000000">
      <w:pPr>
        <w:numPr>
          <w:ilvl w:val="0"/>
          <w:numId w:val="5"/>
        </w:numPr>
        <w:spacing w:after="0"/>
        <w:rPr>
          <w:sz w:val="22"/>
          <w:szCs w:val="22"/>
          <w:highlight w:val="lightGray"/>
        </w:rPr>
      </w:pPr>
      <w:r>
        <w:rPr>
          <w:rFonts w:ascii="Verdana" w:eastAsia="Verdana" w:hAnsi="Verdana" w:cs="Verdana"/>
          <w:sz w:val="22"/>
          <w:szCs w:val="22"/>
          <w:highlight w:val="lightGray"/>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los certificados, actas o documentos que evidencien la gestión de residuos efectuada durante la ejecución del contrato.  Dicho documento debe estar avalado y revisado por el supervisor o interventor. </w:t>
      </w:r>
    </w:p>
    <w:p w14:paraId="20E85431" w14:textId="77777777" w:rsidR="004342C9" w:rsidRDefault="004342C9">
      <w:pPr>
        <w:spacing w:after="0"/>
        <w:ind w:left="720"/>
        <w:rPr>
          <w:rFonts w:ascii="Verdana" w:eastAsia="Verdana" w:hAnsi="Verdana" w:cs="Verdana"/>
          <w:sz w:val="22"/>
          <w:szCs w:val="22"/>
          <w:highlight w:val="lightGray"/>
        </w:rPr>
      </w:pPr>
    </w:p>
    <w:p w14:paraId="0BF29978" w14:textId="77777777" w:rsidR="004342C9" w:rsidRDefault="00000000">
      <w:pPr>
        <w:numPr>
          <w:ilvl w:val="0"/>
          <w:numId w:val="5"/>
        </w:numPr>
        <w:rPr>
          <w:sz w:val="22"/>
          <w:szCs w:val="22"/>
          <w:highlight w:val="lightGray"/>
        </w:rPr>
      </w:pPr>
      <w:r>
        <w:rPr>
          <w:rFonts w:ascii="Verdana" w:eastAsia="Verdana" w:hAnsi="Verdana" w:cs="Verdana"/>
          <w:sz w:val="22"/>
          <w:szCs w:val="22"/>
          <w:highlight w:val="lightGray"/>
        </w:rPr>
        <w:t xml:space="preserve">Contar con un programa que asegure que los equipos tecnológicos a utilizar, por ejemplo, computadores, impresoras, fotocopiadoras y tabletas, entre otros, cumplen con normas aplicables relacionadas con la eficiencia energética. Durante la ejecución del proyecto, el futuro contratista, entregará el programa respectivo o ficha técnica de los </w:t>
      </w:r>
      <w:r>
        <w:rPr>
          <w:rFonts w:ascii="Verdana" w:eastAsia="Verdana" w:hAnsi="Verdana" w:cs="Verdana"/>
          <w:sz w:val="22"/>
          <w:szCs w:val="22"/>
          <w:highlight w:val="lightGray"/>
        </w:rPr>
        <w:lastRenderedPageBreak/>
        <w:t xml:space="preserve">equipos en donde se pueda evidenciar el cumplimiento de la etiqueta energética (ejemplo: </w:t>
      </w:r>
      <w:proofErr w:type="spellStart"/>
      <w:r>
        <w:rPr>
          <w:rFonts w:ascii="Verdana" w:eastAsia="Verdana" w:hAnsi="Verdana" w:cs="Verdana"/>
          <w:sz w:val="22"/>
          <w:szCs w:val="22"/>
          <w:highlight w:val="lightGray"/>
        </w:rPr>
        <w:t>EnergyStar</w:t>
      </w:r>
      <w:proofErr w:type="spellEnd"/>
      <w:r>
        <w:rPr>
          <w:rFonts w:ascii="Verdana" w:eastAsia="Verdana" w:hAnsi="Verdana" w:cs="Verdana"/>
          <w:sz w:val="22"/>
          <w:szCs w:val="22"/>
          <w:highlight w:val="lightGray"/>
        </w:rPr>
        <w:t xml:space="preserve"> o su equivalente). Este programa busca que a través del uso de este tipo de tecnología se fomente el uso (alquiler y/o compra) de dispositivos más eficientes a nivel de consumo de energía. Dichos soportes deberán ser entregados y verificados por parte del supervisor o interventor.</w:t>
      </w:r>
    </w:p>
    <w:p w14:paraId="74F656E0" w14:textId="77777777" w:rsidR="004342C9" w:rsidRDefault="00000000">
      <w:pPr>
        <w:rPr>
          <w:rFonts w:ascii="Verdana" w:eastAsia="Verdana" w:hAnsi="Verdana" w:cs="Verdana"/>
          <w:sz w:val="22"/>
          <w:szCs w:val="22"/>
          <w:highlight w:val="lightGray"/>
        </w:rPr>
      </w:pPr>
      <w:r>
        <w:rPr>
          <w:rFonts w:ascii="Verdana" w:eastAsia="Verdana" w:hAnsi="Verdana" w:cs="Verdana"/>
          <w:sz w:val="22"/>
          <w:szCs w:val="22"/>
          <w:highlight w:val="lightGray"/>
        </w:rPr>
        <w:t xml:space="preserve">Adicionalmente, se debe garantizar en la etapa de consultoría los siguiente: </w:t>
      </w:r>
    </w:p>
    <w:p w14:paraId="296FB7C0" w14:textId="77777777" w:rsidR="004342C9" w:rsidRDefault="00000000">
      <w:pPr>
        <w:numPr>
          <w:ilvl w:val="0"/>
          <w:numId w:val="5"/>
        </w:numPr>
        <w:spacing w:after="0"/>
        <w:rPr>
          <w:sz w:val="22"/>
          <w:szCs w:val="22"/>
          <w:highlight w:val="lightGray"/>
        </w:rPr>
      </w:pPr>
      <w:r>
        <w:rPr>
          <w:rFonts w:ascii="Verdana" w:eastAsia="Verdana" w:hAnsi="Verdana" w:cs="Verdana"/>
          <w:sz w:val="22"/>
          <w:szCs w:val="22"/>
          <w:highlight w:val="lightGray"/>
        </w:rPr>
        <w:t xml:space="preserve">Durante la ejecución del contrato, garantizar que, desde la etapa del diseño de los proyectos, para la etapa de ejecución se favorecerá el uso de materiales con características ambientales, como lo son i) materiales con contenido reciclado o </w:t>
      </w:r>
      <w:proofErr w:type="spellStart"/>
      <w:r>
        <w:rPr>
          <w:rFonts w:ascii="Verdana" w:eastAsia="Verdana" w:hAnsi="Verdana" w:cs="Verdana"/>
          <w:sz w:val="22"/>
          <w:szCs w:val="22"/>
          <w:highlight w:val="lightGray"/>
        </w:rPr>
        <w:t>ii</w:t>
      </w:r>
      <w:proofErr w:type="spellEnd"/>
      <w:r>
        <w:rPr>
          <w:rFonts w:ascii="Verdana" w:eastAsia="Verdana" w:hAnsi="Verdana" w:cs="Verdana"/>
          <w:sz w:val="22"/>
          <w:szCs w:val="22"/>
          <w:highlight w:val="lightGray"/>
        </w:rPr>
        <w:t xml:space="preserve">) materiales de bajo impacto o </w:t>
      </w:r>
      <w:proofErr w:type="spellStart"/>
      <w:r>
        <w:rPr>
          <w:rFonts w:ascii="Verdana" w:eastAsia="Verdana" w:hAnsi="Verdana" w:cs="Verdana"/>
          <w:sz w:val="22"/>
          <w:szCs w:val="22"/>
          <w:highlight w:val="lightGray"/>
        </w:rPr>
        <w:t>iii</w:t>
      </w:r>
      <w:proofErr w:type="spellEnd"/>
      <w:r>
        <w:rPr>
          <w:rFonts w:ascii="Verdana" w:eastAsia="Verdana" w:hAnsi="Verdana" w:cs="Verdana"/>
          <w:sz w:val="22"/>
          <w:szCs w:val="22"/>
          <w:highlight w:val="lightGray"/>
        </w:rPr>
        <w:t xml:space="preserve">) materiales certificados con etiquetas ambientales, como el Sello Ambiental Colombiano o </w:t>
      </w:r>
      <w:proofErr w:type="spellStart"/>
      <w:r>
        <w:rPr>
          <w:rFonts w:ascii="Verdana" w:eastAsia="Verdana" w:hAnsi="Verdana" w:cs="Verdana"/>
          <w:sz w:val="22"/>
          <w:szCs w:val="22"/>
          <w:highlight w:val="lightGray"/>
        </w:rPr>
        <w:t>iv</w:t>
      </w:r>
      <w:proofErr w:type="spellEnd"/>
      <w:r>
        <w:rPr>
          <w:rFonts w:ascii="Verdana" w:eastAsia="Verdana" w:hAnsi="Verdana" w:cs="Verdana"/>
          <w:sz w:val="22"/>
          <w:szCs w:val="22"/>
          <w:highlight w:val="lightGray"/>
        </w:rPr>
        <w:t>) nuevas tecnologías de bajo costo . El supervisor o interventor deberá revisar que los entregables que se generen como resultado de la presente contratación cuenten con dichas características.</w:t>
      </w:r>
    </w:p>
    <w:p w14:paraId="3DE91BA3" w14:textId="77777777" w:rsidR="004342C9" w:rsidRDefault="004342C9">
      <w:pPr>
        <w:ind w:left="720" w:hanging="360"/>
        <w:rPr>
          <w:rFonts w:ascii="Verdana" w:eastAsia="Verdana" w:hAnsi="Verdana" w:cs="Verdana"/>
          <w:sz w:val="22"/>
          <w:szCs w:val="22"/>
          <w:highlight w:val="lightGray"/>
        </w:rPr>
      </w:pPr>
    </w:p>
    <w:p w14:paraId="32D622B8" w14:textId="77777777" w:rsidR="004342C9" w:rsidRDefault="004342C9">
      <w:pPr>
        <w:pBdr>
          <w:top w:val="nil"/>
          <w:left w:val="nil"/>
          <w:bottom w:val="nil"/>
          <w:right w:val="nil"/>
          <w:between w:val="nil"/>
        </w:pBdr>
        <w:spacing w:after="0"/>
        <w:ind w:left="993"/>
        <w:rPr>
          <w:rFonts w:ascii="Verdana" w:eastAsia="Verdana" w:hAnsi="Verdana" w:cs="Verdana"/>
          <w:sz w:val="22"/>
          <w:szCs w:val="22"/>
        </w:rPr>
      </w:pPr>
    </w:p>
    <w:p w14:paraId="5BFEB2E6" w14:textId="77777777" w:rsidR="004342C9" w:rsidRDefault="004342C9">
      <w:pPr>
        <w:pBdr>
          <w:top w:val="nil"/>
          <w:left w:val="nil"/>
          <w:bottom w:val="nil"/>
          <w:right w:val="nil"/>
          <w:between w:val="nil"/>
        </w:pBdr>
        <w:spacing w:after="0"/>
        <w:ind w:left="993"/>
        <w:rPr>
          <w:rFonts w:ascii="Verdana" w:eastAsia="Verdana" w:hAnsi="Verdana" w:cs="Verdana"/>
          <w:color w:val="000000"/>
          <w:sz w:val="22"/>
          <w:szCs w:val="22"/>
          <w:highlight w:val="lightGray"/>
        </w:rPr>
      </w:pPr>
    </w:p>
    <w:p w14:paraId="55221B63" w14:textId="77777777" w:rsidR="004342C9" w:rsidRDefault="00000000">
      <w:pPr>
        <w:numPr>
          <w:ilvl w:val="1"/>
          <w:numId w:val="6"/>
        </w:numPr>
        <w:pBdr>
          <w:top w:val="nil"/>
          <w:left w:val="nil"/>
          <w:bottom w:val="nil"/>
          <w:right w:val="nil"/>
          <w:between w:val="nil"/>
        </w:pBdr>
        <w:spacing w:after="0"/>
        <w:ind w:left="993" w:hanging="577"/>
        <w:rPr>
          <w:rFonts w:ascii="Verdana" w:eastAsia="Verdana" w:hAnsi="Verdana" w:cs="Verdana"/>
          <w:color w:val="000000"/>
          <w:sz w:val="22"/>
          <w:szCs w:val="22"/>
        </w:rPr>
      </w:pPr>
      <w:r>
        <w:rPr>
          <w:rFonts w:ascii="Verdana" w:eastAsia="Verdana" w:hAnsi="Verdana" w:cs="Verdana"/>
          <w:b/>
          <w:bCs/>
          <w:color w:val="000000"/>
          <w:sz w:val="22"/>
          <w:szCs w:val="22"/>
        </w:rPr>
        <w:t>APLICACIÓN DE METODOLOGÍA BIM:</w:t>
      </w:r>
    </w:p>
    <w:p w14:paraId="18818C25" w14:textId="77777777" w:rsidR="004342C9" w:rsidRDefault="004342C9">
      <w:pPr>
        <w:pBdr>
          <w:top w:val="nil"/>
          <w:left w:val="nil"/>
          <w:bottom w:val="nil"/>
          <w:right w:val="nil"/>
          <w:between w:val="nil"/>
        </w:pBdr>
        <w:ind w:left="993"/>
        <w:rPr>
          <w:rFonts w:ascii="Verdana" w:eastAsia="Verdana" w:hAnsi="Verdana" w:cs="Verdana"/>
          <w:sz w:val="22"/>
          <w:szCs w:val="22"/>
        </w:rPr>
      </w:pPr>
    </w:p>
    <w:p w14:paraId="3CEA1F7D" w14:textId="77777777" w:rsidR="004342C9" w:rsidRDefault="00000000">
      <w:pPr>
        <w:rPr>
          <w:rFonts w:ascii="Verdana" w:eastAsia="Verdana" w:hAnsi="Verdana" w:cs="Verdana"/>
          <w:sz w:val="22"/>
          <w:szCs w:val="22"/>
        </w:rPr>
      </w:pPr>
      <w:r>
        <w:rPr>
          <w:rFonts w:ascii="Verdana" w:eastAsia="Verdana" w:hAnsi="Verdana" w:cs="Verdana"/>
          <w:sz w:val="22"/>
          <w:szCs w:val="22"/>
        </w:rPr>
        <w:t>No se exige la aplicación obligatoria de metodología BIM para el presente proceso, atendiendo la escala, alcance y plazo de la consultoría. Sin perjuicio de lo anterior, los modelos tridimensionales, planos y demás archivos editables exigidos deberán entregarse coordinados entre disciplinas, con identificación clara de versiones y en formatos que permitan su utilización por la FUGA en la futura etapa de ejecución.</w:t>
      </w:r>
    </w:p>
    <w:p w14:paraId="7CC6D327" w14:textId="77777777" w:rsidR="004342C9" w:rsidRDefault="004342C9">
      <w:pPr>
        <w:rPr>
          <w:rFonts w:ascii="Verdana" w:eastAsia="Verdana" w:hAnsi="Verdana" w:cs="Verdana"/>
          <w:sz w:val="22"/>
          <w:szCs w:val="22"/>
          <w:highlight w:val="red"/>
        </w:rPr>
      </w:pPr>
    </w:p>
    <w:p w14:paraId="729F69B7" w14:textId="77777777" w:rsidR="004342C9" w:rsidRDefault="00000000">
      <w:pPr>
        <w:numPr>
          <w:ilvl w:val="1"/>
          <w:numId w:val="6"/>
        </w:numPr>
        <w:pBdr>
          <w:top w:val="nil"/>
          <w:left w:val="nil"/>
          <w:bottom w:val="nil"/>
          <w:right w:val="nil"/>
          <w:between w:val="nil"/>
        </w:pBdr>
        <w:spacing w:after="0"/>
        <w:ind w:left="993" w:hanging="577"/>
        <w:rPr>
          <w:rFonts w:ascii="Verdana" w:eastAsia="Verdana" w:hAnsi="Verdana" w:cs="Verdana"/>
          <w:sz w:val="22"/>
          <w:szCs w:val="22"/>
        </w:rPr>
      </w:pPr>
      <w:r>
        <w:rPr>
          <w:rFonts w:ascii="Verdana" w:eastAsia="Verdana" w:hAnsi="Verdana" w:cs="Verdana"/>
          <w:b/>
          <w:bCs/>
          <w:sz w:val="22"/>
          <w:szCs w:val="22"/>
        </w:rPr>
        <w:t>PLAN O PROGRAMA DE CALIDAD:</w:t>
      </w:r>
    </w:p>
    <w:p w14:paraId="68A7768E" w14:textId="77777777" w:rsidR="004342C9" w:rsidRDefault="00000000">
      <w:pPr>
        <w:pBdr>
          <w:top w:val="nil"/>
          <w:left w:val="nil"/>
          <w:bottom w:val="nil"/>
          <w:right w:val="nil"/>
          <w:between w:val="nil"/>
        </w:pBdr>
        <w:spacing w:after="0"/>
        <w:ind w:left="993"/>
        <w:rPr>
          <w:rFonts w:ascii="Verdana" w:eastAsia="Verdana" w:hAnsi="Verdana" w:cs="Verdana"/>
          <w:sz w:val="22"/>
          <w:szCs w:val="22"/>
        </w:rPr>
      </w:pPr>
      <w:r>
        <w:rPr>
          <w:rFonts w:ascii="Verdana" w:eastAsia="Verdana" w:hAnsi="Verdana" w:cs="Verdana"/>
          <w:b/>
          <w:bCs/>
          <w:color w:val="000000"/>
          <w:sz w:val="22"/>
          <w:szCs w:val="22"/>
        </w:rPr>
        <w:t xml:space="preserve"> </w:t>
      </w:r>
    </w:p>
    <w:p w14:paraId="7B7C2722" w14:textId="77777777" w:rsidR="004342C9" w:rsidRDefault="00000000">
      <w:pPr>
        <w:rPr>
          <w:rFonts w:ascii="Verdana" w:eastAsia="Verdana" w:hAnsi="Verdana" w:cs="Verdana"/>
          <w:sz w:val="22"/>
          <w:szCs w:val="22"/>
        </w:rPr>
      </w:pPr>
      <w:r>
        <w:rPr>
          <w:rFonts w:ascii="Verdana" w:eastAsia="Verdana" w:hAnsi="Verdana" w:cs="Verdana"/>
          <w:sz w:val="22"/>
          <w:szCs w:val="22"/>
        </w:rPr>
        <w:t xml:space="preserve">El Consultor deberá incorporar al plan de trabajo un Plan o Programa de Calidad aplicable a todos los productos de la consultoría. Como mínimo deberá contemplar: control de versiones; responsables por disciplina; listas de chequeo; revisión interna de memorias, cálculos, planos, especificaciones, cantidades y presupuesto; coordinación de interferencias entre arquitectura, estructura, accesibilidad, drenaje y electricidad; verificación de consistencia entre documentos; y control de las firmas de los profesionales legalmente facultados. </w:t>
      </w:r>
      <w:r>
        <w:rPr>
          <w:rFonts w:ascii="Verdana" w:eastAsia="Verdana" w:hAnsi="Verdana" w:cs="Verdana"/>
          <w:sz w:val="22"/>
          <w:szCs w:val="22"/>
        </w:rPr>
        <w:lastRenderedPageBreak/>
        <w:t>Ningún producto se considerará definitivo mientras existan incompatibilidades técnicas entre disciplinas.</w:t>
      </w:r>
    </w:p>
    <w:p w14:paraId="64F645BA" w14:textId="77777777" w:rsidR="004342C9" w:rsidRDefault="004342C9">
      <w:pPr>
        <w:pBdr>
          <w:top w:val="nil"/>
          <w:left w:val="nil"/>
          <w:bottom w:val="nil"/>
          <w:right w:val="nil"/>
          <w:between w:val="nil"/>
        </w:pBdr>
        <w:spacing w:after="0"/>
        <w:ind w:left="993"/>
        <w:rPr>
          <w:rFonts w:ascii="Verdana" w:eastAsia="Verdana" w:hAnsi="Verdana" w:cs="Verdana"/>
          <w:sz w:val="22"/>
          <w:szCs w:val="22"/>
          <w:highlight w:val="red"/>
        </w:rPr>
      </w:pPr>
    </w:p>
    <w:p w14:paraId="56DDCC82" w14:textId="77777777" w:rsidR="004342C9" w:rsidRDefault="00000000">
      <w:pPr>
        <w:numPr>
          <w:ilvl w:val="1"/>
          <w:numId w:val="6"/>
        </w:numPr>
        <w:pBdr>
          <w:top w:val="nil"/>
          <w:left w:val="nil"/>
          <w:bottom w:val="nil"/>
          <w:right w:val="nil"/>
          <w:between w:val="nil"/>
        </w:pBdr>
        <w:spacing w:after="0"/>
        <w:ind w:left="993" w:hanging="577"/>
        <w:rPr>
          <w:rFonts w:ascii="Verdana" w:eastAsia="Verdana" w:hAnsi="Verdana" w:cs="Verdana"/>
          <w:sz w:val="22"/>
          <w:szCs w:val="22"/>
        </w:rPr>
      </w:pPr>
      <w:r>
        <w:rPr>
          <w:rFonts w:ascii="Verdana" w:eastAsia="Verdana" w:hAnsi="Verdana" w:cs="Verdana"/>
          <w:b/>
          <w:bCs/>
          <w:sz w:val="22"/>
          <w:szCs w:val="22"/>
        </w:rPr>
        <w:t>PLAN O PROGRAMA DE GESTIÓN DE RIESGOS:</w:t>
      </w:r>
    </w:p>
    <w:p w14:paraId="15FB6C33" w14:textId="77777777" w:rsidR="004342C9" w:rsidRDefault="00000000">
      <w:pPr>
        <w:rPr>
          <w:rFonts w:ascii="Verdana" w:eastAsia="Verdana" w:hAnsi="Verdana" w:cs="Verdana"/>
          <w:sz w:val="22"/>
          <w:szCs w:val="22"/>
        </w:rPr>
      </w:pPr>
      <w:r>
        <w:rPr>
          <w:rFonts w:ascii="Verdana" w:eastAsia="Verdana" w:hAnsi="Verdana" w:cs="Verdana"/>
          <w:sz w:val="22"/>
          <w:szCs w:val="22"/>
        </w:rPr>
        <w:t>El Consultor deberá gestionar los riesgos técnicos de la consultoría mediante una matriz viva articulada con el plan de trabajo. Se deberán identificar, evaluar, tratar y hacer seguimiento, como mínimo, a los riesgos asociados con información existente incompleta o desactualizada; diferencias entre planos y condiciones reales; estado y capacidad de la estructura existente; cargas, anclajes y tensionamiento de la membrana; infiltraciones y manejo de aguas lluvias; exposición de instalaciones eléctricas a humedad e intemperie; coordinación de soluciones de accesibilidad; interferencias entre disciplinas; restricciones de acceso; y trámites, permisos o conceptos externos que resulten aplicables. Los riesgos críticos y las medidas de tratamiento deberán reportarse oportunamente a la supervisión.</w:t>
      </w:r>
    </w:p>
    <w:p w14:paraId="69729340" w14:textId="77777777" w:rsidR="004342C9" w:rsidRDefault="004342C9">
      <w:pPr>
        <w:pBdr>
          <w:top w:val="nil"/>
          <w:left w:val="nil"/>
          <w:bottom w:val="nil"/>
          <w:right w:val="nil"/>
          <w:between w:val="nil"/>
        </w:pBdr>
        <w:ind w:left="993"/>
        <w:rPr>
          <w:rFonts w:ascii="Verdana" w:eastAsia="Verdana" w:hAnsi="Verdana" w:cs="Verdana"/>
          <w:sz w:val="22"/>
          <w:szCs w:val="22"/>
          <w:highlight w:val="red"/>
        </w:rPr>
      </w:pPr>
    </w:p>
    <w:p w14:paraId="6B87FD53" w14:textId="77777777" w:rsidR="004342C9" w:rsidRDefault="00000000">
      <w:pPr>
        <w:numPr>
          <w:ilvl w:val="0"/>
          <w:numId w:val="6"/>
        </w:numPr>
        <w:rPr>
          <w:rFonts w:ascii="Verdana" w:eastAsia="Verdana" w:hAnsi="Verdana" w:cs="Verdana"/>
          <w:b/>
          <w:bCs/>
          <w:sz w:val="22"/>
          <w:szCs w:val="22"/>
        </w:rPr>
      </w:pPr>
      <w:r>
        <w:rPr>
          <w:rFonts w:ascii="Verdana" w:eastAsia="Verdana" w:hAnsi="Verdana" w:cs="Verdana"/>
          <w:b/>
          <w:bCs/>
          <w:sz w:val="22"/>
          <w:szCs w:val="22"/>
        </w:rPr>
        <w:t xml:space="preserve">DOCUMENTOS O INSUMOS QUE ENTREGARÁ LA ENTIDAD PARA LA EJECUCIÓN DEL CONTRATO </w:t>
      </w:r>
    </w:p>
    <w:p w14:paraId="5B0E5BC0" w14:textId="77777777" w:rsidR="004342C9" w:rsidRDefault="004342C9">
      <w:pPr>
        <w:spacing w:after="40"/>
        <w:rPr>
          <w:rFonts w:ascii="Verdana" w:eastAsia="Verdana" w:hAnsi="Verdana" w:cs="Verdana"/>
          <w:sz w:val="22"/>
          <w:szCs w:val="22"/>
        </w:rPr>
      </w:pPr>
    </w:p>
    <w:p w14:paraId="50E2C5AB" w14:textId="77777777" w:rsidR="004342C9" w:rsidRDefault="00000000">
      <w:pPr>
        <w:rPr>
          <w:rFonts w:ascii="Verdana" w:eastAsia="Verdana" w:hAnsi="Verdana" w:cs="Verdana"/>
          <w:sz w:val="22"/>
          <w:szCs w:val="22"/>
        </w:rPr>
      </w:pPr>
      <w:r>
        <w:rPr>
          <w:rFonts w:ascii="Verdana" w:eastAsia="Verdana" w:hAnsi="Verdana" w:cs="Verdana"/>
          <w:sz w:val="22"/>
          <w:szCs w:val="22"/>
        </w:rPr>
        <w:t>La FUGA pondrá a disposición del Consultor, en la medida en que obren en sus archivos, los planos, levantamientos, registros fotográficos, fichas, antecedentes técnicos de la membrana existente, información disponible de redes e instalaciones eléctricas, documentos del proyecto LEP y demás insumos relacionados con El Muelle. La información entregada tendrá carácter de antecedente y deberá ser verificada por el Consultor mediante levantamientos, inspecciones, mediciones y comprobaciones en sitio; su utilización no releva al Consultor de la responsabilidad por la suficiencia, coordinación y exactitud de los estudios y diseños.</w:t>
      </w:r>
    </w:p>
    <w:p w14:paraId="26C600B2" w14:textId="77777777" w:rsidR="004342C9" w:rsidRDefault="004342C9">
      <w:pPr>
        <w:spacing w:after="40"/>
      </w:pPr>
    </w:p>
    <w:p w14:paraId="151582C2" w14:textId="77777777" w:rsidR="004342C9" w:rsidRDefault="00000000">
      <w:pPr>
        <w:numPr>
          <w:ilvl w:val="0"/>
          <w:numId w:val="6"/>
        </w:numPr>
        <w:rPr>
          <w:rFonts w:ascii="Verdana" w:eastAsia="Verdana" w:hAnsi="Verdana" w:cs="Verdana"/>
          <w:b/>
          <w:bCs/>
          <w:sz w:val="22"/>
          <w:szCs w:val="22"/>
        </w:rPr>
      </w:pPr>
      <w:r>
        <w:rPr>
          <w:rFonts w:ascii="Verdana" w:eastAsia="Verdana" w:hAnsi="Verdana" w:cs="Verdana"/>
          <w:b/>
          <w:bCs/>
          <w:sz w:val="22"/>
          <w:szCs w:val="22"/>
        </w:rPr>
        <w:t>INFORMACIÓN SOBRE EL PERSONAL PROFESIONAL DEL CONSULTOR</w:t>
      </w:r>
    </w:p>
    <w:p w14:paraId="75461B00" w14:textId="77777777" w:rsidR="004342C9" w:rsidRDefault="00000000">
      <w:pPr>
        <w:rPr>
          <w:rFonts w:ascii="Verdana" w:eastAsia="Verdana" w:hAnsi="Verdana" w:cs="Verdana"/>
          <w:sz w:val="22"/>
          <w:szCs w:val="22"/>
        </w:rPr>
      </w:pPr>
      <w:r>
        <w:rPr>
          <w:rFonts w:ascii="Verdana" w:eastAsia="Verdana" w:hAnsi="Verdana" w:cs="Verdana"/>
          <w:sz w:val="22"/>
          <w:szCs w:val="22"/>
        </w:rPr>
        <w:t>Para analizar la información del personal del Consultor, se tendrán en cuenta las siguientes consideraciones:</w:t>
      </w:r>
    </w:p>
    <w:p w14:paraId="1D86B6A1" w14:textId="77777777" w:rsidR="004342C9" w:rsidRDefault="00000000">
      <w:pPr>
        <w:numPr>
          <w:ilvl w:val="0"/>
          <w:numId w:val="3"/>
        </w:numPr>
        <w:ind w:left="360"/>
        <w:rPr>
          <w:rFonts w:ascii="Verdana" w:eastAsia="Verdana" w:hAnsi="Verdana" w:cs="Verdana"/>
          <w:sz w:val="22"/>
          <w:szCs w:val="22"/>
        </w:rPr>
      </w:pPr>
      <w:r>
        <w:rPr>
          <w:rFonts w:ascii="Verdana" w:eastAsia="Verdana" w:hAnsi="Verdana" w:cs="Verdana"/>
          <w:sz w:val="22"/>
          <w:szCs w:val="22"/>
        </w:rPr>
        <w:t xml:space="preserve">Los soportes académicos y de experiencia de los perfiles que están descritos en el Anexo Técnico serán verificados por la Entidad una vez sea suscrito y legalizado el </w:t>
      </w:r>
      <w:r w:rsidRPr="00494059">
        <w:rPr>
          <w:rFonts w:ascii="Verdana" w:eastAsia="Verdana" w:hAnsi="Verdana" w:cs="Verdana"/>
          <w:sz w:val="22"/>
          <w:szCs w:val="22"/>
        </w:rPr>
        <w:t>contrato y previo al acta de inicio. No obstante con la propuesta se presentará el formato de compromiso de equipo;</w:t>
      </w:r>
      <w:r>
        <w:rPr>
          <w:rFonts w:ascii="Verdana" w:eastAsia="Verdana" w:hAnsi="Verdana" w:cs="Verdana"/>
          <w:sz w:val="22"/>
          <w:szCs w:val="22"/>
        </w:rPr>
        <w:t xml:space="preserve"> </w:t>
      </w:r>
    </w:p>
    <w:p w14:paraId="5418FA0E" w14:textId="77777777" w:rsidR="004342C9" w:rsidRDefault="00000000">
      <w:pPr>
        <w:numPr>
          <w:ilvl w:val="0"/>
          <w:numId w:val="3"/>
        </w:numPr>
        <w:ind w:left="360"/>
        <w:rPr>
          <w:rFonts w:ascii="Verdana" w:eastAsia="Verdana" w:hAnsi="Verdana" w:cs="Verdana"/>
          <w:sz w:val="22"/>
          <w:szCs w:val="22"/>
        </w:rPr>
      </w:pPr>
      <w:r>
        <w:rPr>
          <w:rFonts w:ascii="Verdana" w:eastAsia="Verdana" w:hAnsi="Verdana" w:cs="Verdana"/>
          <w:sz w:val="22"/>
          <w:szCs w:val="22"/>
        </w:rPr>
        <w:lastRenderedPageBreak/>
        <w:t>Si el Consultor</w:t>
      </w:r>
      <w:r>
        <w:rPr>
          <w:rFonts w:ascii="Verdana" w:eastAsia="Verdana" w:hAnsi="Verdana" w:cs="Verdana"/>
          <w:color w:val="000000"/>
          <w:sz w:val="22"/>
          <w:szCs w:val="22"/>
        </w:rPr>
        <w:t xml:space="preserve"> ofrece dos (2) o más profesionales para realizar actividades de un mismo cargo, </w:t>
      </w:r>
      <w:r>
        <w:rPr>
          <w:rFonts w:ascii="Verdana" w:eastAsia="Verdana" w:hAnsi="Verdana" w:cs="Verdana"/>
          <w:sz w:val="22"/>
          <w:szCs w:val="22"/>
        </w:rPr>
        <w:t>cada uno de ellos deberá cumplir los requisitos exigidos en los documentos del Proceso de Contratación para el</w:t>
      </w:r>
      <w:r>
        <w:rPr>
          <w:rFonts w:ascii="Verdana" w:eastAsia="Verdana" w:hAnsi="Verdana" w:cs="Verdana"/>
          <w:color w:val="000000"/>
          <w:sz w:val="22"/>
          <w:szCs w:val="22"/>
        </w:rPr>
        <w:t xml:space="preserve"> respectivo cargo. Un mismo profesional no puede ser ofrecido para dos o más cargos diferentes en los cuales supere el 100 % de la dedicación requerida para este Proceso de Contrataci</w:t>
      </w:r>
      <w:r>
        <w:rPr>
          <w:rFonts w:ascii="Verdana" w:eastAsia="Verdana" w:hAnsi="Verdana" w:cs="Verdana"/>
          <w:sz w:val="22"/>
          <w:szCs w:val="22"/>
        </w:rPr>
        <w:t>ón. ( si aplica)</w:t>
      </w:r>
    </w:p>
    <w:p w14:paraId="5D3DD46F" w14:textId="77777777" w:rsidR="004342C9" w:rsidRDefault="00000000">
      <w:pPr>
        <w:numPr>
          <w:ilvl w:val="0"/>
          <w:numId w:val="3"/>
        </w:numPr>
        <w:ind w:left="360"/>
        <w:rPr>
          <w:rFonts w:ascii="Verdana" w:eastAsia="Verdana" w:hAnsi="Verdana" w:cs="Verdana"/>
          <w:sz w:val="22"/>
          <w:szCs w:val="22"/>
        </w:rPr>
      </w:pPr>
      <w:r>
        <w:rPr>
          <w:rFonts w:ascii="Verdana" w:eastAsia="Verdana" w:hAnsi="Verdana" w:cs="Verdana"/>
          <w:sz w:val="22"/>
          <w:szCs w:val="22"/>
        </w:rPr>
        <w:t>El Consultor deberá informar la fecha a partir de la cual los profesionales ofrecidos ejercen legalmente la profesión, de conformidad con lo señalado en el Pliego de Condiciones. El requisito de la tarjeta profesional se puede suplir con lo regulado en el artículo 18 del Decreto- Ley 2106 de 2019.</w:t>
      </w:r>
    </w:p>
    <w:p w14:paraId="280B8F00" w14:textId="77777777" w:rsidR="004342C9" w:rsidRDefault="00000000">
      <w:pPr>
        <w:numPr>
          <w:ilvl w:val="0"/>
          <w:numId w:val="3"/>
        </w:numPr>
        <w:ind w:left="360"/>
        <w:rPr>
          <w:rFonts w:ascii="Verdana" w:eastAsia="Verdana" w:hAnsi="Verdana" w:cs="Verdana"/>
          <w:sz w:val="22"/>
          <w:szCs w:val="22"/>
        </w:rPr>
      </w:pPr>
      <w:r>
        <w:rPr>
          <w:rFonts w:ascii="Verdana" w:eastAsia="Verdana" w:hAnsi="Verdana" w:cs="Verdana"/>
          <w:sz w:val="22"/>
          <w:szCs w:val="22"/>
        </w:rPr>
        <w:t xml:space="preserve">Las certificaciones de experiencia de los profesionales deben ser expedidas por la persona natural o jurídica con quien se haya establecido la relación laboral o de prestación de servicios. </w:t>
      </w:r>
    </w:p>
    <w:p w14:paraId="5E79C352" w14:textId="77777777" w:rsidR="004342C9" w:rsidRDefault="00000000">
      <w:pPr>
        <w:numPr>
          <w:ilvl w:val="0"/>
          <w:numId w:val="3"/>
        </w:numPr>
        <w:ind w:left="360"/>
        <w:rPr>
          <w:rFonts w:ascii="Verdana" w:eastAsia="Verdana" w:hAnsi="Verdana" w:cs="Verdana"/>
          <w:sz w:val="22"/>
          <w:szCs w:val="22"/>
        </w:rPr>
      </w:pPr>
      <w:r>
        <w:rPr>
          <w:rFonts w:ascii="Verdana" w:eastAsia="Verdana" w:hAnsi="Verdana" w:cs="Verdana"/>
          <w:sz w:val="22"/>
          <w:szCs w:val="22"/>
        </w:rPr>
        <w:t xml:space="preserve">En la determinación de la experiencia y la formación académica de los profesionales se aplicará la equivalencia detallada en la </w:t>
      </w:r>
      <w:r>
        <w:rPr>
          <w:rFonts w:ascii="Verdana" w:eastAsia="Verdana" w:hAnsi="Verdana" w:cs="Verdana"/>
          <w:b/>
          <w:bCs/>
          <w:sz w:val="22"/>
          <w:szCs w:val="22"/>
        </w:rPr>
        <w:t xml:space="preserve">Matriz 4 </w:t>
      </w:r>
      <w:r>
        <w:rPr>
          <w:rFonts w:ascii="Verdana" w:eastAsia="Verdana" w:hAnsi="Verdana" w:cs="Verdana"/>
          <w:sz w:val="22"/>
          <w:szCs w:val="22"/>
        </w:rPr>
        <w:t>y los lineamientos contenidos en esta.</w:t>
      </w:r>
    </w:p>
    <w:p w14:paraId="00471635" w14:textId="77777777" w:rsidR="004342C9" w:rsidRDefault="00000000">
      <w:pPr>
        <w:numPr>
          <w:ilvl w:val="0"/>
          <w:numId w:val="3"/>
        </w:numPr>
        <w:pBdr>
          <w:top w:val="nil"/>
          <w:left w:val="nil"/>
          <w:bottom w:val="nil"/>
          <w:right w:val="nil"/>
          <w:between w:val="nil"/>
        </w:pBdr>
        <w:spacing w:line="240" w:lineRule="auto"/>
        <w:ind w:left="357" w:hanging="357"/>
        <w:rPr>
          <w:rFonts w:ascii="Verdana" w:eastAsia="Verdana" w:hAnsi="Verdana" w:cs="Verdana"/>
          <w:color w:val="000000"/>
          <w:sz w:val="22"/>
          <w:szCs w:val="22"/>
        </w:rPr>
      </w:pPr>
      <w:r>
        <w:rPr>
          <w:rFonts w:ascii="Verdana" w:eastAsia="Verdana" w:hAnsi="Verdana" w:cs="Verdana"/>
          <w:color w:val="000000"/>
          <w:sz w:val="22"/>
          <w:szCs w:val="22"/>
        </w:rPr>
        <w:t xml:space="preserve">La Entidad aplicará las equivalencias mencionadas en la </w:t>
      </w:r>
      <w:r>
        <w:rPr>
          <w:rFonts w:ascii="Verdana" w:eastAsia="Verdana" w:hAnsi="Verdana" w:cs="Verdana"/>
          <w:b/>
          <w:bCs/>
          <w:color w:val="000000"/>
          <w:sz w:val="22"/>
          <w:szCs w:val="22"/>
        </w:rPr>
        <w:t>Matriz 4</w:t>
      </w:r>
      <w:r>
        <w:rPr>
          <w:rFonts w:ascii="Verdana" w:eastAsia="Verdana" w:hAnsi="Verdana" w:cs="Verdana"/>
          <w:color w:val="000000"/>
          <w:sz w:val="22"/>
          <w:szCs w:val="22"/>
        </w:rPr>
        <w:t xml:space="preserve"> para verificar el grupo de profesionales que el Consultor relacione, específicamente para acreditar las exigencias mínimas previstas en la sección de “Exigencias mínimas de la experiencia del proponente y la experiencia y formación académica del equipo de trabajo (Personal Clave Evaluable)”.</w:t>
      </w:r>
    </w:p>
    <w:p w14:paraId="422B9492" w14:textId="77777777" w:rsidR="004342C9" w:rsidRDefault="00000000">
      <w:pPr>
        <w:numPr>
          <w:ilvl w:val="0"/>
          <w:numId w:val="3"/>
        </w:numPr>
        <w:ind w:left="360"/>
        <w:rPr>
          <w:rFonts w:ascii="Verdana" w:eastAsia="Verdana" w:hAnsi="Verdana" w:cs="Verdana"/>
          <w:sz w:val="22"/>
          <w:szCs w:val="22"/>
        </w:rPr>
      </w:pPr>
      <w:r>
        <w:rPr>
          <w:rFonts w:ascii="Verdana" w:eastAsia="Verdana" w:hAnsi="Verdana" w:cs="Verdana"/>
          <w:sz w:val="22"/>
          <w:szCs w:val="22"/>
        </w:rPr>
        <w:t>La Entidad podrá solicitar en cualquier momento al Consultor los documentos que permitan acreditar el valor y el pago correspondiente de cada uno de los profesionales empleados para desarrollar el negocio jurídico pactado y que estén acorde con el valor de los honorarios definidos a la fecha de ejecución del Contrato, en el caso de que sea establecido un valor de honorarios de referencia.</w:t>
      </w:r>
    </w:p>
    <w:p w14:paraId="1CEF6A0D" w14:textId="77777777" w:rsidR="004342C9" w:rsidRDefault="00000000">
      <w:pPr>
        <w:numPr>
          <w:ilvl w:val="0"/>
          <w:numId w:val="3"/>
        </w:numPr>
        <w:ind w:left="360"/>
        <w:rPr>
          <w:rFonts w:ascii="Verdana" w:eastAsia="Verdana" w:hAnsi="Verdana" w:cs="Verdana"/>
          <w:sz w:val="22"/>
          <w:szCs w:val="22"/>
        </w:rPr>
      </w:pPr>
      <w:r>
        <w:rPr>
          <w:rFonts w:ascii="Verdana" w:eastAsia="Verdana" w:hAnsi="Verdana" w:cs="Verdana"/>
          <w:sz w:val="22"/>
          <w:szCs w:val="22"/>
        </w:rPr>
        <w:t xml:space="preserve">El Consultor es responsable de verificar que los profesionales propuestos que se vincularán al proyecto tengan la disponibilidad real para ejecutarlo. </w:t>
      </w:r>
    </w:p>
    <w:p w14:paraId="27C441C0" w14:textId="77777777" w:rsidR="004342C9" w:rsidRDefault="00000000">
      <w:pPr>
        <w:numPr>
          <w:ilvl w:val="0"/>
          <w:numId w:val="3"/>
        </w:numPr>
        <w:ind w:left="360"/>
        <w:rPr>
          <w:rFonts w:ascii="Verdana" w:eastAsia="Verdana" w:hAnsi="Verdana" w:cs="Verdana"/>
          <w:sz w:val="22"/>
          <w:szCs w:val="22"/>
        </w:rPr>
      </w:pPr>
      <w:r>
        <w:rPr>
          <w:rFonts w:ascii="Verdana" w:eastAsia="Verdana" w:hAnsi="Verdana" w:cs="Verdana"/>
          <w:sz w:val="22"/>
          <w:szCs w:val="22"/>
        </w:rPr>
        <w:t>El Consultor garantizará que los profesionales estén disponibles según su porcentaje de dedicación (físicamente o a través de medios digitales), cada vez que la Entidad los requiera para dar cumplimiento al objeto del proyecto de consultoría.</w:t>
      </w:r>
    </w:p>
    <w:p w14:paraId="2F1B321A" w14:textId="77777777" w:rsidR="004342C9" w:rsidRDefault="00000000">
      <w:pPr>
        <w:numPr>
          <w:ilvl w:val="0"/>
          <w:numId w:val="3"/>
        </w:numPr>
        <w:ind w:left="360"/>
        <w:rPr>
          <w:rFonts w:ascii="Verdana" w:eastAsia="Verdana" w:hAnsi="Verdana" w:cs="Verdana"/>
          <w:sz w:val="22"/>
          <w:szCs w:val="22"/>
        </w:rPr>
      </w:pPr>
      <w:r>
        <w:rPr>
          <w:rFonts w:ascii="Verdana" w:eastAsia="Verdana" w:hAnsi="Verdana" w:cs="Verdana"/>
          <w:sz w:val="22"/>
          <w:szCs w:val="22"/>
        </w:rPr>
        <w:t xml:space="preserve">La Entidad se reserva el derecho de exigir el reemplazo o retiro de cualquier contratista o trabajador vinculado al contrato, sin que ello conlleve costos </w:t>
      </w:r>
      <w:r>
        <w:rPr>
          <w:rFonts w:ascii="Verdana" w:eastAsia="Verdana" w:hAnsi="Verdana" w:cs="Verdana"/>
          <w:sz w:val="22"/>
          <w:szCs w:val="22"/>
        </w:rPr>
        <w:lastRenderedPageBreak/>
        <w:t>para ella, detallando las razones debidamente que justifican la solicitud de dicho cambio.</w:t>
      </w:r>
    </w:p>
    <w:p w14:paraId="415DD0A2" w14:textId="77777777" w:rsidR="004342C9" w:rsidRDefault="00000000">
      <w:pPr>
        <w:rPr>
          <w:rFonts w:ascii="Verdana" w:eastAsia="Verdana" w:hAnsi="Verdana" w:cs="Verdana"/>
          <w:color w:val="000000"/>
          <w:sz w:val="22"/>
          <w:szCs w:val="22"/>
        </w:rPr>
      </w:pPr>
      <w:r>
        <w:rPr>
          <w:rFonts w:ascii="Verdana" w:eastAsia="Verdana" w:hAnsi="Verdana" w:cs="Verdana"/>
          <w:color w:val="000000"/>
          <w:sz w:val="22"/>
          <w:szCs w:val="22"/>
        </w:rPr>
        <w:t xml:space="preserve">El personal relacionado será contratado por el Consultor y su costo debe incluirse dentro de la estructura de costos de la oferta, que fue definida al presentar la propuesta en el Formulario 1 – Propuesta Económica del Contrato. Se aclara que los perfiles que hacen parte del Personal Clave Evaluable deben cubrir todo el plazo de ejecución del proyecto indistintamente de su porcentaje de dedicación. </w:t>
      </w:r>
    </w:p>
    <w:p w14:paraId="4719B1BD" w14:textId="77777777" w:rsidR="004342C9" w:rsidRDefault="00000000">
      <w:pPr>
        <w:rPr>
          <w:rFonts w:ascii="Verdana" w:eastAsia="Verdana" w:hAnsi="Verdana" w:cs="Verdana"/>
          <w:b/>
          <w:bCs/>
          <w:color w:val="000000"/>
          <w:sz w:val="22"/>
          <w:szCs w:val="22"/>
          <w:u w:val="single"/>
        </w:rPr>
      </w:pPr>
      <w:r>
        <w:rPr>
          <w:rFonts w:ascii="Verdana" w:eastAsia="Verdana" w:hAnsi="Verdana" w:cs="Verdana"/>
          <w:color w:val="000000"/>
          <w:sz w:val="22"/>
          <w:szCs w:val="22"/>
        </w:rPr>
        <w:t xml:space="preserve">Para los demás perfiles profesionales, en caso de que la Entidad los requiera deberán estar disponibles, según su porcentaje de dedicación, con el fin de lograr el cumplimiento del objeto contractual y las obligaciones derivadas del Consultor, para lo cual se podrá hacer uso de medios virtuales. </w:t>
      </w:r>
    </w:p>
    <w:p w14:paraId="3FC4862A" w14:textId="77777777" w:rsidR="004342C9" w:rsidRDefault="00000000">
      <w:pPr>
        <w:rPr>
          <w:rFonts w:ascii="Verdana" w:eastAsia="Verdana" w:hAnsi="Verdana" w:cs="Verdana"/>
          <w:color w:val="000000"/>
          <w:sz w:val="22"/>
          <w:szCs w:val="22"/>
        </w:rPr>
      </w:pPr>
      <w:r>
        <w:rPr>
          <w:rFonts w:ascii="Verdana" w:eastAsia="Verdana" w:hAnsi="Verdana" w:cs="Verdana"/>
          <w:color w:val="000000"/>
          <w:sz w:val="22"/>
          <w:szCs w:val="22"/>
        </w:rPr>
        <w:t xml:space="preserve">Se aclara que los perfiles relacionados deben cubrir todo el plazo de ejecución del proyecto, según su porcentaje de dedicación, hasta que se logre la aprobación del producto de su competencia por parte de la Entidad. </w:t>
      </w:r>
    </w:p>
    <w:p w14:paraId="715BBF50" w14:textId="77777777" w:rsidR="004342C9" w:rsidRDefault="00000000">
      <w:pPr>
        <w:rPr>
          <w:rFonts w:ascii="Verdana" w:eastAsia="Verdana" w:hAnsi="Verdana" w:cs="Verdana"/>
          <w:color w:val="000000"/>
          <w:sz w:val="22"/>
          <w:szCs w:val="22"/>
        </w:rPr>
      </w:pPr>
      <w:r>
        <w:rPr>
          <w:rFonts w:ascii="Verdana" w:eastAsia="Verdana" w:hAnsi="Verdana" w:cs="Verdana"/>
          <w:b/>
          <w:bCs/>
          <w:color w:val="000000"/>
          <w:sz w:val="22"/>
          <w:szCs w:val="22"/>
          <w:u w:val="single"/>
        </w:rPr>
        <w:t>El Personal Clave Evaluable:</w:t>
      </w:r>
      <w:r>
        <w:rPr>
          <w:rFonts w:ascii="Verdana" w:eastAsia="Verdana" w:hAnsi="Verdana" w:cs="Verdana"/>
          <w:color w:val="000000"/>
          <w:sz w:val="22"/>
          <w:szCs w:val="22"/>
        </w:rPr>
        <w:t xml:space="preserve"> </w:t>
      </w:r>
    </w:p>
    <w:p w14:paraId="67C759E5" w14:textId="77777777" w:rsidR="004342C9" w:rsidRDefault="00000000">
      <w:pPr>
        <w:rPr>
          <w:rFonts w:ascii="Verdana" w:eastAsia="Verdana" w:hAnsi="Verdana" w:cs="Verdana"/>
          <w:color w:val="000000"/>
          <w:sz w:val="22"/>
          <w:szCs w:val="22"/>
        </w:rPr>
      </w:pPr>
      <w:r>
        <w:rPr>
          <w:rFonts w:ascii="Verdana" w:eastAsia="Verdana" w:hAnsi="Verdana" w:cs="Verdana"/>
          <w:color w:val="000000"/>
          <w:sz w:val="22"/>
          <w:szCs w:val="22"/>
        </w:rPr>
        <w:t xml:space="preserve">Es el definido en el Pliego de Condiciones y es el que se describe a continuación:  </w:t>
      </w:r>
    </w:p>
    <w:p w14:paraId="65D08D5E" w14:textId="77777777" w:rsidR="004342C9" w:rsidRDefault="00000000">
      <w:pPr>
        <w:rPr>
          <w:rFonts w:ascii="Verdana" w:eastAsia="Verdana" w:hAnsi="Verdana" w:cs="Verdana"/>
          <w:sz w:val="22"/>
          <w:szCs w:val="22"/>
        </w:rPr>
      </w:pPr>
      <w:r>
        <w:rPr>
          <w:rFonts w:ascii="Verdana" w:eastAsia="Verdana" w:hAnsi="Verdana" w:cs="Verdana"/>
          <w:sz w:val="22"/>
          <w:szCs w:val="22"/>
        </w:rPr>
        <w:t>• Un (1) Director de Consultoría - Ingeniero civil.</w:t>
      </w:r>
    </w:p>
    <w:p w14:paraId="0CCC2D90" w14:textId="77777777" w:rsidR="004342C9" w:rsidRDefault="00000000">
      <w:pPr>
        <w:rPr>
          <w:rFonts w:ascii="Verdana" w:eastAsia="Verdana" w:hAnsi="Verdana" w:cs="Verdana"/>
          <w:sz w:val="22"/>
          <w:szCs w:val="22"/>
        </w:rPr>
      </w:pPr>
      <w:r>
        <w:rPr>
          <w:rFonts w:ascii="Verdana" w:eastAsia="Verdana" w:hAnsi="Verdana" w:cs="Verdana"/>
          <w:sz w:val="22"/>
          <w:szCs w:val="22"/>
        </w:rPr>
        <w:t>• Un (1) Coordinador de Consultoría - Arquitecto.</w:t>
      </w:r>
    </w:p>
    <w:p w14:paraId="0FFC9BB2" w14:textId="77777777" w:rsidR="004342C9" w:rsidRDefault="00000000">
      <w:pPr>
        <w:rPr>
          <w:rFonts w:ascii="Verdana" w:eastAsia="Verdana" w:hAnsi="Verdana" w:cs="Verdana"/>
          <w:sz w:val="22"/>
          <w:szCs w:val="22"/>
        </w:rPr>
      </w:pPr>
      <w:r>
        <w:rPr>
          <w:rFonts w:ascii="Verdana" w:eastAsia="Verdana" w:hAnsi="Verdana" w:cs="Verdana"/>
          <w:sz w:val="22"/>
          <w:szCs w:val="22"/>
        </w:rPr>
        <w:t>• Un (1) Especialista principal del proyecto - componente eléctrico - Ingeniero electricista y/o ingeniero eléctrico.</w:t>
      </w:r>
    </w:p>
    <w:p w14:paraId="68EDBFD9" w14:textId="77777777" w:rsidR="004342C9" w:rsidRDefault="00000000">
      <w:pPr>
        <w:numPr>
          <w:ilvl w:val="0"/>
          <w:numId w:val="2"/>
        </w:numPr>
        <w:ind w:left="567"/>
        <w:rPr>
          <w:rFonts w:ascii="Verdana" w:eastAsia="Verdana" w:hAnsi="Verdana" w:cs="Verdana"/>
          <w:sz w:val="22"/>
          <w:szCs w:val="22"/>
        </w:rPr>
      </w:pPr>
      <w:r>
        <w:rPr>
          <w:rFonts w:ascii="Verdana" w:eastAsia="Verdana" w:hAnsi="Verdana" w:cs="Verdana"/>
          <w:b/>
          <w:bCs/>
          <w:sz w:val="22"/>
          <w:szCs w:val="22"/>
        </w:rPr>
        <w:t>Requisitos del personal del Consultor</w:t>
      </w:r>
    </w:p>
    <w:p w14:paraId="03E5CCEA" w14:textId="77777777" w:rsidR="004342C9" w:rsidRDefault="00000000">
      <w:pPr>
        <w:rPr>
          <w:rFonts w:ascii="Verdana" w:eastAsia="Verdana" w:hAnsi="Verdana" w:cs="Verdana"/>
          <w:sz w:val="22"/>
          <w:szCs w:val="22"/>
        </w:rPr>
      </w:pPr>
      <w:r>
        <w:rPr>
          <w:rFonts w:ascii="Verdana" w:eastAsia="Verdana" w:hAnsi="Verdana" w:cs="Verdana"/>
          <w:sz w:val="22"/>
          <w:szCs w:val="22"/>
        </w:rPr>
        <w:t xml:space="preserve">El Personal Clave Evaluable debe cumplir y acreditar, como mínimo, los siguientes requisitos de formación y experiencia: </w:t>
      </w:r>
    </w:p>
    <w:tbl>
      <w:tblPr>
        <w:tblStyle w:val="a4"/>
        <w:tblW w:w="8926" w:type="dxa"/>
        <w:tblInd w:w="0" w:type="dxa"/>
        <w:tblLayout w:type="fixed"/>
        <w:tblLook w:val="0400" w:firstRow="0" w:lastRow="0" w:firstColumn="0" w:lastColumn="0" w:noHBand="0" w:noVBand="1"/>
      </w:tblPr>
      <w:tblGrid>
        <w:gridCol w:w="620"/>
        <w:gridCol w:w="1352"/>
        <w:gridCol w:w="1074"/>
        <w:gridCol w:w="1151"/>
        <w:gridCol w:w="983"/>
        <w:gridCol w:w="1099"/>
        <w:gridCol w:w="1371"/>
        <w:gridCol w:w="1276"/>
      </w:tblGrid>
      <w:tr w:rsidR="004342C9" w14:paraId="50C03EDD" w14:textId="77777777">
        <w:trPr>
          <w:trHeight w:val="300"/>
          <w:tblHeader/>
        </w:trPr>
        <w:tc>
          <w:tcPr>
            <w:tcW w:w="620"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21F2E1C2" w14:textId="77777777" w:rsidR="004342C9" w:rsidRDefault="00000000">
            <w:pPr>
              <w:spacing w:after="0" w:line="240" w:lineRule="auto"/>
              <w:jc w:val="center"/>
              <w:rPr>
                <w:rFonts w:ascii="Verdana" w:eastAsia="Verdana" w:hAnsi="Verdana" w:cs="Verdana"/>
                <w:b/>
                <w:bCs/>
                <w:color w:val="000000"/>
                <w:sz w:val="16"/>
                <w:szCs w:val="16"/>
              </w:rPr>
            </w:pPr>
            <w:r>
              <w:rPr>
                <w:rFonts w:ascii="Verdana" w:eastAsia="Verdana" w:hAnsi="Verdana" w:cs="Verdana"/>
                <w:b/>
                <w:bCs/>
                <w:color w:val="000000"/>
                <w:sz w:val="16"/>
                <w:szCs w:val="16"/>
              </w:rPr>
              <w:t>Perfil No.</w:t>
            </w:r>
          </w:p>
        </w:tc>
        <w:tc>
          <w:tcPr>
            <w:tcW w:w="1352"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7DCBA484" w14:textId="77777777" w:rsidR="004342C9" w:rsidRDefault="00000000">
            <w:pPr>
              <w:spacing w:after="0" w:line="240" w:lineRule="auto"/>
              <w:jc w:val="center"/>
              <w:rPr>
                <w:rFonts w:ascii="Verdana" w:eastAsia="Verdana" w:hAnsi="Verdana" w:cs="Verdana"/>
                <w:b/>
                <w:bCs/>
                <w:color w:val="000000"/>
                <w:sz w:val="16"/>
                <w:szCs w:val="16"/>
              </w:rPr>
            </w:pPr>
            <w:r>
              <w:rPr>
                <w:rFonts w:ascii="Verdana" w:eastAsia="Verdana" w:hAnsi="Verdana" w:cs="Verdana"/>
                <w:b/>
                <w:bCs/>
                <w:color w:val="000000"/>
                <w:sz w:val="16"/>
                <w:szCs w:val="16"/>
              </w:rPr>
              <w:t>Cantidad de profesionales</w:t>
            </w:r>
          </w:p>
        </w:tc>
        <w:tc>
          <w:tcPr>
            <w:tcW w:w="107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08736261" w14:textId="77777777" w:rsidR="004342C9" w:rsidRDefault="00000000">
            <w:pPr>
              <w:spacing w:after="0" w:line="240" w:lineRule="auto"/>
              <w:jc w:val="center"/>
              <w:rPr>
                <w:rFonts w:ascii="Verdana" w:eastAsia="Verdana" w:hAnsi="Verdana" w:cs="Verdana"/>
                <w:b/>
                <w:bCs/>
                <w:color w:val="000000"/>
                <w:sz w:val="16"/>
                <w:szCs w:val="16"/>
              </w:rPr>
            </w:pPr>
            <w:r>
              <w:rPr>
                <w:rFonts w:ascii="Verdana" w:eastAsia="Verdana" w:hAnsi="Verdana" w:cs="Verdana"/>
                <w:b/>
                <w:bCs/>
                <w:color w:val="000000"/>
                <w:sz w:val="16"/>
                <w:szCs w:val="16"/>
              </w:rPr>
              <w:t>Cargo</w:t>
            </w:r>
          </w:p>
        </w:tc>
        <w:tc>
          <w:tcPr>
            <w:tcW w:w="1151"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4D91D178" w14:textId="77777777" w:rsidR="004342C9" w:rsidRDefault="00000000">
            <w:pPr>
              <w:spacing w:after="0" w:line="240" w:lineRule="auto"/>
              <w:jc w:val="center"/>
              <w:rPr>
                <w:rFonts w:ascii="Verdana" w:eastAsia="Verdana" w:hAnsi="Verdana" w:cs="Verdana"/>
                <w:b/>
                <w:bCs/>
                <w:color w:val="000000"/>
                <w:sz w:val="16"/>
                <w:szCs w:val="16"/>
              </w:rPr>
            </w:pPr>
            <w:r>
              <w:rPr>
                <w:rFonts w:ascii="Verdana" w:eastAsia="Verdana" w:hAnsi="Verdana" w:cs="Verdana"/>
                <w:b/>
                <w:bCs/>
                <w:color w:val="000000"/>
                <w:sz w:val="16"/>
                <w:szCs w:val="16"/>
              </w:rPr>
              <w:t>Título profesional</w:t>
            </w:r>
          </w:p>
        </w:tc>
        <w:tc>
          <w:tcPr>
            <w:tcW w:w="983"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6E1DC534" w14:textId="77777777" w:rsidR="004342C9" w:rsidRDefault="00000000">
            <w:pPr>
              <w:spacing w:after="0" w:line="240" w:lineRule="auto"/>
              <w:jc w:val="center"/>
              <w:rPr>
                <w:rFonts w:ascii="Verdana" w:eastAsia="Verdana" w:hAnsi="Verdana" w:cs="Verdana"/>
                <w:b/>
                <w:bCs/>
                <w:color w:val="000000"/>
                <w:sz w:val="16"/>
                <w:szCs w:val="16"/>
              </w:rPr>
            </w:pPr>
            <w:r>
              <w:rPr>
                <w:rFonts w:ascii="Verdana" w:eastAsia="Verdana" w:hAnsi="Verdana" w:cs="Verdana"/>
                <w:b/>
                <w:bCs/>
                <w:color w:val="000000"/>
                <w:sz w:val="16"/>
                <w:szCs w:val="16"/>
              </w:rPr>
              <w:t>Título de posgrado</w:t>
            </w:r>
          </w:p>
        </w:tc>
        <w:tc>
          <w:tcPr>
            <w:tcW w:w="1099"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07234937" w14:textId="77777777" w:rsidR="004342C9" w:rsidRDefault="00000000">
            <w:pPr>
              <w:spacing w:line="240" w:lineRule="auto"/>
              <w:jc w:val="center"/>
              <w:rPr>
                <w:rFonts w:ascii="Verdana" w:eastAsia="Verdana" w:hAnsi="Verdana" w:cs="Verdana"/>
                <w:color w:val="000000"/>
                <w:sz w:val="16"/>
                <w:szCs w:val="16"/>
              </w:rPr>
            </w:pPr>
            <w:r>
              <w:rPr>
                <w:rFonts w:ascii="Verdana" w:eastAsia="Verdana" w:hAnsi="Verdana" w:cs="Verdana"/>
                <w:b/>
                <w:bCs/>
                <w:color w:val="000000"/>
                <w:sz w:val="16"/>
                <w:szCs w:val="16"/>
              </w:rPr>
              <w:t>% de dedicación</w:t>
            </w:r>
          </w:p>
        </w:tc>
        <w:tc>
          <w:tcPr>
            <w:tcW w:w="1371"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6FBC770E" w14:textId="77777777" w:rsidR="004342C9" w:rsidRDefault="00000000">
            <w:pPr>
              <w:spacing w:after="0" w:line="240" w:lineRule="auto"/>
              <w:jc w:val="center"/>
              <w:rPr>
                <w:rFonts w:ascii="Verdana" w:eastAsia="Verdana" w:hAnsi="Verdana" w:cs="Verdana"/>
                <w:b/>
                <w:bCs/>
                <w:color w:val="000000"/>
                <w:sz w:val="16"/>
                <w:szCs w:val="16"/>
              </w:rPr>
            </w:pPr>
            <w:r>
              <w:rPr>
                <w:rFonts w:ascii="Verdana" w:eastAsia="Verdana" w:hAnsi="Verdana" w:cs="Verdana"/>
                <w:b/>
                <w:bCs/>
                <w:color w:val="000000"/>
                <w:sz w:val="16"/>
                <w:szCs w:val="16"/>
              </w:rPr>
              <w:t>Experiencia general</w:t>
            </w:r>
            <w:r>
              <w:br/>
            </w:r>
            <w:r>
              <w:rPr>
                <w:rFonts w:ascii="Verdana" w:eastAsia="Verdana" w:hAnsi="Verdana" w:cs="Verdana"/>
                <w:b/>
                <w:bCs/>
                <w:color w:val="000000"/>
                <w:sz w:val="16"/>
                <w:szCs w:val="16"/>
              </w:rPr>
              <w:t>(años mínimos)</w:t>
            </w:r>
          </w:p>
        </w:tc>
        <w:tc>
          <w:tcPr>
            <w:tcW w:w="1276"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2C303725" w14:textId="77777777" w:rsidR="004342C9" w:rsidRDefault="00000000">
            <w:pPr>
              <w:spacing w:after="0" w:line="240" w:lineRule="auto"/>
              <w:jc w:val="center"/>
              <w:rPr>
                <w:rFonts w:ascii="Verdana" w:eastAsia="Verdana" w:hAnsi="Verdana" w:cs="Verdana"/>
                <w:b/>
                <w:bCs/>
                <w:color w:val="000000"/>
                <w:sz w:val="16"/>
                <w:szCs w:val="16"/>
              </w:rPr>
            </w:pPr>
            <w:r>
              <w:rPr>
                <w:rFonts w:ascii="Verdana" w:eastAsia="Verdana" w:hAnsi="Verdana" w:cs="Verdana"/>
                <w:b/>
                <w:bCs/>
                <w:color w:val="000000"/>
                <w:sz w:val="16"/>
                <w:szCs w:val="16"/>
              </w:rPr>
              <w:t>Experiencia específica</w:t>
            </w:r>
            <w:r>
              <w:br/>
            </w:r>
            <w:r>
              <w:rPr>
                <w:rFonts w:ascii="Verdana" w:eastAsia="Verdana" w:hAnsi="Verdana" w:cs="Verdana"/>
                <w:b/>
                <w:bCs/>
                <w:color w:val="000000"/>
                <w:sz w:val="16"/>
                <w:szCs w:val="16"/>
              </w:rPr>
              <w:t>(años mínimos)</w:t>
            </w:r>
          </w:p>
        </w:tc>
      </w:tr>
      <w:tr w:rsidR="004342C9" w14:paraId="3949BC8D" w14:textId="77777777">
        <w:trPr>
          <w:trHeight w:val="300"/>
        </w:trPr>
        <w:tc>
          <w:tcPr>
            <w:tcW w:w="620" w:type="dxa"/>
            <w:tcBorders>
              <w:top w:val="single" w:sz="4" w:space="0" w:color="000000"/>
              <w:left w:val="single" w:sz="4" w:space="0" w:color="000000"/>
              <w:bottom w:val="single" w:sz="4" w:space="0" w:color="000000"/>
              <w:right w:val="single" w:sz="4" w:space="0" w:color="000000"/>
            </w:tcBorders>
            <w:vAlign w:val="center"/>
          </w:tcPr>
          <w:p w14:paraId="7A387581" w14:textId="77777777" w:rsidR="004342C9" w:rsidRDefault="00000000">
            <w:pPr>
              <w:spacing w:after="0" w:line="240" w:lineRule="auto"/>
              <w:jc w:val="center"/>
              <w:rPr>
                <w:rFonts w:ascii="Verdana" w:eastAsia="Verdana" w:hAnsi="Verdana" w:cs="Verdana"/>
                <w:b/>
                <w:bCs/>
                <w:color w:val="000000"/>
                <w:sz w:val="16"/>
                <w:szCs w:val="16"/>
              </w:rPr>
            </w:pPr>
            <w:r>
              <w:rPr>
                <w:rFonts w:ascii="Verdana" w:eastAsia="Verdana" w:hAnsi="Verdana" w:cs="Verdana"/>
                <w:b/>
                <w:bCs/>
                <w:color w:val="000000"/>
                <w:sz w:val="16"/>
                <w:szCs w:val="16"/>
              </w:rPr>
              <w:t>1</w:t>
            </w:r>
          </w:p>
        </w:tc>
        <w:tc>
          <w:tcPr>
            <w:tcW w:w="1352" w:type="dxa"/>
            <w:tcBorders>
              <w:top w:val="single" w:sz="4" w:space="0" w:color="000000"/>
              <w:left w:val="single" w:sz="4" w:space="0" w:color="000000"/>
              <w:bottom w:val="single" w:sz="4" w:space="0" w:color="000000"/>
              <w:right w:val="single" w:sz="4" w:space="0" w:color="000000"/>
            </w:tcBorders>
          </w:tcPr>
          <w:p w14:paraId="6300D22B" w14:textId="77777777" w:rsidR="004342C9" w:rsidRDefault="00000000">
            <w:pPr>
              <w:spacing w:after="0" w:line="240" w:lineRule="auto"/>
              <w:jc w:val="center"/>
              <w:rPr>
                <w:sz w:val="15"/>
                <w:szCs w:val="15"/>
              </w:rPr>
            </w:pPr>
            <w:r>
              <w:rPr>
                <w:sz w:val="15"/>
                <w:szCs w:val="15"/>
              </w:rPr>
              <w:t>1</w:t>
            </w:r>
          </w:p>
        </w:tc>
        <w:tc>
          <w:tcPr>
            <w:tcW w:w="1074" w:type="dxa"/>
            <w:tcBorders>
              <w:top w:val="single" w:sz="4" w:space="0" w:color="000000"/>
              <w:left w:val="single" w:sz="4" w:space="0" w:color="000000"/>
              <w:bottom w:val="single" w:sz="4" w:space="0" w:color="000000"/>
              <w:right w:val="single" w:sz="4" w:space="0" w:color="000000"/>
            </w:tcBorders>
            <w:vAlign w:val="center"/>
          </w:tcPr>
          <w:p w14:paraId="318BA2A6" w14:textId="77777777" w:rsidR="004342C9" w:rsidRDefault="00000000">
            <w:pPr>
              <w:spacing w:after="0" w:line="240" w:lineRule="auto"/>
              <w:rPr>
                <w:sz w:val="15"/>
                <w:szCs w:val="15"/>
              </w:rPr>
            </w:pPr>
            <w:r>
              <w:rPr>
                <w:sz w:val="15"/>
                <w:szCs w:val="15"/>
              </w:rPr>
              <w:t>Director de Consultoría</w:t>
            </w:r>
          </w:p>
        </w:tc>
        <w:tc>
          <w:tcPr>
            <w:tcW w:w="1151" w:type="dxa"/>
            <w:tcBorders>
              <w:top w:val="single" w:sz="4" w:space="0" w:color="000000"/>
              <w:left w:val="single" w:sz="4" w:space="0" w:color="000000"/>
              <w:bottom w:val="single" w:sz="4" w:space="0" w:color="000000"/>
              <w:right w:val="single" w:sz="4" w:space="0" w:color="000000"/>
            </w:tcBorders>
          </w:tcPr>
          <w:p w14:paraId="54EB8AC7" w14:textId="77777777" w:rsidR="004342C9" w:rsidRDefault="00000000">
            <w:pPr>
              <w:spacing w:after="0" w:line="240" w:lineRule="auto"/>
              <w:rPr>
                <w:sz w:val="15"/>
                <w:szCs w:val="15"/>
              </w:rPr>
            </w:pPr>
            <w:r>
              <w:rPr>
                <w:sz w:val="15"/>
                <w:szCs w:val="15"/>
              </w:rPr>
              <w:t>Ingeniero civil con matrícula profesional vigente.</w:t>
            </w:r>
          </w:p>
        </w:tc>
        <w:tc>
          <w:tcPr>
            <w:tcW w:w="983" w:type="dxa"/>
            <w:tcBorders>
              <w:top w:val="single" w:sz="4" w:space="0" w:color="000000"/>
              <w:left w:val="single" w:sz="4" w:space="0" w:color="000000"/>
              <w:bottom w:val="single" w:sz="4" w:space="0" w:color="000000"/>
              <w:right w:val="single" w:sz="4" w:space="0" w:color="000000"/>
            </w:tcBorders>
          </w:tcPr>
          <w:p w14:paraId="6B37D147" w14:textId="77777777" w:rsidR="004342C9" w:rsidRDefault="00000000">
            <w:pPr>
              <w:spacing w:after="0" w:line="240" w:lineRule="auto"/>
              <w:rPr>
                <w:sz w:val="15"/>
                <w:szCs w:val="15"/>
              </w:rPr>
            </w:pPr>
            <w:r>
              <w:rPr>
                <w:sz w:val="15"/>
                <w:szCs w:val="15"/>
              </w:rPr>
              <w:t xml:space="preserve">Título de posgrado en estructuras, ingeniería estructural, diseño estructural, gerencia de proyectos de construcción, gerencia de obras o </w:t>
            </w:r>
            <w:r>
              <w:rPr>
                <w:sz w:val="15"/>
                <w:szCs w:val="15"/>
              </w:rPr>
              <w:lastRenderedPageBreak/>
              <w:t>áreas de conocimiento afines al cargo.</w:t>
            </w:r>
          </w:p>
          <w:p w14:paraId="57647A97" w14:textId="77777777" w:rsidR="004342C9" w:rsidRDefault="004342C9">
            <w:pPr>
              <w:spacing w:after="0" w:line="240" w:lineRule="auto"/>
              <w:rPr>
                <w:sz w:val="15"/>
                <w:szCs w:val="15"/>
              </w:rPr>
            </w:pPr>
          </w:p>
        </w:tc>
        <w:tc>
          <w:tcPr>
            <w:tcW w:w="1099" w:type="dxa"/>
            <w:tcBorders>
              <w:top w:val="single" w:sz="4" w:space="0" w:color="000000"/>
              <w:left w:val="single" w:sz="4" w:space="0" w:color="000000"/>
              <w:bottom w:val="single" w:sz="4" w:space="0" w:color="000000"/>
              <w:right w:val="single" w:sz="4" w:space="0" w:color="000000"/>
            </w:tcBorders>
          </w:tcPr>
          <w:p w14:paraId="44BFDEFA" w14:textId="77777777" w:rsidR="004342C9" w:rsidRDefault="00000000">
            <w:pPr>
              <w:spacing w:line="240" w:lineRule="auto"/>
              <w:rPr>
                <w:sz w:val="15"/>
                <w:szCs w:val="15"/>
              </w:rPr>
            </w:pPr>
            <w:r>
              <w:rPr>
                <w:sz w:val="15"/>
                <w:szCs w:val="15"/>
              </w:rPr>
              <w:lastRenderedPageBreak/>
              <w:t>50%</w:t>
            </w:r>
          </w:p>
        </w:tc>
        <w:tc>
          <w:tcPr>
            <w:tcW w:w="1371" w:type="dxa"/>
            <w:tcBorders>
              <w:top w:val="single" w:sz="4" w:space="0" w:color="000000"/>
              <w:left w:val="single" w:sz="4" w:space="0" w:color="000000"/>
              <w:bottom w:val="single" w:sz="4" w:space="0" w:color="000000"/>
              <w:right w:val="single" w:sz="4" w:space="0" w:color="000000"/>
            </w:tcBorders>
          </w:tcPr>
          <w:p w14:paraId="0FD9FAC9" w14:textId="77777777" w:rsidR="004342C9" w:rsidRDefault="00000000">
            <w:pPr>
              <w:spacing w:after="0" w:line="240" w:lineRule="auto"/>
              <w:rPr>
                <w:sz w:val="15"/>
                <w:szCs w:val="15"/>
              </w:rPr>
            </w:pPr>
            <w:r>
              <w:rPr>
                <w:sz w:val="15"/>
                <w:szCs w:val="15"/>
              </w:rPr>
              <w:t>Cuatro (4) años</w:t>
            </w:r>
          </w:p>
        </w:tc>
        <w:tc>
          <w:tcPr>
            <w:tcW w:w="1276" w:type="dxa"/>
            <w:tcBorders>
              <w:top w:val="single" w:sz="4" w:space="0" w:color="000000"/>
              <w:left w:val="single" w:sz="4" w:space="0" w:color="000000"/>
              <w:bottom w:val="single" w:sz="4" w:space="0" w:color="000000"/>
              <w:right w:val="single" w:sz="4" w:space="0" w:color="000000"/>
            </w:tcBorders>
          </w:tcPr>
          <w:p w14:paraId="38769BF4" w14:textId="77777777" w:rsidR="004342C9" w:rsidRDefault="00000000">
            <w:pPr>
              <w:spacing w:after="0" w:line="240" w:lineRule="auto"/>
              <w:rPr>
                <w:sz w:val="15"/>
                <w:szCs w:val="15"/>
              </w:rPr>
            </w:pPr>
            <w:r>
              <w:rPr>
                <w:sz w:val="15"/>
                <w:szCs w:val="15"/>
              </w:rPr>
              <w:t>Dos (2) años</w:t>
            </w:r>
          </w:p>
        </w:tc>
      </w:tr>
      <w:tr w:rsidR="004342C9" w14:paraId="2C31609D" w14:textId="77777777">
        <w:trPr>
          <w:trHeight w:val="300"/>
        </w:trPr>
        <w:tc>
          <w:tcPr>
            <w:tcW w:w="620" w:type="dxa"/>
            <w:tcBorders>
              <w:top w:val="single" w:sz="4" w:space="0" w:color="000000"/>
              <w:left w:val="single" w:sz="4" w:space="0" w:color="000000"/>
              <w:bottom w:val="single" w:sz="4" w:space="0" w:color="000000"/>
              <w:right w:val="single" w:sz="4" w:space="0" w:color="000000"/>
            </w:tcBorders>
            <w:vAlign w:val="center"/>
          </w:tcPr>
          <w:p w14:paraId="5CD3500D" w14:textId="77777777" w:rsidR="004342C9" w:rsidRDefault="00000000">
            <w:pPr>
              <w:spacing w:after="0" w:line="240" w:lineRule="auto"/>
              <w:jc w:val="center"/>
              <w:rPr>
                <w:rFonts w:ascii="Verdana" w:eastAsia="Verdana" w:hAnsi="Verdana" w:cs="Verdana"/>
                <w:b/>
                <w:bCs/>
                <w:color w:val="000000"/>
                <w:sz w:val="16"/>
                <w:szCs w:val="16"/>
              </w:rPr>
            </w:pPr>
            <w:r>
              <w:rPr>
                <w:rFonts w:ascii="Verdana" w:eastAsia="Verdana" w:hAnsi="Verdana" w:cs="Verdana"/>
                <w:b/>
                <w:bCs/>
                <w:color w:val="000000"/>
                <w:sz w:val="16"/>
                <w:szCs w:val="16"/>
              </w:rPr>
              <w:t>2</w:t>
            </w:r>
          </w:p>
        </w:tc>
        <w:tc>
          <w:tcPr>
            <w:tcW w:w="1352" w:type="dxa"/>
            <w:tcBorders>
              <w:top w:val="single" w:sz="4" w:space="0" w:color="000000"/>
              <w:left w:val="single" w:sz="4" w:space="0" w:color="000000"/>
              <w:bottom w:val="single" w:sz="4" w:space="0" w:color="000000"/>
              <w:right w:val="single" w:sz="4" w:space="0" w:color="000000"/>
            </w:tcBorders>
          </w:tcPr>
          <w:p w14:paraId="31B2F2F7" w14:textId="77777777" w:rsidR="004342C9" w:rsidRDefault="00000000">
            <w:pPr>
              <w:spacing w:after="0" w:line="240" w:lineRule="auto"/>
              <w:jc w:val="center"/>
              <w:rPr>
                <w:sz w:val="15"/>
                <w:szCs w:val="15"/>
              </w:rPr>
            </w:pPr>
            <w:r>
              <w:rPr>
                <w:sz w:val="15"/>
                <w:szCs w:val="15"/>
              </w:rPr>
              <w:t>1</w:t>
            </w:r>
          </w:p>
        </w:tc>
        <w:tc>
          <w:tcPr>
            <w:tcW w:w="1074" w:type="dxa"/>
            <w:tcBorders>
              <w:top w:val="single" w:sz="4" w:space="0" w:color="000000"/>
              <w:left w:val="single" w:sz="4" w:space="0" w:color="000000"/>
              <w:bottom w:val="single" w:sz="4" w:space="0" w:color="000000"/>
              <w:right w:val="single" w:sz="4" w:space="0" w:color="000000"/>
            </w:tcBorders>
          </w:tcPr>
          <w:p w14:paraId="391FCB51" w14:textId="77777777" w:rsidR="004342C9" w:rsidRDefault="00000000">
            <w:pPr>
              <w:spacing w:after="0" w:line="240" w:lineRule="auto"/>
              <w:jc w:val="center"/>
              <w:rPr>
                <w:sz w:val="15"/>
                <w:szCs w:val="15"/>
              </w:rPr>
            </w:pPr>
            <w:r>
              <w:rPr>
                <w:sz w:val="15"/>
                <w:szCs w:val="15"/>
              </w:rPr>
              <w:t>Coordinador de Consultoría</w:t>
            </w:r>
          </w:p>
          <w:p w14:paraId="13C7B73F" w14:textId="77777777" w:rsidR="004342C9" w:rsidRDefault="004342C9">
            <w:pPr>
              <w:spacing w:after="0" w:line="240" w:lineRule="auto"/>
              <w:rPr>
                <w:sz w:val="15"/>
                <w:szCs w:val="15"/>
              </w:rPr>
            </w:pPr>
          </w:p>
        </w:tc>
        <w:tc>
          <w:tcPr>
            <w:tcW w:w="1151" w:type="dxa"/>
            <w:tcBorders>
              <w:top w:val="single" w:sz="4" w:space="0" w:color="000000"/>
              <w:left w:val="single" w:sz="4" w:space="0" w:color="000000"/>
              <w:bottom w:val="single" w:sz="4" w:space="0" w:color="000000"/>
              <w:right w:val="single" w:sz="4" w:space="0" w:color="000000"/>
            </w:tcBorders>
          </w:tcPr>
          <w:p w14:paraId="6FCDB70A" w14:textId="77777777" w:rsidR="004342C9" w:rsidRDefault="00000000">
            <w:pPr>
              <w:spacing w:after="0" w:line="240" w:lineRule="auto"/>
              <w:jc w:val="center"/>
              <w:rPr>
                <w:sz w:val="15"/>
                <w:szCs w:val="15"/>
              </w:rPr>
            </w:pPr>
            <w:r>
              <w:rPr>
                <w:sz w:val="15"/>
                <w:szCs w:val="15"/>
              </w:rPr>
              <w:t>Arquitecto con matrícula profesional vigente.</w:t>
            </w:r>
          </w:p>
        </w:tc>
        <w:tc>
          <w:tcPr>
            <w:tcW w:w="983" w:type="dxa"/>
            <w:tcBorders>
              <w:top w:val="single" w:sz="4" w:space="0" w:color="000000"/>
              <w:left w:val="single" w:sz="4" w:space="0" w:color="000000"/>
              <w:bottom w:val="single" w:sz="4" w:space="0" w:color="000000"/>
              <w:right w:val="single" w:sz="4" w:space="0" w:color="000000"/>
            </w:tcBorders>
          </w:tcPr>
          <w:p w14:paraId="41F3DB97" w14:textId="77777777" w:rsidR="004342C9" w:rsidRDefault="00000000">
            <w:pPr>
              <w:spacing w:after="0" w:line="240" w:lineRule="auto"/>
              <w:jc w:val="center"/>
              <w:rPr>
                <w:sz w:val="15"/>
                <w:szCs w:val="15"/>
              </w:rPr>
            </w:pPr>
            <w:r>
              <w:rPr>
                <w:sz w:val="15"/>
                <w:szCs w:val="15"/>
              </w:rPr>
              <w:t>N.A.</w:t>
            </w:r>
          </w:p>
        </w:tc>
        <w:tc>
          <w:tcPr>
            <w:tcW w:w="1099" w:type="dxa"/>
            <w:tcBorders>
              <w:top w:val="single" w:sz="4" w:space="0" w:color="000000"/>
              <w:left w:val="single" w:sz="4" w:space="0" w:color="000000"/>
              <w:bottom w:val="single" w:sz="4" w:space="0" w:color="000000"/>
              <w:right w:val="single" w:sz="4" w:space="0" w:color="000000"/>
            </w:tcBorders>
          </w:tcPr>
          <w:p w14:paraId="433C0B58" w14:textId="77777777" w:rsidR="004342C9" w:rsidRDefault="00000000">
            <w:pPr>
              <w:spacing w:line="240" w:lineRule="auto"/>
              <w:jc w:val="center"/>
              <w:rPr>
                <w:sz w:val="15"/>
                <w:szCs w:val="15"/>
              </w:rPr>
            </w:pPr>
            <w:r>
              <w:rPr>
                <w:sz w:val="15"/>
                <w:szCs w:val="15"/>
              </w:rPr>
              <w:t>100%</w:t>
            </w:r>
          </w:p>
        </w:tc>
        <w:tc>
          <w:tcPr>
            <w:tcW w:w="1371" w:type="dxa"/>
            <w:tcBorders>
              <w:top w:val="single" w:sz="4" w:space="0" w:color="000000"/>
              <w:left w:val="single" w:sz="4" w:space="0" w:color="000000"/>
              <w:bottom w:val="single" w:sz="4" w:space="0" w:color="000000"/>
              <w:right w:val="single" w:sz="4" w:space="0" w:color="000000"/>
            </w:tcBorders>
          </w:tcPr>
          <w:p w14:paraId="718C007D" w14:textId="77777777" w:rsidR="004342C9" w:rsidRDefault="00000000">
            <w:pPr>
              <w:spacing w:after="0" w:line="240" w:lineRule="auto"/>
              <w:jc w:val="center"/>
              <w:rPr>
                <w:sz w:val="15"/>
                <w:szCs w:val="15"/>
              </w:rPr>
            </w:pPr>
            <w:r>
              <w:rPr>
                <w:sz w:val="15"/>
                <w:szCs w:val="15"/>
              </w:rPr>
              <w:t>Cuatro (4) años</w:t>
            </w:r>
          </w:p>
        </w:tc>
        <w:tc>
          <w:tcPr>
            <w:tcW w:w="1276" w:type="dxa"/>
            <w:tcBorders>
              <w:top w:val="single" w:sz="4" w:space="0" w:color="000000"/>
              <w:left w:val="single" w:sz="4" w:space="0" w:color="000000"/>
              <w:bottom w:val="single" w:sz="4" w:space="0" w:color="000000"/>
              <w:right w:val="single" w:sz="4" w:space="0" w:color="000000"/>
            </w:tcBorders>
          </w:tcPr>
          <w:p w14:paraId="22FBAD3A" w14:textId="77777777" w:rsidR="004342C9" w:rsidRDefault="00000000">
            <w:pPr>
              <w:spacing w:after="0" w:line="240" w:lineRule="auto"/>
              <w:jc w:val="center"/>
              <w:rPr>
                <w:sz w:val="15"/>
                <w:szCs w:val="15"/>
              </w:rPr>
            </w:pPr>
            <w:r>
              <w:t>Dos (2) años</w:t>
            </w:r>
          </w:p>
        </w:tc>
      </w:tr>
      <w:tr w:rsidR="004342C9" w14:paraId="019F10B0" w14:textId="77777777">
        <w:trPr>
          <w:trHeight w:val="300"/>
        </w:trPr>
        <w:tc>
          <w:tcPr>
            <w:tcW w:w="620" w:type="dxa"/>
            <w:tcBorders>
              <w:top w:val="single" w:sz="4" w:space="0" w:color="000000"/>
              <w:left w:val="single" w:sz="4" w:space="0" w:color="000000"/>
              <w:bottom w:val="single" w:sz="4" w:space="0" w:color="000000"/>
              <w:right w:val="single" w:sz="4" w:space="0" w:color="000000"/>
            </w:tcBorders>
            <w:vAlign w:val="center"/>
          </w:tcPr>
          <w:p w14:paraId="7D543901" w14:textId="77777777" w:rsidR="004342C9" w:rsidRDefault="00000000">
            <w:pPr>
              <w:spacing w:after="0" w:line="240" w:lineRule="auto"/>
              <w:jc w:val="center"/>
              <w:rPr>
                <w:rFonts w:ascii="Verdana" w:eastAsia="Verdana" w:hAnsi="Verdana" w:cs="Verdana"/>
                <w:b/>
                <w:bCs/>
                <w:color w:val="000000"/>
                <w:sz w:val="16"/>
                <w:szCs w:val="16"/>
              </w:rPr>
            </w:pPr>
            <w:r>
              <w:rPr>
                <w:rFonts w:ascii="Verdana" w:eastAsia="Verdana" w:hAnsi="Verdana" w:cs="Verdana"/>
                <w:b/>
                <w:bCs/>
                <w:color w:val="000000"/>
                <w:sz w:val="16"/>
                <w:szCs w:val="16"/>
              </w:rPr>
              <w:t>3</w:t>
            </w:r>
          </w:p>
        </w:tc>
        <w:tc>
          <w:tcPr>
            <w:tcW w:w="1352" w:type="dxa"/>
            <w:tcBorders>
              <w:top w:val="single" w:sz="4" w:space="0" w:color="000000"/>
              <w:left w:val="single" w:sz="4" w:space="0" w:color="000000"/>
              <w:bottom w:val="single" w:sz="4" w:space="0" w:color="000000"/>
              <w:right w:val="single" w:sz="4" w:space="0" w:color="000000"/>
            </w:tcBorders>
            <w:vAlign w:val="center"/>
          </w:tcPr>
          <w:p w14:paraId="231BD0A1" w14:textId="77777777" w:rsidR="004342C9" w:rsidRDefault="00000000">
            <w:pPr>
              <w:spacing w:after="0" w:line="240" w:lineRule="auto"/>
              <w:jc w:val="center"/>
              <w:rPr>
                <w:rFonts w:ascii="Verdana" w:eastAsia="Verdana" w:hAnsi="Verdana" w:cs="Verdana"/>
                <w:b/>
                <w:bCs/>
                <w:color w:val="FF0000"/>
                <w:sz w:val="16"/>
                <w:szCs w:val="16"/>
              </w:rPr>
            </w:pPr>
            <w:r>
              <w:rPr>
                <w:rFonts w:ascii="Verdana" w:eastAsia="Verdana" w:hAnsi="Verdana" w:cs="Verdana"/>
                <w:b/>
                <w:bCs/>
                <w:color w:val="000000"/>
                <w:sz w:val="16"/>
                <w:szCs w:val="16"/>
              </w:rPr>
              <w:t>1</w:t>
            </w:r>
          </w:p>
        </w:tc>
        <w:tc>
          <w:tcPr>
            <w:tcW w:w="1074" w:type="dxa"/>
            <w:tcBorders>
              <w:top w:val="single" w:sz="4" w:space="0" w:color="000000"/>
              <w:left w:val="single" w:sz="4" w:space="0" w:color="000000"/>
              <w:bottom w:val="single" w:sz="4" w:space="0" w:color="000000"/>
              <w:right w:val="single" w:sz="4" w:space="0" w:color="000000"/>
            </w:tcBorders>
            <w:vAlign w:val="center"/>
          </w:tcPr>
          <w:p w14:paraId="7D1F6E4D" w14:textId="77777777" w:rsidR="004342C9" w:rsidRDefault="00000000">
            <w:pPr>
              <w:spacing w:after="0" w:line="240" w:lineRule="auto"/>
              <w:rPr>
                <w:rFonts w:ascii="Verdana" w:eastAsia="Verdana" w:hAnsi="Verdana" w:cs="Verdana"/>
                <w:b/>
                <w:bCs/>
                <w:color w:val="000000"/>
                <w:sz w:val="16"/>
                <w:szCs w:val="16"/>
              </w:rPr>
            </w:pPr>
            <w:r>
              <w:rPr>
                <w:sz w:val="15"/>
                <w:szCs w:val="15"/>
              </w:rPr>
              <w:t>Especialista principal del proyecto - componente eléctrico</w:t>
            </w:r>
          </w:p>
        </w:tc>
        <w:tc>
          <w:tcPr>
            <w:tcW w:w="1151" w:type="dxa"/>
            <w:tcBorders>
              <w:top w:val="single" w:sz="4" w:space="0" w:color="000000"/>
              <w:left w:val="single" w:sz="4" w:space="0" w:color="000000"/>
              <w:bottom w:val="single" w:sz="4" w:space="0" w:color="000000"/>
              <w:right w:val="single" w:sz="4" w:space="0" w:color="000000"/>
            </w:tcBorders>
          </w:tcPr>
          <w:p w14:paraId="39D77A8E" w14:textId="77777777" w:rsidR="004342C9" w:rsidRDefault="00000000">
            <w:pPr>
              <w:spacing w:after="0" w:line="240" w:lineRule="auto"/>
              <w:rPr>
                <w:rFonts w:ascii="Verdana" w:eastAsia="Verdana" w:hAnsi="Verdana" w:cs="Verdana"/>
                <w:color w:val="FF0000"/>
                <w:sz w:val="16"/>
                <w:szCs w:val="16"/>
              </w:rPr>
            </w:pPr>
            <w:r>
              <w:rPr>
                <w:sz w:val="15"/>
                <w:szCs w:val="15"/>
              </w:rPr>
              <w:t>Ingeniero electricista y/o ingeniero eléctrico con matrícula profesional vigente.</w:t>
            </w:r>
          </w:p>
        </w:tc>
        <w:tc>
          <w:tcPr>
            <w:tcW w:w="983" w:type="dxa"/>
            <w:tcBorders>
              <w:top w:val="single" w:sz="4" w:space="0" w:color="000000"/>
              <w:left w:val="single" w:sz="4" w:space="0" w:color="000000"/>
              <w:bottom w:val="single" w:sz="4" w:space="0" w:color="000000"/>
              <w:right w:val="single" w:sz="4" w:space="0" w:color="000000"/>
            </w:tcBorders>
          </w:tcPr>
          <w:p w14:paraId="1A8579B9" w14:textId="77777777" w:rsidR="004342C9" w:rsidRDefault="00000000">
            <w:pPr>
              <w:spacing w:after="0" w:line="240" w:lineRule="auto"/>
              <w:rPr>
                <w:rFonts w:ascii="Verdana" w:eastAsia="Verdana" w:hAnsi="Verdana" w:cs="Verdana"/>
                <w:color w:val="FF0000"/>
                <w:sz w:val="16"/>
                <w:szCs w:val="16"/>
              </w:rPr>
            </w:pPr>
            <w:r>
              <w:rPr>
                <w:rFonts w:ascii="Verdana" w:eastAsia="Verdana" w:hAnsi="Verdana" w:cs="Verdana"/>
                <w:b/>
                <w:bCs/>
                <w:color w:val="000000"/>
                <w:sz w:val="16"/>
                <w:szCs w:val="16"/>
              </w:rPr>
              <w:t>N.A.</w:t>
            </w:r>
          </w:p>
        </w:tc>
        <w:tc>
          <w:tcPr>
            <w:tcW w:w="1099" w:type="dxa"/>
            <w:tcBorders>
              <w:top w:val="single" w:sz="4" w:space="0" w:color="000000"/>
              <w:left w:val="single" w:sz="4" w:space="0" w:color="000000"/>
              <w:bottom w:val="single" w:sz="4" w:space="0" w:color="000000"/>
              <w:right w:val="single" w:sz="4" w:space="0" w:color="000000"/>
            </w:tcBorders>
          </w:tcPr>
          <w:p w14:paraId="0D9B6369" w14:textId="77777777" w:rsidR="004342C9" w:rsidRDefault="00000000">
            <w:pPr>
              <w:spacing w:line="240" w:lineRule="auto"/>
              <w:rPr>
                <w:rFonts w:ascii="Verdana" w:eastAsia="Verdana" w:hAnsi="Verdana" w:cs="Verdana"/>
                <w:b/>
                <w:bCs/>
                <w:color w:val="FF0000"/>
                <w:sz w:val="16"/>
                <w:szCs w:val="16"/>
              </w:rPr>
            </w:pPr>
            <w:r>
              <w:rPr>
                <w:rFonts w:ascii="Verdana" w:eastAsia="Verdana" w:hAnsi="Verdana" w:cs="Verdana"/>
                <w:b/>
                <w:bCs/>
                <w:color w:val="000000"/>
                <w:sz w:val="16"/>
                <w:szCs w:val="16"/>
              </w:rPr>
              <w:t>50%</w:t>
            </w:r>
          </w:p>
        </w:tc>
        <w:tc>
          <w:tcPr>
            <w:tcW w:w="1371" w:type="dxa"/>
            <w:tcBorders>
              <w:top w:val="single" w:sz="4" w:space="0" w:color="000000"/>
              <w:left w:val="single" w:sz="4" w:space="0" w:color="000000"/>
              <w:bottom w:val="single" w:sz="4" w:space="0" w:color="000000"/>
              <w:right w:val="single" w:sz="4" w:space="0" w:color="000000"/>
            </w:tcBorders>
          </w:tcPr>
          <w:p w14:paraId="1D416546" w14:textId="77777777" w:rsidR="004342C9" w:rsidRDefault="00000000">
            <w:pPr>
              <w:spacing w:after="0" w:line="240" w:lineRule="auto"/>
              <w:rPr>
                <w:rFonts w:ascii="Verdana" w:eastAsia="Verdana" w:hAnsi="Verdana" w:cs="Verdana"/>
                <w:color w:val="FF0000"/>
                <w:sz w:val="16"/>
                <w:szCs w:val="16"/>
              </w:rPr>
            </w:pPr>
            <w:r>
              <w:rPr>
                <w:sz w:val="15"/>
                <w:szCs w:val="15"/>
              </w:rPr>
              <w:t>Cuatro (4) años</w:t>
            </w:r>
          </w:p>
        </w:tc>
        <w:tc>
          <w:tcPr>
            <w:tcW w:w="1276" w:type="dxa"/>
            <w:tcBorders>
              <w:top w:val="single" w:sz="4" w:space="0" w:color="000000"/>
              <w:left w:val="single" w:sz="4" w:space="0" w:color="000000"/>
              <w:bottom w:val="single" w:sz="4" w:space="0" w:color="000000"/>
              <w:right w:val="single" w:sz="4" w:space="0" w:color="000000"/>
            </w:tcBorders>
          </w:tcPr>
          <w:p w14:paraId="70D6F5C2" w14:textId="77777777" w:rsidR="004342C9" w:rsidRDefault="00000000">
            <w:pPr>
              <w:spacing w:after="0" w:line="240" w:lineRule="auto"/>
              <w:rPr>
                <w:rFonts w:ascii="Verdana" w:eastAsia="Verdana" w:hAnsi="Verdana" w:cs="Verdana"/>
                <w:color w:val="FF0000"/>
                <w:sz w:val="16"/>
                <w:szCs w:val="16"/>
              </w:rPr>
            </w:pPr>
            <w:r>
              <w:t>Dos (2) años</w:t>
            </w:r>
          </w:p>
        </w:tc>
      </w:tr>
    </w:tbl>
    <w:p w14:paraId="4E4FD121" w14:textId="77777777" w:rsidR="004342C9" w:rsidRDefault="004342C9">
      <w:pPr>
        <w:rPr>
          <w:rFonts w:ascii="Verdana" w:eastAsia="Verdana" w:hAnsi="Verdana" w:cs="Verdana"/>
          <w:sz w:val="22"/>
          <w:szCs w:val="22"/>
        </w:rPr>
      </w:pPr>
    </w:p>
    <w:p w14:paraId="6716CABC" w14:textId="77777777" w:rsidR="004342C9" w:rsidRDefault="00000000">
      <w:r>
        <w:t>Para el Personal Clave Evaluable se adopta la Categoría 5 de la Matriz 4 aplicable a procesos iguales o menores a 1.500 SMMLV: cuatro (4) años de experiencia general y dos (2) años de experiencia específica. La selección se sustenta en la necesidad de coordinar en un plazo reducido soluciones especializadas de cubierta tipo membrana, estructura, accesibilidad y electricidad, manteniendo requisitos proporcionales a la cuantía y favoreciendo la pluralidad de oferentes.</w:t>
      </w:r>
    </w:p>
    <w:p w14:paraId="706C7B3D" w14:textId="77777777" w:rsidR="004342C9" w:rsidRDefault="00000000">
      <w:pPr>
        <w:rPr>
          <w:rFonts w:ascii="Verdana" w:eastAsia="Verdana" w:hAnsi="Verdana" w:cs="Verdana"/>
          <w:sz w:val="22"/>
          <w:szCs w:val="22"/>
        </w:rPr>
      </w:pPr>
      <w:r>
        <w:rPr>
          <w:rFonts w:ascii="Verdana" w:eastAsia="Verdana" w:hAnsi="Verdana" w:cs="Verdana"/>
          <w:sz w:val="22"/>
          <w:szCs w:val="22"/>
        </w:rPr>
        <w:t xml:space="preserve">El personal relacionado anteriormente es el personal operacional y profesional mínimo necesario para la ejecución del proyecto. Si el Consultor contrata persona adicional, este correrá por su cuenta, por lo que no habrá lugar a pago alguno por parte de la Entidad frente al personal extra que el Consultor utilice en la ejecución del contrato, ya que la Entidad en la etapa de planeación estableció el personal profesional y operacional mínimo requerido para el cumplimiento del contrato y fue objeto de observaciones por los interesados en el Proceso de Contratación. </w:t>
      </w:r>
    </w:p>
    <w:p w14:paraId="0CC0D769" w14:textId="77777777" w:rsidR="004342C9" w:rsidRDefault="00000000">
      <w:pPr>
        <w:rPr>
          <w:rFonts w:ascii="Verdana" w:eastAsia="Verdana" w:hAnsi="Verdana" w:cs="Verdana"/>
          <w:sz w:val="22"/>
          <w:szCs w:val="22"/>
        </w:rPr>
      </w:pPr>
      <w:r>
        <w:rPr>
          <w:rFonts w:ascii="Verdana" w:eastAsia="Verdana" w:hAnsi="Verdana" w:cs="Verdana"/>
          <w:sz w:val="22"/>
          <w:szCs w:val="22"/>
        </w:rPr>
        <w:t xml:space="preserve">Para cada uno de los profesionales mencionados se deberá anexar fotocopia de la tarjeta profesional y certificado de vigencia y antecedentes expedido por el consejo profesional competente. El requisito de la tarjeta profesional se puede suplir con el requisito de que trata el artículo 18 del Decreto – Ley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5D14A18C" w14:textId="77777777" w:rsidR="004342C9" w:rsidRDefault="00000000">
      <w:pPr>
        <w:numPr>
          <w:ilvl w:val="0"/>
          <w:numId w:val="6"/>
        </w:numPr>
        <w:pBdr>
          <w:top w:val="nil"/>
          <w:left w:val="nil"/>
          <w:bottom w:val="nil"/>
          <w:right w:val="nil"/>
          <w:between w:val="nil"/>
        </w:pBdr>
        <w:rPr>
          <w:rFonts w:ascii="Verdana" w:eastAsia="Verdana" w:hAnsi="Verdana" w:cs="Verdana"/>
          <w:b/>
          <w:bCs/>
          <w:color w:val="000000"/>
          <w:sz w:val="22"/>
          <w:szCs w:val="22"/>
        </w:rPr>
      </w:pPr>
      <w:r>
        <w:rPr>
          <w:rFonts w:ascii="Verdana" w:eastAsia="Verdana" w:hAnsi="Verdana" w:cs="Verdana"/>
          <w:b/>
          <w:bCs/>
          <w:color w:val="000000"/>
          <w:sz w:val="22"/>
          <w:szCs w:val="22"/>
        </w:rPr>
        <w:t>EXAMEN DEL SITIO O ÁREA DE INFLUENCIA DEL PROYECTO DE CONSULTORÍA</w:t>
      </w:r>
    </w:p>
    <w:p w14:paraId="7B865FDB" w14:textId="77777777" w:rsidR="004342C9" w:rsidRDefault="004342C9">
      <w:pPr>
        <w:rPr>
          <w:rFonts w:ascii="Verdana" w:eastAsia="Verdana" w:hAnsi="Verdana" w:cs="Verdana"/>
          <w:b/>
          <w:bCs/>
          <w:sz w:val="22"/>
          <w:szCs w:val="22"/>
        </w:rPr>
      </w:pPr>
    </w:p>
    <w:p w14:paraId="6D185941" w14:textId="77777777" w:rsidR="004342C9" w:rsidRDefault="00000000">
      <w:pPr>
        <w:rPr>
          <w:rFonts w:ascii="Verdana" w:eastAsia="Verdana" w:hAnsi="Verdana" w:cs="Verdana"/>
          <w:b/>
          <w:bCs/>
          <w:sz w:val="22"/>
          <w:szCs w:val="22"/>
        </w:rPr>
      </w:pPr>
      <w:r>
        <w:rPr>
          <w:rFonts w:ascii="Verdana" w:eastAsia="Verdana" w:hAnsi="Verdana" w:cs="Verdana"/>
          <w:b/>
          <w:bCs/>
          <w:sz w:val="22"/>
          <w:szCs w:val="22"/>
        </w:rPr>
        <w:t>10.1.</w:t>
      </w:r>
      <w:r>
        <w:rPr>
          <w:rFonts w:ascii="Verdana" w:eastAsia="Verdana" w:hAnsi="Verdana" w:cs="Verdana"/>
          <w:sz w:val="22"/>
          <w:szCs w:val="22"/>
        </w:rPr>
        <w:t xml:space="preserve"> </w:t>
      </w:r>
      <w:r>
        <w:rPr>
          <w:rFonts w:ascii="Verdana" w:eastAsia="Verdana" w:hAnsi="Verdana" w:cs="Verdana"/>
          <w:b/>
          <w:bCs/>
          <w:sz w:val="22"/>
          <w:szCs w:val="22"/>
        </w:rPr>
        <w:t xml:space="preserve">EXAMEN DEL SITIO DEL PROYECTO DE CONSULTORÍA </w:t>
      </w:r>
    </w:p>
    <w:p w14:paraId="5A2506D3" w14:textId="77777777" w:rsidR="004342C9" w:rsidRDefault="00000000">
      <w:pPr>
        <w:rPr>
          <w:rFonts w:ascii="Verdana" w:eastAsia="Verdana" w:hAnsi="Verdana" w:cs="Verdana"/>
          <w:sz w:val="22"/>
          <w:szCs w:val="22"/>
        </w:rPr>
      </w:pPr>
      <w:r>
        <w:rPr>
          <w:rFonts w:ascii="Verdana" w:eastAsia="Verdana" w:hAnsi="Verdana" w:cs="Verdana"/>
          <w:sz w:val="22"/>
          <w:szCs w:val="22"/>
        </w:rPr>
        <w:t xml:space="preserve">Es responsabilidad del Proponente inspeccionar y examinar el sitio y los alrededores del área de influencia e informarse sobre la forma y características del lugar, localización y naturaleza de la zona y la de los espacios necesarios para su ejecución, transporte, mano de obra, equipos y vías de acceso al sitio y a las instalaciones que se puedan requerir, las condiciones ambientales y sociales del área de influencia del proyecto, las cuales debe considerar para el desarrollo y manejo ambiental del proyecto; en especial cuando se establezca presencia de minorías étnicas, caso en el cual debe asegurarse de cumplir con la normativa especial que rija en jurisdicción de los territorios legalmente constituidos a su favor, o evitar su intervención, y en general sobre todas las circunstancias que puedan afectar o influir en el cálculo del valor de su propuesta. </w:t>
      </w:r>
    </w:p>
    <w:p w14:paraId="5983C25D" w14:textId="77777777" w:rsidR="004342C9" w:rsidRDefault="00000000">
      <w:pPr>
        <w:rPr>
          <w:rFonts w:ascii="Verdana" w:eastAsia="Verdana" w:hAnsi="Verdana" w:cs="Verdana"/>
          <w:sz w:val="22"/>
          <w:szCs w:val="22"/>
        </w:rPr>
      </w:pPr>
      <w:r>
        <w:rPr>
          <w:rFonts w:ascii="Verdana" w:eastAsia="Verdana" w:hAnsi="Verdana" w:cs="Verdana"/>
          <w:sz w:val="22"/>
          <w:szCs w:val="22"/>
        </w:rPr>
        <w:t xml:space="preserve">Asimismo, es responsabilidad del Proponente familiarizarse con los detalles y condiciones bajo los cuales serán ejecutados los trabajos, así como de los posibles riesgos previsibles de la consultoría, pues su desconocimiento o falta de información no se considerará como excusa válida para posteriores reclamaciones a la Entidad. </w:t>
      </w:r>
    </w:p>
    <w:p w14:paraId="2EC45156" w14:textId="77777777" w:rsidR="004342C9" w:rsidRDefault="004342C9">
      <w:pPr>
        <w:rPr>
          <w:rFonts w:ascii="Verdana" w:eastAsia="Verdana" w:hAnsi="Verdana" w:cs="Verdana"/>
          <w:b/>
          <w:bCs/>
          <w:sz w:val="22"/>
          <w:szCs w:val="22"/>
        </w:rPr>
      </w:pPr>
    </w:p>
    <w:p w14:paraId="3C712B21" w14:textId="77777777" w:rsidR="004342C9" w:rsidRPr="00494059" w:rsidRDefault="00000000">
      <w:pPr>
        <w:rPr>
          <w:rFonts w:ascii="Verdana" w:eastAsia="Verdana" w:hAnsi="Verdana" w:cs="Verdana"/>
          <w:b/>
          <w:bCs/>
          <w:sz w:val="22"/>
          <w:szCs w:val="22"/>
        </w:rPr>
      </w:pPr>
      <w:r w:rsidRPr="00494059">
        <w:rPr>
          <w:rFonts w:ascii="Verdana" w:eastAsia="Verdana" w:hAnsi="Verdana" w:cs="Verdana"/>
          <w:b/>
          <w:bCs/>
          <w:sz w:val="22"/>
          <w:szCs w:val="22"/>
        </w:rPr>
        <w:t>10.2. ÁREA DE INFLUENCIA DEL PROYECTO DE CONSULTORÍA</w:t>
      </w:r>
    </w:p>
    <w:p w14:paraId="5C90777D" w14:textId="77777777" w:rsidR="004342C9" w:rsidRDefault="00000000">
      <w:pPr>
        <w:rPr>
          <w:rFonts w:ascii="Verdana" w:eastAsia="Verdana" w:hAnsi="Verdana" w:cs="Verdana"/>
          <w:sz w:val="22"/>
          <w:szCs w:val="22"/>
        </w:rPr>
      </w:pPr>
      <w:r>
        <w:rPr>
          <w:rFonts w:ascii="Verdana" w:eastAsia="Verdana" w:hAnsi="Verdana" w:cs="Verdana"/>
          <w:sz w:val="22"/>
          <w:szCs w:val="22"/>
        </w:rPr>
        <w:t xml:space="preserve">Elaboración, coordinación, revisión y entrega de los estudios y diseños técnicos integrales requeridos para la futura intervención del escenario “El Muelle”, a partir del levantamiento y diagnóstico de las condiciones existentes y de la formulación de soluciones arquitectónicas, estructurales, eléctricas y de accesibilidad universal.  </w:t>
      </w:r>
    </w:p>
    <w:p w14:paraId="2D44E2D5" w14:textId="77777777" w:rsidR="004342C9" w:rsidRDefault="00000000">
      <w:pPr>
        <w:rPr>
          <w:rFonts w:ascii="Verdana" w:eastAsia="Verdana" w:hAnsi="Verdana" w:cs="Verdana"/>
          <w:sz w:val="22"/>
          <w:szCs w:val="22"/>
        </w:rPr>
      </w:pPr>
      <w:r>
        <w:rPr>
          <w:rFonts w:ascii="Verdana" w:eastAsia="Verdana" w:hAnsi="Verdana" w:cs="Verdana"/>
          <w:sz w:val="22"/>
          <w:szCs w:val="22"/>
          <w:highlight w:val="lightGray"/>
        </w:rPr>
        <w:t>El área de influencia directa corresponde al escenario cultural “El Muelle” y a los sectores necesarios para desarrollar y coordinar la intervención proyectada: área de escenario y proscenio, cubierta y membrana existentes, zonas de apoyo y circulación vinculadas a la accesibilidad, puntos de apoyo y anclaje, recorridos de evacuación de aguas lluvias e infraestructura eléctrica asociada. El Consultor deberá considerar las interfaces con la edificación existente que puedan condicionar las soluciones técnicas.</w:t>
      </w:r>
    </w:p>
    <w:p w14:paraId="46BED8D9" w14:textId="77777777" w:rsidR="004342C9" w:rsidRDefault="00000000">
      <w:pPr>
        <w:numPr>
          <w:ilvl w:val="0"/>
          <w:numId w:val="6"/>
        </w:numPr>
        <w:rPr>
          <w:rFonts w:ascii="Verdana" w:eastAsia="Verdana" w:hAnsi="Verdana" w:cs="Verdana"/>
          <w:b/>
          <w:bCs/>
          <w:sz w:val="22"/>
          <w:szCs w:val="22"/>
        </w:rPr>
      </w:pPr>
      <w:r>
        <w:rPr>
          <w:rFonts w:ascii="Verdana" w:eastAsia="Verdana" w:hAnsi="Verdana" w:cs="Verdana"/>
          <w:b/>
          <w:bCs/>
          <w:sz w:val="22"/>
          <w:szCs w:val="22"/>
        </w:rPr>
        <w:t xml:space="preserve">SEÑALIZACIÓN Y MANUAL DE IMAGEN APLICABLE POR EL CONSULTOR </w:t>
      </w:r>
    </w:p>
    <w:p w14:paraId="2291E403" w14:textId="77777777" w:rsidR="004342C9" w:rsidRDefault="00000000">
      <w:pPr>
        <w:rPr>
          <w:rFonts w:ascii="Verdana" w:eastAsia="Verdana" w:hAnsi="Verdana" w:cs="Verdana"/>
          <w:sz w:val="22"/>
          <w:szCs w:val="22"/>
        </w:rPr>
      </w:pPr>
      <w:r>
        <w:rPr>
          <w:rFonts w:ascii="Verdana" w:eastAsia="Verdana" w:hAnsi="Verdana" w:cs="Verdana"/>
          <w:sz w:val="22"/>
          <w:szCs w:val="22"/>
        </w:rPr>
        <w:lastRenderedPageBreak/>
        <w:t xml:space="preserve">De ser necesario, según los estudios previos, están a cargo del Consultor todos los costos requeridos para instalar y mantener la señalización de los trabajos de campo y demás dispositivos de seguridad, de comunicación y coordinación en los términos definidos por las autoridades competentes. </w:t>
      </w:r>
    </w:p>
    <w:p w14:paraId="51E4FF23" w14:textId="77777777" w:rsidR="004342C9" w:rsidRPr="00494059" w:rsidRDefault="00000000">
      <w:pPr>
        <w:numPr>
          <w:ilvl w:val="0"/>
          <w:numId w:val="6"/>
        </w:numPr>
        <w:rPr>
          <w:rFonts w:ascii="Verdana" w:eastAsia="Verdana" w:hAnsi="Verdana" w:cs="Verdana"/>
          <w:b/>
          <w:bCs/>
          <w:sz w:val="22"/>
          <w:szCs w:val="22"/>
        </w:rPr>
      </w:pPr>
      <w:r w:rsidRPr="00494059">
        <w:rPr>
          <w:rFonts w:ascii="Verdana" w:eastAsia="Verdana" w:hAnsi="Verdana" w:cs="Verdana"/>
          <w:b/>
          <w:bCs/>
          <w:sz w:val="22"/>
          <w:szCs w:val="22"/>
        </w:rPr>
        <w:t xml:space="preserve">PERMISOS, LICENCIAS Y AUTORIZACIONES </w:t>
      </w:r>
    </w:p>
    <w:p w14:paraId="591CB675" w14:textId="77777777" w:rsidR="004342C9" w:rsidRDefault="00000000">
      <w:pPr>
        <w:rPr>
          <w:rFonts w:ascii="Verdana" w:eastAsia="Verdana" w:hAnsi="Verdana" w:cs="Verdana"/>
          <w:sz w:val="22"/>
          <w:szCs w:val="22"/>
        </w:rPr>
      </w:pPr>
      <w:r>
        <w:rPr>
          <w:rFonts w:ascii="Verdana" w:eastAsia="Verdana" w:hAnsi="Verdana" w:cs="Verdana"/>
          <w:sz w:val="22"/>
          <w:szCs w:val="22"/>
        </w:rPr>
        <w:t>El consultor deberá considerar en su propuesta todos los costos asociados a la elaboración, coordinación, revisión, impresión cuando se requiera, desplazamiento, equipos, licencias de software, levantamientos, modelación y entrega de los productos. No habrá lugar al reconocimiento de costos adicionales por actividades propias del alcance contractual.</w:t>
      </w:r>
    </w:p>
    <w:p w14:paraId="3D90910D" w14:textId="77777777" w:rsidR="004342C9" w:rsidRDefault="00000000">
      <w:pPr>
        <w:rPr>
          <w:rFonts w:ascii="Verdana" w:eastAsia="Verdana" w:hAnsi="Verdana" w:cs="Verdana"/>
          <w:sz w:val="22"/>
          <w:szCs w:val="22"/>
        </w:rPr>
      </w:pPr>
      <w:r w:rsidRPr="00494059">
        <w:rPr>
          <w:rFonts w:ascii="Verdana" w:eastAsia="Verdana" w:hAnsi="Verdana" w:cs="Verdana"/>
          <w:sz w:val="22"/>
          <w:szCs w:val="22"/>
        </w:rPr>
        <w:t>El Consultor deberá efectuar la revisión normativa e identificar los permisos, licencias, conceptos o autorizaciones que resulten aplicables a la futura intervención. Cuando corresponda dentro del alcance contractual, preparará y radicará los documentos técnicos requeridos y brindará acompañamiento técnico durante su revisión. Las expensas, impuestos, tasas y derechos administrativos que legalmente correspondan al titular del inmueble serán asumidos por la FUGA, previa validación de la supervisión. La obligación del Consultor se refiere a la gestión técnica y documental y no implica garantizar decisiones o tiempos de terceros.</w:t>
      </w:r>
    </w:p>
    <w:p w14:paraId="6E1984CC" w14:textId="77777777" w:rsidR="004342C9" w:rsidRDefault="004342C9">
      <w:pPr>
        <w:rPr>
          <w:rFonts w:ascii="Verdana" w:eastAsia="Verdana" w:hAnsi="Verdana" w:cs="Verdana"/>
          <w:sz w:val="22"/>
          <w:szCs w:val="22"/>
        </w:rPr>
      </w:pPr>
    </w:p>
    <w:p w14:paraId="64088795" w14:textId="77777777" w:rsidR="004342C9" w:rsidRPr="00494059" w:rsidRDefault="00000000">
      <w:pPr>
        <w:numPr>
          <w:ilvl w:val="0"/>
          <w:numId w:val="6"/>
        </w:numPr>
        <w:rPr>
          <w:rFonts w:ascii="Verdana" w:eastAsia="Verdana" w:hAnsi="Verdana" w:cs="Verdana"/>
          <w:b/>
          <w:bCs/>
          <w:sz w:val="22"/>
          <w:szCs w:val="22"/>
        </w:rPr>
      </w:pPr>
      <w:r w:rsidRPr="00494059">
        <w:rPr>
          <w:rFonts w:ascii="Verdana" w:eastAsia="Verdana" w:hAnsi="Verdana" w:cs="Verdana"/>
          <w:b/>
          <w:bCs/>
          <w:sz w:val="22"/>
          <w:szCs w:val="22"/>
        </w:rPr>
        <w:t xml:space="preserve">NOTAS TÉCNICAS ESPECÍFICAS PARA EL PROYECTO DE CONSULTORÍA </w:t>
      </w:r>
    </w:p>
    <w:p w14:paraId="36465A89" w14:textId="77777777" w:rsidR="004342C9" w:rsidRPr="00494059" w:rsidRDefault="00000000">
      <w:pPr>
        <w:rPr>
          <w:rFonts w:ascii="Verdana" w:eastAsia="Verdana" w:hAnsi="Verdana" w:cs="Verdana"/>
          <w:sz w:val="22"/>
          <w:szCs w:val="22"/>
        </w:rPr>
      </w:pPr>
      <w:r w:rsidRPr="00494059">
        <w:rPr>
          <w:rFonts w:ascii="Verdana" w:eastAsia="Verdana" w:hAnsi="Verdana" w:cs="Verdana"/>
          <w:sz w:val="22"/>
          <w:szCs w:val="22"/>
        </w:rPr>
        <w:t>Para los componentes estructurales serán aplicables la Ley 400 de 1997, el Reglamento Colombiano de Construcción Sismo Resistente NSR-10 adoptado mediante el Decreto 926 de 2010 y sus modificaciones, adiciones o normas que los sustituyan. El diseño deberá verificar las acciones y combinaciones de carga aplicables, incluyendo las asociadas al viento y al comportamiento de la membrana, así como soportes, anclajes, fijaciones, elementos metálicos y condiciones de la estructura existente.</w:t>
      </w:r>
    </w:p>
    <w:p w14:paraId="440C19D4" w14:textId="77777777" w:rsidR="004342C9" w:rsidRPr="00494059" w:rsidRDefault="00000000">
      <w:pPr>
        <w:rPr>
          <w:rFonts w:ascii="Verdana" w:eastAsia="Verdana" w:hAnsi="Verdana" w:cs="Verdana"/>
          <w:sz w:val="22"/>
          <w:szCs w:val="22"/>
        </w:rPr>
      </w:pPr>
      <w:r w:rsidRPr="00494059">
        <w:rPr>
          <w:rFonts w:ascii="Verdana" w:eastAsia="Verdana" w:hAnsi="Verdana" w:cs="Verdana"/>
          <w:sz w:val="22"/>
          <w:szCs w:val="22"/>
        </w:rPr>
        <w:t>Para el componente eléctrico será aplicable el Reglamento Técnico de Instalaciones Eléctricas - RETIE vigente durante la ejecución contractual, actualmente modificado mediante la Resolución 40284 del 23 de junio de 2026, y las normas técnicas complementarias que resulten aplicables. El diseño deberá incluir, según corresponda, inventario, análisis de cargas, capacidad instalada, protecciones, puesta a tierra, canalizaciones, puntos, cuadros de carga, diagramas unifilares y medidas frente a humedad e intemperie.</w:t>
      </w:r>
    </w:p>
    <w:p w14:paraId="1F47AE9D" w14:textId="77777777" w:rsidR="004342C9" w:rsidRDefault="00000000">
      <w:pPr>
        <w:rPr>
          <w:rFonts w:ascii="Verdana" w:eastAsia="Verdana" w:hAnsi="Verdana" w:cs="Verdana"/>
          <w:sz w:val="22"/>
          <w:szCs w:val="22"/>
          <w:highlight w:val="lightGray"/>
        </w:rPr>
      </w:pPr>
      <w:r>
        <w:rPr>
          <w:rFonts w:ascii="Verdana" w:eastAsia="Verdana" w:hAnsi="Verdana" w:cs="Verdana"/>
          <w:sz w:val="22"/>
          <w:szCs w:val="22"/>
        </w:rPr>
        <w:lastRenderedPageBreak/>
        <w:t>Las soluciones de accesibilidad deberán atender la Ley 361 de 1997; el Decreto 1077 de 2015, que compila las disposiciones reglamentarias aplicables en materia de accesibilidad al medio físico, incluidas las del Decreto 1538 de 2005; y las normas técnicas de accesibilidad que resulten aplicables a rampas, escaleras, pasamanos, circulaciones y acceso a edificaciones abiertas al público, o las disposiciones que las modifiquen, adicionen o sustituyan. Las soluciones deberán privilegiar el desplazamiento seguro y autónomo y su integración con la operación del escenario.</w:t>
      </w:r>
    </w:p>
    <w:p w14:paraId="1C027349" w14:textId="77777777" w:rsidR="004342C9" w:rsidRDefault="00000000">
      <w:pPr>
        <w:numPr>
          <w:ilvl w:val="0"/>
          <w:numId w:val="6"/>
        </w:numPr>
        <w:rPr>
          <w:rFonts w:ascii="Verdana" w:eastAsia="Verdana" w:hAnsi="Verdana" w:cs="Verdana"/>
          <w:b/>
          <w:bCs/>
          <w:sz w:val="22"/>
          <w:szCs w:val="22"/>
        </w:rPr>
      </w:pPr>
      <w:r>
        <w:rPr>
          <w:rFonts w:ascii="Verdana" w:eastAsia="Verdana" w:hAnsi="Verdana" w:cs="Verdana"/>
          <w:b/>
          <w:bCs/>
          <w:sz w:val="22"/>
          <w:szCs w:val="22"/>
        </w:rPr>
        <w:t>DOCUMENTOS TÉCNICOS ADICIONALES</w:t>
      </w:r>
    </w:p>
    <w:p w14:paraId="250D7E7B" w14:textId="77777777" w:rsidR="004342C9" w:rsidRDefault="00000000">
      <w:pPr>
        <w:rPr>
          <w:rFonts w:ascii="Verdana" w:eastAsia="Verdana" w:hAnsi="Verdana" w:cs="Verdana"/>
          <w:sz w:val="22"/>
          <w:szCs w:val="22"/>
        </w:rPr>
      </w:pPr>
      <w:r>
        <w:rPr>
          <w:rFonts w:ascii="Verdana" w:eastAsia="Verdana" w:hAnsi="Verdana" w:cs="Verdana"/>
          <w:sz w:val="22"/>
          <w:szCs w:val="22"/>
        </w:rPr>
        <w:t xml:space="preserve">N/A </w:t>
      </w:r>
    </w:p>
    <w:p w14:paraId="11B9E8B0" w14:textId="77777777" w:rsidR="004342C9" w:rsidRDefault="004342C9">
      <w:pPr>
        <w:rPr>
          <w:rFonts w:ascii="Verdana" w:eastAsia="Verdana" w:hAnsi="Verdana" w:cs="Verdana"/>
          <w:sz w:val="22"/>
          <w:szCs w:val="22"/>
          <w:vertAlign w:val="subscript"/>
        </w:rPr>
      </w:pPr>
    </w:p>
    <w:p w14:paraId="24205DAA" w14:textId="77777777" w:rsidR="004342C9" w:rsidRDefault="00000000">
      <w:pPr>
        <w:rPr>
          <w:rFonts w:ascii="Verdana" w:eastAsia="Verdana" w:hAnsi="Verdana" w:cs="Verdana"/>
          <w:sz w:val="22"/>
          <w:szCs w:val="22"/>
        </w:rPr>
      </w:pPr>
      <w:r>
        <w:rPr>
          <w:rFonts w:ascii="Verdana" w:eastAsia="Verdana" w:hAnsi="Verdana" w:cs="Verdana"/>
          <w:sz w:val="22"/>
          <w:szCs w:val="22"/>
        </w:rPr>
        <w:t xml:space="preserve">En constancia, se firma en Bogotá D.C., a los ____ días del mes de __________ </w:t>
      </w:r>
      <w:proofErr w:type="spellStart"/>
      <w:r>
        <w:rPr>
          <w:rFonts w:ascii="Verdana" w:eastAsia="Verdana" w:hAnsi="Verdana" w:cs="Verdana"/>
          <w:sz w:val="22"/>
          <w:szCs w:val="22"/>
        </w:rPr>
        <w:t>de</w:t>
      </w:r>
      <w:proofErr w:type="spellEnd"/>
      <w:r>
        <w:rPr>
          <w:rFonts w:ascii="Verdana" w:eastAsia="Verdana" w:hAnsi="Verdana" w:cs="Verdana"/>
          <w:sz w:val="22"/>
          <w:szCs w:val="22"/>
        </w:rPr>
        <w:t xml:space="preserve"> 2026.</w:t>
      </w:r>
    </w:p>
    <w:p w14:paraId="08B5FF4E" w14:textId="77777777" w:rsidR="004342C9" w:rsidRDefault="00000000">
      <w:pPr>
        <w:spacing w:after="0"/>
        <w:jc w:val="center"/>
        <w:rPr>
          <w:rFonts w:ascii="Verdana" w:eastAsia="Verdana" w:hAnsi="Verdana" w:cs="Verdana"/>
          <w:sz w:val="22"/>
          <w:szCs w:val="22"/>
        </w:rPr>
      </w:pPr>
      <w:r>
        <w:rPr>
          <w:rFonts w:ascii="Verdana" w:eastAsia="Verdana" w:hAnsi="Verdana" w:cs="Verdana"/>
          <w:sz w:val="22"/>
          <w:szCs w:val="22"/>
        </w:rPr>
        <w:t>______________________________________________</w:t>
      </w:r>
    </w:p>
    <w:p w14:paraId="490FFDD2" w14:textId="77777777" w:rsidR="004342C9" w:rsidRDefault="00000000">
      <w:pPr>
        <w:spacing w:after="0"/>
        <w:jc w:val="center"/>
        <w:rPr>
          <w:rFonts w:ascii="Verdana" w:eastAsia="Verdana" w:hAnsi="Verdana" w:cs="Verdana"/>
          <w:sz w:val="22"/>
          <w:szCs w:val="22"/>
          <w:highlight w:val="lightGray"/>
        </w:rPr>
      </w:pPr>
      <w:r>
        <w:rPr>
          <w:rFonts w:ascii="Verdana" w:eastAsia="Verdana" w:hAnsi="Verdana" w:cs="Verdana"/>
          <w:sz w:val="22"/>
          <w:szCs w:val="22"/>
        </w:rPr>
        <w:t>ALBERTO GONZÁLEZ SEPÚLVEDA</w:t>
      </w:r>
    </w:p>
    <w:p w14:paraId="05893AC2" w14:textId="77777777" w:rsidR="004342C9" w:rsidRDefault="00000000">
      <w:pPr>
        <w:spacing w:after="0"/>
        <w:jc w:val="center"/>
        <w:rPr>
          <w:rFonts w:ascii="Verdana" w:eastAsia="Verdana" w:hAnsi="Verdana" w:cs="Verdana"/>
          <w:sz w:val="22"/>
          <w:szCs w:val="22"/>
          <w:highlight w:val="lightGray"/>
        </w:rPr>
      </w:pPr>
      <w:r>
        <w:rPr>
          <w:rFonts w:ascii="Verdana" w:eastAsia="Verdana" w:hAnsi="Verdana" w:cs="Verdana"/>
          <w:sz w:val="22"/>
          <w:szCs w:val="22"/>
          <w:highlight w:val="lightGray"/>
        </w:rPr>
        <w:t>Contratista SAC – Componente Técnico</w:t>
      </w:r>
    </w:p>
    <w:p w14:paraId="7C9FD34E" w14:textId="77777777" w:rsidR="004342C9" w:rsidRDefault="004342C9">
      <w:pPr>
        <w:spacing w:after="0"/>
        <w:jc w:val="center"/>
        <w:rPr>
          <w:rFonts w:ascii="Verdana" w:eastAsia="Verdana" w:hAnsi="Verdana" w:cs="Verdana"/>
          <w:sz w:val="22"/>
          <w:szCs w:val="22"/>
        </w:rPr>
      </w:pPr>
    </w:p>
    <w:p w14:paraId="1A7A4555" w14:textId="77777777" w:rsidR="004342C9" w:rsidRDefault="00000000">
      <w:pPr>
        <w:spacing w:after="0"/>
        <w:jc w:val="center"/>
        <w:rPr>
          <w:rFonts w:ascii="Verdana" w:eastAsia="Verdana" w:hAnsi="Verdana" w:cs="Verdana"/>
          <w:sz w:val="22"/>
          <w:szCs w:val="22"/>
        </w:rPr>
      </w:pPr>
      <w:r>
        <w:rPr>
          <w:rFonts w:ascii="Verdana" w:eastAsia="Verdana" w:hAnsi="Verdana" w:cs="Verdana"/>
          <w:sz w:val="22"/>
          <w:szCs w:val="22"/>
        </w:rPr>
        <w:t>____________________________________________</w:t>
      </w:r>
    </w:p>
    <w:p w14:paraId="5FC29A3B" w14:textId="77777777" w:rsidR="004342C9" w:rsidRDefault="00000000">
      <w:pPr>
        <w:spacing w:after="0"/>
        <w:jc w:val="center"/>
        <w:rPr>
          <w:rFonts w:ascii="Verdana" w:eastAsia="Verdana" w:hAnsi="Verdana" w:cs="Verdana"/>
          <w:sz w:val="22"/>
          <w:szCs w:val="22"/>
          <w:highlight w:val="lightGray"/>
        </w:rPr>
      </w:pPr>
      <w:r>
        <w:rPr>
          <w:rFonts w:ascii="Verdana" w:eastAsia="Verdana" w:hAnsi="Verdana" w:cs="Verdana"/>
          <w:sz w:val="22"/>
          <w:szCs w:val="22"/>
        </w:rPr>
        <w:t>ANDRÉS CAMILO DUARTE</w:t>
      </w:r>
    </w:p>
    <w:p w14:paraId="47A3A6CB" w14:textId="77777777" w:rsidR="004342C9" w:rsidRDefault="00000000">
      <w:pPr>
        <w:spacing w:after="0"/>
        <w:jc w:val="center"/>
        <w:rPr>
          <w:rFonts w:ascii="Verdana" w:eastAsia="Verdana" w:hAnsi="Verdana" w:cs="Verdana"/>
          <w:sz w:val="22"/>
          <w:szCs w:val="22"/>
          <w:highlight w:val="lightGray"/>
        </w:rPr>
      </w:pPr>
      <w:r>
        <w:rPr>
          <w:rFonts w:ascii="Verdana" w:eastAsia="Verdana" w:hAnsi="Verdana" w:cs="Verdana"/>
          <w:sz w:val="22"/>
          <w:szCs w:val="22"/>
          <w:highlight w:val="lightGray"/>
        </w:rPr>
        <w:t>Contratista SAC – Componente Técnico</w:t>
      </w:r>
    </w:p>
    <w:p w14:paraId="6C42A005" w14:textId="77777777" w:rsidR="004342C9" w:rsidRDefault="004342C9">
      <w:pPr>
        <w:rPr>
          <w:rFonts w:ascii="Verdana" w:eastAsia="Verdana" w:hAnsi="Verdana" w:cs="Verdana"/>
          <w:sz w:val="22"/>
          <w:szCs w:val="22"/>
          <w:highlight w:val="lightGray"/>
        </w:rPr>
      </w:pPr>
    </w:p>
    <w:p w14:paraId="5301DDB2" w14:textId="77777777" w:rsidR="004342C9" w:rsidRDefault="00000000">
      <w:pPr>
        <w:spacing w:after="0"/>
        <w:jc w:val="center"/>
        <w:rPr>
          <w:rFonts w:ascii="Verdana" w:eastAsia="Verdana" w:hAnsi="Verdana" w:cs="Verdana"/>
          <w:sz w:val="22"/>
          <w:szCs w:val="22"/>
        </w:rPr>
      </w:pPr>
      <w:r>
        <w:rPr>
          <w:rFonts w:ascii="Verdana" w:eastAsia="Verdana" w:hAnsi="Verdana" w:cs="Verdana"/>
          <w:sz w:val="22"/>
          <w:szCs w:val="22"/>
        </w:rPr>
        <w:t>______________________________________________</w:t>
      </w:r>
    </w:p>
    <w:p w14:paraId="09A2D580" w14:textId="77777777" w:rsidR="004342C9" w:rsidRDefault="00000000">
      <w:pPr>
        <w:spacing w:after="0"/>
        <w:jc w:val="center"/>
        <w:rPr>
          <w:rFonts w:ascii="Verdana" w:eastAsia="Verdana" w:hAnsi="Verdana" w:cs="Verdana"/>
          <w:sz w:val="22"/>
          <w:szCs w:val="22"/>
          <w:highlight w:val="lightGray"/>
        </w:rPr>
      </w:pPr>
      <w:r>
        <w:rPr>
          <w:rFonts w:ascii="Verdana" w:eastAsia="Verdana" w:hAnsi="Verdana" w:cs="Verdana"/>
          <w:sz w:val="22"/>
          <w:szCs w:val="22"/>
        </w:rPr>
        <w:t>DANIELA JIMÉNEZ QUIROGA</w:t>
      </w:r>
    </w:p>
    <w:p w14:paraId="46E54F30" w14:textId="77777777" w:rsidR="004342C9" w:rsidRDefault="00000000">
      <w:pPr>
        <w:spacing w:after="0"/>
        <w:jc w:val="center"/>
        <w:rPr>
          <w:rFonts w:ascii="Verdana" w:eastAsia="Verdana" w:hAnsi="Verdana" w:cs="Verdana"/>
          <w:color w:val="000000"/>
          <w:sz w:val="22"/>
          <w:szCs w:val="22"/>
        </w:rPr>
      </w:pPr>
      <w:r>
        <w:rPr>
          <w:rFonts w:ascii="Verdana" w:eastAsia="Verdana" w:hAnsi="Verdana" w:cs="Verdana"/>
          <w:sz w:val="22"/>
          <w:szCs w:val="22"/>
          <w:highlight w:val="lightGray"/>
        </w:rPr>
        <w:t>Subdirectora Artística y Cultural</w:t>
      </w:r>
    </w:p>
    <w:sectPr w:rsidR="004342C9">
      <w:headerReference w:type="even" r:id="rId11"/>
      <w:headerReference w:type="default" r:id="rId12"/>
      <w:footerReference w:type="default" r:id="rId13"/>
      <w:pgSz w:w="12240" w:h="15840"/>
      <w:pgMar w:top="1417" w:right="1701" w:bottom="1417" w:left="1701" w:header="720" w:footer="47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E99FFC5" w14:textId="77777777" w:rsidR="00724DB7" w:rsidRDefault="00724DB7">
      <w:pPr>
        <w:spacing w:after="0" w:line="240" w:lineRule="auto"/>
      </w:pPr>
      <w:r>
        <w:separator/>
      </w:r>
    </w:p>
  </w:endnote>
  <w:endnote w:type="continuationSeparator" w:id="0">
    <w:p w14:paraId="018CCA7E" w14:textId="77777777" w:rsidR="00724DB7" w:rsidRDefault="00724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altName w:val="Calibri"/>
    <w:panose1 w:val="020B0604020202020204"/>
    <w:charset w:val="00"/>
    <w:family w:val="auto"/>
    <w:pitch w:val="default"/>
    <w:embedRegular r:id="rId1" w:fontKey="{BA1C0C6A-EC34-0340-B623-AEBBD68A2E51}"/>
    <w:embedBold r:id="rId2" w:fontKey="{17978FE7-9408-4F4E-AAFC-105E6F6DE6B5}"/>
  </w:font>
  <w:font w:name="Courier New">
    <w:panose1 w:val="02070309020205020404"/>
    <w:charset w:val="00"/>
    <w:family w:val="modern"/>
    <w:pitch w:val="fixed"/>
    <w:sig w:usb0="E0002AFF" w:usb1="C0007843" w:usb2="00000009" w:usb3="00000000" w:csb0="000001FF" w:csb1="00000000"/>
    <w:embedRegular r:id="rId3" w:fontKey="{5513F277-41D8-724F-8710-BF4CD554341B}"/>
  </w:font>
  <w:font w:name="Times New Roman">
    <w:panose1 w:val="02020603050405020304"/>
    <w:charset w:val="00"/>
    <w:family w:val="roman"/>
    <w:pitch w:val="variable"/>
    <w:sig w:usb0="E0002EFF" w:usb1="C000785B" w:usb2="00000009" w:usb3="00000000" w:csb0="000001FF" w:csb1="00000000"/>
    <w:embedRegular r:id="rId4" w:fontKey="{2D17D658-7CFA-0F4A-ABE8-414C60CC0DE9}"/>
    <w:embedBold r:id="rId5" w:fontKey="{ED65A010-2BEC-054F-BA58-FD99B46201A7}"/>
    <w:embedItalic r:id="rId6" w:fontKey="{979F969A-CEB3-4145-B9D2-BF707114C660}"/>
    <w:embedBoldItalic r:id="rId7" w:fontKey="{36E823A9-E21E-FC44-BF4F-B39B26FE1BD3}"/>
  </w:font>
  <w:font w:name="Arial">
    <w:panose1 w:val="020B0604020202020204"/>
    <w:charset w:val="00"/>
    <w:family w:val="swiss"/>
    <w:pitch w:val="variable"/>
    <w:sig w:usb0="E0002EFF" w:usb1="C000785B" w:usb2="00000009" w:usb3="00000000" w:csb0="000001FF" w:csb1="00000000"/>
    <w:embedRegular r:id="rId8" w:fontKey="{E8C1E1A6-DD9E-AF4C-B7CD-90E8FACF9582}"/>
    <w:embedBold r:id="rId9" w:fontKey="{5BD64362-4F10-D549-9DFC-21D6A2C18570}"/>
    <w:embedItalic r:id="rId10" w:fontKey="{A69E609B-2BE5-074C-9FBD-18643CDADCB4}"/>
  </w:font>
  <w:font w:name="Calibri">
    <w:panose1 w:val="020F0502020204030204"/>
    <w:charset w:val="00"/>
    <w:family w:val="swiss"/>
    <w:pitch w:val="variable"/>
    <w:sig w:usb0="E4002EFF" w:usb1="C200247B" w:usb2="00000009" w:usb3="00000000" w:csb0="000001FF" w:csb1="00000000"/>
    <w:embedRegular r:id="rId11" w:fontKey="{EAEB517D-C7A0-C747-9449-2A87407CB2C6}"/>
    <w:embedBold r:id="rId12" w:fontKey="{EF9C7490-8FC6-4D49-959C-C8808ABE8A69}"/>
    <w:embedItalic r:id="rId13" w:fontKey="{7FD0F01D-C69F-6947-BA71-458EED31D8BE}"/>
    <w:embedBoldItalic r:id="rId14" w:fontKey="{CBB85705-4AE6-BF4E-BCC3-6F0F40F77740}"/>
  </w:font>
  <w:font w:name="Calibri Light">
    <w:panose1 w:val="020F0302020204030204"/>
    <w:charset w:val="00"/>
    <w:family w:val="swiss"/>
    <w:pitch w:val="variable"/>
    <w:sig w:usb0="E4002EFF" w:usb1="C200247B" w:usb2="00000009" w:usb3="00000000" w:csb0="000001FF" w:csb1="00000000"/>
    <w:embedRegular r:id="rId15" w:fontKey="{DE1A09D0-5EA7-8E4D-B34E-6EB988B39BB1}"/>
    <w:embedBold r:id="rId16" w:fontKey="{039B70D2-D436-0F47-A52A-3234F8C6AF8A}"/>
    <w:embedItalic r:id="rId17" w:fontKey="{0429022F-9213-4948-9D52-458F92E69285}"/>
    <w:embedBoldItalic r:id="rId18" w:fontKey="{B49661DA-7AE1-F942-81BD-CE1E144BCDEF}"/>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embedRegular r:id="rId19" w:fontKey="{9EBEE858-85FC-8449-8F03-3DA1301CAACB}"/>
  </w:font>
  <w:font w:name="Arial Narrow">
    <w:panose1 w:val="020B0606020202030204"/>
    <w:charset w:val="00"/>
    <w:family w:val="swiss"/>
    <w:pitch w:val="variable"/>
    <w:sig w:usb0="00000287" w:usb1="00000800" w:usb2="00000000" w:usb3="00000000" w:csb0="0000009F" w:csb1="00000000"/>
    <w:embedItalic r:id="rId20" w:fontKey="{C4DF8455-1C7F-DD49-8753-1408505F1F6A}"/>
  </w:font>
  <w:font w:name="Verdana">
    <w:panose1 w:val="020B0604030504040204"/>
    <w:charset w:val="00"/>
    <w:family w:val="swiss"/>
    <w:pitch w:val="variable"/>
    <w:sig w:usb0="A10006FF" w:usb1="4000205B" w:usb2="00000010" w:usb3="00000000" w:csb0="0000019F" w:csb1="00000000"/>
    <w:embedRegular r:id="rId21" w:fontKey="{E0C18EF6-EF43-0641-91CB-6CCF08113FF1}"/>
    <w:embedBold r:id="rId22" w:fontKey="{989A8BEF-A352-B049-AA25-A9AC6B0DA6C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105A36" w14:textId="77777777" w:rsidR="004342C9" w:rsidRDefault="004342C9">
    <w:pPr>
      <w:widowControl w:val="0"/>
      <w:spacing w:after="0" w:line="200" w:lineRule="auto"/>
      <w:ind w:right="-20"/>
      <w:rPr>
        <w:rFonts w:ascii="Times New Roman" w:eastAsia="Times New Roman" w:hAnsi="Times New Roman" w:cs="Times New Roman"/>
      </w:rPr>
    </w:pPr>
  </w:p>
  <w:p w14:paraId="2D618C14" w14:textId="77777777" w:rsidR="004342C9" w:rsidRDefault="00000000">
    <w:pPr>
      <w:widowControl w:val="0"/>
      <w:spacing w:after="0" w:line="265" w:lineRule="auto"/>
      <w:ind w:left="-18" w:right="-38"/>
      <w:jc w:val="center"/>
      <w:rPr>
        <w:b/>
        <w:bCs/>
        <w:color w:val="7F7F7F"/>
        <w:highlight w:val="lightGray"/>
      </w:rPr>
    </w:pPr>
    <w:r>
      <w:rPr>
        <w:b/>
        <w:bCs/>
        <w:color w:val="7F7F7F"/>
      </w:rPr>
      <w:t>“</w:t>
    </w:r>
    <w:r>
      <w:rPr>
        <w:sz w:val="22"/>
        <w:szCs w:val="22"/>
      </w:rPr>
      <w:t xml:space="preserve">Realizar los estudios y diseños técnicos integrales para la complementación de la membrana arquitectónica, las soluciones de accesibilidad para personas con movilidad reducida (PMR) y las adecuaciones técnicas del escenario “El Muelle” de la Fundación Gilberto Álzate Avendaño – FUGA.” </w:t>
    </w:r>
    <w:r>
      <w:rPr>
        <w:b/>
        <w:bCs/>
        <w:color w:val="7F7F7F"/>
        <w:highlight w:val="lightGray"/>
      </w:rPr>
      <w:t xml:space="preserve"> </w:t>
    </w:r>
  </w:p>
  <w:p w14:paraId="1247B987" w14:textId="77777777" w:rsidR="004342C9" w:rsidRDefault="00000000">
    <w:pPr>
      <w:widowControl w:val="0"/>
      <w:spacing w:after="0" w:line="265" w:lineRule="auto"/>
      <w:ind w:left="-18" w:right="-38"/>
      <w:jc w:val="center"/>
      <w:rPr>
        <w:b/>
        <w:bCs/>
        <w:color w:val="7F7F7F"/>
      </w:rPr>
    </w:pPr>
    <w:r>
      <w:rPr>
        <w:b/>
        <w:bCs/>
        <w:sz w:val="22"/>
        <w:szCs w:val="22"/>
      </w:rPr>
      <w:t>Fundación Gilberto Álzate Avendaño – FUGA</w:t>
    </w:r>
    <w:r>
      <w:rPr>
        <w:b/>
        <w:bCs/>
        <w:color w:val="7F7F7F"/>
      </w:rPr>
      <w:t xml:space="preserve"> </w:t>
    </w:r>
  </w:p>
  <w:p w14:paraId="64A536D9" w14:textId="77777777" w:rsidR="004342C9" w:rsidRDefault="00000000">
    <w:pPr>
      <w:pBdr>
        <w:top w:val="nil"/>
        <w:left w:val="nil"/>
        <w:bottom w:val="nil"/>
        <w:right w:val="nil"/>
        <w:between w:val="nil"/>
      </w:pBdr>
      <w:tabs>
        <w:tab w:val="center" w:pos="4252"/>
        <w:tab w:val="right" w:pos="8504"/>
      </w:tabs>
      <w:jc w:val="right"/>
      <w:rPr>
        <w:color w:val="000000"/>
      </w:rPr>
    </w:pPr>
    <w:r>
      <w:rPr>
        <w:rFonts w:ascii="Verdana" w:eastAsia="Verdana" w:hAnsi="Verdana" w:cs="Verdana"/>
        <w:color w:val="000000"/>
        <w:sz w:val="18"/>
        <w:szCs w:val="18"/>
        <w:highlight w:val="white"/>
      </w:rPr>
      <w:t>Versión: 1 del 15 de diciembre de 2025 </w:t>
    </w:r>
  </w:p>
  <w:p w14:paraId="313615A0" w14:textId="77777777" w:rsidR="004342C9" w:rsidRDefault="004342C9">
    <w:pPr>
      <w:widowControl w:val="0"/>
      <w:spacing w:after="0" w:line="265" w:lineRule="auto"/>
      <w:ind w:left="-18" w:right="-38"/>
      <w:jc w:val="center"/>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DA694B" w14:textId="77777777" w:rsidR="00724DB7" w:rsidRDefault="00724DB7">
      <w:pPr>
        <w:spacing w:after="0" w:line="240" w:lineRule="auto"/>
      </w:pPr>
      <w:r>
        <w:separator/>
      </w:r>
    </w:p>
  </w:footnote>
  <w:footnote w:type="continuationSeparator" w:id="0">
    <w:p w14:paraId="77E2F92E" w14:textId="77777777" w:rsidR="00724DB7" w:rsidRDefault="00724D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60BD60" w14:textId="77777777" w:rsidR="004342C9" w:rsidRDefault="00000000">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3D4DF633" w14:textId="77777777" w:rsidR="004342C9" w:rsidRDefault="004342C9">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A4E460" w14:textId="77777777" w:rsidR="004342C9" w:rsidRDefault="004342C9">
    <w:pPr>
      <w:widowControl w:val="0"/>
      <w:tabs>
        <w:tab w:val="left" w:pos="7780"/>
      </w:tabs>
      <w:spacing w:after="0" w:line="200" w:lineRule="auto"/>
      <w:ind w:right="-20"/>
      <w:rPr>
        <w:b/>
        <w:bCs/>
        <w:sz w:val="16"/>
        <w:szCs w:val="16"/>
        <w:highlight w:val="lightGray"/>
      </w:rPr>
    </w:pPr>
  </w:p>
  <w:p w14:paraId="11DA06AD" w14:textId="77777777" w:rsidR="004342C9" w:rsidRDefault="004342C9">
    <w:pPr>
      <w:widowControl w:val="0"/>
      <w:tabs>
        <w:tab w:val="left" w:pos="7780"/>
      </w:tabs>
      <w:spacing w:after="0" w:line="200" w:lineRule="auto"/>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BE2F76"/>
    <w:multiLevelType w:val="multilevel"/>
    <w:tmpl w:val="D8D2A6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pStyle w:val="Ttulo7"/>
      <w:lvlText w:val="●"/>
      <w:lvlJc w:val="left"/>
      <w:pPr>
        <w:ind w:left="5040" w:hanging="360"/>
      </w:pPr>
      <w:rPr>
        <w:rFonts w:ascii="Noto Sans Symbols" w:eastAsia="Noto Sans Symbols" w:hAnsi="Noto Sans Symbols" w:cs="Noto Sans Symbols"/>
      </w:rPr>
    </w:lvl>
    <w:lvl w:ilvl="7">
      <w:start w:val="1"/>
      <w:numFmt w:val="bullet"/>
      <w:pStyle w:val="Ttulo8"/>
      <w:lvlText w:val="o"/>
      <w:lvlJc w:val="left"/>
      <w:pPr>
        <w:ind w:left="5760" w:hanging="360"/>
      </w:pPr>
      <w:rPr>
        <w:rFonts w:ascii="Courier New" w:eastAsia="Courier New" w:hAnsi="Courier New" w:cs="Courier New"/>
      </w:rPr>
    </w:lvl>
    <w:lvl w:ilvl="8">
      <w:start w:val="1"/>
      <w:numFmt w:val="bullet"/>
      <w:pStyle w:val="Ttulo9"/>
      <w:lvlText w:val="▪"/>
      <w:lvlJc w:val="left"/>
      <w:pPr>
        <w:ind w:left="6480" w:hanging="360"/>
      </w:pPr>
      <w:rPr>
        <w:rFonts w:ascii="Noto Sans Symbols" w:eastAsia="Noto Sans Symbols" w:hAnsi="Noto Sans Symbols" w:cs="Noto Sans Symbols"/>
      </w:rPr>
    </w:lvl>
  </w:abstractNum>
  <w:abstractNum w:abstractNumId="1" w15:restartNumberingAfterBreak="0">
    <w:nsid w:val="276C0C6A"/>
    <w:multiLevelType w:val="multilevel"/>
    <w:tmpl w:val="BB60C60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5D316EA"/>
    <w:multiLevelType w:val="multilevel"/>
    <w:tmpl w:val="6CA8D2BA"/>
    <w:lvl w:ilvl="0">
      <w:start w:val="1"/>
      <w:numFmt w:val="decimal"/>
      <w:lvlText w:val="%1."/>
      <w:lvlJc w:val="left"/>
      <w:pPr>
        <w:ind w:left="360" w:hanging="360"/>
      </w:pPr>
    </w:lvl>
    <w:lvl w:ilvl="1">
      <w:start w:val="1"/>
      <w:numFmt w:val="decimal"/>
      <w:lvlText w:val="%1.%2."/>
      <w:lvlJc w:val="left"/>
      <w:pPr>
        <w:ind w:left="435" w:hanging="435"/>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4EBB14E1"/>
    <w:multiLevelType w:val="multilevel"/>
    <w:tmpl w:val="6270EF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F761FAD"/>
    <w:multiLevelType w:val="multilevel"/>
    <w:tmpl w:val="E7983D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5EC7634"/>
    <w:multiLevelType w:val="multilevel"/>
    <w:tmpl w:val="05C01314"/>
    <w:lvl w:ilvl="0">
      <w:start w:val="1"/>
      <w:numFmt w:val="decimal"/>
      <w:pStyle w:val="Estilo1"/>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83259446">
    <w:abstractNumId w:val="3"/>
  </w:num>
  <w:num w:numId="2" w16cid:durableId="1709798398">
    <w:abstractNumId w:val="1"/>
  </w:num>
  <w:num w:numId="3" w16cid:durableId="1666007976">
    <w:abstractNumId w:val="4"/>
  </w:num>
  <w:num w:numId="4" w16cid:durableId="934941974">
    <w:abstractNumId w:val="5"/>
  </w:num>
  <w:num w:numId="5" w16cid:durableId="1279795155">
    <w:abstractNumId w:val="0"/>
  </w:num>
  <w:num w:numId="6" w16cid:durableId="2015036784">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2C9"/>
    <w:rsid w:val="004342C9"/>
    <w:rsid w:val="00494059"/>
    <w:rsid w:val="00603D6C"/>
    <w:rsid w:val="00724DB7"/>
    <w:rsid w:val="00F775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052F64EA"/>
  <w15:docId w15:val="{80DB8F06-7793-4E49-9D3C-DDF52B395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lang w:val="es-CO" w:eastAsia="es-MX"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pBdr>
        <w:bottom w:val="single" w:sz="4" w:space="1" w:color="595959"/>
      </w:pBdr>
      <w:spacing w:before="360"/>
      <w:ind w:left="432" w:hanging="432"/>
      <w:outlineLvl w:val="0"/>
    </w:pPr>
    <w:rPr>
      <w:rFonts w:ascii="Calibri" w:eastAsia="Calibri" w:hAnsi="Calibri" w:cs="Calibri"/>
      <w:b/>
      <w:bCs/>
      <w:smallCaps/>
      <w:color w:val="000000"/>
      <w:sz w:val="36"/>
      <w:szCs w:val="36"/>
    </w:rPr>
  </w:style>
  <w:style w:type="paragraph" w:styleId="Ttulo2">
    <w:name w:val="heading 2"/>
    <w:basedOn w:val="Normal"/>
    <w:next w:val="Normal"/>
    <w:uiPriority w:val="9"/>
    <w:semiHidden/>
    <w:unhideWhenUsed/>
    <w:qFormat/>
    <w:pPr>
      <w:keepNext/>
      <w:keepLines/>
      <w:spacing w:before="360" w:after="0"/>
      <w:ind w:left="576" w:hanging="576"/>
      <w:outlineLvl w:val="1"/>
    </w:pPr>
    <w:rPr>
      <w:rFonts w:ascii="Calibri" w:eastAsia="Calibri" w:hAnsi="Calibri" w:cs="Calibri"/>
      <w:b/>
      <w:bCs/>
      <w:smallCaps/>
      <w:color w:val="000000"/>
      <w:sz w:val="28"/>
      <w:szCs w:val="28"/>
    </w:rPr>
  </w:style>
  <w:style w:type="paragraph" w:styleId="Ttulo3">
    <w:name w:val="heading 3"/>
    <w:basedOn w:val="Normal"/>
    <w:next w:val="Normal"/>
    <w:uiPriority w:val="9"/>
    <w:semiHidden/>
    <w:unhideWhenUsed/>
    <w:qFormat/>
    <w:pPr>
      <w:keepNext/>
      <w:keepLines/>
      <w:spacing w:before="200" w:after="0"/>
      <w:ind w:left="720" w:hanging="720"/>
      <w:outlineLvl w:val="2"/>
    </w:pPr>
    <w:rPr>
      <w:rFonts w:ascii="Calibri" w:eastAsia="Calibri" w:hAnsi="Calibri" w:cs="Calibri"/>
      <w:b/>
      <w:bCs/>
      <w:color w:val="000000"/>
    </w:rPr>
  </w:style>
  <w:style w:type="paragraph" w:styleId="Ttulo4">
    <w:name w:val="heading 4"/>
    <w:basedOn w:val="Normal"/>
    <w:next w:val="Normal"/>
    <w:uiPriority w:val="9"/>
    <w:semiHidden/>
    <w:unhideWhenUsed/>
    <w:qFormat/>
    <w:pPr>
      <w:keepNext/>
      <w:keepLines/>
      <w:spacing w:before="200" w:after="0"/>
      <w:ind w:left="864" w:hanging="864"/>
      <w:outlineLvl w:val="3"/>
    </w:pPr>
    <w:rPr>
      <w:rFonts w:ascii="Calibri" w:eastAsia="Calibri" w:hAnsi="Calibri" w:cs="Calibri"/>
      <w:b/>
      <w:bCs/>
      <w:i/>
      <w:iCs/>
      <w:color w:val="000000"/>
    </w:rPr>
  </w:style>
  <w:style w:type="paragraph" w:styleId="Ttulo5">
    <w:name w:val="heading 5"/>
    <w:basedOn w:val="Normal"/>
    <w:next w:val="Normal"/>
    <w:uiPriority w:val="9"/>
    <w:semiHidden/>
    <w:unhideWhenUsed/>
    <w:qFormat/>
    <w:pPr>
      <w:keepNext/>
      <w:keepLines/>
      <w:spacing w:before="200" w:after="0"/>
      <w:ind w:left="1008" w:hanging="1008"/>
      <w:outlineLvl w:val="4"/>
    </w:pPr>
    <w:rPr>
      <w:rFonts w:ascii="Calibri" w:eastAsia="Calibri" w:hAnsi="Calibri" w:cs="Calibri"/>
      <w:color w:val="323E4F"/>
    </w:rPr>
  </w:style>
  <w:style w:type="paragraph" w:styleId="Ttulo6">
    <w:name w:val="heading 6"/>
    <w:basedOn w:val="Normal"/>
    <w:next w:val="Normal"/>
    <w:uiPriority w:val="9"/>
    <w:semiHidden/>
    <w:unhideWhenUsed/>
    <w:qFormat/>
    <w:pPr>
      <w:keepNext/>
      <w:keepLines/>
      <w:spacing w:before="200" w:after="0"/>
      <w:ind w:left="1152" w:hanging="1152"/>
      <w:outlineLvl w:val="5"/>
    </w:pPr>
    <w:rPr>
      <w:rFonts w:ascii="Calibri" w:eastAsia="Calibri" w:hAnsi="Calibri" w:cs="Calibri"/>
      <w:i/>
      <w:iCs/>
      <w:color w:val="323E4F"/>
    </w:rPr>
  </w:style>
  <w:style w:type="paragraph" w:styleId="Ttulo7">
    <w:name w:val="heading 7"/>
    <w:basedOn w:val="Normal"/>
    <w:next w:val="Normal"/>
    <w:link w:val="Ttulo7Car"/>
    <w:uiPriority w:val="9"/>
    <w:unhideWhenUsed/>
    <w:rsid w:val="0070526B"/>
    <w:pPr>
      <w:keepNext/>
      <w:keepLines/>
      <w:numPr>
        <w:ilvl w:val="6"/>
        <w:numId w:val="5"/>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rsid w:val="0070526B"/>
    <w:pPr>
      <w:keepNext/>
      <w:keepLines/>
      <w:numPr>
        <w:ilvl w:val="7"/>
        <w:numId w:val="5"/>
      </w:numPr>
      <w:spacing w:before="200" w:after="0"/>
      <w:outlineLvl w:val="7"/>
    </w:pPr>
    <w:rPr>
      <w:rFonts w:ascii="Calibri Light" w:eastAsia="SimSun" w:hAnsi="Calibri Light"/>
      <w:color w:val="404040"/>
    </w:rPr>
  </w:style>
  <w:style w:type="paragraph" w:styleId="Ttulo9">
    <w:name w:val="heading 9"/>
    <w:basedOn w:val="Normal"/>
    <w:next w:val="Normal"/>
    <w:link w:val="Ttulo9Car"/>
    <w:uiPriority w:val="9"/>
    <w:unhideWhenUsed/>
    <w:rsid w:val="0070526B"/>
    <w:pPr>
      <w:keepNext/>
      <w:keepLines/>
      <w:numPr>
        <w:ilvl w:val="8"/>
        <w:numId w:val="5"/>
      </w:numPr>
      <w:spacing w:before="200" w:after="0"/>
      <w:outlineLvl w:val="8"/>
    </w:pPr>
    <w:rPr>
      <w:rFonts w:ascii="Calibri Light" w:eastAsia="SimSun" w:hAnsi="Calibri Light"/>
      <w:i/>
      <w:iCs/>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before="60" w:after="60" w:line="240" w:lineRule="auto"/>
      <w:jc w:val="center"/>
    </w:pPr>
    <w:rPr>
      <w:b/>
      <w:bCs/>
      <w:color w:val="000000"/>
    </w:rPr>
  </w:style>
  <w:style w:type="table" w:customStyle="1" w:styleId="TableNormal0">
    <w:name w:val="TableNormal"/>
    <w:tblPr>
      <w:tblCellMar>
        <w:top w:w="100" w:type="dxa"/>
        <w:left w:w="100" w:type="dxa"/>
        <w:bottom w:w="100" w:type="dxa"/>
        <w:right w:w="100" w:type="dxa"/>
      </w:tblCellMar>
    </w:tblPr>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pPr>
    <w:rPr>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lang w:eastAsia="es-ES"/>
    </w:rPr>
  </w:style>
  <w:style w:type="character" w:customStyle="1" w:styleId="TtuloCar">
    <w:name w:val="Título Car"/>
    <w:uiPriority w:val="10"/>
    <w:rsid w:val="0048332C"/>
    <w:rPr>
      <w:rFonts w:ascii="Arial" w:eastAsia="SimSun" w:hAnsi="Arial"/>
      <w:b/>
      <w:color w:val="000000"/>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uiPriority w:val="9"/>
    <w:rsid w:val="0070526B"/>
    <w:rPr>
      <w:rFonts w:ascii="Calibri Light" w:eastAsia="SimSun" w:hAnsi="Calibri Light"/>
      <w:b/>
      <w:bCs/>
      <w:i/>
      <w:iCs/>
      <w:color w:val="000000"/>
      <w:szCs w:val="22"/>
    </w:rPr>
  </w:style>
  <w:style w:type="character" w:customStyle="1" w:styleId="Ttulo5Car">
    <w:name w:val="Título 5 Car"/>
    <w:aliases w:val="Título 5-BCN Car"/>
    <w:uiPriority w:val="9"/>
    <w:rsid w:val="0070526B"/>
    <w:rPr>
      <w:rFonts w:ascii="Calibri Light" w:eastAsia="SimSun" w:hAnsi="Calibri Light"/>
      <w:color w:val="323E4F"/>
      <w:szCs w:val="22"/>
    </w:rPr>
  </w:style>
  <w:style w:type="character" w:customStyle="1" w:styleId="Ttulo6Car">
    <w:name w:val="Título 6 Car"/>
    <w:aliases w:val="Título 6-BCN Car"/>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lang w:eastAsia="es-ES"/>
    </w:rPr>
  </w:style>
  <w:style w:type="paragraph" w:customStyle="1" w:styleId="Estilo1">
    <w:name w:val="Estilo1"/>
    <w:rsid w:val="005B7DDE"/>
    <w:pPr>
      <w:widowControl w:val="0"/>
      <w:numPr>
        <w:numId w:val="4"/>
      </w:numPr>
      <w:tabs>
        <w:tab w:val="num" w:pos="360"/>
        <w:tab w:val="num" w:pos="1440"/>
      </w:tabs>
      <w:spacing w:after="240" w:line="240" w:lineRule="auto"/>
      <w:ind w:left="0" w:firstLine="0"/>
    </w:pPr>
    <w:rPr>
      <w:rFonts w:ascii="Arial Narrow" w:eastAsia="Times New Roman" w:hAnsi="Arial Narrow"/>
      <w:i/>
      <w:iCs/>
      <w:sz w:val="24"/>
      <w:szCs w:val="24"/>
      <w:u w:val="single"/>
      <w:lang w:eastAsia="es-ES"/>
    </w:rPr>
  </w:style>
  <w:style w:type="character" w:customStyle="1" w:styleId="Ttulo2Car">
    <w:name w:val="Título 2 Car"/>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character" w:customStyle="1" w:styleId="SubttuloCar">
    <w:name w:val="Subtítulo Car"/>
    <w:uiPriority w:val="11"/>
    <w:rsid w:val="0070526B"/>
    <w:rPr>
      <w:color w:val="5A5A5A"/>
      <w:spacing w:val="10"/>
    </w:rPr>
  </w:style>
  <w:style w:type="character" w:styleId="Fuerte">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next w:val="Normal"/>
    <w:uiPriority w:val="39"/>
    <w:semiHidden/>
    <w:unhideWhenUsed/>
    <w:qFormat/>
    <w:rsid w:val="0070526B"/>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9F4F29"/>
    <w:rPr>
      <w:color w:val="605E5C"/>
      <w:shd w:val="clear" w:color="auto" w:fill="E1DFDD"/>
    </w:rPr>
  </w:style>
  <w:style w:type="character" w:styleId="Mencionar">
    <w:name w:val="Mention"/>
    <w:basedOn w:val="Fuentedeprrafopredeter"/>
    <w:uiPriority w:val="99"/>
    <w:unhideWhenUsed/>
    <w:rsid w:val="009F4F29"/>
    <w:rPr>
      <w:color w:val="2B579A"/>
      <w:shd w:val="clear" w:color="auto" w:fill="E1DFDD"/>
    </w:rPr>
  </w:style>
  <w:style w:type="paragraph" w:customStyle="1" w:styleId="paragraph">
    <w:name w:val="paragraph"/>
    <w:basedOn w:val="Normal"/>
    <w:rsid w:val="00D1727A"/>
    <w:pPr>
      <w:spacing w:before="100" w:beforeAutospacing="1" w:after="100" w:afterAutospacing="1" w:line="240" w:lineRule="auto"/>
      <w:jc w:val="left"/>
    </w:pPr>
    <w:rPr>
      <w:rFonts w:ascii="Times New Roman" w:hAnsi="Times New Roman"/>
      <w:sz w:val="24"/>
      <w:szCs w:val="24"/>
    </w:rPr>
  </w:style>
  <w:style w:type="character" w:customStyle="1" w:styleId="normaltextrun">
    <w:name w:val="normaltextrun"/>
    <w:basedOn w:val="Fuentedeprrafopredeter"/>
    <w:rsid w:val="00D1727A"/>
  </w:style>
  <w:style w:type="character" w:customStyle="1" w:styleId="eop">
    <w:name w:val="eop"/>
    <w:basedOn w:val="Fuentedeprrafopredeter"/>
    <w:rsid w:val="00D1727A"/>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15" w:type="dxa"/>
        <w:left w:w="70" w:type="dxa"/>
        <w:bottom w:w="15" w:type="dxa"/>
        <w:right w:w="70" w:type="dxa"/>
      </w:tblCellMar>
    </w:tblPr>
  </w:style>
  <w:style w:type="paragraph" w:styleId="Subttulo">
    <w:name w:val="Subtitle"/>
    <w:basedOn w:val="Normal"/>
    <w:next w:val="Normal"/>
    <w:uiPriority w:val="11"/>
    <w:qFormat/>
    <w:rPr>
      <w:color w:val="5A5A5A"/>
    </w:r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15" w:type="dxa"/>
        <w:left w:w="70" w:type="dxa"/>
        <w:bottom w:w="15"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constitucion_politica_1991_pr002.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ecretariasenado.gov.co/senado/basedoc/constitucion_politica_1991_pr002.html" TargetMode="External"/><Relationship Id="rId4" Type="http://schemas.openxmlformats.org/officeDocument/2006/relationships/settings" Target="settings.xml"/><Relationship Id="rId9" Type="http://schemas.openxmlformats.org/officeDocument/2006/relationships/hyperlink" Target="http://www.secretariasenado.gov.co/senado/basedoc/constitucion_politica_1991_pr002.html"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vJcybN8u55NBxfRu5D2eUcBJg==">CgMxLjA4AHIhMWtKTTR6emVINlVSWXViazA1SWpHUWdtbWdxMFdZakF1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7283</Words>
  <Characters>40059</Characters>
  <Application>Microsoft Office Word</Application>
  <DocSecurity>0</DocSecurity>
  <Lines>333</Lines>
  <Paragraphs>94</Paragraphs>
  <ScaleCrop>false</ScaleCrop>
  <Company/>
  <LinksUpToDate>false</LinksUpToDate>
  <CharactersWithSpaces>47248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Grace Viviana Gomez Paris</cp:lastModifiedBy>
  <cp:revision>2</cp:revision>
  <dcterms:created xsi:type="dcterms:W3CDTF">2026-09-08T05:07:00Z</dcterms:created>
  <dcterms:modified xsi:type="dcterms:W3CDTF">2026-09-08T05:07:00Z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