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02">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3">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 el objetivo de establecer requisitos mínimos habilitantes de capacidad financiera y organizacional que sean proporcionales a las diferentes condiciones (presupuesto, plazo, etc)  de los procesos de selección de concurso de méritos para contratar los servicios de consultoría de estudios de ingeniería de infraestructura social que adelanten las Entidades, se establecieron indicadores de acuerdo con el presupuesto oficial del proceso de contratación, con base en los siguientes rangos de presupuesto definidos de conformidad con la matriz de experiencia estructurada para la presente versión de los pliegos tipo::</w:t>
      </w:r>
    </w:p>
    <w:p w:rsidR="00000000" w:rsidDel="00000000" w:rsidP="00000000" w:rsidRDefault="00000000" w:rsidRPr="00000000" w14:paraId="00000004">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5">
      <w:pPr>
        <w:jc w:val="both"/>
        <w:rPr>
          <w:rFonts w:ascii="Verdana" w:cs="Verdana" w:eastAsia="Verdana" w:hAnsi="Verdana"/>
          <w:sz w:val="22"/>
          <w:szCs w:val="22"/>
        </w:rPr>
      </w:pPr>
      <w:r w:rsidDel="00000000" w:rsidR="00000000" w:rsidRPr="00000000">
        <w:rPr>
          <w:rtl w:val="0"/>
        </w:rPr>
      </w:r>
    </w:p>
    <w:tbl>
      <w:tblPr>
        <w:tblStyle w:val="Table1"/>
        <w:tblW w:w="5240.0" w:type="dxa"/>
        <w:jc w:val="center"/>
        <w:tblLayout w:type="fixed"/>
        <w:tblLook w:val="0400"/>
      </w:tblPr>
      <w:tblGrid>
        <w:gridCol w:w="1129"/>
        <w:gridCol w:w="1330"/>
        <w:gridCol w:w="1364"/>
        <w:gridCol w:w="1417"/>
        <w:tblGridChange w:id="0">
          <w:tblGrid>
            <w:gridCol w:w="1129"/>
            <w:gridCol w:w="1330"/>
            <w:gridCol w:w="1364"/>
            <w:gridCol w:w="1417"/>
          </w:tblGrid>
        </w:tblGridChange>
      </w:tblGrid>
      <w:tr>
        <w:trPr>
          <w:cantSplit w:val="0"/>
          <w:trHeight w:val="20" w:hRule="atLeast"/>
          <w:tblHeader w:val="0"/>
        </w:trPr>
        <w:tc>
          <w:tcPr>
            <w:gridSpan w:val="2"/>
            <w:tcBorders>
              <w:top w:color="000000" w:space="0" w:sz="4" w:val="single"/>
              <w:left w:color="000000" w:space="0" w:sz="4" w:val="single"/>
              <w:bottom w:color="000000" w:space="0" w:sz="4" w:val="single"/>
              <w:right w:color="000000" w:space="0" w:sz="4" w:val="single"/>
            </w:tcBorders>
            <w:shd w:fill="b8b7b7" w:val="clear"/>
            <w:vAlign w:val="center"/>
          </w:tcPr>
          <w:p w:rsidR="00000000" w:rsidDel="00000000" w:rsidP="00000000" w:rsidRDefault="00000000" w:rsidRPr="00000000" w14:paraId="00000006">
            <w:pPr>
              <w:jc w:val="center"/>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Rango 1</w:t>
            </w:r>
          </w:p>
        </w:tc>
        <w:tc>
          <w:tcPr>
            <w:gridSpan w:val="2"/>
            <w:tcBorders>
              <w:top w:color="000000" w:space="0" w:sz="4" w:val="single"/>
              <w:left w:color="000000" w:space="0" w:sz="0" w:val="nil"/>
              <w:bottom w:color="000000" w:space="0" w:sz="4" w:val="single"/>
              <w:right w:color="000000" w:space="0" w:sz="4" w:val="single"/>
            </w:tcBorders>
            <w:shd w:fill="b8b7b7" w:val="clear"/>
            <w:vAlign w:val="center"/>
          </w:tcPr>
          <w:p w:rsidR="00000000" w:rsidDel="00000000" w:rsidP="00000000" w:rsidRDefault="00000000" w:rsidRPr="00000000" w14:paraId="00000008">
            <w:pPr>
              <w:jc w:val="center"/>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Rango 2</w:t>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00A">
            <w:pPr>
              <w:jc w:val="center"/>
              <w:rPr>
                <w:rFonts w:ascii="Verdana" w:cs="Verdana" w:eastAsia="Verdana" w:hAnsi="Verdana"/>
                <w:b w:val="1"/>
                <w:bCs w:val="1"/>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00B">
            <w:pPr>
              <w:rPr>
                <w:rFonts w:ascii="Verdana" w:cs="Verdana" w:eastAsia="Verdana" w:hAnsi="Verdana"/>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00C">
            <w:pPr>
              <w:rPr>
                <w:rFonts w:ascii="Verdana" w:cs="Verdana" w:eastAsia="Verdana" w:hAnsi="Verdana"/>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00D">
            <w:pPr>
              <w:rPr>
                <w:rFonts w:ascii="Verdana" w:cs="Verdana" w:eastAsia="Verdana" w:hAnsi="Verdana"/>
                <w:sz w:val="22"/>
                <w:szCs w:val="22"/>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E">
            <w:pPr>
              <w:jc w:val="center"/>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&gt;0</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0F">
            <w:pPr>
              <w:jc w:val="center"/>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&lt;1.000</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10">
            <w:pPr>
              <w:jc w:val="center"/>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&gt;= 1.000</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11">
            <w:pPr>
              <w:jc w:val="center"/>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w:t>
            </w:r>
          </w:p>
        </w:tc>
      </w:tr>
    </w:tbl>
    <w:p w:rsidR="00000000" w:rsidDel="00000000" w:rsidP="00000000" w:rsidRDefault="00000000" w:rsidRPr="00000000" w14:paraId="00000012">
      <w:pPr>
        <w:jc w:val="center"/>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(Cifras expresadas en SMMLV)</w:t>
      </w:r>
    </w:p>
    <w:p w:rsidR="00000000" w:rsidDel="00000000" w:rsidP="00000000" w:rsidRDefault="00000000" w:rsidRPr="00000000" w14:paraId="00000013">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4">
      <w:pPr>
        <w:jc w:val="both"/>
        <w:rPr>
          <w:rFonts w:ascii="Verdana" w:cs="Verdana" w:eastAsia="Verdana" w:hAnsi="Verdana"/>
          <w:b w:val="1"/>
          <w:bCs w:val="1"/>
          <w:sz w:val="22"/>
          <w:szCs w:val="22"/>
        </w:rPr>
      </w:pPr>
      <w:r w:rsidDel="00000000" w:rsidR="00000000" w:rsidRPr="00000000">
        <w:rPr>
          <w:rFonts w:ascii="Verdana" w:cs="Verdana" w:eastAsia="Verdana" w:hAnsi="Verdana"/>
          <w:sz w:val="22"/>
          <w:szCs w:val="22"/>
          <w:rtl w:val="0"/>
        </w:rPr>
        <w:t xml:space="preserve">De acuerdo con lo anterior, para cada uno de los rangos se establecieron indicadores de capacidad financiera y organizacional los cuales deberán ser solicitados por las Entidades en procesos de contratación de licitación de obra pública de infraestructura de social de acuerdo al rango en el cual se encuentre el presupuesto oficial.</w:t>
      </w:r>
      <w:r w:rsidDel="00000000" w:rsidR="00000000" w:rsidRPr="00000000">
        <w:rPr>
          <w:rtl w:val="0"/>
        </w:rPr>
      </w:r>
    </w:p>
    <w:p w:rsidR="00000000" w:rsidDel="00000000" w:rsidP="00000000" w:rsidRDefault="00000000" w:rsidRPr="00000000" w14:paraId="00000015">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16">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i w:val="1"/>
          <w:iCs w:val="1"/>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1"/>
          <w:iCs w:val="1"/>
          <w:smallCaps w:val="0"/>
          <w:strike w:val="0"/>
          <w:color w:val="000000"/>
          <w:sz w:val="22"/>
          <w:szCs w:val="22"/>
          <w:u w:val="none"/>
          <w:shd w:fill="auto" w:val="clear"/>
          <w:vertAlign w:val="baseline"/>
          <w:rtl w:val="0"/>
        </w:rPr>
        <w:t xml:space="preserve">Índices de capacidad financiera y organizacionales para Mipyme.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Proponente persona natural o jurídica que demuestre la condición de Mipyme de conformidad con lo previsto en el artículo 2.2.1.2.4.2.4. del Decreto 1082 de 2015, en concordancia con el parágrafo del artículo 2.2.1.13.2.4 del Decreto 1074 de 2015 o las normas que los modifiquen, sustituyan o complementen, probará los siguientes indicadores:</w:t>
      </w:r>
    </w:p>
    <w:p w:rsidR="00000000" w:rsidDel="00000000" w:rsidP="00000000" w:rsidRDefault="00000000" w:rsidRPr="00000000" w14:paraId="0000001A">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1B">
      <w:pPr>
        <w:jc w:val="both"/>
        <w:rPr>
          <w:rFonts w:ascii="Verdana" w:cs="Verdana" w:eastAsia="Verdana" w:hAnsi="Verdana"/>
          <w:sz w:val="22"/>
          <w:szCs w:val="22"/>
        </w:rPr>
      </w:pPr>
      <w:r w:rsidDel="00000000" w:rsidR="00000000" w:rsidRPr="00000000">
        <w:rPr>
          <w:rtl w:val="0"/>
        </w:rPr>
      </w:r>
    </w:p>
    <w:tbl>
      <w:tblPr>
        <w:tblStyle w:val="Table2"/>
        <w:tblW w:w="722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268"/>
        <w:gridCol w:w="2268"/>
        <w:tblGridChange w:id="0">
          <w:tblGrid>
            <w:gridCol w:w="2689"/>
            <w:gridCol w:w="2268"/>
            <w:gridCol w:w="2268"/>
          </w:tblGrid>
        </w:tblGridChange>
      </w:tblGrid>
      <w:tr>
        <w:trPr>
          <w:cantSplit w:val="1"/>
          <w:trHeight w:val="20" w:hRule="atLeast"/>
          <w:tblHeader w:val="1"/>
        </w:trPr>
        <w:tc>
          <w:tcPr>
            <w:shd w:fill="b8b7b7" w:val="clear"/>
            <w:vAlign w:val="center"/>
          </w:tcPr>
          <w:p w:rsidR="00000000" w:rsidDel="00000000" w:rsidP="00000000" w:rsidRDefault="00000000" w:rsidRPr="00000000" w14:paraId="0000001C">
            <w:pPr>
              <w:ind w:left="174" w:hanging="174"/>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Indicador</w:t>
            </w:r>
          </w:p>
        </w:tc>
        <w:tc>
          <w:tcPr>
            <w:shd w:fill="b8b7b7" w:val="clear"/>
            <w:vAlign w:val="center"/>
          </w:tcPr>
          <w:p w:rsidR="00000000" w:rsidDel="00000000" w:rsidP="00000000" w:rsidRDefault="00000000" w:rsidRPr="00000000" w14:paraId="0000001D">
            <w:pPr>
              <w:ind w:left="174" w:hanging="174"/>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Valor concertado</w:t>
            </w:r>
          </w:p>
          <w:p w:rsidR="00000000" w:rsidDel="00000000" w:rsidP="00000000" w:rsidRDefault="00000000" w:rsidRPr="00000000" w14:paraId="0000001E">
            <w:pPr>
              <w:ind w:left="174" w:hanging="174"/>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Rango 1</w:t>
            </w:r>
          </w:p>
        </w:tc>
        <w:tc>
          <w:tcPr>
            <w:shd w:fill="b8b7b7" w:val="clear"/>
          </w:tcPr>
          <w:p w:rsidR="00000000" w:rsidDel="00000000" w:rsidP="00000000" w:rsidRDefault="00000000" w:rsidRPr="00000000" w14:paraId="0000001F">
            <w:pPr>
              <w:ind w:left="174" w:hanging="174"/>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Valor concertado</w:t>
            </w:r>
          </w:p>
          <w:p w:rsidR="00000000" w:rsidDel="00000000" w:rsidP="00000000" w:rsidRDefault="00000000" w:rsidRPr="00000000" w14:paraId="00000020">
            <w:pPr>
              <w:ind w:left="174" w:hanging="174"/>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Rango 2</w:t>
            </w:r>
          </w:p>
        </w:tc>
      </w:tr>
      <w:tr>
        <w:trPr>
          <w:cantSplit w:val="1"/>
          <w:trHeight w:val="20" w:hRule="atLeast"/>
          <w:tblHeader w:val="0"/>
        </w:trPr>
        <w:tc>
          <w:tcPr>
            <w:vAlign w:val="center"/>
          </w:tcPr>
          <w:p w:rsidR="00000000" w:rsidDel="00000000" w:rsidP="00000000" w:rsidRDefault="00000000" w:rsidRPr="00000000" w14:paraId="00000021">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Índice de liquidez</w:t>
            </w:r>
          </w:p>
        </w:tc>
        <w:tc>
          <w:tcPr>
            <w:vAlign w:val="center"/>
          </w:tcPr>
          <w:p w:rsidR="00000000" w:rsidDel="00000000" w:rsidP="00000000" w:rsidRDefault="00000000" w:rsidRPr="00000000" w14:paraId="00000022">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 1,1</m:t>
              </m:r>
            </m:oMath>
            <w:r w:rsidDel="00000000" w:rsidR="00000000" w:rsidRPr="00000000">
              <w:rPr>
                <w:rtl w:val="0"/>
              </w:rPr>
            </w:r>
          </w:p>
          <w:p w:rsidR="00000000" w:rsidDel="00000000" w:rsidP="00000000" w:rsidRDefault="00000000" w:rsidRPr="00000000" w14:paraId="00000023">
            <w:pPr>
              <w:jc w:val="center"/>
              <w:rPr>
                <w:rFonts w:ascii="Verdana" w:cs="Verdana" w:eastAsia="Verdana" w:hAnsi="Verdana"/>
                <w:sz w:val="22"/>
                <w:szCs w:val="22"/>
              </w:rPr>
            </w:pPr>
            <w:r w:rsidDel="00000000" w:rsidR="00000000" w:rsidRPr="00000000">
              <w:rPr>
                <w:rtl w:val="0"/>
              </w:rPr>
            </w:r>
          </w:p>
        </w:tc>
        <w:tc>
          <w:tcPr>
            <w:vAlign w:val="center"/>
          </w:tcPr>
          <w:p w:rsidR="00000000" w:rsidDel="00000000" w:rsidP="00000000" w:rsidRDefault="00000000" w:rsidRPr="00000000" w14:paraId="00000024">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 1,2</m:t>
              </m:r>
            </m:oMath>
            <w:r w:rsidDel="00000000" w:rsidR="00000000" w:rsidRPr="00000000">
              <w:rPr>
                <w:rtl w:val="0"/>
              </w:rPr>
            </w:r>
          </w:p>
          <w:p w:rsidR="00000000" w:rsidDel="00000000" w:rsidP="00000000" w:rsidRDefault="00000000" w:rsidRPr="00000000" w14:paraId="00000025">
            <w:pPr>
              <w:rPr>
                <w:rFonts w:ascii="Verdana" w:cs="Verdana" w:eastAsia="Verdana" w:hAnsi="Verdana"/>
                <w:sz w:val="22"/>
                <w:szCs w:val="22"/>
              </w:rPr>
            </w:pPr>
            <w:r w:rsidDel="00000000" w:rsidR="00000000" w:rsidRPr="00000000">
              <w:rPr>
                <w:rtl w:val="0"/>
              </w:rPr>
            </w:r>
          </w:p>
        </w:tc>
      </w:tr>
      <w:tr>
        <w:trPr>
          <w:cantSplit w:val="1"/>
          <w:trHeight w:val="20" w:hRule="atLeast"/>
          <w:tblHeader w:val="0"/>
        </w:trPr>
        <w:tc>
          <w:tcPr>
            <w:vAlign w:val="center"/>
          </w:tcPr>
          <w:p w:rsidR="00000000" w:rsidDel="00000000" w:rsidP="00000000" w:rsidRDefault="00000000" w:rsidRPr="00000000" w14:paraId="00000026">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Índice de endeudamiento</w:t>
            </w:r>
          </w:p>
        </w:tc>
        <w:tc>
          <w:tcPr>
            <w:vAlign w:val="center"/>
          </w:tcPr>
          <w:p w:rsidR="00000000" w:rsidDel="00000000" w:rsidP="00000000" w:rsidRDefault="00000000" w:rsidRPr="00000000" w14:paraId="00000027">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8">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 0,65</m:t>
              </m:r>
            </m:oMath>
            <w:r w:rsidDel="00000000" w:rsidR="00000000" w:rsidRPr="00000000">
              <w:rPr>
                <w:rtl w:val="0"/>
              </w:rPr>
            </w:r>
          </w:p>
          <w:p w:rsidR="00000000" w:rsidDel="00000000" w:rsidP="00000000" w:rsidRDefault="00000000" w:rsidRPr="00000000" w14:paraId="00000029">
            <w:pPr>
              <w:jc w:val="center"/>
              <w:rPr>
                <w:rFonts w:ascii="Verdana" w:cs="Verdana" w:eastAsia="Verdana" w:hAnsi="Verdana"/>
                <w:sz w:val="22"/>
                <w:szCs w:val="22"/>
              </w:rPr>
            </w:pPr>
            <w:r w:rsidDel="00000000" w:rsidR="00000000" w:rsidRPr="00000000">
              <w:rPr>
                <w:rtl w:val="0"/>
              </w:rPr>
            </w:r>
          </w:p>
        </w:tc>
        <w:tc>
          <w:tcPr/>
          <w:p w:rsidR="00000000" w:rsidDel="00000000" w:rsidP="00000000" w:rsidRDefault="00000000" w:rsidRPr="00000000" w14:paraId="0000002A">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B">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 0,70</m:t>
              </m:r>
            </m:oMath>
            <w:r w:rsidDel="00000000" w:rsidR="00000000" w:rsidRPr="00000000">
              <w:rPr>
                <w:rtl w:val="0"/>
              </w:rPr>
            </w:r>
          </w:p>
          <w:p w:rsidR="00000000" w:rsidDel="00000000" w:rsidP="00000000" w:rsidRDefault="00000000" w:rsidRPr="00000000" w14:paraId="0000002C">
            <w:pPr>
              <w:rPr>
                <w:rFonts w:ascii="Verdana" w:cs="Verdana" w:eastAsia="Verdana" w:hAnsi="Verdana"/>
                <w:sz w:val="22"/>
                <w:szCs w:val="22"/>
              </w:rPr>
            </w:pPr>
            <w:r w:rsidDel="00000000" w:rsidR="00000000" w:rsidRPr="00000000">
              <w:rPr>
                <w:rtl w:val="0"/>
              </w:rPr>
            </w:r>
          </w:p>
        </w:tc>
      </w:tr>
      <w:tr>
        <w:trPr>
          <w:cantSplit w:val="1"/>
          <w:trHeight w:val="20" w:hRule="atLeast"/>
          <w:tblHeader w:val="0"/>
        </w:trPr>
        <w:tc>
          <w:tcPr>
            <w:vAlign w:val="center"/>
          </w:tcPr>
          <w:p w:rsidR="00000000" w:rsidDel="00000000" w:rsidP="00000000" w:rsidRDefault="00000000" w:rsidRPr="00000000" w14:paraId="0000002D">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Razón de cobertura de intereses</w:t>
            </w:r>
          </w:p>
        </w:tc>
        <w:tc>
          <w:tcPr>
            <w:vAlign w:val="center"/>
          </w:tcPr>
          <w:p w:rsidR="00000000" w:rsidDel="00000000" w:rsidP="00000000" w:rsidRDefault="00000000" w:rsidRPr="00000000" w14:paraId="0000002E">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F">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≥1,5</m:t>
              </m:r>
            </m:oMath>
            <w:r w:rsidDel="00000000" w:rsidR="00000000" w:rsidRPr="00000000">
              <w:rPr>
                <w:rtl w:val="0"/>
              </w:rPr>
            </w:r>
          </w:p>
          <w:p w:rsidR="00000000" w:rsidDel="00000000" w:rsidP="00000000" w:rsidRDefault="00000000" w:rsidRPr="00000000" w14:paraId="00000030">
            <w:pPr>
              <w:jc w:val="center"/>
              <w:rPr>
                <w:rFonts w:ascii="Verdana" w:cs="Verdana" w:eastAsia="Verdana" w:hAnsi="Verdana"/>
                <w:sz w:val="22"/>
                <w:szCs w:val="22"/>
              </w:rPr>
            </w:pPr>
            <w:r w:rsidDel="00000000" w:rsidR="00000000" w:rsidRPr="00000000">
              <w:rPr>
                <w:rtl w:val="0"/>
              </w:rPr>
            </w:r>
          </w:p>
        </w:tc>
        <w:tc>
          <w:tcPr/>
          <w:p w:rsidR="00000000" w:rsidDel="00000000" w:rsidP="00000000" w:rsidRDefault="00000000" w:rsidRPr="00000000" w14:paraId="00000031">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2">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≥1</m:t>
              </m:r>
            </m:oMath>
            <w:r w:rsidDel="00000000" w:rsidR="00000000" w:rsidRPr="00000000">
              <w:rPr>
                <w:rtl w:val="0"/>
              </w:rPr>
            </w:r>
          </w:p>
          <w:p w:rsidR="00000000" w:rsidDel="00000000" w:rsidP="00000000" w:rsidRDefault="00000000" w:rsidRPr="00000000" w14:paraId="00000033">
            <w:pPr>
              <w:rPr>
                <w:rFonts w:ascii="Verdana" w:cs="Verdana" w:eastAsia="Verdana" w:hAnsi="Verdana"/>
                <w:sz w:val="22"/>
                <w:szCs w:val="22"/>
              </w:rPr>
            </w:pPr>
            <w:r w:rsidDel="00000000" w:rsidR="00000000" w:rsidRPr="00000000">
              <w:rPr>
                <w:rtl w:val="0"/>
              </w:rPr>
            </w:r>
          </w:p>
        </w:tc>
      </w:tr>
      <w:tr>
        <w:trPr>
          <w:cantSplit w:val="1"/>
          <w:trHeight w:val="20" w:hRule="atLeast"/>
          <w:tblHeader w:val="0"/>
        </w:trPr>
        <w:tc>
          <w:tcPr>
            <w:vAlign w:val="center"/>
          </w:tcPr>
          <w:p w:rsidR="00000000" w:rsidDel="00000000" w:rsidP="00000000" w:rsidRDefault="00000000" w:rsidRPr="00000000" w14:paraId="00000034">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Capital de trabajo</w:t>
            </w:r>
          </w:p>
        </w:tc>
        <w:tc>
          <w:tcPr>
            <w:vAlign w:val="center"/>
          </w:tcPr>
          <w:p w:rsidR="00000000" w:rsidDel="00000000" w:rsidP="00000000" w:rsidRDefault="00000000" w:rsidRPr="00000000" w14:paraId="00000035">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6">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Definido en el documento base</w:t>
            </w:r>
          </w:p>
          <w:p w:rsidR="00000000" w:rsidDel="00000000" w:rsidP="00000000" w:rsidRDefault="00000000" w:rsidRPr="00000000" w14:paraId="00000037">
            <w:pPr>
              <w:jc w:val="center"/>
              <w:rPr>
                <w:rFonts w:ascii="Verdana" w:cs="Verdana" w:eastAsia="Verdana" w:hAnsi="Verdana"/>
                <w:sz w:val="22"/>
                <w:szCs w:val="22"/>
              </w:rPr>
            </w:pPr>
            <w:r w:rsidDel="00000000" w:rsidR="00000000" w:rsidRPr="00000000">
              <w:rPr>
                <w:rtl w:val="0"/>
              </w:rPr>
            </w:r>
          </w:p>
        </w:tc>
        <w:tc>
          <w:tcPr/>
          <w:p w:rsidR="00000000" w:rsidDel="00000000" w:rsidP="00000000" w:rsidRDefault="00000000" w:rsidRPr="00000000" w14:paraId="00000038">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9">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Definido en el documento base</w:t>
            </w:r>
          </w:p>
          <w:p w:rsidR="00000000" w:rsidDel="00000000" w:rsidP="00000000" w:rsidRDefault="00000000" w:rsidRPr="00000000" w14:paraId="0000003A">
            <w:pPr>
              <w:jc w:val="center"/>
              <w:rPr>
                <w:rFonts w:ascii="Verdana" w:cs="Verdana" w:eastAsia="Verdana" w:hAnsi="Verdana"/>
                <w:sz w:val="22"/>
                <w:szCs w:val="22"/>
              </w:rPr>
            </w:pPr>
            <w:r w:rsidDel="00000000" w:rsidR="00000000" w:rsidRPr="00000000">
              <w:rPr>
                <w:rtl w:val="0"/>
              </w:rPr>
            </w:r>
          </w:p>
        </w:tc>
      </w:tr>
      <w:tr>
        <w:trPr>
          <w:cantSplit w:val="1"/>
          <w:trHeight w:val="20" w:hRule="atLeast"/>
          <w:tblHeader w:val="0"/>
        </w:trPr>
        <w:tc>
          <w:tcPr>
            <w:vAlign w:val="center"/>
          </w:tcPr>
          <w:p w:rsidR="00000000" w:rsidDel="00000000" w:rsidP="00000000" w:rsidRDefault="00000000" w:rsidRPr="00000000" w14:paraId="0000003B">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Rentabilidad del patrimonio</w:t>
            </w:r>
          </w:p>
        </w:tc>
        <w:tc>
          <w:tcPr>
            <w:vAlign w:val="center"/>
          </w:tcPr>
          <w:p w:rsidR="00000000" w:rsidDel="00000000" w:rsidP="00000000" w:rsidRDefault="00000000" w:rsidRPr="00000000" w14:paraId="0000003C">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D">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≥0,02</m:t>
              </m:r>
            </m:oMath>
            <w:r w:rsidDel="00000000" w:rsidR="00000000" w:rsidRPr="00000000">
              <w:rPr>
                <w:rtl w:val="0"/>
              </w:rPr>
            </w:r>
          </w:p>
          <w:p w:rsidR="00000000" w:rsidDel="00000000" w:rsidP="00000000" w:rsidRDefault="00000000" w:rsidRPr="00000000" w14:paraId="0000003E">
            <w:pPr>
              <w:jc w:val="center"/>
              <w:rPr>
                <w:rFonts w:ascii="Verdana" w:cs="Verdana" w:eastAsia="Verdana" w:hAnsi="Verdana"/>
                <w:sz w:val="22"/>
                <w:szCs w:val="22"/>
              </w:rPr>
            </w:pPr>
            <w:r w:rsidDel="00000000" w:rsidR="00000000" w:rsidRPr="00000000">
              <w:rPr>
                <w:rtl w:val="0"/>
              </w:rPr>
            </w:r>
          </w:p>
        </w:tc>
        <w:tc>
          <w:tcPr/>
          <w:p w:rsidR="00000000" w:rsidDel="00000000" w:rsidP="00000000" w:rsidRDefault="00000000" w:rsidRPr="00000000" w14:paraId="0000003F">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0">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≥0,03</m:t>
              </m:r>
            </m:oMath>
            <w:r w:rsidDel="00000000" w:rsidR="00000000" w:rsidRPr="00000000">
              <w:rPr>
                <w:rtl w:val="0"/>
              </w:rPr>
            </w:r>
          </w:p>
          <w:p w:rsidR="00000000" w:rsidDel="00000000" w:rsidP="00000000" w:rsidRDefault="00000000" w:rsidRPr="00000000" w14:paraId="00000041">
            <w:pPr>
              <w:jc w:val="center"/>
              <w:rPr>
                <w:rFonts w:ascii="Verdana" w:cs="Verdana" w:eastAsia="Verdana" w:hAnsi="Verdana"/>
                <w:sz w:val="22"/>
                <w:szCs w:val="22"/>
              </w:rPr>
            </w:pPr>
            <w:r w:rsidDel="00000000" w:rsidR="00000000" w:rsidRPr="00000000">
              <w:rPr>
                <w:rtl w:val="0"/>
              </w:rPr>
            </w:r>
          </w:p>
        </w:tc>
      </w:tr>
      <w:tr>
        <w:trPr>
          <w:cantSplit w:val="1"/>
          <w:trHeight w:val="20" w:hRule="atLeast"/>
          <w:tblHeader w:val="0"/>
        </w:trPr>
        <w:tc>
          <w:tcPr>
            <w:vAlign w:val="center"/>
          </w:tcPr>
          <w:p w:rsidR="00000000" w:rsidDel="00000000" w:rsidP="00000000" w:rsidRDefault="00000000" w:rsidRPr="00000000" w14:paraId="00000042">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Rentabilidad del activo</w:t>
            </w:r>
          </w:p>
        </w:tc>
        <w:tc>
          <w:tcPr>
            <w:vAlign w:val="center"/>
          </w:tcPr>
          <w:p w:rsidR="00000000" w:rsidDel="00000000" w:rsidP="00000000" w:rsidRDefault="00000000" w:rsidRPr="00000000" w14:paraId="00000043">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4">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≥0,01</m:t>
              </m:r>
            </m:oMath>
            <w:r w:rsidDel="00000000" w:rsidR="00000000" w:rsidRPr="00000000">
              <w:rPr>
                <w:rtl w:val="0"/>
              </w:rPr>
            </w:r>
          </w:p>
          <w:p w:rsidR="00000000" w:rsidDel="00000000" w:rsidP="00000000" w:rsidRDefault="00000000" w:rsidRPr="00000000" w14:paraId="00000045">
            <w:pPr>
              <w:jc w:val="center"/>
              <w:rPr>
                <w:rFonts w:ascii="Verdana" w:cs="Verdana" w:eastAsia="Verdana" w:hAnsi="Verdana"/>
                <w:sz w:val="22"/>
                <w:szCs w:val="22"/>
              </w:rPr>
            </w:pPr>
            <w:r w:rsidDel="00000000" w:rsidR="00000000" w:rsidRPr="00000000">
              <w:rPr>
                <w:rtl w:val="0"/>
              </w:rPr>
            </w:r>
          </w:p>
        </w:tc>
        <w:tc>
          <w:tcPr/>
          <w:p w:rsidR="00000000" w:rsidDel="00000000" w:rsidP="00000000" w:rsidRDefault="00000000" w:rsidRPr="00000000" w14:paraId="00000046">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7">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≥0,02</m:t>
              </m:r>
            </m:oMath>
            <w:r w:rsidDel="00000000" w:rsidR="00000000" w:rsidRPr="00000000">
              <w:rPr>
                <w:rtl w:val="0"/>
              </w:rPr>
            </w:r>
          </w:p>
          <w:p w:rsidR="00000000" w:rsidDel="00000000" w:rsidP="00000000" w:rsidRDefault="00000000" w:rsidRPr="00000000" w14:paraId="00000048">
            <w:pPr>
              <w:jc w:val="center"/>
              <w:rPr>
                <w:rFonts w:ascii="Verdana" w:cs="Verdana" w:eastAsia="Verdana" w:hAnsi="Verdana"/>
                <w:sz w:val="22"/>
                <w:szCs w:val="22"/>
              </w:rPr>
            </w:pPr>
            <w:r w:rsidDel="00000000" w:rsidR="00000000" w:rsidRPr="00000000">
              <w:rPr>
                <w:rtl w:val="0"/>
              </w:rPr>
            </w:r>
          </w:p>
        </w:tc>
      </w:tr>
    </w:tbl>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Tratándose de Proponente Plurales estos indicadores solo se aplicarán si por lo menos uno de los integrantes acredita la calidad de Mipyme de conformidad con lo previsto en el artículo en el artículo 2.2.1.2.4.2.4. del Decreto 1082 de 2015, o la normas que los modifiquen, sustituyan o complementen, y tienen una participación igual o superior al diez por ciento (10 %) en el Consorcio o en la Unión Temporal.</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Para acreditar la calidad de Mipyme el Proponente entregará copia del certificado del Registro Único de Proponentes, el cual deberá encontrarse vigente y en firme al momento de su presentación.</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Verdana" w:cs="Verdana" w:eastAsia="Verdana" w:hAnsi="Verdana"/>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1"/>
          <w:iCs w:val="1"/>
          <w:smallCaps w:val="0"/>
          <w:strike w:val="0"/>
          <w:color w:val="000000"/>
          <w:sz w:val="22"/>
          <w:szCs w:val="22"/>
          <w:u w:val="none"/>
          <w:shd w:fill="auto" w:val="clear"/>
          <w:vertAlign w:val="baseline"/>
          <w:rtl w:val="0"/>
        </w:rPr>
        <w:t xml:space="preserve">Índices de capacidad financiera y organizacionales para los demás Proponentes</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Proponentes que </w:t>
      </w:r>
      <w:r w:rsidDel="00000000" w:rsidR="00000000" w:rsidRPr="00000000">
        <w:rPr>
          <w:rFonts w:ascii="Verdana" w:cs="Verdana" w:eastAsia="Verdana" w:hAnsi="Verdana"/>
          <w:b w:val="1"/>
          <w:bCs w:val="1"/>
          <w:i w:val="0"/>
          <w:iCs w:val="0"/>
          <w:smallCaps w:val="0"/>
          <w:strike w:val="0"/>
          <w:color w:val="000000"/>
          <w:sz w:val="22"/>
          <w:szCs w:val="22"/>
          <w:u w:val="single"/>
          <w:shd w:fill="auto" w:val="clear"/>
          <w:vertAlign w:val="baseline"/>
          <w:rtl w:val="0"/>
        </w:rPr>
        <w:t xml:space="preserve">NO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demuestren la condición de Mipyme de conformidad con lo previsto en el artículo 2.2.1.2.4.2.4. del Decreto 1082 de 2015, en concordancia con el parágrafo del artículo 2.2.1.13.2.4 del Decreto 1074 de 2015 o las normas que los modifiquen, sustituyan o complementen, acreditarán los siguientes indicadores: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jc w:val="center"/>
        <w:rPr>
          <w:rFonts w:ascii="Verdana" w:cs="Verdana" w:eastAsia="Verdana" w:hAnsi="Verdana"/>
          <w:b w:val="1"/>
          <w:bCs w:val="1"/>
          <w:sz w:val="22"/>
          <w:szCs w:val="22"/>
        </w:rPr>
      </w:pPr>
      <w:r w:rsidDel="00000000" w:rsidR="00000000" w:rsidRPr="00000000">
        <w:rPr>
          <w:rtl w:val="0"/>
        </w:rPr>
      </w:r>
    </w:p>
    <w:tbl>
      <w:tblPr>
        <w:tblStyle w:val="Table3"/>
        <w:tblW w:w="722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268"/>
        <w:gridCol w:w="2268"/>
        <w:tblGridChange w:id="0">
          <w:tblGrid>
            <w:gridCol w:w="2689"/>
            <w:gridCol w:w="2268"/>
            <w:gridCol w:w="2268"/>
          </w:tblGrid>
        </w:tblGridChange>
      </w:tblGrid>
      <w:tr>
        <w:trPr>
          <w:cantSplit w:val="1"/>
          <w:trHeight w:val="20" w:hRule="atLeast"/>
          <w:tblHeader w:val="1"/>
        </w:trPr>
        <w:tc>
          <w:tcPr>
            <w:shd w:fill="b8b7b7" w:val="clear"/>
            <w:vAlign w:val="center"/>
          </w:tcPr>
          <w:p w:rsidR="00000000" w:rsidDel="00000000" w:rsidP="00000000" w:rsidRDefault="00000000" w:rsidRPr="00000000" w14:paraId="00000055">
            <w:pPr>
              <w:ind w:left="174" w:hanging="174"/>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Indicador</w:t>
            </w:r>
          </w:p>
        </w:tc>
        <w:tc>
          <w:tcPr>
            <w:shd w:fill="b8b7b7" w:val="clear"/>
            <w:vAlign w:val="center"/>
          </w:tcPr>
          <w:p w:rsidR="00000000" w:rsidDel="00000000" w:rsidP="00000000" w:rsidRDefault="00000000" w:rsidRPr="00000000" w14:paraId="00000056">
            <w:pPr>
              <w:ind w:left="174" w:hanging="174"/>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Valor concertado</w:t>
            </w:r>
          </w:p>
          <w:p w:rsidR="00000000" w:rsidDel="00000000" w:rsidP="00000000" w:rsidRDefault="00000000" w:rsidRPr="00000000" w14:paraId="00000057">
            <w:pPr>
              <w:ind w:left="174" w:hanging="174"/>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Rango 1</w:t>
            </w:r>
          </w:p>
        </w:tc>
        <w:tc>
          <w:tcPr>
            <w:shd w:fill="b8b7b7" w:val="clear"/>
          </w:tcPr>
          <w:p w:rsidR="00000000" w:rsidDel="00000000" w:rsidP="00000000" w:rsidRDefault="00000000" w:rsidRPr="00000000" w14:paraId="00000058">
            <w:pPr>
              <w:ind w:left="174" w:hanging="174"/>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Valor concertado</w:t>
            </w:r>
          </w:p>
          <w:p w:rsidR="00000000" w:rsidDel="00000000" w:rsidP="00000000" w:rsidRDefault="00000000" w:rsidRPr="00000000" w14:paraId="00000059">
            <w:pPr>
              <w:ind w:left="174" w:hanging="174"/>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Rango 2</w:t>
            </w:r>
          </w:p>
        </w:tc>
      </w:tr>
      <w:tr>
        <w:trPr>
          <w:cantSplit w:val="1"/>
          <w:trHeight w:val="20" w:hRule="atLeast"/>
          <w:tblHeader w:val="0"/>
        </w:trPr>
        <w:tc>
          <w:tcPr>
            <w:vAlign w:val="center"/>
          </w:tcPr>
          <w:p w:rsidR="00000000" w:rsidDel="00000000" w:rsidP="00000000" w:rsidRDefault="00000000" w:rsidRPr="00000000" w14:paraId="0000005A">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5B">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Índice de liquidez</w:t>
            </w:r>
          </w:p>
        </w:tc>
        <w:tc>
          <w:tcPr>
            <w:vAlign w:val="center"/>
          </w:tcPr>
          <w:p w:rsidR="00000000" w:rsidDel="00000000" w:rsidP="00000000" w:rsidRDefault="00000000" w:rsidRPr="00000000" w14:paraId="0000005C">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 1,2</m:t>
              </m:r>
            </m:oMath>
            <w:r w:rsidDel="00000000" w:rsidR="00000000" w:rsidRPr="00000000">
              <w:rPr>
                <w:rtl w:val="0"/>
              </w:rPr>
            </w:r>
          </w:p>
          <w:p w:rsidR="00000000" w:rsidDel="00000000" w:rsidP="00000000" w:rsidRDefault="00000000" w:rsidRPr="00000000" w14:paraId="0000005D">
            <w:pPr>
              <w:jc w:val="center"/>
              <w:rPr>
                <w:rFonts w:ascii="Verdana" w:cs="Verdana" w:eastAsia="Verdana" w:hAnsi="Verdana"/>
                <w:sz w:val="22"/>
                <w:szCs w:val="22"/>
              </w:rPr>
            </w:pPr>
            <w:r w:rsidDel="00000000" w:rsidR="00000000" w:rsidRPr="00000000">
              <w:rPr>
                <w:rtl w:val="0"/>
              </w:rPr>
            </w:r>
          </w:p>
        </w:tc>
        <w:tc>
          <w:tcPr/>
          <w:p w:rsidR="00000000" w:rsidDel="00000000" w:rsidP="00000000" w:rsidRDefault="00000000" w:rsidRPr="00000000" w14:paraId="0000005E">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 1,3</m:t>
              </m:r>
            </m:oMath>
            <w:r w:rsidDel="00000000" w:rsidR="00000000" w:rsidRPr="00000000">
              <w:rPr>
                <w:rtl w:val="0"/>
              </w:rPr>
            </w:r>
          </w:p>
        </w:tc>
      </w:tr>
      <w:tr>
        <w:trPr>
          <w:cantSplit w:val="1"/>
          <w:trHeight w:val="20" w:hRule="atLeast"/>
          <w:tblHeader w:val="0"/>
        </w:trPr>
        <w:tc>
          <w:tcPr>
            <w:vAlign w:val="center"/>
          </w:tcPr>
          <w:p w:rsidR="00000000" w:rsidDel="00000000" w:rsidP="00000000" w:rsidRDefault="00000000" w:rsidRPr="00000000" w14:paraId="0000005F">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0">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Índice de endeudamiento</w:t>
            </w:r>
          </w:p>
        </w:tc>
        <w:tc>
          <w:tcPr>
            <w:vAlign w:val="center"/>
          </w:tcPr>
          <w:p w:rsidR="00000000" w:rsidDel="00000000" w:rsidP="00000000" w:rsidRDefault="00000000" w:rsidRPr="00000000" w14:paraId="00000061">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2">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 0,65</m:t>
              </m:r>
            </m:oMath>
            <w:r w:rsidDel="00000000" w:rsidR="00000000" w:rsidRPr="00000000">
              <w:rPr>
                <w:rtl w:val="0"/>
              </w:rPr>
            </w:r>
          </w:p>
          <w:p w:rsidR="00000000" w:rsidDel="00000000" w:rsidP="00000000" w:rsidRDefault="00000000" w:rsidRPr="00000000" w14:paraId="00000063">
            <w:pPr>
              <w:jc w:val="center"/>
              <w:rPr>
                <w:rFonts w:ascii="Verdana" w:cs="Verdana" w:eastAsia="Verdana" w:hAnsi="Verdana"/>
                <w:sz w:val="22"/>
                <w:szCs w:val="22"/>
              </w:rPr>
            </w:pPr>
            <w:r w:rsidDel="00000000" w:rsidR="00000000" w:rsidRPr="00000000">
              <w:rPr>
                <w:rtl w:val="0"/>
              </w:rPr>
            </w:r>
          </w:p>
        </w:tc>
        <w:tc>
          <w:tcPr/>
          <w:p w:rsidR="00000000" w:rsidDel="00000000" w:rsidP="00000000" w:rsidRDefault="00000000" w:rsidRPr="00000000" w14:paraId="00000064">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5">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 0,70</m:t>
              </m:r>
            </m:oMath>
            <w:r w:rsidDel="00000000" w:rsidR="00000000" w:rsidRPr="00000000">
              <w:rPr>
                <w:rtl w:val="0"/>
              </w:rPr>
            </w:r>
          </w:p>
          <w:p w:rsidR="00000000" w:rsidDel="00000000" w:rsidP="00000000" w:rsidRDefault="00000000" w:rsidRPr="00000000" w14:paraId="00000066">
            <w:pPr>
              <w:jc w:val="center"/>
              <w:rPr>
                <w:rFonts w:ascii="Verdana" w:cs="Verdana" w:eastAsia="Verdana" w:hAnsi="Verdana"/>
                <w:sz w:val="22"/>
                <w:szCs w:val="22"/>
              </w:rPr>
            </w:pPr>
            <w:r w:rsidDel="00000000" w:rsidR="00000000" w:rsidRPr="00000000">
              <w:rPr>
                <w:rtl w:val="0"/>
              </w:rPr>
            </w:r>
          </w:p>
        </w:tc>
      </w:tr>
      <w:tr>
        <w:trPr>
          <w:cantSplit w:val="1"/>
          <w:trHeight w:val="20" w:hRule="atLeast"/>
          <w:tblHeader w:val="0"/>
        </w:trPr>
        <w:tc>
          <w:tcPr>
            <w:vAlign w:val="center"/>
          </w:tcPr>
          <w:p w:rsidR="00000000" w:rsidDel="00000000" w:rsidP="00000000" w:rsidRDefault="00000000" w:rsidRPr="00000000" w14:paraId="00000067">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8">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Razón de cobertura de intereses</w:t>
            </w:r>
          </w:p>
        </w:tc>
        <w:tc>
          <w:tcPr>
            <w:vAlign w:val="center"/>
          </w:tcPr>
          <w:p w:rsidR="00000000" w:rsidDel="00000000" w:rsidP="00000000" w:rsidRDefault="00000000" w:rsidRPr="00000000" w14:paraId="00000069">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A">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≥1,5</m:t>
              </m:r>
            </m:oMath>
            <w:r w:rsidDel="00000000" w:rsidR="00000000" w:rsidRPr="00000000">
              <w:rPr>
                <w:rtl w:val="0"/>
              </w:rPr>
            </w:r>
          </w:p>
          <w:p w:rsidR="00000000" w:rsidDel="00000000" w:rsidP="00000000" w:rsidRDefault="00000000" w:rsidRPr="00000000" w14:paraId="0000006B">
            <w:pPr>
              <w:jc w:val="center"/>
              <w:rPr>
                <w:rFonts w:ascii="Verdana" w:cs="Verdana" w:eastAsia="Verdana" w:hAnsi="Verdana"/>
                <w:sz w:val="22"/>
                <w:szCs w:val="22"/>
              </w:rPr>
            </w:pPr>
            <w:r w:rsidDel="00000000" w:rsidR="00000000" w:rsidRPr="00000000">
              <w:rPr>
                <w:rtl w:val="0"/>
              </w:rPr>
            </w:r>
          </w:p>
        </w:tc>
        <w:tc>
          <w:tcPr/>
          <w:p w:rsidR="00000000" w:rsidDel="00000000" w:rsidP="00000000" w:rsidRDefault="00000000" w:rsidRPr="00000000" w14:paraId="0000006C">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D">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≥1</m:t>
              </m:r>
            </m:oMath>
            <w:r w:rsidDel="00000000" w:rsidR="00000000" w:rsidRPr="00000000">
              <w:rPr>
                <w:rtl w:val="0"/>
              </w:rPr>
            </w:r>
          </w:p>
        </w:tc>
      </w:tr>
      <w:tr>
        <w:trPr>
          <w:cantSplit w:val="1"/>
          <w:trHeight w:val="20" w:hRule="atLeast"/>
          <w:tblHeader w:val="0"/>
        </w:trPr>
        <w:tc>
          <w:tcPr>
            <w:vAlign w:val="center"/>
          </w:tcPr>
          <w:p w:rsidR="00000000" w:rsidDel="00000000" w:rsidP="00000000" w:rsidRDefault="00000000" w:rsidRPr="00000000" w14:paraId="0000006E">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F">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Capital de trabajo</w:t>
            </w:r>
          </w:p>
        </w:tc>
        <w:tc>
          <w:tcPr>
            <w:vAlign w:val="center"/>
          </w:tcPr>
          <w:p w:rsidR="00000000" w:rsidDel="00000000" w:rsidP="00000000" w:rsidRDefault="00000000" w:rsidRPr="00000000" w14:paraId="00000070">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1">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Definido en el documento base</w:t>
            </w:r>
          </w:p>
          <w:p w:rsidR="00000000" w:rsidDel="00000000" w:rsidP="00000000" w:rsidRDefault="00000000" w:rsidRPr="00000000" w14:paraId="00000072">
            <w:pPr>
              <w:jc w:val="center"/>
              <w:rPr>
                <w:rFonts w:ascii="Verdana" w:cs="Verdana" w:eastAsia="Verdana" w:hAnsi="Verdana"/>
                <w:sz w:val="22"/>
                <w:szCs w:val="22"/>
              </w:rPr>
            </w:pPr>
            <w:r w:rsidDel="00000000" w:rsidR="00000000" w:rsidRPr="00000000">
              <w:rPr>
                <w:rtl w:val="0"/>
              </w:rPr>
            </w:r>
          </w:p>
        </w:tc>
        <w:tc>
          <w:tcPr/>
          <w:p w:rsidR="00000000" w:rsidDel="00000000" w:rsidP="00000000" w:rsidRDefault="00000000" w:rsidRPr="00000000" w14:paraId="00000073">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4">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Definido en el documento base</w:t>
            </w:r>
          </w:p>
          <w:p w:rsidR="00000000" w:rsidDel="00000000" w:rsidP="00000000" w:rsidRDefault="00000000" w:rsidRPr="00000000" w14:paraId="00000075">
            <w:pPr>
              <w:jc w:val="center"/>
              <w:rPr>
                <w:rFonts w:ascii="Verdana" w:cs="Verdana" w:eastAsia="Verdana" w:hAnsi="Verdana"/>
                <w:sz w:val="22"/>
                <w:szCs w:val="22"/>
              </w:rPr>
            </w:pPr>
            <w:r w:rsidDel="00000000" w:rsidR="00000000" w:rsidRPr="00000000">
              <w:rPr>
                <w:rtl w:val="0"/>
              </w:rPr>
            </w:r>
          </w:p>
        </w:tc>
      </w:tr>
      <w:tr>
        <w:trPr>
          <w:cantSplit w:val="1"/>
          <w:trHeight w:val="20" w:hRule="atLeast"/>
          <w:tblHeader w:val="0"/>
        </w:trPr>
        <w:tc>
          <w:tcPr>
            <w:vAlign w:val="center"/>
          </w:tcPr>
          <w:p w:rsidR="00000000" w:rsidDel="00000000" w:rsidP="00000000" w:rsidRDefault="00000000" w:rsidRPr="00000000" w14:paraId="00000076">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7">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Rentabilidad del patrimonio</w:t>
            </w:r>
          </w:p>
        </w:tc>
        <w:tc>
          <w:tcPr>
            <w:vAlign w:val="center"/>
          </w:tcPr>
          <w:p w:rsidR="00000000" w:rsidDel="00000000" w:rsidP="00000000" w:rsidRDefault="00000000" w:rsidRPr="00000000" w14:paraId="00000078">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9">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≥0,03</m:t>
              </m:r>
            </m:oMath>
            <w:r w:rsidDel="00000000" w:rsidR="00000000" w:rsidRPr="00000000">
              <w:rPr>
                <w:rtl w:val="0"/>
              </w:rPr>
            </w:r>
          </w:p>
          <w:p w:rsidR="00000000" w:rsidDel="00000000" w:rsidP="00000000" w:rsidRDefault="00000000" w:rsidRPr="00000000" w14:paraId="0000007A">
            <w:pPr>
              <w:jc w:val="center"/>
              <w:rPr>
                <w:rFonts w:ascii="Verdana" w:cs="Verdana" w:eastAsia="Verdana" w:hAnsi="Verdana"/>
                <w:sz w:val="22"/>
                <w:szCs w:val="22"/>
              </w:rPr>
            </w:pPr>
            <w:r w:rsidDel="00000000" w:rsidR="00000000" w:rsidRPr="00000000">
              <w:rPr>
                <w:rtl w:val="0"/>
              </w:rPr>
            </w:r>
          </w:p>
        </w:tc>
        <w:tc>
          <w:tcPr/>
          <w:p w:rsidR="00000000" w:rsidDel="00000000" w:rsidP="00000000" w:rsidRDefault="00000000" w:rsidRPr="00000000" w14:paraId="0000007B">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C">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≥0,04</m:t>
              </m:r>
            </m:oMath>
            <w:r w:rsidDel="00000000" w:rsidR="00000000" w:rsidRPr="00000000">
              <w:rPr>
                <w:rtl w:val="0"/>
              </w:rPr>
            </w:r>
          </w:p>
          <w:p w:rsidR="00000000" w:rsidDel="00000000" w:rsidP="00000000" w:rsidRDefault="00000000" w:rsidRPr="00000000" w14:paraId="0000007D">
            <w:pPr>
              <w:jc w:val="center"/>
              <w:rPr>
                <w:rFonts w:ascii="Verdana" w:cs="Verdana" w:eastAsia="Verdana" w:hAnsi="Verdana"/>
                <w:sz w:val="22"/>
                <w:szCs w:val="22"/>
              </w:rPr>
            </w:pPr>
            <w:r w:rsidDel="00000000" w:rsidR="00000000" w:rsidRPr="00000000">
              <w:rPr>
                <w:rtl w:val="0"/>
              </w:rPr>
            </w:r>
          </w:p>
        </w:tc>
      </w:tr>
      <w:tr>
        <w:trPr>
          <w:cantSplit w:val="1"/>
          <w:trHeight w:val="20" w:hRule="atLeast"/>
          <w:tblHeader w:val="0"/>
        </w:trPr>
        <w:tc>
          <w:tcPr>
            <w:vAlign w:val="center"/>
          </w:tcPr>
          <w:p w:rsidR="00000000" w:rsidDel="00000000" w:rsidP="00000000" w:rsidRDefault="00000000" w:rsidRPr="00000000" w14:paraId="0000007E">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F">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Rentabilidad del activo</w:t>
            </w:r>
          </w:p>
        </w:tc>
        <w:tc>
          <w:tcPr>
            <w:vAlign w:val="center"/>
          </w:tcPr>
          <w:p w:rsidR="00000000" w:rsidDel="00000000" w:rsidP="00000000" w:rsidRDefault="00000000" w:rsidRPr="00000000" w14:paraId="00000080">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1">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≥0,02</m:t>
              </m:r>
            </m:oMath>
            <w:r w:rsidDel="00000000" w:rsidR="00000000" w:rsidRPr="00000000">
              <w:rPr>
                <w:rtl w:val="0"/>
              </w:rPr>
            </w:r>
          </w:p>
          <w:p w:rsidR="00000000" w:rsidDel="00000000" w:rsidP="00000000" w:rsidRDefault="00000000" w:rsidRPr="00000000" w14:paraId="00000082">
            <w:pPr>
              <w:jc w:val="center"/>
              <w:rPr>
                <w:rFonts w:ascii="Verdana" w:cs="Verdana" w:eastAsia="Verdana" w:hAnsi="Verdana"/>
                <w:sz w:val="22"/>
                <w:szCs w:val="22"/>
              </w:rPr>
            </w:pPr>
            <w:r w:rsidDel="00000000" w:rsidR="00000000" w:rsidRPr="00000000">
              <w:rPr>
                <w:rtl w:val="0"/>
              </w:rPr>
            </w:r>
          </w:p>
        </w:tc>
        <w:tc>
          <w:tcPr/>
          <w:p w:rsidR="00000000" w:rsidDel="00000000" w:rsidP="00000000" w:rsidRDefault="00000000" w:rsidRPr="00000000" w14:paraId="00000083">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4">
            <w:pPr>
              <w:jc w:val="center"/>
              <w:rPr>
                <w:rFonts w:ascii="Cambria Math" w:cs="Cambria Math" w:eastAsia="Cambria Math" w:hAnsi="Cambria Math"/>
                <w:sz w:val="22"/>
                <w:szCs w:val="22"/>
              </w:rPr>
            </w:pPr>
            <m:oMath>
              <m:r>
                <w:rPr>
                  <w:rFonts w:ascii="Cambria Math" w:cs="Cambria Math" w:eastAsia="Cambria Math" w:hAnsi="Cambria Math"/>
                  <w:sz w:val="22"/>
                  <w:szCs w:val="22"/>
                </w:rPr>
                <m:t xml:space="preserve">≥0,03</m:t>
              </m:r>
            </m:oMath>
            <w:r w:rsidDel="00000000" w:rsidR="00000000" w:rsidRPr="00000000">
              <w:rPr>
                <w:rtl w:val="0"/>
              </w:rPr>
            </w:r>
          </w:p>
          <w:p w:rsidR="00000000" w:rsidDel="00000000" w:rsidP="00000000" w:rsidRDefault="00000000" w:rsidRPr="00000000" w14:paraId="00000085">
            <w:pPr>
              <w:jc w:val="center"/>
              <w:rPr>
                <w:rFonts w:ascii="Verdana" w:cs="Verdana" w:eastAsia="Verdana" w:hAnsi="Verdana"/>
                <w:sz w:val="22"/>
                <w:szCs w:val="22"/>
              </w:rPr>
            </w:pPr>
            <w:r w:rsidDel="00000000" w:rsidR="00000000" w:rsidRPr="00000000">
              <w:rPr>
                <w:rtl w:val="0"/>
              </w:rPr>
            </w:r>
          </w:p>
        </w:tc>
      </w:tr>
    </w:tbl>
    <w:p w:rsidR="00000000" w:rsidDel="00000000" w:rsidP="00000000" w:rsidRDefault="00000000" w:rsidRPr="00000000" w14:paraId="00000086">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87">
      <w:pPr>
        <w:jc w:val="both"/>
        <w:rPr>
          <w:rFonts w:ascii="Verdana" w:cs="Verdana" w:eastAsia="Verdana" w:hAnsi="Verdana"/>
          <w:color w:val="3a3939"/>
          <w:sz w:val="22"/>
          <w:szCs w:val="22"/>
        </w:rPr>
      </w:pPr>
      <w:r w:rsidDel="00000000" w:rsidR="00000000" w:rsidRPr="00000000">
        <w:rPr>
          <w:rtl w:val="0"/>
        </w:rPr>
      </w:r>
    </w:p>
    <w:p w:rsidR="00000000" w:rsidDel="00000000" w:rsidP="00000000" w:rsidRDefault="00000000" w:rsidRPr="00000000" w14:paraId="00000088">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9">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Nota: Los indicadores definidos en la presente matriz deben ser usados por las Entidades en la estructuración de los Documentos del Proceso de Contratación de concurso de méritos para contratar los servicios de consultoría de estudios de ingeniería para infraestructura social, de acuerdo con el rango en el cual se encuentro el presupuesto oficial del proceso de selección que se adelante.</w:t>
      </w:r>
    </w:p>
    <w:p w:rsidR="00000000" w:rsidDel="00000000" w:rsidP="00000000" w:rsidRDefault="00000000" w:rsidRPr="00000000" w14:paraId="0000008A">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B">
      <w:pPr>
        <w:jc w:val="both"/>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8C">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8D">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8E">
      <w:pPr>
        <w:rPr>
          <w:rFonts w:ascii="Verdana" w:cs="Verdana" w:eastAsia="Verdana" w:hAnsi="Verdana"/>
          <w:sz w:val="28"/>
          <w:szCs w:val="28"/>
        </w:rPr>
      </w:pP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418" w:top="1418"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 w:name="Cambria Math">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18"/>
        <w:szCs w:val="18"/>
        <w:highlight w:val="white"/>
        <w:u w:val="none"/>
        <w:vertAlign w:val="baseline"/>
        <w:rtl w:val="0"/>
      </w:rPr>
      <w:t xml:space="preserve">Versión 1 del 15 de diciembre de 2025 </w:t>
    </w:r>
    <w:r w:rsidDel="00000000" w:rsidR="00000000" w:rsidRPr="00000000">
      <w:rPr>
        <w:rtl w:val="0"/>
      </w:rPr>
    </w:r>
  </w:p>
  <w:p w:rsidR="00000000" w:rsidDel="00000000" w:rsidP="00000000" w:rsidRDefault="00000000" w:rsidRPr="00000000" w14:paraId="00000097">
    <w:pPr>
      <w:widowControl w:val="0"/>
      <w:spacing w:line="265" w:lineRule="auto"/>
      <w:ind w:left="-18" w:right="-38" w:firstLine="0"/>
      <w:jc w:val="right"/>
      <w:rPr>
        <w:rFonts w:ascii="Verdana" w:cs="Verdana" w:eastAsia="Verdana" w:hAnsi="Verdana"/>
        <w:color w:val="1a1818"/>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drawing>
        <wp:inline distB="0" distT="0" distL="0" distR="0">
          <wp:extent cx="1562642" cy="365821"/>
          <wp:effectExtent b="0" l="0" r="0" t="0"/>
          <wp:docPr id="7"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drawing>
        <wp:inline distB="0" distT="0" distL="0" distR="0">
          <wp:extent cx="5607050" cy="362585"/>
          <wp:effectExtent b="0" l="0" r="0" t="0"/>
          <wp:docPr id="6" name="image2.jpg"/>
          <a:graphic>
            <a:graphicData uri="http://schemas.openxmlformats.org/drawingml/2006/picture">
              <pic:pic>
                <pic:nvPicPr>
                  <pic:cNvPr id="0" name="image2.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F">
    <w:pPr>
      <w:tabs>
        <w:tab w:val="center" w:leader="none" w:pos="4419"/>
        <w:tab w:val="right" w:leader="none" w:pos="8838"/>
      </w:tabs>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MATRIZ 2 – INDICADORES FINANCIEROS Y ORGANIZACIONALES</w:t>
    </w:r>
  </w:p>
  <w:p w:rsidR="00000000" w:rsidDel="00000000" w:rsidP="00000000" w:rsidRDefault="00000000" w:rsidRPr="00000000" w14:paraId="00000090">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CONSULTORÍA DE ESTUDIOS DE INGENIERÍA</w:t>
    </w:r>
    <w:r w:rsidDel="00000000" w:rsidR="00000000" w:rsidRPr="00000000">
      <w:rPr>
        <w:rFonts w:ascii="Arial" w:cs="Arial" w:eastAsia="Arial" w:hAnsi="Arial"/>
        <w:b w:val="1"/>
        <w:bCs w:val="1"/>
        <w:sz w:val="20"/>
        <w:szCs w:val="20"/>
        <w:rtl w:val="0"/>
      </w:rPr>
      <w:t xml:space="preserve"> </w:t>
    </w:r>
    <w:r w:rsidDel="00000000" w:rsidR="00000000" w:rsidRPr="00000000">
      <w:rPr>
        <w:rFonts w:ascii="Verdana" w:cs="Verdana" w:eastAsia="Verdana" w:hAnsi="Verdana"/>
        <w:b w:val="1"/>
        <w:bCs w:val="1"/>
        <w:sz w:val="22"/>
        <w:szCs w:val="22"/>
        <w:rtl w:val="0"/>
      </w:rPr>
      <w:t xml:space="preserve">DE INFRAESTRUCTURA SOCIAL</w:t>
    </w:r>
  </w:p>
  <w:p w:rsidR="00000000" w:rsidDel="00000000" w:rsidP="00000000" w:rsidRDefault="00000000" w:rsidRPr="00000000" w14:paraId="00000091">
    <w:pPr>
      <w:jc w:val="center"/>
      <w:rPr>
        <w:rFonts w:ascii="Verdana" w:cs="Verdana" w:eastAsia="Verdana" w:hAnsi="Verdana"/>
        <w:b w:val="1"/>
        <w:bCs w:val="1"/>
        <w:color w:val="4e4d4d"/>
        <w:sz w:val="16"/>
        <w:szCs w:val="16"/>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drawing>
        <wp:inline distB="0" distT="0" distL="0" distR="0">
          <wp:extent cx="1500803" cy="616644"/>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pStyle w:val="Heading1"/>
      <w:rPr/>
    </w:pPr>
    <w:r w:rsidDel="00000000" w:rsidR="00000000" w:rsidRPr="00000000">
      <w:rPr>
        <w:rtl w:val="0"/>
      </w:rPr>
      <w:t xml:space="preserve">TÍTULO DEL DOCUMENTO</w:t>
    </w:r>
  </w:p>
  <w:p w:rsidR="00000000" w:rsidDel="00000000" w:rsidP="00000000" w:rsidRDefault="00000000" w:rsidRPr="00000000" w14:paraId="00000094">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_419"/>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jc w:val="both"/>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4F2C35"/>
    <w:pPr>
      <w:tabs>
        <w:tab w:val="center" w:pos="4419"/>
        <w:tab w:val="right" w:pos="8838"/>
      </w:tabs>
    </w:pPr>
  </w:style>
  <w:style w:type="character" w:styleId="EncabezadoCar" w:customStyle="1">
    <w:name w:val="Encabezado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semiHidden w:val="1"/>
    <w:unhideWhenUsed w:val="1"/>
    <w:rsid w:val="00F56D6D"/>
    <w:pPr>
      <w:spacing w:after="100" w:afterAutospacing="1" w:before="100" w:beforeAutospacing="1"/>
    </w:pPr>
    <w:rPr>
      <w:rFonts w:ascii="Times New Roman" w:cs="Times New Roman" w:eastAsia="Times New Roman" w:hAnsi="Times New Roman"/>
      <w:szCs w:val="24"/>
      <w:lang w:eastAsia="es-CO"/>
    </w:rPr>
  </w:style>
  <w:style w:type="paragraph" w:styleId="Sinespaciado">
    <w:name w:val="No Spacing"/>
    <w:aliases w:val="Encabezado CCE"/>
    <w:basedOn w:val="Normal"/>
    <w:next w:val="Normal"/>
    <w:uiPriority w:val="1"/>
    <w:qFormat w:val="1"/>
    <w:rsid w:val="00F56D6D"/>
    <w:pPr>
      <w:jc w:val="both"/>
    </w:pPr>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0"/>
      <w:szCs w:val="26"/>
    </w:rPr>
  </w:style>
  <w:style w:type="character" w:styleId="TtuloCar" w:customStyle="1">
    <w:name w:val="Título Car"/>
    <w:aliases w:val="Título 3 CCE Car"/>
    <w:basedOn w:val="Fuentedeprrafopredeter"/>
    <w:link w:val="Ttulo"/>
    <w:uiPriority w:val="10"/>
    <w:rsid w:val="00F56D6D"/>
    <w:rPr>
      <w:rFonts w:asciiTheme="majorHAnsi" w:cstheme="majorBidi" w:eastAsiaTheme="majorEastAsia" w:hAnsiTheme="majorHAnsi"/>
      <w:color w:val="4e4d4d" w:themeColor="background2"/>
      <w:spacing w:val="5"/>
      <w:kern w:val="28"/>
      <w:sz w:val="20"/>
      <w:szCs w:val="52"/>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basedOn w:val="Normal"/>
    <w:uiPriority w:val="34"/>
    <w:qFormat w:val="1"/>
    <w:rsid w:val="00B30435"/>
    <w:pPr>
      <w:ind w:left="720"/>
      <w:contextualSpacing w:val="1"/>
    </w:pPr>
  </w:style>
  <w:style w:type="table" w:styleId="Tablaconcuadrcula">
    <w:name w:val="Table Grid"/>
    <w:basedOn w:val="Tablanormal"/>
    <w:uiPriority w:val="5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rFonts w:ascii="Times New Roman" w:cs="Times New Roman" w:eastAsia="Times New Roman" w:hAnsi="Times New Roman"/>
      <w:szCs w:val="24"/>
      <w:lang w:eastAsia="es-CO" w:val="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Refdecomentario">
    <w:name w:val="annotation reference"/>
    <w:basedOn w:val="Fuentedeprrafopredeter"/>
    <w:uiPriority w:val="99"/>
    <w:semiHidden w:val="1"/>
    <w:unhideWhenUsed w:val="1"/>
    <w:rsid w:val="008B3011"/>
    <w:rPr>
      <w:sz w:val="16"/>
      <w:szCs w:val="16"/>
    </w:rPr>
  </w:style>
  <w:style w:type="paragraph" w:styleId="Textocomentario">
    <w:name w:val="annotation text"/>
    <w:basedOn w:val="Normal"/>
    <w:link w:val="TextocomentarioCar"/>
    <w:uiPriority w:val="99"/>
    <w:unhideWhenUsed w:val="1"/>
    <w:rsid w:val="008B3011"/>
    <w:rPr>
      <w:sz w:val="20"/>
      <w:szCs w:val="20"/>
    </w:rPr>
  </w:style>
  <w:style w:type="character" w:styleId="TextocomentarioCar" w:customStyle="1">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val="1"/>
    <w:unhideWhenUsed w:val="1"/>
    <w:rsid w:val="008B3011"/>
    <w:rPr>
      <w:b w:val="1"/>
      <w:bCs w:val="1"/>
    </w:rPr>
  </w:style>
  <w:style w:type="character" w:styleId="AsuntodelcomentarioCar" w:customStyle="1">
    <w:name w:val="Asunto del comentario Car"/>
    <w:basedOn w:val="TextocomentarioCar"/>
    <w:link w:val="Asuntodelcomentario"/>
    <w:uiPriority w:val="99"/>
    <w:semiHidden w:val="1"/>
    <w:rsid w:val="008B3011"/>
    <w:rPr>
      <w:b w:val="1"/>
      <w:bCs w:val="1"/>
      <w:sz w:val="20"/>
      <w:szCs w:val="20"/>
      <w:lang w:val="es-MX"/>
    </w:rPr>
  </w:style>
  <w:style w:type="table" w:styleId="Cuadrculadetablaclara1" w:customStyle="1">
    <w:name w:val="Cuadrícula de tabla clara1"/>
    <w:basedOn w:val="Tablanormal"/>
    <w:next w:val="Tablaconcuadrculaclara"/>
    <w:uiPriority w:val="99"/>
    <w:rsid w:val="00CD4C0E"/>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CD4C0E"/>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Cuadrculadetablaclara11" w:customStyle="1">
    <w:name w:val="Cuadrícula de tabla clara11"/>
    <w:basedOn w:val="Tablanormal"/>
    <w:next w:val="Tablaconcuadrculaclara"/>
    <w:uiPriority w:val="99"/>
    <w:rsid w:val="000C0D6C"/>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character" w:styleId="Mencinsinresolver">
    <w:name w:val="Unresolved Mention"/>
    <w:basedOn w:val="Fuentedeprrafopredeter"/>
    <w:uiPriority w:val="99"/>
    <w:unhideWhenUsed w:val="1"/>
    <w:rsid w:val="00607581"/>
    <w:rPr>
      <w:color w:val="605e5c"/>
      <w:shd w:color="auto" w:fill="e1dfdd" w:val="clear"/>
    </w:rPr>
  </w:style>
  <w:style w:type="character" w:styleId="Mencionar">
    <w:name w:val="Mention"/>
    <w:basedOn w:val="Fuentedeprrafopredeter"/>
    <w:uiPriority w:val="99"/>
    <w:unhideWhenUsed w:val="1"/>
    <w:rsid w:val="00607581"/>
    <w:rPr>
      <w:color w:val="2b579a"/>
      <w:shd w:color="auto" w:fill="e1dfdd" w:val="clear"/>
    </w:rPr>
  </w:style>
  <w:style w:type="paragraph" w:styleId="Revisin">
    <w:name w:val="Revision"/>
    <w:hidden w:val="1"/>
    <w:uiPriority w:val="99"/>
    <w:semiHidden w:val="1"/>
    <w:rsid w:val="002017B6"/>
    <w:pPr>
      <w:spacing w:after="0" w:line="240" w:lineRule="auto"/>
    </w:pPr>
    <w:rPr>
      <w:sz w:val="24"/>
      <w:lang w:val="es-MX"/>
    </w:rPr>
  </w:style>
  <w:style w:type="character" w:styleId="Textodelmarcadordeposicin">
    <w:name w:val="Placeholder Text"/>
    <w:basedOn w:val="Fuentedeprrafopredeter"/>
    <w:uiPriority w:val="99"/>
    <w:semiHidden w:val="1"/>
    <w:rsid w:val="00E51C27"/>
    <w:rPr>
      <w:color w:val="666666"/>
    </w:rPr>
  </w:style>
  <w:style w:type="paragraph" w:styleId="Subtitle">
    <w:name w:val="Subtitle"/>
    <w:basedOn w:val="Normal"/>
    <w:next w:val="Normal"/>
    <w:pPr/>
    <w:rPr>
      <w:rFonts w:ascii="Arial" w:cs="Arial" w:eastAsia="Arial" w:hAnsi="Arial"/>
      <w:i w:val="1"/>
      <w:iCs w:val="1"/>
      <w:color w:val="1a181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jegwehNZkP16FHZQah6XmdrKwA==">CgMxLjA4AHIhMUFITW5KRmRyc2pTVzBPRTEzV2NucHRocFRuYm55RGRH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2022-08-03T20:58:00Z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