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lp_header1.xml" ContentType="application/vnd.openxmlformats-officedocument.wordprocessingml.header+xml"/>
  <Override PartName="/word/lp_footer1.xml" ContentType="application/vnd.openxmlformats-officedocument.wordprocessingml.footer+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9D2E3C" w:rsidRDefault="0077727E" w:rsidP="0077727E">
      <w:pPr>
        <w:jc w:val="center"/>
        <w:rPr>
          <w:rFonts w:ascii="Verdana" w:hAnsi="Verdana" w:cs="Arial"/>
          <w:b/>
        </w:rPr>
      </w:pPr>
      <w:r w:rsidRPr="009D2E3C">
        <w:rPr>
          <w:rFonts w:ascii="Verdana" w:hAnsi="Verdana" w:cs="Arial"/>
          <w:b/>
        </w:rPr>
        <w:t>MATRIZ 3</w:t>
      </w:r>
      <w:r w:rsidR="00136C78" w:rsidRPr="009D2E3C">
        <w:rPr>
          <w:rFonts w:ascii="Verdana" w:hAnsi="Verdana" w:cs="Arial"/>
          <w:b/>
        </w:rPr>
        <w:t xml:space="preserve"> - </w:t>
      </w:r>
      <w:r w:rsidRPr="009D2E3C">
        <w:rPr>
          <w:rFonts w:ascii="Verdana" w:hAnsi="Verdana" w:cs="Arial"/>
          <w:b/>
        </w:rPr>
        <w:t>RIESGOS</w:t>
      </w:r>
    </w:p>
    <w:p w14:paraId="3146EDED" w14:textId="77777777" w:rsidR="00B81B1F" w:rsidRPr="009D2E3C" w:rsidRDefault="00B81B1F" w:rsidP="007C702A">
      <w:pPr>
        <w:rPr>
          <w:rFonts w:ascii="Verdana" w:hAnsi="Verdana" w:cs="Arial"/>
          <w:lang w:val="es-ES_tradnl" w:eastAsia="es-CO"/>
        </w:rPr>
      </w:pPr>
    </w:p>
    <w:p w14:paraId="0822FEEB" w14:textId="44C97520"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Para el </w:t>
      </w:r>
      <w:r w:rsidR="00580AAA" w:rsidRPr="009D2E3C">
        <w:rPr>
          <w:rFonts w:ascii="Verdana" w:hAnsi="Verdana" w:cs="Arial"/>
          <w:lang w:val="es-ES_tradnl" w:eastAsia="es-CO"/>
        </w:rPr>
        <w:t>P</w:t>
      </w:r>
      <w:r w:rsidRPr="009D2E3C">
        <w:rPr>
          <w:rFonts w:ascii="Verdana" w:hAnsi="Verdana" w:cs="Arial"/>
          <w:lang w:val="es-ES_tradnl" w:eastAsia="es-CO"/>
        </w:rPr>
        <w:t xml:space="preserve">roceso </w:t>
      </w:r>
      <w:r w:rsidR="00580AAA" w:rsidRPr="009D2E3C">
        <w:rPr>
          <w:rFonts w:ascii="Verdana" w:hAnsi="Verdana" w:cs="Arial"/>
          <w:lang w:val="es-ES_tradnl" w:eastAsia="es-CO"/>
        </w:rPr>
        <w:t>C</w:t>
      </w:r>
      <w:r w:rsidRPr="009D2E3C">
        <w:rPr>
          <w:rFonts w:ascii="Verdana" w:hAnsi="Verdana" w:cs="Arial"/>
          <w:lang w:val="es-ES_tradnl" w:eastAsia="es-CO"/>
        </w:rPr>
        <w:t xml:space="preserve">ontractual, en atención </w:t>
      </w:r>
      <w:r w:rsidR="00B81B1F" w:rsidRPr="009D2E3C">
        <w:rPr>
          <w:rFonts w:ascii="Verdana" w:hAnsi="Verdana" w:cs="Arial"/>
          <w:lang w:val="es-ES_tradnl" w:eastAsia="es-CO"/>
        </w:rPr>
        <w:t>a</w:t>
      </w:r>
      <w:r w:rsidR="00D55C91" w:rsidRPr="009D2E3C">
        <w:rPr>
          <w:rFonts w:ascii="Verdana" w:hAnsi="Verdana" w:cs="Arial"/>
          <w:lang w:val="es-ES_tradnl" w:eastAsia="es-CO"/>
        </w:rPr>
        <w:t xml:space="preserve"> lo dispuesto en</w:t>
      </w:r>
      <w:r w:rsidR="00B81B1F" w:rsidRPr="009D2E3C">
        <w:rPr>
          <w:rFonts w:ascii="Verdana" w:hAnsi="Verdana" w:cs="Arial"/>
          <w:lang w:val="es-ES_tradnl" w:eastAsia="es-CO"/>
        </w:rPr>
        <w:t xml:space="preserve"> la</w:t>
      </w:r>
      <w:r w:rsidRPr="009D2E3C">
        <w:rPr>
          <w:rFonts w:ascii="Verdana" w:hAnsi="Verdana" w:cs="Arial"/>
          <w:lang w:val="es-ES_tradnl" w:eastAsia="es-CO"/>
        </w:rPr>
        <w:t xml:space="preserve"> Ley 1150 de 2007 y</w:t>
      </w:r>
      <w:r w:rsidR="00357BA7" w:rsidRPr="009D2E3C">
        <w:rPr>
          <w:rFonts w:ascii="Verdana" w:hAnsi="Verdana" w:cs="Arial"/>
          <w:lang w:val="es-ES_tradnl" w:eastAsia="es-CO"/>
        </w:rPr>
        <w:t xml:space="preserve"> en </w:t>
      </w:r>
      <w:r w:rsidRPr="009D2E3C">
        <w:rPr>
          <w:rFonts w:ascii="Verdana" w:hAnsi="Verdana" w:cs="Arial"/>
          <w:lang w:val="es-ES_tradnl" w:eastAsia="es-CO"/>
        </w:rPr>
        <w:t>los artículos 2.2.1.1.1.3.1 y 2.2.1.1.1.6.</w:t>
      </w:r>
      <w:r w:rsidR="00B81B1F" w:rsidRPr="009D2E3C">
        <w:rPr>
          <w:rFonts w:ascii="Verdana" w:hAnsi="Verdana" w:cs="Arial"/>
          <w:lang w:val="es-ES_tradnl" w:eastAsia="es-CO"/>
        </w:rPr>
        <w:t>3. del</w:t>
      </w:r>
      <w:r w:rsidRPr="009D2E3C">
        <w:rPr>
          <w:rFonts w:ascii="Verdana" w:hAnsi="Verdana" w:cs="Arial"/>
          <w:lang w:val="es-ES_tradnl" w:eastAsia="es-CO"/>
        </w:rPr>
        <w:t xml:space="preserve"> Decreto </w:t>
      </w:r>
      <w:r w:rsidR="00B81B1F" w:rsidRPr="009D2E3C">
        <w:rPr>
          <w:rFonts w:ascii="Verdana" w:hAnsi="Verdana" w:cs="Arial"/>
          <w:lang w:val="es-ES_tradnl" w:eastAsia="es-CO"/>
        </w:rPr>
        <w:t>1082 de</w:t>
      </w:r>
      <w:r w:rsidR="006E6D9B" w:rsidRPr="009D2E3C">
        <w:rPr>
          <w:rFonts w:ascii="Verdana" w:hAnsi="Verdana" w:cs="Arial"/>
          <w:lang w:val="es-ES_tradnl" w:eastAsia="es-CO"/>
        </w:rPr>
        <w:t xml:space="preserve"> 2015, entiéndase por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la probabilidad de ocurrencia de eventos aleatorios que afecten el </w:t>
      </w:r>
      <w:r w:rsidR="0079189B" w:rsidRPr="009D2E3C">
        <w:rPr>
          <w:rFonts w:ascii="Verdana" w:hAnsi="Verdana" w:cs="Arial"/>
          <w:lang w:val="es-ES_tradnl" w:eastAsia="es-CO"/>
        </w:rPr>
        <w:t xml:space="preserve">Proceso de Contratación y el </w:t>
      </w:r>
      <w:r w:rsidRPr="009D2E3C">
        <w:rPr>
          <w:rFonts w:ascii="Verdana" w:hAnsi="Verdana" w:cs="Arial"/>
          <w:lang w:val="es-ES_tradnl" w:eastAsia="es-CO"/>
        </w:rPr>
        <w:t xml:space="preserve">desarrollo </w:t>
      </w:r>
      <w:r w:rsidR="001F774B" w:rsidRPr="009D2E3C">
        <w:rPr>
          <w:rFonts w:ascii="Verdana" w:hAnsi="Verdana" w:cs="Arial"/>
          <w:lang w:val="es-ES_tradnl" w:eastAsia="es-CO"/>
        </w:rPr>
        <w:t>de</w:t>
      </w:r>
      <w:r w:rsidR="00B923A4" w:rsidRPr="009D2E3C">
        <w:rPr>
          <w:rFonts w:ascii="Verdana" w:hAnsi="Verdana" w:cs="Arial"/>
          <w:lang w:val="es-ES_tradnl" w:eastAsia="es-CO"/>
        </w:rPr>
        <w:t>l contrato</w:t>
      </w:r>
      <w:r w:rsidRPr="009D2E3C">
        <w:rPr>
          <w:rFonts w:ascii="Verdana" w:hAnsi="Verdana" w:cs="Arial"/>
          <w:lang w:val="es-ES_tradnl" w:eastAsia="es-CO"/>
        </w:rPr>
        <w:t xml:space="preserve">, generando una variación sobre el resultado esperado, tanto en relación con los costos </w:t>
      </w:r>
      <w:r w:rsidR="00B81B1F" w:rsidRPr="009D2E3C">
        <w:rPr>
          <w:rFonts w:ascii="Verdana" w:hAnsi="Verdana" w:cs="Arial"/>
          <w:lang w:val="es-ES_tradnl" w:eastAsia="es-CO"/>
        </w:rPr>
        <w:t>como con</w:t>
      </w:r>
      <w:r w:rsidRPr="009D2E3C">
        <w:rPr>
          <w:rFonts w:ascii="Verdana" w:hAnsi="Verdana" w:cs="Arial"/>
          <w:lang w:val="es-ES_tradnl" w:eastAsia="es-CO"/>
        </w:rPr>
        <w:t xml:space="preserve"> las actividades a desarrollar en la ejecución contractual.</w:t>
      </w:r>
    </w:p>
    <w:p w14:paraId="419A2FA6" w14:textId="77777777" w:rsidR="00B81B1F" w:rsidRPr="009D2E3C" w:rsidRDefault="00B81B1F" w:rsidP="007C702A">
      <w:pPr>
        <w:rPr>
          <w:rFonts w:ascii="Verdana" w:hAnsi="Verdana" w:cs="Arial"/>
          <w:lang w:val="es-ES_tradnl" w:eastAsia="es-CO"/>
        </w:rPr>
      </w:pPr>
    </w:p>
    <w:p w14:paraId="5322C892" w14:textId="56A29DFB"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Corresponderá al </w:t>
      </w:r>
      <w:r w:rsidR="00D55C91" w:rsidRPr="009D2E3C">
        <w:rPr>
          <w:rFonts w:ascii="Verdana" w:hAnsi="Verdana" w:cs="Arial"/>
          <w:lang w:val="es-ES_tradnl" w:eastAsia="es-CO"/>
        </w:rPr>
        <w:t xml:space="preserve">Contratista </w:t>
      </w:r>
      <w:r w:rsidRPr="009D2E3C">
        <w:rPr>
          <w:rFonts w:ascii="Verdana" w:hAnsi="Verdana" w:cs="Arial"/>
          <w:lang w:val="es-ES_tradnl" w:eastAsia="es-CO"/>
        </w:rPr>
        <w:t>la asunción de</w:t>
      </w:r>
      <w:r w:rsidR="006E6D9B" w:rsidRPr="009D2E3C">
        <w:rPr>
          <w:rFonts w:ascii="Verdana" w:hAnsi="Verdana" w:cs="Arial"/>
          <w:lang w:val="es-ES_tradnl" w:eastAsia="es-CO"/>
        </w:rPr>
        <w:t xml:space="preserve">l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previsible propio de este tipo de contratación </w:t>
      </w:r>
      <w:r w:rsidR="000460C5" w:rsidRPr="009D2E3C">
        <w:rPr>
          <w:rFonts w:ascii="Verdana" w:hAnsi="Verdana" w:cs="Arial"/>
          <w:lang w:val="es-ES_tradnl" w:eastAsia="es-CO"/>
        </w:rPr>
        <w:t>incluyendo</w:t>
      </w:r>
      <w:r w:rsidRPr="009D2E3C">
        <w:rPr>
          <w:rFonts w:ascii="Verdana" w:hAnsi="Verdana" w:cs="Arial"/>
          <w:lang w:val="es-ES_tradnl" w:eastAsia="es-CO"/>
        </w:rPr>
        <w:t xml:space="preserve"> su costo, siempre que el mismo no se encuentre expresamente a </w:t>
      </w:r>
      <w:r w:rsidR="00D55C91" w:rsidRPr="009D2E3C">
        <w:rPr>
          <w:rFonts w:ascii="Verdana" w:hAnsi="Verdana" w:cs="Arial"/>
          <w:lang w:val="es-ES_tradnl" w:eastAsia="es-CO"/>
        </w:rPr>
        <w:t>asignado a</w:t>
      </w:r>
      <w:r w:rsidRPr="009D2E3C">
        <w:rPr>
          <w:rFonts w:ascii="Verdana" w:hAnsi="Verdana" w:cs="Arial"/>
          <w:lang w:val="es-ES_tradnl" w:eastAsia="es-CO"/>
        </w:rPr>
        <w:t xml:space="preserve"> la Entidad</w:t>
      </w:r>
      <w:r w:rsidR="00D55C91" w:rsidRPr="009D2E3C">
        <w:rPr>
          <w:rFonts w:ascii="Verdana" w:hAnsi="Verdana" w:cs="Arial"/>
          <w:lang w:val="es-ES_tradnl" w:eastAsia="es-CO"/>
        </w:rPr>
        <w:t xml:space="preserve"> Estatal</w:t>
      </w:r>
      <w:r w:rsidRPr="009D2E3C">
        <w:rPr>
          <w:rFonts w:ascii="Verdana" w:hAnsi="Verdana" w:cs="Arial"/>
          <w:lang w:val="es-ES_tradnl" w:eastAsia="es-CO"/>
        </w:rPr>
        <w:t xml:space="preserve"> en el </w:t>
      </w:r>
      <w:r w:rsidR="005100C3" w:rsidRPr="009D2E3C">
        <w:rPr>
          <w:rFonts w:ascii="Verdana" w:hAnsi="Verdana" w:cs="Arial"/>
          <w:lang w:val="es-ES_tradnl" w:eastAsia="es-CO"/>
        </w:rPr>
        <w:t>c</w:t>
      </w:r>
      <w:r w:rsidR="006830E6" w:rsidRPr="009D2E3C">
        <w:rPr>
          <w:rFonts w:ascii="Verdana" w:hAnsi="Verdana" w:cs="Arial"/>
          <w:lang w:val="es-ES_tradnl" w:eastAsia="es-CO"/>
        </w:rPr>
        <w:t>ontrato</w:t>
      </w:r>
      <w:r w:rsidRPr="009D2E3C">
        <w:rPr>
          <w:rFonts w:ascii="Verdana" w:hAnsi="Verdana" w:cs="Arial"/>
          <w:lang w:val="es-ES_tradnl" w:eastAsia="es-CO"/>
        </w:rPr>
        <w:t xml:space="preserve">. </w:t>
      </w:r>
    </w:p>
    <w:p w14:paraId="78757E00" w14:textId="77777777" w:rsidR="00B81B1F" w:rsidRPr="009D2E3C" w:rsidRDefault="00B81B1F" w:rsidP="007C702A">
      <w:pPr>
        <w:rPr>
          <w:rFonts w:ascii="Verdana" w:hAnsi="Verdana" w:cs="Arial"/>
          <w:lang w:val="es-ES_tradnl" w:eastAsia="es-CO"/>
        </w:rPr>
      </w:pPr>
    </w:p>
    <w:p w14:paraId="4E6FB498" w14:textId="1711978F" w:rsidR="00545461" w:rsidRPr="009D2E3C" w:rsidRDefault="006E6D9B" w:rsidP="007C702A">
      <w:pPr>
        <w:rPr>
          <w:rFonts w:ascii="Verdana" w:hAnsi="Verdana" w:cs="Arial"/>
          <w:lang w:val="es-ES_tradnl" w:eastAsia="es-CO"/>
        </w:rPr>
      </w:pPr>
      <w:r w:rsidRPr="009D2E3C">
        <w:rPr>
          <w:rFonts w:ascii="Verdana" w:hAnsi="Verdana" w:cs="Arial"/>
          <w:lang w:val="es-ES_tradnl" w:eastAsia="es-CO"/>
        </w:rPr>
        <w:t xml:space="preserve">De acuerdo con </w:t>
      </w:r>
      <w:r w:rsidR="00AF41A0" w:rsidRPr="009D2E3C">
        <w:rPr>
          <w:rFonts w:ascii="Verdana" w:hAnsi="Verdana" w:cs="Arial"/>
          <w:lang w:val="es-ES_tradnl" w:eastAsia="es-CO"/>
        </w:rPr>
        <w:t>procedimiento</w:t>
      </w:r>
      <w:r w:rsidR="00545461" w:rsidRPr="009D2E3C">
        <w:rPr>
          <w:rFonts w:ascii="Verdana" w:hAnsi="Verdana" w:cs="Arial"/>
          <w:lang w:val="es-ES_tradnl" w:eastAsia="es-CO"/>
        </w:rPr>
        <w:t xml:space="preserve"> de la referencia, </w:t>
      </w:r>
      <w:r w:rsidR="00845529" w:rsidRPr="009D2E3C">
        <w:rPr>
          <w:rFonts w:ascii="Verdana" w:hAnsi="Verdana" w:cs="Arial"/>
          <w:lang w:val="es-ES_tradnl" w:eastAsia="es-CO"/>
        </w:rPr>
        <w:t>se establece</w:t>
      </w:r>
      <w:r w:rsidR="00545461" w:rsidRPr="009D2E3C">
        <w:rPr>
          <w:rFonts w:ascii="Verdana" w:hAnsi="Verdana" w:cs="Arial"/>
          <w:lang w:val="es-ES_tradnl" w:eastAsia="es-CO"/>
        </w:rPr>
        <w:t xml:space="preserve"> la tipificación, estimación y asignación de los </w:t>
      </w:r>
      <w:r w:rsidR="00D55C91" w:rsidRPr="009D2E3C">
        <w:rPr>
          <w:rFonts w:ascii="Verdana" w:hAnsi="Verdana" w:cs="Arial"/>
          <w:lang w:val="es-ES_tradnl" w:eastAsia="es-CO"/>
        </w:rPr>
        <w:t xml:space="preserve">Riesgos </w:t>
      </w:r>
      <w:r w:rsidR="00545461" w:rsidRPr="009D2E3C">
        <w:rPr>
          <w:rFonts w:ascii="Verdana" w:hAnsi="Verdana" w:cs="Arial"/>
          <w:lang w:val="es-ES_tradnl" w:eastAsia="es-CO"/>
        </w:rPr>
        <w:t xml:space="preserve">previsibles que puedan afectar el </w:t>
      </w:r>
      <w:r w:rsidR="00D55C91" w:rsidRPr="009D2E3C">
        <w:rPr>
          <w:rFonts w:ascii="Verdana" w:hAnsi="Verdana" w:cs="Arial"/>
          <w:lang w:val="es-ES_tradnl" w:eastAsia="es-CO"/>
        </w:rPr>
        <w:t xml:space="preserve">Proceso </w:t>
      </w:r>
      <w:r w:rsidR="000460C5" w:rsidRPr="009D2E3C">
        <w:rPr>
          <w:rFonts w:ascii="Verdana" w:hAnsi="Verdana" w:cs="Arial"/>
          <w:lang w:val="es-ES_tradnl" w:eastAsia="es-CO"/>
        </w:rPr>
        <w:t xml:space="preserve">de </w:t>
      </w:r>
      <w:r w:rsidR="00D55C91" w:rsidRPr="009D2E3C">
        <w:rPr>
          <w:rFonts w:ascii="Verdana" w:hAnsi="Verdana" w:cs="Arial"/>
          <w:lang w:val="es-ES_tradnl" w:eastAsia="es-CO"/>
        </w:rPr>
        <w:t>Contr</w:t>
      </w:r>
      <w:r w:rsidR="007E3D57" w:rsidRPr="009D2E3C">
        <w:rPr>
          <w:rFonts w:ascii="Verdana" w:hAnsi="Verdana" w:cs="Arial"/>
          <w:lang w:val="es-ES_tradnl" w:eastAsia="es-CO"/>
        </w:rPr>
        <w:t>ata</w:t>
      </w:r>
      <w:r w:rsidR="00D55C91" w:rsidRPr="009D2E3C">
        <w:rPr>
          <w:rFonts w:ascii="Verdana" w:hAnsi="Verdana" w:cs="Arial"/>
          <w:lang w:val="es-ES_tradnl" w:eastAsia="es-CO"/>
        </w:rPr>
        <w:t>c</w:t>
      </w:r>
      <w:r w:rsidR="000460C5" w:rsidRPr="009D2E3C">
        <w:rPr>
          <w:rFonts w:ascii="Verdana" w:hAnsi="Verdana" w:cs="Arial"/>
          <w:lang w:val="es-ES_tradnl" w:eastAsia="es-CO"/>
        </w:rPr>
        <w:t>ión</w:t>
      </w:r>
      <w:r w:rsidR="00545461" w:rsidRPr="009D2E3C">
        <w:rPr>
          <w:rFonts w:ascii="Verdana" w:hAnsi="Verdana" w:cs="Arial"/>
          <w:lang w:val="es-ES_tradnl" w:eastAsia="es-CO"/>
        </w:rPr>
        <w:t>.</w:t>
      </w:r>
    </w:p>
    <w:p w14:paraId="2E7008F5" w14:textId="77777777" w:rsidR="00545461" w:rsidRPr="009D2E3C" w:rsidRDefault="00545461" w:rsidP="007C702A">
      <w:pPr>
        <w:rPr>
          <w:rFonts w:ascii="Verdana" w:hAnsi="Verdana" w:cs="Arial"/>
          <w:lang w:val="es-ES_tradnl" w:eastAsia="es-CO"/>
        </w:rPr>
      </w:pPr>
    </w:p>
    <w:p w14:paraId="1B145B66" w14:textId="18F006B1" w:rsidR="00D70D7B" w:rsidRPr="009D2E3C" w:rsidRDefault="00017FCD" w:rsidP="007C702A">
      <w:pPr>
        <w:rPr>
          <w:rFonts w:ascii="Verdana" w:hAnsi="Verdana" w:cs="Arial"/>
          <w:lang w:val="es-ES_tradnl" w:eastAsia="es-CO"/>
        </w:rPr>
      </w:pPr>
      <w:r w:rsidRPr="009D2E3C">
        <w:rPr>
          <w:rFonts w:ascii="Verdana" w:hAnsi="Verdana" w:cs="Arial"/>
          <w:lang w:val="es-ES_tradnl" w:eastAsia="es-CO"/>
        </w:rPr>
        <w:t>La</w:t>
      </w:r>
      <w:r w:rsidR="00D70D7B" w:rsidRPr="009D2E3C">
        <w:rPr>
          <w:rFonts w:ascii="Verdana" w:hAnsi="Verdana" w:cs="Arial"/>
          <w:lang w:val="es-ES_tradnl" w:eastAsia="es-CO"/>
        </w:rPr>
        <w:t xml:space="preserve"> tipificación, estimación y asignación de los </w:t>
      </w:r>
      <w:r w:rsidR="00D55C91" w:rsidRPr="009D2E3C">
        <w:rPr>
          <w:rFonts w:ascii="Verdana" w:hAnsi="Verdana" w:cs="Arial"/>
          <w:lang w:val="es-ES_tradnl" w:eastAsia="es-CO"/>
        </w:rPr>
        <w:t xml:space="preserve">Riesgos </w:t>
      </w:r>
      <w:r w:rsidR="00D70D7B" w:rsidRPr="009D2E3C">
        <w:rPr>
          <w:rFonts w:ascii="Verdana" w:hAnsi="Verdana" w:cs="Arial"/>
          <w:lang w:val="es-ES_tradnl" w:eastAsia="es-CO"/>
        </w:rPr>
        <w:t xml:space="preserve">que puedan afectar el </w:t>
      </w:r>
      <w:r w:rsidR="00D55C91" w:rsidRPr="009D2E3C">
        <w:rPr>
          <w:rFonts w:ascii="Verdana" w:hAnsi="Verdana" w:cs="Arial"/>
          <w:lang w:val="es-ES_tradnl" w:eastAsia="es-CO"/>
        </w:rPr>
        <w:t xml:space="preserve">Proceso </w:t>
      </w:r>
      <w:r w:rsidR="00D70D7B" w:rsidRPr="009D2E3C">
        <w:rPr>
          <w:rFonts w:ascii="Verdana" w:hAnsi="Verdana" w:cs="Arial"/>
          <w:lang w:val="es-ES_tradnl" w:eastAsia="es-CO"/>
        </w:rPr>
        <w:t xml:space="preserve">de </w:t>
      </w:r>
      <w:r w:rsidR="00D55C91" w:rsidRPr="009D2E3C">
        <w:rPr>
          <w:rFonts w:ascii="Verdana" w:hAnsi="Verdana" w:cs="Arial"/>
          <w:lang w:val="es-ES_tradnl" w:eastAsia="es-CO"/>
        </w:rPr>
        <w:t xml:space="preserve">Contratación </w:t>
      </w:r>
      <w:r w:rsidR="00D70D7B" w:rsidRPr="009D2E3C">
        <w:rPr>
          <w:rFonts w:ascii="Verdana" w:hAnsi="Verdana" w:cs="Arial"/>
          <w:lang w:val="es-ES_tradnl" w:eastAsia="es-CO"/>
        </w:rPr>
        <w:t xml:space="preserve">o la ejecución del </w:t>
      </w:r>
      <w:r w:rsidR="005E730D" w:rsidRPr="009D2E3C">
        <w:rPr>
          <w:rFonts w:ascii="Verdana" w:hAnsi="Verdana" w:cs="Arial"/>
          <w:lang w:val="es-ES_tradnl" w:eastAsia="es-CO"/>
        </w:rPr>
        <w:t>c</w:t>
      </w:r>
      <w:r w:rsidR="00D70D7B" w:rsidRPr="009D2E3C">
        <w:rPr>
          <w:rFonts w:ascii="Verdana" w:hAnsi="Verdana" w:cs="Arial"/>
          <w:lang w:val="es-ES_tradnl" w:eastAsia="es-CO"/>
        </w:rPr>
        <w:t>ontrato se realizó con base en lo señalado en el Manual para la Identificación y Cobertura del Riesgo expedido por Colombia Compra Eficiente y el Documento C</w:t>
      </w:r>
      <w:r w:rsidR="00507FAA" w:rsidRPr="009D2E3C">
        <w:rPr>
          <w:rFonts w:ascii="Verdana" w:hAnsi="Verdana" w:cs="Arial"/>
          <w:lang w:val="es-ES_tradnl" w:eastAsia="es-CO"/>
        </w:rPr>
        <w:t>ONPES</w:t>
      </w:r>
      <w:r w:rsidR="00D70D7B" w:rsidRPr="009D2E3C">
        <w:rPr>
          <w:rFonts w:ascii="Verdana" w:hAnsi="Verdana" w:cs="Arial"/>
          <w:lang w:val="es-ES_tradnl" w:eastAsia="es-CO"/>
        </w:rPr>
        <w:t xml:space="preserve"> 3714 de 2011</w:t>
      </w:r>
      <w:r w:rsidR="006E6D9B" w:rsidRPr="009D2E3C">
        <w:rPr>
          <w:rFonts w:ascii="Verdana" w:hAnsi="Verdana" w:cs="Arial"/>
          <w:lang w:val="es-ES_tradnl" w:eastAsia="es-CO"/>
        </w:rPr>
        <w:t>.</w:t>
      </w:r>
    </w:p>
    <w:p w14:paraId="77031AF6" w14:textId="250AF235" w:rsidR="0058222E" w:rsidRPr="009D2E3C" w:rsidRDefault="0058222E" w:rsidP="007C702A">
      <w:pPr>
        <w:rPr>
          <w:rFonts w:ascii="Verdana" w:hAnsi="Verdana" w:cs="Arial"/>
          <w:lang w:val="es-ES_tradnl" w:eastAsia="es-CO"/>
        </w:rPr>
      </w:pPr>
    </w:p>
    <w:p w14:paraId="2FFAB3E5" w14:textId="4B3D818D" w:rsidR="006E6D9B" w:rsidRPr="009D2E3C" w:rsidRDefault="006E6D9B" w:rsidP="007C702A">
      <w:pPr>
        <w:rPr>
          <w:rFonts w:ascii="Verdana" w:hAnsi="Verdana" w:cs="Arial"/>
          <w:lang w:val="es-ES_tradnl" w:eastAsia="es-CO"/>
        </w:rPr>
      </w:pPr>
      <w:r>
        <w:rPr>
          <w:rFonts w:ascii="Verdana" w:hAnsi="Verdana" w:cs="Arial"/>
          <w:lang w:val="es-ES_tradnl" w:eastAsia="es-CO"/>
        </w:rPr>
        <w:t>Proceso: concurso de méritos para la INTERVENTORÍA AL CONTRATO DE OBRA PÚBLICA PARA EL MEJORAMIENTO DE LA INFRAESTRUCTURA FÍSICA DEL POLIDEPORTIVO DE LA INSTITUCIÓN EDUCATIVA LA POPA, EN EL MUNICIPIO DE LA TEBAIDA, QUINDÍO, MEDIANTE LA CONSTRUCCIÓN DE UNA ESTRUCTURA METÁLICA PARA CUBIERTA. Presupuesto oficial: $70.109.445 (IVA incluido). Plazo: dos (2) meses.</w:t>
      </w:r>
    </w:p>
    <w:p w14:paraId="6AE0CF7D" w14:textId="4309164F" w:rsidR="0058222E" w:rsidRPr="009D2E3C" w:rsidRDefault="0058222E" w:rsidP="00D70D7B">
      <w:pPr>
        <w:spacing w:after="100" w:afterAutospacing="1"/>
        <w:rPr>
          <w:rFonts w:ascii="Verdana" w:eastAsia="SimSun" w:hAnsi="Verdana" w:cs="Arial"/>
          <w:b/>
          <w:kern w:val="3"/>
          <w:u w:val="single"/>
          <w:lang w:eastAsia="zh-CN" w:bidi="hi-IN"/>
        </w:rPr>
      </w:pPr>
    </w:p>
    <w:p w14:paraId="53DA53C9" w14:textId="6F89F60D" w:rsidR="005E5030" w:rsidRPr="009D2E3C" w:rsidRDefault="001246B3" w:rsidP="001246B3">
      <w:pPr>
        <w:rPr>
          <w:rFonts w:ascii="Verdana" w:eastAsia="SimSun" w:hAnsi="Verdana" w:cs="Arial"/>
          <w:b/>
          <w:kern w:val="3"/>
          <w:u w:val="single"/>
          <w:lang w:eastAsia="zh-CN" w:bidi="hi-IN"/>
        </w:rPr>
      </w:pPr>
      <w:r>
        <w:rPr>
          <w:rFonts w:ascii="Verdana" w:hAnsi="Verdana" w:cs="Arial"/>
          <w:lang w:val="es-ES_tradnl" w:eastAsia="es-CO"/>
        </w:rPr>
        <w:t>Escala de valoración: probabilidad (1 raro, 2 improbable, 3 posible, 4 probable) e impacto (1 insignificante, 2 menor, 3 moderado, 4 mayor). Valoración = probabilidad + impacto. Categoría: 2 a 4 riesgo bajo; 5 riesgo medio; 6 a 8 riesgo alto. Es la misma escala usada en la matriz de riesgos del proceso de obra LP-001-2026.</w:t>
      </w:r>
    </w:p>
    <w:p w14:paraId="50AA65CC" w14:textId="77777777" w:rsidR="005E5030" w:rsidRPr="009D2E3C" w:rsidRDefault="005E5030" w:rsidP="00D70D7B">
      <w:pPr>
        <w:spacing w:after="100" w:afterAutospacing="1"/>
        <w:rPr>
          <w:rFonts w:ascii="Verdana" w:eastAsia="SimSun" w:hAnsi="Verdana" w:cs="Arial"/>
          <w:b/>
          <w:kern w:val="3"/>
          <w:u w:val="single"/>
          <w:lang w:eastAsia="zh-CN" w:bidi="hi-IN"/>
        </w:rPr>
      </w:pPr>
    </w:p>
    <w:p w14:paraId="4D84E88B" w14:textId="7A09FB5C" w:rsidR="0058222E" w:rsidRPr="009D2E3C" w:rsidRDefault="00815604" w:rsidP="00D70D7B">
      <w:pPr>
        <w:spacing w:after="100" w:afterAutospacing="1"/>
        <w:rPr>
          <w:rFonts w:ascii="Verdana" w:eastAsia="SimSun" w:hAnsi="Verdana" w:cs="Arial"/>
          <w:kern w:val="3"/>
          <w:lang w:eastAsia="zh-CN" w:bidi="hi-IN"/>
        </w:rPr>
      </w:pPr>
      <w:r w:rsidRPr="009D2E3C">
        <w:rPr>
          <w:rFonts w:ascii="Verdana" w:eastAsia="SimSun" w:hAnsi="Verdana" w:cs="Arial"/>
          <w:b/>
          <w:kern w:val="3"/>
          <w:u w:val="single"/>
          <w:lang w:eastAsia="zh-CN" w:bidi="hi-IN"/>
        </w:rPr>
        <w:t xml:space="preserve">Matriz de </w:t>
      </w:r>
      <w:r w:rsidR="00E011A2" w:rsidRPr="009D2E3C">
        <w:rPr>
          <w:rFonts w:ascii="Verdana" w:eastAsia="SimSun" w:hAnsi="Verdana" w:cs="Arial"/>
          <w:b/>
          <w:kern w:val="3"/>
          <w:u w:val="single"/>
          <w:lang w:eastAsia="zh-CN" w:bidi="hi-IN"/>
        </w:rPr>
        <w:t>r</w:t>
      </w:r>
      <w:r w:rsidRPr="009D2E3C">
        <w:rPr>
          <w:rFonts w:ascii="Verdana" w:eastAsia="SimSun" w:hAnsi="Verdana" w:cs="Arial"/>
          <w:b/>
          <w:kern w:val="3"/>
          <w:u w:val="single"/>
          <w:lang w:eastAsia="zh-CN" w:bidi="hi-IN"/>
        </w:rPr>
        <w:t>iesgos</w:t>
      </w:r>
    </w:p>
    <w:p w14:paraId="7ED9F954" w14:textId="77777777" w:rsidR="00815604" w:rsidRPr="009D2E3C" w:rsidRDefault="00815604" w:rsidP="00D70D7B">
      <w:pPr>
        <w:spacing w:after="100" w:afterAutospacing="1"/>
        <w:rPr>
          <w:rFonts w:ascii="Verdana" w:eastAsia="SimSun" w:hAnsi="Verdana" w:cs="Arial"/>
          <w:kern w:val="3"/>
          <w:lang w:eastAsia="zh-CN" w:bidi="hi-IN"/>
        </w:rPr>
      </w:pPr>
    </w:p>
    <w:tbl>
      <w:tblPr>
        <w:tblStyle w:val="Tablaconcuadrcula"/>
        <w:tblW w:w="14400" w:type="dxa"/>
        <w:tblLayout w:type="fixed"/>
        <w:tblLook w:val="04A0" w:firstRow="1" w:lastRow="0" w:firstColumn="1" w:lastColumn="0" w:noHBand="0" w:noVBand="1"/>
      </w:tblPr>
      <w:tblGrid>
        <w:gridCol w:w="270"/>
        <w:gridCol w:w="540"/>
        <w:gridCol w:w="495"/>
        <w:gridCol w:w="675"/>
        <w:gridCol w:w="675"/>
        <w:gridCol w:w="1710"/>
        <w:gridCol w:w="1260"/>
        <w:gridCol w:w="324"/>
        <w:gridCol w:w="324"/>
        <w:gridCol w:w="378"/>
        <w:gridCol w:w="504"/>
        <w:gridCol w:w="630"/>
        <w:gridCol w:w="1800"/>
        <w:gridCol w:w="324"/>
        <w:gridCol w:w="324"/>
        <w:gridCol w:w="378"/>
        <w:gridCol w:w="504"/>
        <w:gridCol w:w="405"/>
        <w:gridCol w:w="765"/>
        <w:gridCol w:w="675"/>
        <w:gridCol w:w="810"/>
        <w:gridCol w:w="630"/>
      </w:tblGrid>
      <w:tr w:rsidR="00F711B1" w:rsidRPr="00BF54E3" w14:paraId="64A698D4" w14:textId="77777777" w:rsidTr="00BF2138">
        <w:trPr>
          <w:cantSplit/>
          <w:trHeight w:val="1212"/>
        </w:trPr>
        <w:tc>
          <w:tcPr>
            <w:tcW w:w="270" w:type="dxa"/>
            <w:vMerge w:val="restart"/>
            <w:shd w:val="clear" w:color="auto" w:fill="4D4D4D"/>
            <w:textDirection w:val="btLr"/>
          </w:tcPr>
          <w:p w14:paraId="0B3F0DBF"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lastRenderedPageBreak/>
              <w:t>No.</w:t>
            </w:r>
          </w:p>
        </w:tc>
        <w:tc>
          <w:tcPr>
            <w:tcW w:w="540" w:type="dxa"/>
            <w:vMerge w:val="restart"/>
            <w:shd w:val="clear" w:color="auto" w:fill="4D4D4D"/>
            <w:textDirection w:val="btLr"/>
          </w:tcPr>
          <w:p w14:paraId="0CFF002D"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Clase</w:t>
            </w:r>
          </w:p>
        </w:tc>
        <w:tc>
          <w:tcPr>
            <w:tcW w:w="495" w:type="dxa"/>
            <w:vMerge w:val="restart"/>
            <w:shd w:val="clear" w:color="auto" w:fill="4D4D4D"/>
            <w:textDirection w:val="btLr"/>
          </w:tcPr>
          <w:p w14:paraId="2DB68322"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Fuente</w:t>
            </w:r>
          </w:p>
        </w:tc>
        <w:tc>
          <w:tcPr>
            <w:tcW w:w="675" w:type="dxa"/>
            <w:vMerge w:val="restart"/>
            <w:shd w:val="clear" w:color="auto" w:fill="4D4D4D"/>
            <w:textDirection w:val="btLr"/>
          </w:tcPr>
          <w:p w14:paraId="4DD17F73"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Etapa</w:t>
            </w:r>
          </w:p>
        </w:tc>
        <w:tc>
          <w:tcPr>
            <w:tcW w:w="675" w:type="dxa"/>
            <w:vMerge w:val="restart"/>
            <w:shd w:val="clear" w:color="auto" w:fill="4D4D4D"/>
            <w:textDirection w:val="btLr"/>
          </w:tcPr>
          <w:p w14:paraId="79133F48"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Tipo</w:t>
            </w:r>
          </w:p>
        </w:tc>
        <w:tc>
          <w:tcPr>
            <w:tcW w:w="1710" w:type="dxa"/>
            <w:vMerge w:val="restart"/>
            <w:shd w:val="clear" w:color="auto" w:fill="4D4D4D"/>
            <w:textDirection w:val="btLr"/>
          </w:tcPr>
          <w:p w14:paraId="726FAB8F"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Descripción</w:t>
            </w:r>
          </w:p>
          <w:p w14:paraId="41157746"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(Qué puede pasar y como puede ocurrir)</w:t>
            </w:r>
          </w:p>
          <w:p w14:paraId="6F8D88AD"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p>
        </w:tc>
        <w:tc>
          <w:tcPr>
            <w:tcW w:w="1260" w:type="dxa"/>
            <w:vMerge w:val="restart"/>
            <w:shd w:val="clear" w:color="auto" w:fill="4D4D4D"/>
            <w:textDirection w:val="btLr"/>
          </w:tcPr>
          <w:p w14:paraId="23C1434B"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Consecuencia de la ocurrencia del evento</w:t>
            </w:r>
          </w:p>
        </w:tc>
        <w:tc>
          <w:tcPr>
            <w:tcW w:w="324" w:type="dxa"/>
            <w:vMerge w:val="restart"/>
            <w:shd w:val="clear" w:color="auto" w:fill="4D4D4D"/>
            <w:textDirection w:val="btLr"/>
          </w:tcPr>
          <w:p w14:paraId="483F6432"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Probabilidad</w:t>
            </w:r>
          </w:p>
        </w:tc>
        <w:tc>
          <w:tcPr>
            <w:tcW w:w="324" w:type="dxa"/>
            <w:vMerge w:val="restart"/>
            <w:shd w:val="clear" w:color="auto" w:fill="4D4D4D"/>
            <w:textDirection w:val="btLr"/>
          </w:tcPr>
          <w:p w14:paraId="42F3A4BC"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Impacto</w:t>
            </w:r>
          </w:p>
        </w:tc>
        <w:tc>
          <w:tcPr>
            <w:tcW w:w="378" w:type="dxa"/>
            <w:vMerge w:val="restart"/>
            <w:shd w:val="clear" w:color="auto" w:fill="4D4D4D"/>
            <w:textDirection w:val="btLr"/>
          </w:tcPr>
          <w:p w14:paraId="1803A095"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Valoración del riesgo</w:t>
            </w:r>
          </w:p>
        </w:tc>
        <w:tc>
          <w:tcPr>
            <w:tcW w:w="504" w:type="dxa"/>
            <w:vMerge w:val="restart"/>
            <w:shd w:val="clear" w:color="auto" w:fill="4D4D4D"/>
            <w:textDirection w:val="btLr"/>
          </w:tcPr>
          <w:p w14:paraId="5E343743"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sz w:val="14"/>
                <w:lang w:eastAsia="zh-CN" w:bidi="hi-IN"/>
              </w:rPr>
              <w:t>Categoría</w:t>
            </w:r>
          </w:p>
        </w:tc>
        <w:tc>
          <w:tcPr>
            <w:tcW w:w="630" w:type="dxa"/>
            <w:vMerge w:val="restart"/>
            <w:shd w:val="clear" w:color="auto" w:fill="BFBFBF" w:themeFill="background1" w:themeFillShade="BF"/>
            <w:textDirection w:val="btLr"/>
          </w:tcPr>
          <w:p w14:paraId="1438FBF4"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sz w:val="14"/>
                <w:lang w:eastAsia="zh-CN" w:bidi="hi-IN"/>
              </w:rPr>
              <w:t>¿A quién se le asigna?</w:t>
            </w:r>
          </w:p>
        </w:tc>
        <w:tc>
          <w:tcPr>
            <w:tcW w:w="1800" w:type="dxa"/>
            <w:vMerge w:val="restart"/>
            <w:shd w:val="clear" w:color="auto" w:fill="BFBFBF" w:themeFill="background1" w:themeFillShade="BF"/>
            <w:textDirection w:val="btLr"/>
          </w:tcPr>
          <w:p w14:paraId="692687B8"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sz w:val="14"/>
                <w:lang w:eastAsia="zh-CN" w:bidi="hi-IN"/>
              </w:rPr>
              <w:t>Tratamiento/Controles a ser implementados</w:t>
            </w:r>
          </w:p>
        </w:tc>
        <w:tc>
          <w:tcPr>
            <w:tcW w:w="1530" w:type="dxa"/>
            <w:gridSpan w:val="4"/>
            <w:shd w:val="clear" w:color="auto" w:fill="BFBFBF" w:themeFill="background1" w:themeFillShade="BF"/>
          </w:tcPr>
          <w:p w14:paraId="06319402"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3707D55D"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260FE87D" w14:textId="77777777" w:rsidR="0076567A" w:rsidRDefault="0076567A" w:rsidP="0076567A">
            <w:pPr>
              <w:spacing w:after="100" w:afterAutospacing="1"/>
              <w:jc w:val="center"/>
              <w:rPr>
                <w:rFonts w:ascii="Verdana" w:eastAsia="SimSun" w:hAnsi="Verdana" w:cs="Arial"/>
                <w:b/>
                <w:bCs/>
                <w:kern w:val="3"/>
                <w:lang w:eastAsia="zh-CN" w:bidi="hi-IN"/>
              </w:rPr>
            </w:pPr>
            <w:r w:rsidRPr="009D2E3C">
              <w:rPr>
                <w:rFonts w:ascii="Verdana" w:eastAsia="SimSun" w:hAnsi="Verdana" w:cs="Arial"/>
                <w:b/>
                <w:bCs/>
                <w:kern w:val="3"/>
                <w:sz w:val="14"/>
                <w:lang w:eastAsia="zh-CN" w:bidi="hi-IN"/>
              </w:rPr>
              <w:t>Impacto después del tratamiento</w:t>
            </w:r>
          </w:p>
          <w:p w14:paraId="5AB57CFC" w14:textId="77777777" w:rsidR="009D2E3C" w:rsidRPr="009D2E3C" w:rsidRDefault="009D2E3C" w:rsidP="009D2E3C">
            <w:pPr>
              <w:rPr>
                <w:rFonts w:ascii="Verdana" w:eastAsia="SimSun" w:hAnsi="Verdana" w:cs="Arial"/>
                <w:lang w:eastAsia="zh-CN" w:bidi="hi-IN"/>
              </w:rPr>
            </w:pPr>
          </w:p>
          <w:p w14:paraId="3D353A54" w14:textId="77777777" w:rsidR="009D2E3C" w:rsidRPr="009D2E3C" w:rsidRDefault="009D2E3C" w:rsidP="009D2E3C">
            <w:pPr>
              <w:rPr>
                <w:rFonts w:ascii="Verdana" w:eastAsia="SimSun" w:hAnsi="Verdana" w:cs="Arial"/>
                <w:lang w:eastAsia="zh-CN" w:bidi="hi-IN"/>
              </w:rPr>
            </w:pPr>
          </w:p>
          <w:p w14:paraId="5BBFA147" w14:textId="77777777" w:rsidR="009D2E3C" w:rsidRPr="009D2E3C" w:rsidRDefault="009D2E3C" w:rsidP="009D2E3C">
            <w:pPr>
              <w:rPr>
                <w:rFonts w:ascii="Verdana" w:eastAsia="SimSun" w:hAnsi="Verdana" w:cs="Arial"/>
                <w:lang w:eastAsia="zh-CN" w:bidi="hi-IN"/>
              </w:rPr>
            </w:pPr>
          </w:p>
          <w:p w14:paraId="163F7478" w14:textId="77777777" w:rsidR="009D2E3C" w:rsidRPr="009D2E3C" w:rsidRDefault="009D2E3C" w:rsidP="009D2E3C">
            <w:pPr>
              <w:rPr>
                <w:rFonts w:ascii="Verdana" w:eastAsia="SimSun" w:hAnsi="Verdana" w:cs="Arial"/>
                <w:lang w:eastAsia="zh-CN" w:bidi="hi-IN"/>
              </w:rPr>
            </w:pPr>
          </w:p>
          <w:p w14:paraId="429112F2" w14:textId="619B19F3" w:rsidR="009D2E3C" w:rsidRPr="009D2E3C" w:rsidRDefault="009D2E3C" w:rsidP="009D2E3C">
            <w:pPr>
              <w:rPr>
                <w:rFonts w:ascii="Verdana" w:eastAsia="SimSun" w:hAnsi="Verdana" w:cs="Arial"/>
                <w:lang w:eastAsia="zh-CN" w:bidi="hi-IN"/>
              </w:rPr>
            </w:pPr>
          </w:p>
        </w:tc>
        <w:tc>
          <w:tcPr>
            <w:tcW w:w="405" w:type="dxa"/>
            <w:vMerge w:val="restart"/>
            <w:shd w:val="clear" w:color="auto" w:fill="BFBFBF" w:themeFill="background1" w:themeFillShade="BF"/>
            <w:textDirection w:val="btLr"/>
          </w:tcPr>
          <w:p w14:paraId="5290B6AA"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sz w:val="14"/>
                <w:lang w:eastAsia="zh-CN" w:bidi="hi-IN"/>
              </w:rPr>
              <w:t>¿Afecta la ejecución del contrato?</w:t>
            </w:r>
          </w:p>
        </w:tc>
        <w:tc>
          <w:tcPr>
            <w:tcW w:w="765" w:type="dxa"/>
            <w:vMerge w:val="restart"/>
            <w:shd w:val="clear" w:color="auto" w:fill="BFBFBF" w:themeFill="background1" w:themeFillShade="BF"/>
            <w:textDirection w:val="btLr"/>
          </w:tcPr>
          <w:p w14:paraId="14BC6F0D"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sz w:val="14"/>
                <w:lang w:eastAsia="zh-CN" w:bidi="hi-IN"/>
              </w:rPr>
              <w:t>Persona responsable por implementar el tratamiento</w:t>
            </w:r>
          </w:p>
        </w:tc>
        <w:tc>
          <w:tcPr>
            <w:tcW w:w="675" w:type="dxa"/>
            <w:vMerge w:val="restart"/>
            <w:shd w:val="clear" w:color="auto" w:fill="BFBFBF" w:themeFill="background1" w:themeFillShade="BF"/>
            <w:textDirection w:val="btLr"/>
          </w:tcPr>
          <w:p w14:paraId="1BFD10A7"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sz w:val="14"/>
                <w:lang w:eastAsia="zh-CN" w:bidi="hi-IN"/>
              </w:rPr>
              <w:t>Fecha estimada en que se completa el tratamiento</w:t>
            </w:r>
          </w:p>
        </w:tc>
        <w:tc>
          <w:tcPr>
            <w:tcW w:w="1440" w:type="dxa"/>
            <w:gridSpan w:val="2"/>
            <w:shd w:val="clear" w:color="auto" w:fill="BFBFBF" w:themeFill="background1" w:themeFillShade="BF"/>
          </w:tcPr>
          <w:p w14:paraId="5674A2B8"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539354B2"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56250110" w14:textId="77777777" w:rsidR="0076567A" w:rsidRPr="009D2E3C" w:rsidRDefault="0076567A" w:rsidP="0076567A">
            <w:pPr>
              <w:spacing w:after="100" w:afterAutospacing="1"/>
              <w:jc w:val="center"/>
              <w:rPr>
                <w:rFonts w:ascii="Verdana" w:eastAsia="SimSun" w:hAnsi="Verdana" w:cs="Arial"/>
                <w:b/>
                <w:bCs/>
                <w:kern w:val="3"/>
                <w:lang w:eastAsia="zh-CN" w:bidi="hi-IN"/>
              </w:rPr>
            </w:pPr>
            <w:r w:rsidRPr="009D2E3C">
              <w:rPr>
                <w:rFonts w:ascii="Verdana" w:eastAsia="SimSun" w:hAnsi="Verdana" w:cs="Arial"/>
                <w:b/>
                <w:bCs/>
                <w:kern w:val="3"/>
                <w:sz w:val="14"/>
                <w:lang w:eastAsia="zh-CN" w:bidi="hi-IN"/>
              </w:rPr>
              <w:t>Monitoreo y revisión</w:t>
            </w:r>
          </w:p>
        </w:tc>
      </w:tr>
      <w:tr w:rsidR="00F711B1" w:rsidRPr="00BF54E3" w14:paraId="678B7917" w14:textId="77777777" w:rsidTr="00BF2138">
        <w:trPr>
          <w:cantSplit/>
          <w:trHeight w:val="2063"/>
        </w:trPr>
        <w:tc>
          <w:tcPr>
            <w:tcW w:w="270" w:type="dxa"/>
            <w:vMerge/>
            <w:shd w:val="clear" w:color="auto" w:fill="4D4D4D"/>
            <w:textDirection w:val="btLr"/>
          </w:tcPr>
          <w:p w14:paraId="6641EAEF"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540" w:type="dxa"/>
            <w:vMerge/>
            <w:shd w:val="clear" w:color="auto" w:fill="4D4D4D"/>
            <w:textDirection w:val="btLr"/>
          </w:tcPr>
          <w:p w14:paraId="09DEBE93"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95" w:type="dxa"/>
            <w:vMerge/>
            <w:shd w:val="clear" w:color="auto" w:fill="4D4D4D"/>
            <w:textDirection w:val="btLr"/>
          </w:tcPr>
          <w:p w14:paraId="4141C885"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675" w:type="dxa"/>
            <w:vMerge/>
            <w:shd w:val="clear" w:color="auto" w:fill="4D4D4D"/>
            <w:textDirection w:val="btLr"/>
          </w:tcPr>
          <w:p w14:paraId="13B67C39"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675" w:type="dxa"/>
            <w:vMerge/>
            <w:shd w:val="clear" w:color="auto" w:fill="4D4D4D"/>
            <w:textDirection w:val="btLr"/>
          </w:tcPr>
          <w:p w14:paraId="5AC84B61"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1710" w:type="dxa"/>
            <w:vMerge/>
            <w:shd w:val="clear" w:color="auto" w:fill="4D4D4D"/>
            <w:textDirection w:val="btLr"/>
          </w:tcPr>
          <w:p w14:paraId="5100BCAD"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1260" w:type="dxa"/>
            <w:vMerge/>
            <w:shd w:val="clear" w:color="auto" w:fill="4D4D4D"/>
            <w:textDirection w:val="btLr"/>
          </w:tcPr>
          <w:p w14:paraId="24531D07"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324" w:type="dxa"/>
            <w:vMerge/>
            <w:shd w:val="clear" w:color="auto" w:fill="4D4D4D"/>
            <w:textDirection w:val="btLr"/>
          </w:tcPr>
          <w:p w14:paraId="238D69C4"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324" w:type="dxa"/>
            <w:vMerge/>
            <w:shd w:val="clear" w:color="auto" w:fill="4D4D4D"/>
            <w:textDirection w:val="btLr"/>
          </w:tcPr>
          <w:p w14:paraId="031F3DFA"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378" w:type="dxa"/>
            <w:vMerge/>
            <w:shd w:val="clear" w:color="auto" w:fill="4D4D4D"/>
            <w:textDirection w:val="btLr"/>
          </w:tcPr>
          <w:p w14:paraId="60995505"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504" w:type="dxa"/>
            <w:vMerge/>
            <w:shd w:val="clear" w:color="auto" w:fill="4D4D4D"/>
            <w:textDirection w:val="btLr"/>
          </w:tcPr>
          <w:p w14:paraId="755F794E"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630" w:type="dxa"/>
            <w:vMerge/>
            <w:shd w:val="clear" w:color="auto" w:fill="BFBFBF" w:themeFill="background1" w:themeFillShade="BF"/>
            <w:textDirection w:val="btLr"/>
          </w:tcPr>
          <w:p w14:paraId="6ABDAA08"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1800" w:type="dxa"/>
            <w:vMerge/>
            <w:shd w:val="clear" w:color="auto" w:fill="BFBFBF" w:themeFill="background1" w:themeFillShade="BF"/>
            <w:textDirection w:val="btLr"/>
          </w:tcPr>
          <w:p w14:paraId="0930E920"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324" w:type="dxa"/>
            <w:shd w:val="clear" w:color="auto" w:fill="BFBFBF" w:themeFill="background1" w:themeFillShade="BF"/>
            <w:textDirection w:val="btLr"/>
          </w:tcPr>
          <w:p w14:paraId="346C1989"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sz w:val="14"/>
                <w:lang w:eastAsia="zh-CN" w:bidi="hi-IN"/>
              </w:rPr>
              <w:t>Probabilidad</w:t>
            </w:r>
          </w:p>
        </w:tc>
        <w:tc>
          <w:tcPr>
            <w:tcW w:w="324" w:type="dxa"/>
            <w:shd w:val="clear" w:color="auto" w:fill="BFBFBF" w:themeFill="background1" w:themeFillShade="BF"/>
            <w:textDirection w:val="btLr"/>
          </w:tcPr>
          <w:p w14:paraId="321C7D5A"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sz w:val="14"/>
                <w:lang w:eastAsia="zh-CN" w:bidi="hi-IN"/>
              </w:rPr>
              <w:t>Impacto</w:t>
            </w:r>
          </w:p>
        </w:tc>
        <w:tc>
          <w:tcPr>
            <w:tcW w:w="378" w:type="dxa"/>
            <w:shd w:val="clear" w:color="auto" w:fill="BFBFBF" w:themeFill="background1" w:themeFillShade="BF"/>
            <w:textDirection w:val="btLr"/>
          </w:tcPr>
          <w:p w14:paraId="0A01C4B5"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sz w:val="14"/>
                <w:lang w:eastAsia="zh-CN" w:bidi="hi-IN"/>
              </w:rPr>
              <w:t>Valoración del Riesgo</w:t>
            </w:r>
          </w:p>
        </w:tc>
        <w:tc>
          <w:tcPr>
            <w:tcW w:w="504" w:type="dxa"/>
            <w:shd w:val="clear" w:color="auto" w:fill="BFBFBF" w:themeFill="background1" w:themeFillShade="BF"/>
            <w:textDirection w:val="btLr"/>
          </w:tcPr>
          <w:p w14:paraId="00E41386"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sz w:val="14"/>
                <w:lang w:eastAsia="zh-CN" w:bidi="hi-IN"/>
              </w:rPr>
              <w:t>Categoría</w:t>
            </w:r>
          </w:p>
        </w:tc>
        <w:tc>
          <w:tcPr>
            <w:tcW w:w="405" w:type="dxa"/>
            <w:vMerge/>
            <w:shd w:val="clear" w:color="auto" w:fill="BFBFBF" w:themeFill="background1" w:themeFillShade="BF"/>
            <w:textDirection w:val="btLr"/>
          </w:tcPr>
          <w:p w14:paraId="48CD9EE5"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765" w:type="dxa"/>
            <w:vMerge/>
            <w:shd w:val="clear" w:color="auto" w:fill="BFBFBF" w:themeFill="background1" w:themeFillShade="BF"/>
            <w:textDirection w:val="btLr"/>
          </w:tcPr>
          <w:p w14:paraId="13559F45"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675" w:type="dxa"/>
            <w:vMerge/>
            <w:shd w:val="clear" w:color="auto" w:fill="BFBFBF" w:themeFill="background1" w:themeFillShade="BF"/>
            <w:textDirection w:val="btLr"/>
          </w:tcPr>
          <w:p w14:paraId="56CBE478"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810" w:type="dxa"/>
            <w:shd w:val="clear" w:color="auto" w:fill="BFBFBF" w:themeFill="background1" w:themeFillShade="BF"/>
            <w:textDirection w:val="btLr"/>
          </w:tcPr>
          <w:p w14:paraId="6708B798"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sz w:val="14"/>
                <w:lang w:eastAsia="zh-CN" w:bidi="hi-IN"/>
              </w:rPr>
              <w:t>¿Cómo se realiza el monitoreo?</w:t>
            </w:r>
          </w:p>
        </w:tc>
        <w:tc>
          <w:tcPr>
            <w:tcW w:w="630" w:type="dxa"/>
            <w:shd w:val="clear" w:color="auto" w:fill="BFBFBF" w:themeFill="background1" w:themeFillShade="BF"/>
            <w:textDirection w:val="btLr"/>
          </w:tcPr>
          <w:p w14:paraId="5478208D"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sz w:val="14"/>
                <w:lang w:eastAsia="zh-CN" w:bidi="hi-IN"/>
              </w:rPr>
              <w:t>Periodicidad</w:t>
            </w:r>
          </w:p>
          <w:p w14:paraId="1F85B55D"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sz w:val="14"/>
                <w:lang w:eastAsia="zh-CN" w:bidi="hi-IN"/>
              </w:rPr>
              <w:t>¿Cuándo?</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1</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Específico</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Externo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Operacional</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Retrasos o suspensiones del contrato de obra por causas no imputables al interventor (clima, incumplimiento del contratista de obra, hallazgos técnicos).</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Mayor permanencia de la interventoría sin recursos; reclamaciones económicas del interventor.</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6</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alto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Entidad</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Suspender simultáneamente ambos contratos cuando se suspenda la obra; pagos mensuales contra actividad efectivamente ejecutada; seguimiento estricto del cronograma de obra y aplicación de multas al contratista de obra.</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5</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medio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Sí</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Supervisor del contrato</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Informes mensuales de interventoría y actas de comité</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Mensual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General</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Interno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Selección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Económico</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La oferta del interventor no alcanza a cubrir el equipo y los costos exigidos (precio artificialmente bajo o mal estructurado).</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Incumplimiento de dedicaciones y de la calidad del servicio.</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5</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medio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Contratista</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Aplicar el art. 2.2.1.1.2.2.4 del Decreto 1082 de 2015 y la Guía de CCE para ofertas artificialmente bajas; verificar la estructura de costos frente al presupuesto oficial.</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4</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Sí</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Comité evaluador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Evaluación de ofertas</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Revisión de la oferta económica</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Única</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General</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Interno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Operacional</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El interventor no mantiene el Personal Clave Evaluable ofrecido o no cumple las dedicaciones (Director 50 %, Residente 100 %, SST 100 %).</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Control deficiente de la obra; pérdida de las condiciones que dieron puntaje.</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5</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medio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Contratista</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Verificar los soportes del personal antes del acta de inicio; exigir planillas de dedicación; aplicar multas por cambios no autorizados (minuta tipo).</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4</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Sí</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Supervisor del contrato</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Verificación de planillas y visitas de supervisión</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Mensual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4</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Específico</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Interno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Operacional</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La interventoría no detecta a tiempo defectos en la cimentación, la estructura metálica (soldaduras, anclajes, protección anticorrosiva) o la cubierta.</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Obras con defectos recibidas a satisfacción; costos de reparación; riesgo para los usuarios.</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4</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6</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alto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Contratista</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Plan de inspección y ensayos aprobado; participación del Especialista en Estructuras en cimentación y montaje; certificados de materiales; amparo de calidad del servicio con vigencia igual a la estabilidad de la obra (par. art. 85 Ley 1474 de 2011).</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4</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5</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medio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Sí</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Interventor / Supervisor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Informes técnicos, resultados de ensayos y visitas de obra</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Semanal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5</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Específico</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Interno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Financiero</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Control insuficiente sobre el anticipo del contrato de obra (plan de inversión, giros, amortización, rendimientos).</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Uso indebido de recursos públicos; detrimento patrimonial.</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4</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6</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alto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Contratista</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Aprobar el plan de inversión antes del desembolso; verificar el patrimonio autónomo (art. 91 Ley 1474 de 2011); autorizar giros contra soportes; informe mensual del anticipo con extractos fiduciarios.</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4</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Sí</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Interventor / Supervisor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Revisión de extractos y del informe de anticipo</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Mensual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6</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General</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Interno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Operacional</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Accidentes del personal de la interventoría durante las visitas a la obra, en especial durante el montaje en alturas.</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Lesiones, reclamaciones y suspensión de actividades.</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5</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medio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Contratista</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Afiliación a ARL, EPP, certificación de trabajo en alturas para el personal que suba a la estructura, y cumplimiento de la Res. 312 de 2019 y la Res. 4272 de 2021.</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4</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No</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Interventor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Verificación del programa de SST del interventor</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Mensual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7</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Específico</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Externo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Social o político</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Fallas en la vigilancia del aislamiento del área de obra dentro de la institución educativa en funcionamiento.</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para estudiantes y docentes; quejas de la comunidad; suspensión de la obra.</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5</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medio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Contratista</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Exigir al contratista de obra cerramiento, señalización y horarios coordinados con la IE; incluirlo en los informes de interventoría; socialización con la comunidad educativa.</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Sí</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Interventor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Visitas de obra y registro fotográfico</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Semanal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8</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Específico</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Externo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Operacional</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Los estudios y diseños (consultoría de 2018 ratificada en 2025) resultan insuficientes y exigen ajustes durante la ejecución.</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Mayores cantidades, ítems no previstos, prórrogas de obra y mayor carga para la interventoría.</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5</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medio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Entidad</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Revisión de los diseños por la interventoría antes del inicio de la obra; concepto técnico previo sobre cualquier ajuste; trámite oportuno de modificaciones.</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4</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Sí</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Supervisor / Interventor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Antes del inicio de la obra</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Concepto escrito de revisión de diseños</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Única, con seguimiento semanal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9</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General</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Externo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Financiero</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Demora en los pagos al interventor por PAC o por el flujo de recursos del convenio.</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Afectación del flujo de caja del interventor; reclamaciones.</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4</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bajo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Entidad</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Programar el PAC con los pagos mensuales previstos; seguimiento al giro de los aportes del convenio.</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No</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Secretaría de Hacienda / Supervisor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Seguimiento a las cuentas radicadas</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Mensual</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10</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General</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Externo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Regulatorio</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Cambios normativos posteriores al cierre que afecten directamente la ecuación económica del contrato (salvo tributos que ya estaban vigentes al cierre).</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Desequilibrio económico.</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1</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3</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bajo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Entidad</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Análisis del impacto y, si procede, restablecimiento del equilibrio en los términos de la ley.</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No</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Supervisor / Dirección Jurídica</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Seguimiento normativo</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Cuando ocurra</w:t>
            </w:r>
          </w:p>
        </w:tc>
      </w:tr>
      <w:tr w:rsidR="00D02C93" w:rsidRPr="00BF54E3" w14:paraId="52FADA9D" w14:textId="77777777" w:rsidTr="00F711B1">
        <w:trPr>
          <w:cantSplit/>
          <w:trHeight w:val="466"/>
        </w:trPr>
        <w:tc>
          <w:tcPr>
            <w:tcW w:w="270"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11</w:t>
            </w:r>
          </w:p>
        </w:tc>
        <w:tc>
          <w:tcPr>
            <w:tcW w:w="540"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General</w:t>
            </w:r>
          </w:p>
        </w:tc>
        <w:tc>
          <w:tcPr>
            <w:tcW w:w="495"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Externo</w:t>
            </w:r>
          </w:p>
        </w:tc>
        <w:tc>
          <w:tcPr>
            <w:tcW w:w="675"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Ejecución</w:t>
            </w:r>
          </w:p>
        </w:tc>
        <w:tc>
          <w:tcPr>
            <w:tcW w:w="67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De la naturaleza</w:t>
            </w:r>
          </w:p>
        </w:tc>
        <w:tc>
          <w:tcPr>
            <w:tcW w:w="1710"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Lluvias intensas o eventos naturales que impidan el trabajo de campo de la interventoría.</w:t>
            </w:r>
          </w:p>
        </w:tc>
        <w:tc>
          <w:tcPr>
            <w:tcW w:w="1260"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Retrasos en actividades de verificación.</w:t>
            </w:r>
          </w:p>
        </w:tc>
        <w:tc>
          <w:tcPr>
            <w:tcW w:w="324"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24"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2</w:t>
            </w:r>
          </w:p>
        </w:tc>
        <w:tc>
          <w:tcPr>
            <w:tcW w:w="378"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4</w:t>
            </w:r>
          </w:p>
        </w:tc>
        <w:tc>
          <w:tcPr>
            <w:tcW w:w="504"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r>
              <w:rPr>
                <w:sz w:val="14"/>
              </w:rPr>
              <w:t>Riesgo bajo</w:t>
            </w:r>
          </w:p>
        </w:tc>
        <w:tc>
          <w:tcPr>
            <w:tcW w:w="630"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Ambos, según la causa</w:t>
            </w:r>
          </w:p>
        </w:tc>
        <w:tc>
          <w:tcPr>
            <w:tcW w:w="1800"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Programar las verificaciones críticas (fundida de concreto, montaje) de acuerdo con el clima; suspensión si se configura fuerza mayor.</w:t>
            </w:r>
          </w:p>
        </w:tc>
        <w:tc>
          <w:tcPr>
            <w:tcW w:w="324"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1</w:t>
            </w:r>
          </w:p>
        </w:tc>
        <w:tc>
          <w:tcPr>
            <w:tcW w:w="324"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2</w:t>
            </w:r>
          </w:p>
        </w:tc>
        <w:tc>
          <w:tcPr>
            <w:tcW w:w="378"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3</w:t>
            </w:r>
          </w:p>
        </w:tc>
        <w:tc>
          <w:tcPr>
            <w:tcW w:w="504"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Riesgo bajo</w:t>
            </w:r>
          </w:p>
        </w:tc>
        <w:tc>
          <w:tcPr>
            <w:tcW w:w="405"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No</w:t>
            </w:r>
          </w:p>
        </w:tc>
        <w:tc>
          <w:tcPr>
            <w:tcW w:w="765"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Interventor</w:t>
            </w:r>
          </w:p>
        </w:tc>
        <w:tc>
          <w:tcPr>
            <w:tcW w:w="675"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Durante la ejecución</w:t>
            </w:r>
          </w:p>
        </w:tc>
        <w:tc>
          <w:tcPr>
            <w:tcW w:w="810"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Cuadro de estado del tiempo en los informes</w:t>
            </w:r>
          </w:p>
        </w:tc>
        <w:tc>
          <w:tcPr>
            <w:tcW w:w="630"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r>
              <w:rPr>
                <w:sz w:val="14"/>
              </w:rPr>
              <w:t>Mensual</w:t>
            </w:r>
          </w:p>
        </w:tc>
      </w:tr>
    </w:tbl>
    <w:p w14:paraId="168C9C57" w14:textId="06F368D3" w:rsidR="00D70D7B" w:rsidRPr="009D2E3C" w:rsidRDefault="00D70D7B" w:rsidP="00D70D7B">
      <w:pPr>
        <w:spacing w:after="100" w:afterAutospacing="1"/>
        <w:rPr>
          <w:rFonts w:ascii="Verdana" w:eastAsia="SimSun" w:hAnsi="Verdana" w:cs="Arial"/>
          <w:kern w:val="3"/>
          <w:lang w:eastAsia="zh-CN" w:bidi="hi-IN"/>
        </w:rPr>
      </w:pPr>
    </w:p>
    <w:p/>
    <w:p>
      <w:r>
        <w:rPr>
          <w:sz w:val="18"/>
        </w:rPr>
        <w:t>Elaboró: Secretaría de Infraestructura – Municipio de La Tebaida. Revisión jurídica: Victor Londoño, abogado contratista. Aprobó: Héctor Iván Gutiérrez Salazar, Secretario de Infraestructura.</w:t>
      </w:r>
    </w:p>
    <w:sectPr w:rsidR="00D70D7B" w:rsidRPr="009D2E3C" w:rsidSect="00703038">
      <w:headerReference w:type="default" r:id="rIdLPH"/>
      <w:footerReference w:type="default" r:id="rIdLPF"/>
      <w:pgSz w:w="18720" w:h="12240" w:orient="landscape" w:code="41"/>
      <w:pgMar w:top="1411" w:right="1134" w:bottom="1411" w:left="1134" w:header="34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D029E" w14:textId="77777777" w:rsidR="00BA783B" w:rsidRDefault="00BA783B" w:rsidP="00091875">
      <w:pPr>
        <w:spacing w:line="240" w:lineRule="auto"/>
      </w:pPr>
      <w:r>
        <w:separator/>
      </w:r>
    </w:p>
  </w:endnote>
  <w:endnote w:type="continuationSeparator" w:id="0">
    <w:p w14:paraId="6F384731" w14:textId="77777777" w:rsidR="00BA783B" w:rsidRDefault="00BA783B" w:rsidP="00091875">
      <w:pPr>
        <w:spacing w:line="240" w:lineRule="auto"/>
      </w:pPr>
      <w:r>
        <w:continuationSeparator/>
      </w:r>
    </w:p>
  </w:endnote>
  <w:endnote w:type="continuationNotice" w:id="1">
    <w:p w14:paraId="4B335C1D" w14:textId="77777777" w:rsidR="00BA783B" w:rsidRDefault="00BA78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E5EB" w14:textId="77777777" w:rsidR="003D160D" w:rsidRDefault="003D160D" w:rsidP="003D160D">
    <w:pPr>
      <w:pStyle w:val="Piedepgina"/>
      <w:jc w:val="right"/>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21ED77E0" w14:textId="21233D5A" w:rsidR="00091875" w:rsidRPr="009D2E3C" w:rsidRDefault="00091875" w:rsidP="009D2E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80D0C" w14:textId="77777777" w:rsidR="00BA783B" w:rsidRDefault="00BA783B" w:rsidP="00091875">
      <w:pPr>
        <w:spacing w:line="240" w:lineRule="auto"/>
      </w:pPr>
      <w:r>
        <w:separator/>
      </w:r>
    </w:p>
  </w:footnote>
  <w:footnote w:type="continuationSeparator" w:id="0">
    <w:p w14:paraId="546CF82A" w14:textId="77777777" w:rsidR="00BA783B" w:rsidRDefault="00BA783B" w:rsidP="00091875">
      <w:pPr>
        <w:spacing w:line="240" w:lineRule="auto"/>
      </w:pPr>
      <w:r>
        <w:continuationSeparator/>
      </w:r>
    </w:p>
  </w:footnote>
  <w:footnote w:type="continuationNotice" w:id="1">
    <w:p w14:paraId="0DED30F7" w14:textId="77777777" w:rsidR="00BA783B" w:rsidRDefault="00BA783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9E58F" w14:textId="5E090311" w:rsidR="00C71F76" w:rsidRDefault="00C71F76">
    <w:pPr>
      <w:pStyle w:val="Encabezado"/>
    </w:pPr>
  </w:p>
  <w:p w14:paraId="6473718E" w14:textId="77777777" w:rsidR="00BF54E3" w:rsidRPr="009D2E3C" w:rsidRDefault="00BF54E3" w:rsidP="00BF54E3">
    <w:pPr>
      <w:pStyle w:val="Encabezado"/>
      <w:jc w:val="center"/>
      <w:rPr>
        <w:rFonts w:ascii="Verdana" w:hAnsi="Verdana" w:cs="Arial"/>
        <w:b/>
        <w:sz w:val="24"/>
        <w:szCs w:val="24"/>
      </w:rPr>
    </w:pPr>
    <w:r w:rsidRPr="009D2E3C">
      <w:rPr>
        <w:rFonts w:ascii="Verdana" w:hAnsi="Verdana" w:cs="Arial"/>
        <w:b/>
        <w:sz w:val="24"/>
        <w:szCs w:val="24"/>
      </w:rPr>
      <w:t>MATRIZ 3 - RIESGOS</w:t>
    </w:r>
  </w:p>
  <w:p w14:paraId="7C8A65E1" w14:textId="3BD84880" w:rsidR="00BF54E3" w:rsidRPr="009D2E3C" w:rsidRDefault="00BF54E3" w:rsidP="009D2E3C">
    <w:pPr>
      <w:pStyle w:val="Encabezado"/>
      <w:jc w:val="center"/>
      <w:rPr>
        <w:rFonts w:ascii="Verdana" w:hAnsi="Verdana"/>
        <w:sz w:val="24"/>
        <w:szCs w:val="24"/>
      </w:rPr>
    </w:pPr>
    <w:r w:rsidRPr="009D2E3C">
      <w:rPr>
        <w:rFonts w:ascii="Verdana" w:hAnsi="Verdana" w:cs="Arial"/>
        <w:b/>
        <w:sz w:val="24"/>
        <w:szCs w:val="24"/>
      </w:rPr>
      <w:t>INTERVENTORÍA DE OBRA PÚBLICA DE INFRAESTRUCTURA SOCIAL</w:t>
    </w:r>
  </w:p>
</w:hdr>
</file>

<file path=word/lp_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ACC" w14:textId="026E6159" w:rsidR="00B50F69" w:rsidRDefault="00B50F69">
    <w:r>
      <w:rPr>
        <w:noProof/>
      </w:rPr>
      <w:drawing>
        <wp:anchor distT="0" distB="0" distL="114300" distR="114300" simplePos="0" relativeHeight="251661312" behindDoc="0" locked="0" layoutInCell="1" hidden="0" allowOverlap="1" wp14:anchorId="6851175F" wp14:editId="5007AB56">
          <wp:simplePos x="0" y="0"/>
          <wp:positionH relativeFrom="column">
            <wp:posOffset>-314325</wp:posOffset>
          </wp:positionH>
          <wp:positionV relativeFrom="paragraph">
            <wp:posOffset>400050</wp:posOffset>
          </wp:positionV>
          <wp:extent cx="6352540" cy="95250"/>
          <wp:effectExtent l="0" t="0" r="0" b="0"/>
          <wp:wrapSquare wrapText="bothSides" distT="0" distB="0" distL="114300" distR="1143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352540" cy="9525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7F9ABCC2" wp14:editId="5C438939">
          <wp:simplePos x="0" y="0"/>
          <wp:positionH relativeFrom="column">
            <wp:posOffset>-1094740</wp:posOffset>
          </wp:positionH>
          <wp:positionV relativeFrom="paragraph">
            <wp:posOffset>409575</wp:posOffset>
          </wp:positionV>
          <wp:extent cx="3284251" cy="1085850"/>
          <wp:effectExtent l="0" t="0" r="0" b="0"/>
          <wp:wrapNone/>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3284251" cy="1085850"/>
                  </a:xfrm>
                  <a:prstGeom prst="rect">
                    <a:avLst/>
                  </a:prstGeom>
                  <a:ln/>
                </pic:spPr>
              </pic:pic>
            </a:graphicData>
          </a:graphic>
        </wp:anchor>
      </w:drawing>
    </w:r>
  </w:p>
  <w:p w14:paraId="00000ACD" w14:textId="587E5ACD" w:rsidR="00B50F69" w:rsidRDefault="00B50F69">
    <w:pPr>
      <w:tabs>
        <w:tab w:val="center" w:pos="4419"/>
        <w:tab w:val="right" w:pos="8838"/>
      </w:tabs>
      <w:spacing w:before="240" w:after="240"/>
      <w:rPr>
        <w:rFonts w:ascii="Calibri" w:eastAsia="Calibri" w:hAnsi="Calibri" w:cs="Calibri"/>
        <w:sz w:val="10"/>
        <w:szCs w:val="10"/>
      </w:rPr>
    </w:pPr>
    <w:r>
      <w:rPr>
        <w:rFonts w:ascii="Calibri" w:eastAsia="Calibri" w:hAnsi="Calibri" w:cs="Calibri"/>
        <w:sz w:val="10"/>
        <w:szCs w:val="10"/>
      </w:rPr>
      <w:t xml:space="preserve"> </w:t>
    </w:r>
  </w:p>
  <w:p w14:paraId="00000ACE" w14:textId="77777777" w:rsidR="00B50F69" w:rsidRDefault="00B50F69">
    <w:pP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SECRETARIA DE INFRAESTRUCTURA MUNICIPAL</w:t>
    </w:r>
  </w:p>
  <w:p w14:paraId="00000ACF" w14:textId="77777777" w:rsidR="00B50F69" w:rsidRDefault="00B50F69">
    <w:pPr>
      <w:tabs>
        <w:tab w:val="center" w:pos="4419"/>
        <w:tab w:val="right" w:pos="8838"/>
      </w:tabs>
      <w:jc w:val="right"/>
      <w:rPr>
        <w:rFonts w:ascii="Roboto" w:eastAsia="Roboto" w:hAnsi="Roboto" w:cs="Roboto"/>
        <w:sz w:val="18"/>
        <w:szCs w:val="18"/>
      </w:rPr>
    </w:pPr>
    <w:r>
      <w:rPr>
        <w:rFonts w:ascii="Roboto" w:eastAsia="Roboto" w:hAnsi="Roboto" w:cs="Roboto"/>
        <w:sz w:val="18"/>
        <w:szCs w:val="18"/>
      </w:rPr>
      <w:t>Carrera 6 N° 12 -27 Centro Administrativo Municipal Oficina 304</w:t>
    </w:r>
  </w:p>
  <w:p w14:paraId="00000AD0" w14:textId="77777777" w:rsidR="00B50F69" w:rsidRDefault="00B50F69">
    <w:pPr>
      <w:tabs>
        <w:tab w:val="center" w:pos="4419"/>
        <w:tab w:val="right" w:pos="8838"/>
      </w:tabs>
      <w:jc w:val="right"/>
      <w:rPr>
        <w:rFonts w:ascii="Roboto" w:eastAsia="Roboto" w:hAnsi="Roboto" w:cs="Roboto"/>
        <w:sz w:val="18"/>
        <w:szCs w:val="18"/>
      </w:rPr>
    </w:pPr>
    <w:r>
      <w:rPr>
        <w:rFonts w:ascii="Roboto" w:eastAsia="Roboto" w:hAnsi="Roboto" w:cs="Roboto"/>
        <w:sz w:val="18"/>
        <w:szCs w:val="18"/>
      </w:rPr>
      <w:t xml:space="preserve"> Código Postal 633020</w:t>
    </w:r>
  </w:p>
  <w:p w14:paraId="00000AD1" w14:textId="77777777" w:rsidR="00B50F69" w:rsidRDefault="00B50F69">
    <w:pPr>
      <w:tabs>
        <w:tab w:val="center" w:pos="4419"/>
        <w:tab w:val="right" w:pos="8838"/>
      </w:tabs>
      <w:jc w:val="right"/>
      <w:rPr>
        <w:rFonts w:ascii="Roboto" w:eastAsia="Roboto" w:hAnsi="Roboto" w:cs="Roboto"/>
        <w:sz w:val="18"/>
        <w:szCs w:val="18"/>
      </w:rPr>
    </w:pPr>
    <w:r>
      <w:rPr>
        <w:rFonts w:ascii="Roboto" w:eastAsia="Roboto" w:hAnsi="Roboto" w:cs="Roboto"/>
        <w:sz w:val="18"/>
        <w:szCs w:val="18"/>
      </w:rPr>
      <w:t>Teléfono (0057) (6) 754 2444 Ext. 126 – Fax (0057) (6) 754 2512</w:t>
    </w:r>
  </w:p>
  <w:p w14:paraId="00000AD2" w14:textId="77777777" w:rsidR="00B50F69" w:rsidRDefault="00B50F69">
    <w:pPr>
      <w:tabs>
        <w:tab w:val="center" w:pos="4419"/>
        <w:tab w:val="right" w:pos="8838"/>
      </w:tabs>
      <w:jc w:val="right"/>
      <w:rPr>
        <w:rFonts w:ascii="Roboto" w:eastAsia="Roboto" w:hAnsi="Roboto" w:cs="Roboto"/>
        <w:sz w:val="18"/>
        <w:szCs w:val="18"/>
      </w:rPr>
    </w:pPr>
    <w:r>
      <w:rPr>
        <w:rFonts w:ascii="Roboto" w:eastAsia="Roboto" w:hAnsi="Roboto" w:cs="Roboto"/>
        <w:sz w:val="18"/>
        <w:szCs w:val="18"/>
      </w:rPr>
      <w:t>infraestructura@latebaida-quindio.gov.co</w:t>
    </w:r>
  </w:p>
  <w:p w14:paraId="00000AD3" w14:textId="77777777" w:rsidR="00B50F69" w:rsidRDefault="00B50F69">
    <w:pPr>
      <w:tabs>
        <w:tab w:val="center" w:pos="4419"/>
        <w:tab w:val="right" w:pos="8838"/>
      </w:tabs>
      <w:jc w:val="center"/>
      <w:rPr>
        <w:color w:val="548DD4"/>
        <w:sz w:val="16"/>
        <w:szCs w:val="16"/>
      </w:rPr>
    </w:pPr>
    <w:r>
      <w:rPr>
        <w:color w:val="007DEB"/>
        <w:sz w:val="16"/>
        <w:szCs w:val="16"/>
        <w:u w:val="single"/>
      </w:rPr>
      <w:t>www.latebaida-quindio.gov.co</w:t>
    </w:r>
    <w:r>
      <w:rPr>
        <w:sz w:val="16"/>
        <w:szCs w:val="16"/>
      </w:rPr>
      <w:t xml:space="preserve"> Email </w:t>
    </w:r>
    <w:r>
      <w:rPr>
        <w:color w:val="007DEB"/>
        <w:sz w:val="16"/>
        <w:szCs w:val="16"/>
      </w:rPr>
      <w:t>alcaldia@latebaida-quindio.gov.co</w:t>
    </w:r>
    <w:r>
      <w:rPr>
        <w:sz w:val="16"/>
        <w:szCs w:val="16"/>
      </w:rPr>
      <w:t xml:space="preserve"> y </w:t>
    </w:r>
    <w:r>
      <w:rPr>
        <w:color w:val="548DD4"/>
        <w:sz w:val="16"/>
        <w:szCs w:val="16"/>
      </w:rPr>
      <w:t>despachoalcalde@latebaida-quindio.gov.co</w:t>
    </w:r>
  </w:p>
  <w:p w14:paraId="00000AD4" w14:textId="77777777" w:rsidR="00B50F69" w:rsidRDefault="00B50F69">
    <w:pPr>
      <w:pBdr>
        <w:top w:val="nil"/>
        <w:left w:val="nil"/>
        <w:bottom w:val="nil"/>
        <w:right w:val="nil"/>
        <w:between w:val="nil"/>
      </w:pBdr>
      <w:tabs>
        <w:tab w:val="center" w:pos="4419"/>
        <w:tab w:val="right" w:pos="8838"/>
      </w:tabs>
      <w:jc w:val="right"/>
      <w:rPr>
        <w:b/>
        <w:i/>
        <w:sz w:val="26"/>
        <w:szCs w:val="26"/>
      </w:rPr>
    </w:pPr>
  </w:p>
</w:ftr>
</file>

<file path=word/lp_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AC5" w14:textId="5FD5975A" w:rsidR="00B50F69" w:rsidRDefault="00B50F69">
    <w:pPr>
      <w:pBdr>
        <w:top w:val="nil"/>
        <w:left w:val="nil"/>
        <w:bottom w:val="nil"/>
        <w:right w:val="nil"/>
        <w:between w:val="nil"/>
      </w:pBdr>
      <w:tabs>
        <w:tab w:val="center" w:pos="4419"/>
        <w:tab w:val="right" w:pos="8838"/>
      </w:tabs>
      <w:jc w:val="center"/>
      <w:rPr>
        <w:b/>
        <w:color w:val="000000"/>
      </w:rPr>
    </w:pPr>
    <w:r>
      <w:rPr>
        <w:noProof/>
      </w:rPr>
      <w:drawing>
        <wp:anchor distT="0" distB="0" distL="114300" distR="114300" simplePos="0" relativeHeight="251658240" behindDoc="0" locked="0" layoutInCell="1" hidden="0" allowOverlap="1" wp14:anchorId="182B34AE" wp14:editId="5923AC36">
          <wp:simplePos x="0" y="0"/>
          <wp:positionH relativeFrom="column">
            <wp:posOffset>-278765</wp:posOffset>
          </wp:positionH>
          <wp:positionV relativeFrom="paragraph">
            <wp:posOffset>-63500</wp:posOffset>
          </wp:positionV>
          <wp:extent cx="784225" cy="904875"/>
          <wp:effectExtent l="0" t="0" r="0" b="9525"/>
          <wp:wrapNone/>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84225" cy="904875"/>
                  </a:xfrm>
                  <a:prstGeom prst="rect">
                    <a:avLst/>
                  </a:prstGeom>
                  <a:ln/>
                </pic:spPr>
              </pic:pic>
            </a:graphicData>
          </a:graphic>
          <wp14:sizeRelH relativeFrom="margin">
            <wp14:pctWidth>0</wp14:pctWidth>
          </wp14:sizeRelH>
          <wp14:sizeRelV relativeFrom="margin">
            <wp14:pctHeight>0</wp14:pctHeight>
          </wp14:sizeRelV>
        </wp:anchor>
      </w:drawing>
    </w:r>
    <w:r>
      <w:rPr>
        <w:b/>
        <w:color w:val="000000"/>
      </w:rPr>
      <w:t xml:space="preserve">                    REPÚBLICA DE COLOMBIA </w:t>
    </w:r>
  </w:p>
  <w:p w14:paraId="00000AC6" w14:textId="77777777" w:rsidR="00B50F69" w:rsidRDefault="00B50F69">
    <w:pPr>
      <w:pBdr>
        <w:top w:val="nil"/>
        <w:left w:val="nil"/>
        <w:bottom w:val="nil"/>
        <w:right w:val="nil"/>
        <w:between w:val="nil"/>
      </w:pBdr>
      <w:tabs>
        <w:tab w:val="center" w:pos="4419"/>
        <w:tab w:val="right" w:pos="8838"/>
      </w:tabs>
      <w:jc w:val="center"/>
      <w:rPr>
        <w:b/>
        <w:color w:val="000000"/>
      </w:rPr>
    </w:pPr>
    <w:r>
      <w:rPr>
        <w:b/>
        <w:color w:val="000000"/>
      </w:rPr>
      <w:t xml:space="preserve">                  ALCALDÍA MUNICIPAL</w:t>
    </w:r>
  </w:p>
  <w:p w14:paraId="00000AC7" w14:textId="77777777" w:rsidR="00B50F69" w:rsidRDefault="00B50F69">
    <w:pPr>
      <w:pBdr>
        <w:top w:val="nil"/>
        <w:left w:val="nil"/>
        <w:bottom w:val="nil"/>
        <w:right w:val="nil"/>
        <w:between w:val="nil"/>
      </w:pBdr>
      <w:tabs>
        <w:tab w:val="center" w:pos="4419"/>
        <w:tab w:val="right" w:pos="8838"/>
      </w:tabs>
      <w:jc w:val="center"/>
      <w:rPr>
        <w:b/>
        <w:color w:val="000000"/>
      </w:rPr>
    </w:pPr>
    <w:r>
      <w:rPr>
        <w:b/>
        <w:color w:val="000000"/>
      </w:rPr>
      <w:t xml:space="preserve">                   LA TEBAIDA QUINDÍO</w:t>
    </w:r>
  </w:p>
  <w:p w14:paraId="00000AC8" w14:textId="77777777" w:rsidR="00B50F69" w:rsidRDefault="00B50F69">
    <w:pPr>
      <w:pBdr>
        <w:top w:val="nil"/>
        <w:left w:val="nil"/>
        <w:bottom w:val="nil"/>
        <w:right w:val="nil"/>
        <w:between w:val="nil"/>
      </w:pBdr>
      <w:tabs>
        <w:tab w:val="center" w:pos="4419"/>
        <w:tab w:val="right" w:pos="8838"/>
      </w:tabs>
      <w:jc w:val="center"/>
      <w:rPr>
        <w:b/>
        <w:color w:val="000000"/>
      </w:rPr>
    </w:pPr>
    <w:r>
      <w:rPr>
        <w:b/>
        <w:color w:val="000000"/>
      </w:rPr>
      <w:t xml:space="preserve">                 Nit.: 890 000564-1</w:t>
    </w:r>
    <w:r>
      <w:rPr>
        <w:noProof/>
      </w:rPr>
      <w:drawing>
        <wp:anchor distT="0" distB="0" distL="114300" distR="114300" simplePos="0" relativeHeight="251659264" behindDoc="0" locked="0" layoutInCell="1" hidden="0" allowOverlap="1" wp14:anchorId="63D1808A" wp14:editId="773D23FE">
          <wp:simplePos x="0" y="0"/>
          <wp:positionH relativeFrom="column">
            <wp:posOffset>2</wp:posOffset>
          </wp:positionH>
          <wp:positionV relativeFrom="paragraph">
            <wp:posOffset>452324</wp:posOffset>
          </wp:positionV>
          <wp:extent cx="6352540" cy="95250"/>
          <wp:effectExtent l="0" t="0" r="0" b="0"/>
          <wp:wrapSquare wrapText="bothSides" distT="0" distB="0" distL="114300" distR="11430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352540" cy="95250"/>
                  </a:xfrm>
                  <a:prstGeom prst="rect">
                    <a:avLst/>
                  </a:prstGeom>
                  <a:ln/>
                </pic:spPr>
              </pic:pic>
            </a:graphicData>
          </a:graphic>
        </wp:anchor>
      </w:drawing>
    </w:r>
  </w:p>
  <w:p w14:paraId="00000AC9" w14:textId="77777777" w:rsidR="00B50F69" w:rsidRDefault="00B50F69">
    <w:pPr>
      <w:pBdr>
        <w:top w:val="nil"/>
        <w:left w:val="nil"/>
        <w:bottom w:val="nil"/>
        <w:right w:val="nil"/>
        <w:between w:val="nil"/>
      </w:pBdr>
      <w:tabs>
        <w:tab w:val="center" w:pos="4419"/>
        <w:tab w:val="right" w:pos="8838"/>
      </w:tabs>
      <w:rPr>
        <w:rFonts w:ascii="Calibri" w:eastAsia="Calibri" w:hAnsi="Calibri" w:cs="Calibri"/>
        <w:color w:val="000000"/>
      </w:rPr>
    </w:pPr>
  </w:p>
  <w:p w14:paraId="00000ACA" w14:textId="77777777" w:rsidR="00B50F69" w:rsidRDefault="00B50F69">
    <w:pPr>
      <w:pBdr>
        <w:top w:val="nil"/>
        <w:left w:val="nil"/>
        <w:bottom w:val="nil"/>
        <w:right w:val="nil"/>
        <w:between w:val="nil"/>
      </w:pBdr>
      <w:tabs>
        <w:tab w:val="center" w:pos="4419"/>
        <w:tab w:val="right" w:pos="8838"/>
      </w:tabs>
      <w:rPr>
        <w:rFonts w:ascii="Calibri" w:eastAsia="Calibri" w:hAnsi="Calibri" w:cs="Calibri"/>
      </w:rPr>
    </w:pPr>
  </w:p>
  <w:p w14:paraId="00000ACB" w14:textId="5FD7CA6C" w:rsidR="00B50F69" w:rsidRDefault="00B50F69">
    <w:pPr>
      <w:pBdr>
        <w:top w:val="nil"/>
        <w:left w:val="nil"/>
        <w:bottom w:val="nil"/>
        <w:right w:val="nil"/>
        <w:between w:val="nil"/>
      </w:pBdr>
      <w:tabs>
        <w:tab w:val="center" w:pos="4419"/>
        <w:tab w:val="right" w:pos="8838"/>
      </w:tabs>
      <w:jc w:val="right"/>
      <w:rPr>
        <w:rFonts w:ascii="Calibri" w:eastAsia="Calibri" w:hAnsi="Calibri" w:cs="Calibri"/>
      </w:rPr>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C210C9">
      <w:rPr>
        <w:rFonts w:ascii="Calibri" w:eastAsia="Calibri" w:hAnsi="Calibri" w:cs="Calibri"/>
        <w:noProof/>
      </w:rPr>
      <w:t>63</w:t>
    </w:r>
    <w:r>
      <w:rPr>
        <w:rFonts w:ascii="Calibri" w:eastAsia="Calibri" w:hAnsi="Calibri" w:cs="Calibri"/>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8C3"/>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B5B66"/>
    <w:rsid w:val="002F17C7"/>
    <w:rsid w:val="003322F8"/>
    <w:rsid w:val="00357BA7"/>
    <w:rsid w:val="00374B32"/>
    <w:rsid w:val="00375454"/>
    <w:rsid w:val="0039239D"/>
    <w:rsid w:val="003B7338"/>
    <w:rsid w:val="003D160D"/>
    <w:rsid w:val="003D2F27"/>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C2553"/>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4596C"/>
    <w:rsid w:val="008537E3"/>
    <w:rsid w:val="0085653A"/>
    <w:rsid w:val="0085672F"/>
    <w:rsid w:val="00874392"/>
    <w:rsid w:val="00885039"/>
    <w:rsid w:val="008E39CA"/>
    <w:rsid w:val="00912B23"/>
    <w:rsid w:val="009321E7"/>
    <w:rsid w:val="009771F1"/>
    <w:rsid w:val="009A1C53"/>
    <w:rsid w:val="009C77CA"/>
    <w:rsid w:val="009D2E3C"/>
    <w:rsid w:val="009D5C32"/>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86405"/>
    <w:rsid w:val="00B920EB"/>
    <w:rsid w:val="00B92158"/>
    <w:rsid w:val="00B923A4"/>
    <w:rsid w:val="00B94790"/>
    <w:rsid w:val="00BA3870"/>
    <w:rsid w:val="00BA783B"/>
    <w:rsid w:val="00BF2138"/>
    <w:rsid w:val="00BF54E3"/>
    <w:rsid w:val="00C0062A"/>
    <w:rsid w:val="00C21EEF"/>
    <w:rsid w:val="00C53FEB"/>
    <w:rsid w:val="00C54F77"/>
    <w:rsid w:val="00C71F76"/>
    <w:rsid w:val="00CB7D17"/>
    <w:rsid w:val="00CD18CC"/>
    <w:rsid w:val="00CD1911"/>
    <w:rsid w:val="00CD267D"/>
    <w:rsid w:val="00D02C93"/>
    <w:rsid w:val="00D13765"/>
    <w:rsid w:val="00D55C91"/>
    <w:rsid w:val="00D70D7B"/>
    <w:rsid w:val="00D8093A"/>
    <w:rsid w:val="00D86ECC"/>
    <w:rsid w:val="00DA2321"/>
    <w:rsid w:val="00DC7169"/>
    <w:rsid w:val="00DD4300"/>
    <w:rsid w:val="00DF421A"/>
    <w:rsid w:val="00E011A2"/>
    <w:rsid w:val="00E148BE"/>
    <w:rsid w:val="00E44A7F"/>
    <w:rsid w:val="00E46F79"/>
    <w:rsid w:val="00E52A5A"/>
    <w:rsid w:val="00E56873"/>
    <w:rsid w:val="00E601F9"/>
    <w:rsid w:val="00E63731"/>
    <w:rsid w:val="00E72961"/>
    <w:rsid w:val="00E93807"/>
    <w:rsid w:val="00F31CB0"/>
    <w:rsid w:val="00F40006"/>
    <w:rsid w:val="00F4546D"/>
    <w:rsid w:val="00F56CD2"/>
    <w:rsid w:val="00F6022F"/>
    <w:rsid w:val="00F63350"/>
    <w:rsid w:val="00F6669D"/>
    <w:rsid w:val="00F711B1"/>
    <w:rsid w:val="00F77C04"/>
    <w:rsid w:val="00F85F13"/>
    <w:rsid w:val="00FC5AD3"/>
    <w:rsid w:val="00FE703C"/>
    <w:rsid w:val="2A9C9211"/>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44A344"/>
  <w15:docId w15:val="{9BB248E8-4D14-4653-82F9-D1FD84AC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9D2E3C"/>
  </w:style>
  <w:style w:type="character" w:customStyle="1" w:styleId="eop">
    <w:name w:val="eop"/>
    <w:basedOn w:val="Fuentedeprrafopredeter"/>
    <w:rsid w:val="009D2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00998879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IdLPH" Type="http://schemas.openxmlformats.org/officeDocument/2006/relationships/header" Target="lp_header1.xml"/><Relationship Id="rIdLPF" Type="http://schemas.openxmlformats.org/officeDocument/2006/relationships/footer" Target="lp_footer1.xml"/></Relationships>
</file>

<file path=word/_rels/lp_footer1.xml.rels><?xml version="1.0" encoding="UTF-8" standalone="yes"?>
<Relationships xmlns="http://schemas.openxmlformats.org/package/2006/relationships"><Relationship Id="rId2" Type="http://schemas.openxmlformats.org/officeDocument/2006/relationships/image" Target="media/lp_image4.png"/><Relationship Id="rId1" Type="http://schemas.openxmlformats.org/officeDocument/2006/relationships/image" Target="media/lp_image3.png"/></Relationships>
</file>

<file path=word/_rels/lp_header1.xml.rels><?xml version="1.0" encoding="UTF-8" standalone="yes"?>
<Relationships xmlns="http://schemas.openxmlformats.org/package/2006/relationships"><Relationship Id="rId2" Type="http://schemas.openxmlformats.org/officeDocument/2006/relationships/image" Target="media/lp_image3.png"/><Relationship Id="rId1" Type="http://schemas.openxmlformats.org/officeDocument/2006/relationships/image" Target="media/lp_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purl.org/dc/elements/1.1/"/>
    <ds:schemaRef ds:uri="http://schemas.microsoft.com/office/2006/metadata/properties"/>
    <ds:schemaRef ds:uri="a6cb9e4b-f1d1-4245-83ec-6cad768d538a"/>
    <ds:schemaRef ds:uri="9d85dbaf-23eb-4e57-a637-93dcacc8b1a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BE1CECC7-9724-40B5-90AD-C29B5447D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359</Words>
  <Characters>1978</Characters>
  <Application>Microsoft Office Word</Application>
  <DocSecurity>0</DocSecurity>
  <Lines>16</Lines>
  <Paragraphs>4</Paragraphs>
  <ScaleCrop>false</ScaleCrop>
  <Company>Hewlett-Packard Company</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Adriana</cp:lastModifiedBy>
  <cp:revision>17</cp:revision>
  <cp:lastPrinted>2022-07-22T22:12:00Z</cp:lastPrinted>
  <dcterms:created xsi:type="dcterms:W3CDTF">2022-07-22T22:12:00Z</dcterms:created>
  <dcterms:modified xsi:type="dcterms:W3CDTF">2025-12-16T16:40:00Z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