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9D4DE9" w14:textId="77777777" w:rsidR="00D768A3" w:rsidRDefault="00D768A3">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0" w:type="auto"/>
        <w:tblLook w:val="0400" w:firstRow="0" w:lastRow="0" w:firstColumn="0" w:lastColumn="0" w:noHBand="0" w:noVBand="1"/>
      </w:tblPr>
      <w:tblGrid>
        <w:gridCol w:w="9396"/>
      </w:tblGrid>
      <w:tr w:rsidR="00D768A3" w14:paraId="77AD809A" w14:textId="77777777" w:rsidTr="00FD2B6C">
        <w:trPr>
          <w:cantSplit/>
          <w:trHeight w:val="322"/>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5AC2A129" w14:textId="77777777" w:rsidR="00D768A3" w:rsidRDefault="00A0753E">
            <w:pPr>
              <w:widowControl/>
              <w:numPr>
                <w:ilvl w:val="0"/>
                <w:numId w:val="1"/>
              </w:numPr>
              <w:pBdr>
                <w:top w:val="nil"/>
                <w:left w:val="nil"/>
                <w:bottom w:val="nil"/>
                <w:right w:val="nil"/>
                <w:between w:val="nil"/>
              </w:pBdr>
              <w:tabs>
                <w:tab w:val="left" w:pos="362"/>
              </w:tabs>
              <w:spacing w:before="60" w:after="60"/>
              <w:ind w:left="0" w:firstLine="0"/>
              <w:rPr>
                <w:rFonts w:ascii="Arial" w:eastAsia="Arial" w:hAnsi="Arial" w:cs="Arial"/>
                <w:color w:val="000000"/>
                <w:sz w:val="24"/>
                <w:szCs w:val="24"/>
              </w:rPr>
            </w:pPr>
            <w:r>
              <w:rPr>
                <w:rFonts w:ascii="Arial" w:eastAsia="Arial" w:hAnsi="Arial" w:cs="Arial"/>
                <w:sz w:val="24"/>
                <w:szCs w:val="24"/>
              </w:rPr>
              <w:t>INFORMACIÓN</w:t>
            </w:r>
            <w:r>
              <w:rPr>
                <w:rFonts w:ascii="Arial" w:eastAsia="Arial" w:hAnsi="Arial" w:cs="Arial"/>
                <w:color w:val="000000"/>
                <w:sz w:val="24"/>
                <w:szCs w:val="24"/>
              </w:rPr>
              <w:t xml:space="preserve"> GENERAL</w:t>
            </w:r>
          </w:p>
        </w:tc>
      </w:tr>
      <w:tr w:rsidR="00D768A3" w14:paraId="05BB82BD" w14:textId="77777777" w:rsidTr="00FD2B6C">
        <w:trPr>
          <w:cantSplit/>
          <w:trHeight w:val="32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2B8490" w14:textId="77777777" w:rsidR="00D768A3" w:rsidRDefault="00D768A3">
            <w:pPr>
              <w:widowControl/>
              <w:pBdr>
                <w:top w:val="nil"/>
                <w:left w:val="nil"/>
                <w:bottom w:val="nil"/>
                <w:right w:val="nil"/>
                <w:between w:val="nil"/>
              </w:pBdr>
              <w:jc w:val="both"/>
              <w:rPr>
                <w:rFonts w:ascii="Arial" w:eastAsia="Arial" w:hAnsi="Arial" w:cs="Arial"/>
                <w:color w:val="000000"/>
                <w:sz w:val="24"/>
                <w:szCs w:val="24"/>
              </w:rPr>
            </w:pPr>
          </w:p>
          <w:p w14:paraId="5E896273" w14:textId="433F5EA3" w:rsidR="00D768A3" w:rsidRPr="004420DD" w:rsidRDefault="00A0753E">
            <w:pPr>
              <w:widowControl/>
              <w:pBdr>
                <w:top w:val="nil"/>
                <w:left w:val="nil"/>
                <w:bottom w:val="nil"/>
                <w:right w:val="nil"/>
                <w:between w:val="nil"/>
              </w:pBdr>
              <w:jc w:val="both"/>
              <w:rPr>
                <w:rFonts w:ascii="Arial" w:eastAsia="Arial" w:hAnsi="Arial" w:cs="Arial"/>
                <w:color w:val="000000"/>
                <w:sz w:val="24"/>
                <w:szCs w:val="24"/>
              </w:rPr>
            </w:pPr>
            <w:r w:rsidRPr="004420DD">
              <w:rPr>
                <w:rFonts w:ascii="Arial" w:eastAsia="Arial" w:hAnsi="Arial" w:cs="Arial"/>
                <w:color w:val="000000"/>
                <w:sz w:val="24"/>
                <w:szCs w:val="24"/>
              </w:rPr>
              <w:t xml:space="preserve">Fecha: </w:t>
            </w:r>
            <w:r w:rsidR="004420DD" w:rsidRPr="004420DD">
              <w:rPr>
                <w:rFonts w:ascii="Arial" w:eastAsia="Arial" w:hAnsi="Arial" w:cs="Arial"/>
                <w:color w:val="000000"/>
                <w:sz w:val="24"/>
                <w:szCs w:val="24"/>
              </w:rPr>
              <w:t>30</w:t>
            </w:r>
            <w:r w:rsidR="00844333" w:rsidRPr="004420DD">
              <w:rPr>
                <w:rFonts w:ascii="Arial" w:eastAsia="Arial" w:hAnsi="Arial" w:cs="Arial"/>
                <w:color w:val="000000"/>
                <w:sz w:val="24"/>
                <w:szCs w:val="24"/>
              </w:rPr>
              <w:t>/09</w:t>
            </w:r>
            <w:r w:rsidRPr="004420DD">
              <w:rPr>
                <w:rFonts w:ascii="Arial" w:eastAsia="Arial" w:hAnsi="Arial" w:cs="Arial"/>
                <w:color w:val="000000"/>
                <w:sz w:val="24"/>
                <w:szCs w:val="24"/>
              </w:rPr>
              <w:t>/2025</w:t>
            </w:r>
          </w:p>
          <w:p w14:paraId="5792C352" w14:textId="77777777" w:rsidR="00D768A3" w:rsidRPr="004420DD"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4420DD">
              <w:rPr>
                <w:rFonts w:ascii="Arial" w:eastAsia="Arial" w:hAnsi="Arial" w:cs="Arial"/>
                <w:color w:val="000000"/>
                <w:sz w:val="24"/>
                <w:szCs w:val="24"/>
                <w:lang w:val="es-CO"/>
              </w:rPr>
              <w:t>Entidad: Distrito de Santiago de Cali</w:t>
            </w:r>
          </w:p>
          <w:p w14:paraId="345C100F" w14:textId="0E2115C7" w:rsidR="00D768A3" w:rsidRPr="004420DD"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4420DD">
              <w:rPr>
                <w:rFonts w:ascii="Arial" w:eastAsia="Arial" w:hAnsi="Arial" w:cs="Arial"/>
                <w:color w:val="000000"/>
                <w:sz w:val="24"/>
                <w:szCs w:val="24"/>
                <w:lang w:val="es-CO"/>
              </w:rPr>
              <w:t xml:space="preserve">Número del proceso: </w:t>
            </w:r>
            <w:r w:rsidR="00D67D8A" w:rsidRPr="004420DD">
              <w:rPr>
                <w:rFonts w:ascii="Arial" w:eastAsia="Arial" w:hAnsi="Arial" w:cs="Arial"/>
                <w:color w:val="000000"/>
                <w:sz w:val="24"/>
                <w:szCs w:val="24"/>
                <w:lang w:val="es-CO"/>
              </w:rPr>
              <w:t>4162.010.32.1.</w:t>
            </w:r>
            <w:r w:rsidR="004420DD" w:rsidRPr="004420DD">
              <w:rPr>
                <w:rFonts w:ascii="Arial" w:eastAsia="Arial" w:hAnsi="Arial" w:cs="Arial"/>
                <w:color w:val="000000"/>
                <w:sz w:val="24"/>
                <w:szCs w:val="24"/>
                <w:lang w:val="es-CO"/>
              </w:rPr>
              <w:t xml:space="preserve">1538 </w:t>
            </w:r>
            <w:r w:rsidR="00D67D8A" w:rsidRPr="004420DD">
              <w:rPr>
                <w:rFonts w:ascii="Arial" w:eastAsia="Arial" w:hAnsi="Arial" w:cs="Arial"/>
                <w:color w:val="000000"/>
                <w:sz w:val="24"/>
                <w:szCs w:val="24"/>
                <w:lang w:val="es-CO"/>
              </w:rPr>
              <w:t>-202</w:t>
            </w:r>
            <w:r w:rsidR="004420DD" w:rsidRPr="004420DD">
              <w:rPr>
                <w:rFonts w:ascii="Arial" w:eastAsia="Arial" w:hAnsi="Arial" w:cs="Arial"/>
                <w:color w:val="000000"/>
                <w:sz w:val="24"/>
                <w:szCs w:val="24"/>
                <w:lang w:val="es-CO"/>
              </w:rPr>
              <w:t>6</w:t>
            </w:r>
          </w:p>
          <w:p w14:paraId="4AE0DF2C" w14:textId="77777777" w:rsidR="00D768A3" w:rsidRPr="005D14C3"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4420DD">
              <w:rPr>
                <w:rFonts w:ascii="Arial" w:eastAsia="Arial" w:hAnsi="Arial" w:cs="Arial"/>
                <w:color w:val="000000"/>
                <w:sz w:val="24"/>
                <w:szCs w:val="24"/>
                <w:lang w:val="es-CO"/>
              </w:rPr>
              <w:t>Organismo: Secretaría del Deporte y la Recreación</w:t>
            </w:r>
            <w:r w:rsidRPr="005D14C3">
              <w:rPr>
                <w:rFonts w:ascii="Arial" w:eastAsia="Arial" w:hAnsi="Arial" w:cs="Arial"/>
                <w:color w:val="000000"/>
                <w:sz w:val="24"/>
                <w:szCs w:val="24"/>
                <w:lang w:val="es-CO"/>
              </w:rPr>
              <w:t xml:space="preserve"> </w:t>
            </w:r>
          </w:p>
          <w:p w14:paraId="2FDE7F04" w14:textId="77777777" w:rsidR="00D768A3" w:rsidRPr="005D14C3" w:rsidRDefault="00D768A3">
            <w:pPr>
              <w:widowControl/>
              <w:pBdr>
                <w:top w:val="nil"/>
                <w:left w:val="nil"/>
                <w:bottom w:val="nil"/>
                <w:right w:val="nil"/>
                <w:between w:val="nil"/>
              </w:pBdr>
              <w:jc w:val="both"/>
              <w:rPr>
                <w:rFonts w:ascii="Arial" w:eastAsia="Arial" w:hAnsi="Arial" w:cs="Arial"/>
                <w:color w:val="000000"/>
                <w:sz w:val="24"/>
                <w:szCs w:val="24"/>
                <w:lang w:val="es-CO"/>
              </w:rPr>
            </w:pPr>
          </w:p>
        </w:tc>
      </w:tr>
      <w:tr w:rsidR="00D768A3" w14:paraId="7F3DF74B" w14:textId="77777777" w:rsidTr="00FD2B6C">
        <w:trPr>
          <w:cantSplit/>
          <w:trHeight w:val="322"/>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05934EAD" w14:textId="77777777" w:rsidR="00D768A3" w:rsidRDefault="00A0753E">
            <w:pPr>
              <w:widowControl/>
              <w:numPr>
                <w:ilvl w:val="0"/>
                <w:numId w:val="1"/>
              </w:numPr>
              <w:pBdr>
                <w:top w:val="nil"/>
                <w:left w:val="nil"/>
                <w:bottom w:val="nil"/>
                <w:right w:val="nil"/>
                <w:between w:val="nil"/>
              </w:pBdr>
              <w:tabs>
                <w:tab w:val="left" w:pos="362"/>
              </w:tabs>
              <w:spacing w:before="60" w:after="60"/>
              <w:ind w:left="0" w:firstLine="0"/>
              <w:rPr>
                <w:rFonts w:ascii="Arial" w:eastAsia="Arial" w:hAnsi="Arial" w:cs="Arial"/>
                <w:color w:val="000000"/>
                <w:sz w:val="24"/>
                <w:szCs w:val="24"/>
              </w:rPr>
            </w:pPr>
            <w:r>
              <w:rPr>
                <w:rFonts w:ascii="Arial" w:eastAsia="Arial" w:hAnsi="Arial" w:cs="Arial"/>
                <w:sz w:val="24"/>
                <w:szCs w:val="24"/>
              </w:rPr>
              <w:t>DESCRIPCIÓN</w:t>
            </w:r>
            <w:r>
              <w:rPr>
                <w:rFonts w:ascii="Arial" w:eastAsia="Arial" w:hAnsi="Arial" w:cs="Arial"/>
                <w:color w:val="000000"/>
                <w:sz w:val="24"/>
                <w:szCs w:val="24"/>
              </w:rPr>
              <w:t xml:space="preserve"> DEL DOCUMENTO</w:t>
            </w:r>
          </w:p>
        </w:tc>
      </w:tr>
      <w:tr w:rsidR="00D768A3" w14:paraId="7057274B" w14:textId="77777777" w:rsidTr="00FD2B6C">
        <w:trPr>
          <w:cantSplit/>
          <w:trHeight w:val="5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44FE26" w14:textId="77777777" w:rsidR="00D768A3" w:rsidRDefault="00D768A3">
            <w:pPr>
              <w:widowControl/>
              <w:pBdr>
                <w:top w:val="nil"/>
                <w:left w:val="nil"/>
                <w:bottom w:val="nil"/>
                <w:right w:val="nil"/>
                <w:between w:val="nil"/>
              </w:pBdr>
              <w:jc w:val="both"/>
              <w:rPr>
                <w:rFonts w:ascii="Arial" w:eastAsia="Arial" w:hAnsi="Arial" w:cs="Arial"/>
                <w:color w:val="000000"/>
                <w:sz w:val="24"/>
                <w:szCs w:val="24"/>
              </w:rPr>
            </w:pPr>
          </w:p>
          <w:p w14:paraId="7CD69BB1" w14:textId="7124435D" w:rsidR="00D768A3" w:rsidRPr="00C53C90" w:rsidRDefault="0079232D" w:rsidP="00C92034">
            <w:pPr>
              <w:pStyle w:val="Sinespaciado"/>
              <w:jc w:val="both"/>
              <w:rPr>
                <w:rFonts w:ascii="Arial" w:hAnsi="Arial" w:cs="Arial"/>
                <w:sz w:val="24"/>
                <w:szCs w:val="24"/>
                <w:lang w:val="es-CO"/>
              </w:rPr>
            </w:pPr>
            <w:r w:rsidRPr="0079232D">
              <w:rPr>
                <w:rFonts w:ascii="Arial" w:hAnsi="Arial" w:cs="Arial"/>
                <w:sz w:val="24"/>
                <w:szCs w:val="24"/>
                <w:lang w:val="es-CO"/>
              </w:rPr>
              <w:t xml:space="preserve">El presente documento, contiene el análisis del sector del proceso de contratación adelantado por Santiago de Cali Distrito Especial - Secretaría del Deporte y la Recreación para </w:t>
            </w:r>
            <w:r w:rsidR="00857469" w:rsidRPr="00857469">
              <w:rPr>
                <w:rFonts w:ascii="Arial" w:hAnsi="Arial" w:cs="Arial"/>
                <w:sz w:val="24"/>
                <w:szCs w:val="24"/>
                <w:lang w:val="es-CO"/>
              </w:rPr>
              <w:t>REALIZAR LA INTERVENTORÍA TECNICA, ADMINISTRATIVA, JURIDICA, FINANCIERA, AMBIENTAL Y CONTABLE A LOS CONTRATOS DE OBRA QUE RESULTEN ADJUDICADOS EN EL PROCESO DE LICITACIÓN PÚBLICA, CUYO OBJETO ES: "</w:t>
            </w:r>
            <w:r w:rsidR="005F7547" w:rsidRPr="005F7547">
              <w:rPr>
                <w:rFonts w:ascii="Arial" w:hAnsi="Arial" w:cs="Arial"/>
                <w:sz w:val="24"/>
                <w:szCs w:val="24"/>
                <w:lang w:val="es-CO"/>
              </w:rPr>
              <w:t>REALIZAR LA ADECUACIÓN Y MEJORAMIENTO DE LA INFRAESTRUCTURA DE LOS ESCENARIOS DEPORTIVOS Y RECREATIVOS DEL DISTRITO ESPECIAL, DEPORTIVO, CULTURAL, TURÍSTICO, EMPRESARIAL Y DE SERVICIOS DE SANTIAGO DE CALI</w:t>
            </w:r>
            <w:r w:rsidR="00857469">
              <w:rPr>
                <w:rFonts w:ascii="Arial" w:hAnsi="Arial" w:cs="Arial"/>
                <w:sz w:val="24"/>
                <w:szCs w:val="24"/>
                <w:lang w:val="es-CO"/>
              </w:rPr>
              <w:t xml:space="preserve">” </w:t>
            </w:r>
            <w:r w:rsidRPr="00C53C90">
              <w:rPr>
                <w:rFonts w:ascii="Arial" w:hAnsi="Arial" w:cs="Arial"/>
                <w:sz w:val="24"/>
                <w:szCs w:val="24"/>
                <w:lang w:val="es-CO"/>
              </w:rPr>
              <w:t>en cumplimiento del deber de las entidades estatales de analizar el mercado relativo al objeto del proceso de contratación, desde la perspectiva legal, comercial, financiera, organizacional, técnica y de análisis de riesgo.</w:t>
            </w:r>
          </w:p>
          <w:p w14:paraId="501FD5BA" w14:textId="77777777" w:rsidR="00D768A3" w:rsidRPr="005D14C3" w:rsidRDefault="00D768A3">
            <w:pPr>
              <w:widowControl/>
              <w:pBdr>
                <w:top w:val="nil"/>
                <w:left w:val="nil"/>
                <w:bottom w:val="nil"/>
                <w:right w:val="nil"/>
                <w:between w:val="nil"/>
              </w:pBdr>
              <w:jc w:val="both"/>
              <w:rPr>
                <w:rFonts w:ascii="Arial" w:eastAsia="Arial" w:hAnsi="Arial" w:cs="Arial"/>
                <w:color w:val="000000"/>
                <w:sz w:val="24"/>
                <w:szCs w:val="24"/>
                <w:lang w:val="es-CO"/>
              </w:rPr>
            </w:pPr>
          </w:p>
        </w:tc>
      </w:tr>
      <w:tr w:rsidR="00D768A3" w14:paraId="315DF3A9" w14:textId="77777777" w:rsidTr="00FD2B6C">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5A8B6992" w14:textId="77777777" w:rsidR="00D768A3" w:rsidRDefault="00A0753E">
            <w:pPr>
              <w:widowControl/>
              <w:numPr>
                <w:ilvl w:val="0"/>
                <w:numId w:val="1"/>
              </w:numPr>
              <w:pBdr>
                <w:top w:val="nil"/>
                <w:left w:val="nil"/>
                <w:bottom w:val="nil"/>
                <w:right w:val="nil"/>
                <w:between w:val="nil"/>
              </w:pBdr>
              <w:tabs>
                <w:tab w:val="left" w:pos="362"/>
              </w:tabs>
              <w:spacing w:before="60" w:after="60"/>
              <w:ind w:left="0" w:firstLine="0"/>
              <w:rPr>
                <w:rFonts w:ascii="Arial" w:eastAsia="Arial" w:hAnsi="Arial" w:cs="Arial"/>
                <w:color w:val="000000"/>
                <w:sz w:val="24"/>
                <w:szCs w:val="24"/>
              </w:rPr>
            </w:pPr>
            <w:r>
              <w:rPr>
                <w:rFonts w:ascii="Arial" w:eastAsia="Arial" w:hAnsi="Arial" w:cs="Arial"/>
                <w:color w:val="000000"/>
                <w:sz w:val="24"/>
                <w:szCs w:val="24"/>
              </w:rPr>
              <w:t>INTRODUCCIÓN</w:t>
            </w:r>
          </w:p>
        </w:tc>
      </w:tr>
      <w:tr w:rsidR="00D768A3" w:rsidRPr="008D6309" w14:paraId="2B66A677" w14:textId="77777777" w:rsidTr="00FD2B6C">
        <w:trPr>
          <w:trHeight w:val="64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FC3117"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El Distrito Especial, Deportivo, Cultural, Turístico, Empresarial y de Servicios de Santiago de Cali ha asumido un compromiso decidido con la transformación social, económica y deportiva del territorio, en línea con las políticas públicas adoptadas mediante el Acuerdo 560 de 2022 y, especialmente, con el Plan de Desarrollo Distrital adoptado mediante el Acuerdo 578 de 2024 “Cali, Capital Pacífica de Colombia 2024-2027”. Este compromiso se materializa en la ejecución de proyectos orientados a la adecuación, mejoramiento, conservación y modernización de la infraestructura deportiva, recreativa y de convivencia ciudadana del Distrito.</w:t>
            </w:r>
          </w:p>
          <w:p w14:paraId="39CB53D2" w14:textId="77777777" w:rsidR="008D6309" w:rsidRPr="008D6309" w:rsidRDefault="008D6309" w:rsidP="008D6309">
            <w:pPr>
              <w:spacing w:line="278" w:lineRule="auto"/>
              <w:jc w:val="both"/>
              <w:rPr>
                <w:rFonts w:ascii="Arial" w:hAnsi="Arial" w:cs="Arial"/>
                <w:sz w:val="24"/>
                <w:szCs w:val="24"/>
              </w:rPr>
            </w:pPr>
          </w:p>
          <w:p w14:paraId="43F4258F"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 xml:space="preserve">La adopción del Acuerdo 578 de 2024 denominado "Plan de Desarrollo Cali, Capital Pacífica de Colombia 2024-2027" refleja una política pública que reconoce la recreación </w:t>
            </w:r>
            <w:r w:rsidRPr="008D6309">
              <w:rPr>
                <w:rFonts w:ascii="Arial" w:hAnsi="Arial" w:cs="Arial"/>
                <w:sz w:val="24"/>
                <w:szCs w:val="24"/>
              </w:rPr>
              <w:lastRenderedPageBreak/>
              <w:t>y el deporte como motores fundamentales para el desarrollo integral del ser humano. De conformidad con el Artículo 9.2 del citado Acuerdo, atender los retos actuales implica generar condiciones óptimas para el bienestar ciudadano, lo cual encuentra concreción directa en estos proyectos de infraestructura deportiva. Estas adecuaciones no solo permitirán la práctica segura y eficiente de actividades deportivas, sino que fortalecerán la capacidad ciudadana para la autorrealización y satisfacción de necesidades básicas como la salud física y mental.</w:t>
            </w:r>
          </w:p>
          <w:p w14:paraId="203AAA40" w14:textId="77777777" w:rsidR="008D6309" w:rsidRPr="008D6309" w:rsidRDefault="008D6309" w:rsidP="008D6309">
            <w:pPr>
              <w:spacing w:line="278" w:lineRule="auto"/>
              <w:jc w:val="both"/>
              <w:rPr>
                <w:rFonts w:ascii="Arial" w:hAnsi="Arial" w:cs="Arial"/>
                <w:sz w:val="24"/>
                <w:szCs w:val="24"/>
              </w:rPr>
            </w:pPr>
          </w:p>
          <w:p w14:paraId="0851AF80"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 xml:space="preserve">La jurisprudencia constitucional colombiana ha reconocido ampliamente que "el derecho a la recreación y al deporte es inherente al desarrollo integral del individuo y debe ser garantizado por el Estado como parte esencial del bienestar general y del mejoramiento continuo de la calidad de vida" (Corte Constitucional, Sala Plena, Magistrado Ponente: Alejandro Linares Cantillo, Sentencia T-387 de 2016, pág. 16). En este sentido, las adecuaciones y mejoras previstas en estos proyectos encuentran sustento constitucional en cuanto apuntan al cumplimiento de las obligaciones estatales en materia de derechos fundamentales y al bienestar general. </w:t>
            </w:r>
          </w:p>
          <w:p w14:paraId="32ED758F" w14:textId="77777777" w:rsidR="008D6309" w:rsidRPr="008D6309" w:rsidRDefault="008D6309" w:rsidP="008D6309">
            <w:pPr>
              <w:spacing w:line="278" w:lineRule="auto"/>
              <w:jc w:val="both"/>
              <w:rPr>
                <w:rFonts w:ascii="Arial" w:hAnsi="Arial" w:cs="Arial"/>
                <w:sz w:val="24"/>
                <w:szCs w:val="24"/>
              </w:rPr>
            </w:pPr>
          </w:p>
          <w:p w14:paraId="40C67F17"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 xml:space="preserve">El deporte cumple un papel fundamental en la consecución de los Objetivos de Desarrollo Sostenible como herramienta para la contribución al desarrollo y sostenibilidad (Objetivos 11 y 17); paz, fin de conflictos, tolerancia y respeto (Objetivo 16); igualdad de género, empoderamiento de la mujer y los jóvenes, las personas y las comunidades (Objetivo 5); salud y bienestar (Objetivo 3); educación e inclusión social (Objetivo 4). </w:t>
            </w:r>
          </w:p>
          <w:p w14:paraId="00F1D961" w14:textId="77777777" w:rsidR="008D6309" w:rsidRPr="008D6309" w:rsidRDefault="008D6309" w:rsidP="008D6309">
            <w:pPr>
              <w:spacing w:line="278" w:lineRule="auto"/>
              <w:jc w:val="both"/>
              <w:rPr>
                <w:rFonts w:ascii="Arial" w:hAnsi="Arial" w:cs="Arial"/>
                <w:sz w:val="24"/>
                <w:szCs w:val="24"/>
              </w:rPr>
            </w:pPr>
          </w:p>
          <w:p w14:paraId="1A067B09"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Adicionalmente, se destaca que el artículo 11 del Acuerdo 578 de 2024 enfatiza la importancia del enfoque diferencial y territorial en la implementación de proyectos de infraestructura recreativa y deportiva. Así, la ejecución de estos proyectos contemplará específicamente poblaciones vulnerables y rurales, contribuyendo al cierre de brechas sociales y al desarrollo económico y cultural de zonas históricamente marginadas. De esta forma, se busca reivindicar derechos y potenciar el territorio como mecanismo de inclusión y equidad social.</w:t>
            </w:r>
          </w:p>
          <w:p w14:paraId="55971738" w14:textId="77777777" w:rsidR="008D6309" w:rsidRPr="008D6309" w:rsidRDefault="008D6309" w:rsidP="008D6309">
            <w:pPr>
              <w:spacing w:line="278" w:lineRule="auto"/>
              <w:jc w:val="both"/>
              <w:rPr>
                <w:rFonts w:ascii="Arial" w:hAnsi="Arial" w:cs="Arial"/>
                <w:sz w:val="24"/>
                <w:szCs w:val="24"/>
              </w:rPr>
            </w:pPr>
          </w:p>
          <w:p w14:paraId="05AACE68"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lastRenderedPageBreak/>
              <w:t xml:space="preserve">En el marco del proyecto “Habilitación de Espacios Deportivos, Recreativos y de Actividad Física en el Distrito de Santiago De Cali”, se contempla un objetivo general que es el de “Incrementar los niveles de acceso de la población </w:t>
            </w:r>
            <w:proofErr w:type="gramStart"/>
            <w:r w:rsidRPr="008D6309">
              <w:rPr>
                <w:rFonts w:ascii="Arial" w:hAnsi="Arial" w:cs="Arial"/>
                <w:sz w:val="24"/>
                <w:szCs w:val="24"/>
              </w:rPr>
              <w:t>a</w:t>
            </w:r>
            <w:proofErr w:type="gramEnd"/>
            <w:r w:rsidRPr="008D6309">
              <w:rPr>
                <w:rFonts w:ascii="Arial" w:hAnsi="Arial" w:cs="Arial"/>
                <w:sz w:val="24"/>
                <w:szCs w:val="24"/>
              </w:rPr>
              <w:t xml:space="preserve"> espacios deportivos y recreativos en el Distrito de Santiago de Cali.”, indicador objetivo general de “Población cubierta por la infraestructura deportiva y recreativa intervenida”.</w:t>
            </w:r>
          </w:p>
          <w:p w14:paraId="50B0911B" w14:textId="77777777" w:rsidR="008D6309" w:rsidRPr="008D6309" w:rsidRDefault="008D6309" w:rsidP="008D6309">
            <w:pPr>
              <w:spacing w:line="278" w:lineRule="auto"/>
              <w:jc w:val="both"/>
              <w:rPr>
                <w:rFonts w:ascii="Arial" w:hAnsi="Arial" w:cs="Arial"/>
                <w:sz w:val="24"/>
                <w:szCs w:val="24"/>
              </w:rPr>
            </w:pPr>
          </w:p>
          <w:p w14:paraId="04BD1FDC"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 xml:space="preserve">Por otro lado, el Plan establece en el artículo 16, estrategia 4, la importancia de potenciar las capacidades deportivas mediante semilleros e infraestructura adecuada, reconociendo que tales intervenciones permiten la visibilidad nacional e internacional del talento local. De esta forma, la inversión en estos 10 escenarios deportivos no solo responde a </w:t>
            </w:r>
            <w:proofErr w:type="gramStart"/>
            <w:r w:rsidRPr="008D6309">
              <w:rPr>
                <w:rFonts w:ascii="Arial" w:hAnsi="Arial" w:cs="Arial"/>
                <w:sz w:val="24"/>
                <w:szCs w:val="24"/>
              </w:rPr>
              <w:t>necesidades locales</w:t>
            </w:r>
            <w:proofErr w:type="gramEnd"/>
            <w:r w:rsidRPr="008D6309">
              <w:rPr>
                <w:rFonts w:ascii="Arial" w:hAnsi="Arial" w:cs="Arial"/>
                <w:sz w:val="24"/>
                <w:szCs w:val="24"/>
              </w:rPr>
              <w:t xml:space="preserve"> inmediatas sino también contribuye al posicionamiento estratégico del Distrito en escenarios nacionales e internacionales, generando valor agregado desde perspectivas sociales, culturales y económicas.</w:t>
            </w:r>
          </w:p>
          <w:p w14:paraId="55B7A020" w14:textId="77777777" w:rsidR="008D6309" w:rsidRPr="008D6309" w:rsidRDefault="008D6309" w:rsidP="008D6309">
            <w:pPr>
              <w:spacing w:line="278" w:lineRule="auto"/>
              <w:jc w:val="both"/>
              <w:rPr>
                <w:rFonts w:ascii="Arial" w:hAnsi="Arial" w:cs="Arial"/>
                <w:sz w:val="24"/>
                <w:szCs w:val="24"/>
              </w:rPr>
            </w:pPr>
          </w:p>
          <w:p w14:paraId="667BF79D"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Desde el punto de vista del ordenamiento territorial y la integración regional, contemplados en el artículo 18.1, las adecuaciones proyectadas permiten avanzar hacia un modelo urbano más sostenible y cohesionado. Estas intervenciones aseguran el acceso equitativo a servicios básicos y fomentan actividades económicas resilientes, aspectos fundamentales para mejorar la calidad de vida y consolidar el modelo distrital propuesto en el plan.</w:t>
            </w:r>
          </w:p>
          <w:p w14:paraId="55838665" w14:textId="77777777" w:rsidR="008D6309" w:rsidRPr="008D6309" w:rsidRDefault="008D6309" w:rsidP="008D6309">
            <w:pPr>
              <w:spacing w:line="278" w:lineRule="auto"/>
              <w:jc w:val="both"/>
              <w:rPr>
                <w:rFonts w:ascii="Arial" w:hAnsi="Arial" w:cs="Arial"/>
                <w:sz w:val="24"/>
                <w:szCs w:val="24"/>
              </w:rPr>
            </w:pPr>
          </w:p>
          <w:p w14:paraId="3CD720D2"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En este contexto, la ejecución de las obras destinadas a la adecuación e intervención de los escenarios deportivos y recreativos requiere no solamente de la contratación de un ejecutor que adelante las actividades físicas previstas, sino también del establecimiento de mecanismos especializados de seguimiento, vigilancia y control que permitan garantizar que las obligaciones contractuales sean cumplidas de manera integral, oportuna, eficiente y conforme a las condiciones técnicas, administrativas, financieras, jurídicas, ambientales y de seguridad establecidas por la entidad.</w:t>
            </w:r>
          </w:p>
          <w:p w14:paraId="1582B746" w14:textId="77777777" w:rsidR="008D6309" w:rsidRPr="008D6309" w:rsidRDefault="008D6309" w:rsidP="008D6309">
            <w:pPr>
              <w:spacing w:line="278" w:lineRule="auto"/>
              <w:jc w:val="both"/>
              <w:rPr>
                <w:rFonts w:ascii="Arial" w:hAnsi="Arial" w:cs="Arial"/>
                <w:sz w:val="24"/>
                <w:szCs w:val="24"/>
              </w:rPr>
            </w:pPr>
          </w:p>
          <w:p w14:paraId="2412E983"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 xml:space="preserve">La interventoría constituye, en consecuencia, un instrumento esencial para asegurar la correcta ejecución de los recursos públicos destinados a la infraestructura deportiva y recreativa, particularmente cuando se trata de intervenciones desarrolladas </w:t>
            </w:r>
            <w:r w:rsidRPr="008D6309">
              <w:rPr>
                <w:rFonts w:ascii="Arial" w:hAnsi="Arial" w:cs="Arial"/>
                <w:sz w:val="24"/>
                <w:szCs w:val="24"/>
              </w:rPr>
              <w:lastRenderedPageBreak/>
              <w:t>simultáneamente en diferentes escenarios del Distrito, con características técnicas, presupuestales y territoriales diferenciadas.</w:t>
            </w:r>
          </w:p>
          <w:p w14:paraId="09EEBA99" w14:textId="77777777" w:rsidR="008D6309" w:rsidRPr="008D6309" w:rsidRDefault="008D6309" w:rsidP="008D6309">
            <w:pPr>
              <w:spacing w:line="278" w:lineRule="auto"/>
              <w:jc w:val="both"/>
              <w:rPr>
                <w:rFonts w:ascii="Arial" w:hAnsi="Arial" w:cs="Arial"/>
                <w:sz w:val="24"/>
                <w:szCs w:val="24"/>
              </w:rPr>
            </w:pPr>
          </w:p>
          <w:p w14:paraId="04951C89" w14:textId="77777777" w:rsidR="008D6309" w:rsidRPr="008D6309" w:rsidRDefault="008D6309" w:rsidP="008D6309">
            <w:pPr>
              <w:spacing w:line="278" w:lineRule="auto"/>
              <w:jc w:val="both"/>
              <w:rPr>
                <w:rFonts w:ascii="Arial" w:hAnsi="Arial" w:cs="Arial"/>
                <w:sz w:val="24"/>
                <w:szCs w:val="24"/>
              </w:rPr>
            </w:pPr>
            <w:r w:rsidRPr="008D6309">
              <w:rPr>
                <w:rFonts w:ascii="Arial" w:hAnsi="Arial" w:cs="Arial"/>
                <w:sz w:val="24"/>
                <w:szCs w:val="24"/>
              </w:rPr>
              <w:t>El artículo 2° de la Constitución Política establece como fines esenciales del Estado servir a la comunidad, promover la prosperidad general y garantizar la efectividad de los principios, derechos y deberes consagrados en la Constitución. A su vez, el artículo 209 dispone que la función administrativa está al servicio de los intereses generales y debe desarrollarse con fundamento, entre otros, en los principios de igualdad, moralidad, eficacia, economía, celeridad, imparcialidad y publicidad.</w:t>
            </w:r>
          </w:p>
          <w:p w14:paraId="6774745B"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En desarrollo de estos principios, la contratación pública debe contar con mecanismos adecuados que permitan verificar el cumplimiento de las obligaciones adquiridas por los contratistas y proteger los recursos públicos comprometidos. En este sentido, la interventoría constituye una herramienta de control especializada que permite a la entidad contar con el acompañamiento técnico y profesional necesario para verificar que la ejecución de las obras se ajuste a las condiciones pactadas.</w:t>
            </w:r>
          </w:p>
          <w:p w14:paraId="66423DDE" w14:textId="77777777" w:rsidR="008D6309" w:rsidRPr="008D6309" w:rsidRDefault="008D6309" w:rsidP="008D6309">
            <w:pPr>
              <w:spacing w:line="278" w:lineRule="auto"/>
              <w:jc w:val="both"/>
              <w:rPr>
                <w:rFonts w:ascii="Arial" w:hAnsi="Arial" w:cs="Arial"/>
                <w:sz w:val="24"/>
                <w:szCs w:val="24"/>
              </w:rPr>
            </w:pPr>
          </w:p>
          <w:p w14:paraId="79A0B6EC"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De manera específica, el artículo 52 de la Constitución Política reconoce el derecho de todas las personas a la recreación, a la práctica del deporte y al aprovechamiento del tiempo libre, estableciendo que el ejercicio del deporte, sus manifestaciones recreativas, competitivas y autóctonas tienen como función la formación integral de las personas y que el Estado fomentará estas actividades e inspeccionará, vigilará y controlará las organizaciones deportivas.</w:t>
            </w:r>
          </w:p>
          <w:p w14:paraId="737C10D3" w14:textId="77777777" w:rsidR="008D6309" w:rsidRPr="008D6309" w:rsidRDefault="008D6309" w:rsidP="008D6309">
            <w:pPr>
              <w:spacing w:line="278" w:lineRule="auto"/>
              <w:jc w:val="both"/>
              <w:rPr>
                <w:rFonts w:ascii="Arial" w:hAnsi="Arial" w:cs="Arial"/>
                <w:sz w:val="24"/>
                <w:szCs w:val="24"/>
              </w:rPr>
            </w:pPr>
          </w:p>
          <w:p w14:paraId="25968335"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En desarrollo de este mandato, la Ley 181 de 1995 establece los objetivos rectores para garantizar el acceso de las personas y de la comunidad al conocimiento y práctica del deporte, la recreación y el aprovechamiento del tiempo libre, lo que implica para las entidades territoriales la responsabilidad de disponer de escenarios adecuados, seguros y funcionales para el desarrollo de estas actividades.</w:t>
            </w:r>
          </w:p>
          <w:p w14:paraId="4BBF73F2" w14:textId="77777777" w:rsidR="008D6309" w:rsidRPr="008D6309" w:rsidRDefault="008D6309" w:rsidP="008D6309">
            <w:pPr>
              <w:spacing w:line="278" w:lineRule="auto"/>
              <w:jc w:val="both"/>
              <w:rPr>
                <w:rFonts w:ascii="Arial" w:hAnsi="Arial" w:cs="Arial"/>
                <w:sz w:val="24"/>
                <w:szCs w:val="24"/>
              </w:rPr>
            </w:pPr>
          </w:p>
          <w:p w14:paraId="1A344B51"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 xml:space="preserve">La ejecución de las obras objeto del presente proceso constituye, por tanto, una actuación directamente relacionada con el cumplimiento de los fines constitucionales y legales asociados al deporte y la recreación. No obstante, para que dicha inversión </w:t>
            </w:r>
            <w:r w:rsidRPr="008D6309">
              <w:rPr>
                <w:rFonts w:ascii="Arial" w:hAnsi="Arial" w:cs="Arial"/>
                <w:sz w:val="24"/>
                <w:szCs w:val="24"/>
              </w:rPr>
              <w:lastRenderedPageBreak/>
              <w:t>pública cumpla efectivamente su finalidad, resulta necesario garantizar que las obras sean ejecutadas conforme a las especificaciones técnicas, cantidades, calidades, diseños, presupuesto y condiciones de seguridad previstas en los documentos contractuales.</w:t>
            </w:r>
          </w:p>
          <w:p w14:paraId="28C51FC6" w14:textId="77777777" w:rsidR="008D6309" w:rsidRPr="008D6309" w:rsidRDefault="008D6309" w:rsidP="008D6309">
            <w:pPr>
              <w:spacing w:line="278" w:lineRule="auto"/>
              <w:jc w:val="both"/>
              <w:rPr>
                <w:rFonts w:ascii="Arial" w:hAnsi="Arial" w:cs="Arial"/>
                <w:sz w:val="24"/>
                <w:szCs w:val="24"/>
              </w:rPr>
            </w:pPr>
          </w:p>
          <w:p w14:paraId="633A2BB4"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En este sentido, la interventoría se configura como una actividad necesaria para prevenir desviaciones técnicas, administrativas y financieras durante la ejecución de las obras, verificar el cumplimiento de las obligaciones del contratista y proporcionar a la entidad información objetiva y técnicamente soportada para la toma de decisiones durante la ejecución contractual.</w:t>
            </w:r>
          </w:p>
          <w:p w14:paraId="549507E6" w14:textId="77777777" w:rsidR="008D6309" w:rsidRPr="008D6309" w:rsidRDefault="008D6309" w:rsidP="008D6309">
            <w:pPr>
              <w:spacing w:line="278" w:lineRule="auto"/>
              <w:jc w:val="both"/>
              <w:rPr>
                <w:rFonts w:ascii="Arial" w:hAnsi="Arial" w:cs="Arial"/>
                <w:sz w:val="24"/>
                <w:szCs w:val="24"/>
              </w:rPr>
            </w:pPr>
          </w:p>
          <w:p w14:paraId="49AB8AF5"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 xml:space="preserve">Desde el punto de vista contractual, la necesidad de ejercer una vigilancia especializada encuentra fundamento en la Ley 80 de 1993, particularmente en las disposiciones relacionadas con la dirección, vigilancia y </w:t>
            </w:r>
            <w:proofErr w:type="gramStart"/>
            <w:r w:rsidRPr="008D6309">
              <w:rPr>
                <w:rFonts w:ascii="Arial" w:hAnsi="Arial" w:cs="Arial"/>
                <w:sz w:val="24"/>
                <w:szCs w:val="24"/>
              </w:rPr>
              <w:t>control</w:t>
            </w:r>
            <w:proofErr w:type="gramEnd"/>
            <w:r w:rsidRPr="008D6309">
              <w:rPr>
                <w:rFonts w:ascii="Arial" w:hAnsi="Arial" w:cs="Arial"/>
                <w:sz w:val="24"/>
                <w:szCs w:val="24"/>
              </w:rPr>
              <w:t xml:space="preserve"> de la ejecución contractual. Asimismo, el artículo 83 de la Ley 1474 de 2011 establece que las entidades públicas están obligadas a vigilar permanentemente la correcta ejecución del objeto contratado mediante un supervisor o un interventor, según corresponda, señalando que la interventoría consiste en el seguimiento técnico que sobre el cumplimiento del contrato realiza una persona natural o jurídica contratada para tal fin cuando el seguimiento del contrato suponga conocimiento especializado en la materia o cuando la complejidad o extensión del mismo lo justifique.</w:t>
            </w:r>
          </w:p>
          <w:p w14:paraId="15FF6968" w14:textId="77777777" w:rsidR="008D6309" w:rsidRPr="008D6309" w:rsidRDefault="008D6309" w:rsidP="008D6309">
            <w:pPr>
              <w:spacing w:line="278" w:lineRule="auto"/>
              <w:jc w:val="both"/>
              <w:rPr>
                <w:rFonts w:ascii="Arial" w:hAnsi="Arial" w:cs="Arial"/>
                <w:sz w:val="24"/>
                <w:szCs w:val="24"/>
              </w:rPr>
            </w:pPr>
          </w:p>
          <w:p w14:paraId="54FEA86D"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En el presente caso, las características, magnitud, dispersión territorial, diversidad de actividades constructivas y especialidades técnicas involucradas en las obras justifican la contratación de una interventoría externa especializada, toda vez que el seguimiento requerido excede las labores ordinarias de vigilancia administrativa y demanda conocimientos específicos en materia de construcción, presupuestos, programación, control de calidad, seguridad y salud en el trabajo, manejo ambiental, gestión contractual y control financiero.</w:t>
            </w:r>
          </w:p>
          <w:p w14:paraId="35D25CCB" w14:textId="77777777" w:rsidR="008D6309" w:rsidRPr="008D6309" w:rsidRDefault="008D6309" w:rsidP="008D6309">
            <w:pPr>
              <w:spacing w:line="278" w:lineRule="auto"/>
              <w:jc w:val="both"/>
              <w:rPr>
                <w:rFonts w:ascii="Arial" w:hAnsi="Arial" w:cs="Arial"/>
                <w:sz w:val="24"/>
                <w:szCs w:val="24"/>
              </w:rPr>
            </w:pPr>
          </w:p>
          <w:p w14:paraId="48904C1E"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 xml:space="preserve">Sobre esta base constitucional, legal y contractual se encuentra igualmente la competencia de la Secretaría del Deporte y la Recreación. Conforme al Decreto </w:t>
            </w:r>
            <w:r w:rsidRPr="008D6309">
              <w:rPr>
                <w:rFonts w:ascii="Arial" w:hAnsi="Arial" w:cs="Arial"/>
                <w:sz w:val="24"/>
                <w:szCs w:val="24"/>
              </w:rPr>
              <w:lastRenderedPageBreak/>
              <w:t>Extraordinario 411.0.20.0516 de 2016, la Secretaría tiene entre sus funciones la formulación de planes, programas y proyectos relacionados con la infraestructura deportiva y recreativa del Distrito, así como la construcción, mantenimiento, adecuación y conservación de los escenarios deportivos y recreativos.</w:t>
            </w:r>
          </w:p>
          <w:p w14:paraId="60BB7363" w14:textId="77777777" w:rsidR="008D6309" w:rsidRPr="008D6309" w:rsidRDefault="008D6309" w:rsidP="008D6309">
            <w:pPr>
              <w:spacing w:line="278" w:lineRule="auto"/>
              <w:jc w:val="both"/>
              <w:rPr>
                <w:rFonts w:ascii="Arial" w:hAnsi="Arial" w:cs="Arial"/>
                <w:sz w:val="24"/>
                <w:szCs w:val="24"/>
              </w:rPr>
            </w:pPr>
          </w:p>
          <w:p w14:paraId="62C4F1AA"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A su vez, corresponde a la Subsecretaría de Infraestructura Deportiva y Recreativa adelantar las actividades relacionadas con el diseño, construcción, mantenimiento, adecuación y modernización de la infraestructura deportiva y recreativa, garantizando el cumplimiento de las normas técnicas, condiciones de seguridad y demás disposiciones aplicables.</w:t>
            </w:r>
          </w:p>
          <w:p w14:paraId="705521D8" w14:textId="77777777" w:rsidR="008D6309" w:rsidRPr="008D6309" w:rsidRDefault="008D6309" w:rsidP="008D6309">
            <w:pPr>
              <w:spacing w:line="278" w:lineRule="auto"/>
              <w:jc w:val="both"/>
              <w:rPr>
                <w:rFonts w:ascii="Arial" w:hAnsi="Arial" w:cs="Arial"/>
                <w:sz w:val="24"/>
                <w:szCs w:val="24"/>
              </w:rPr>
            </w:pPr>
          </w:p>
          <w:p w14:paraId="3877EDA3" w14:textId="77777777" w:rsidR="008D6309" w:rsidRPr="008D6309" w:rsidRDefault="008D6309" w:rsidP="008D6309">
            <w:pPr>
              <w:spacing w:line="278" w:lineRule="auto"/>
              <w:jc w:val="both"/>
              <w:rPr>
                <w:rFonts w:ascii="Arial" w:hAnsi="Arial" w:cs="Arial"/>
                <w:sz w:val="24"/>
                <w:szCs w:val="24"/>
              </w:rPr>
            </w:pPr>
            <w:r w:rsidRPr="008D6309">
              <w:rPr>
                <w:rFonts w:ascii="Arial" w:hAnsi="Arial" w:cs="Arial"/>
                <w:sz w:val="24"/>
                <w:szCs w:val="24"/>
              </w:rPr>
              <w:t>En consecuencia, la contratación de la interventoría requerida se encuentra directamente relacionada con las competencias funcionales de la Secretaría del Deporte y la Recreación y constituye un mecanismo necesario para garantizar que las obras financiadas con recursos públicos sean ejecutadas bajo adecuados estándares de calidad, oportunidad, seguridad, eficiencia y transparencia.</w:t>
            </w:r>
          </w:p>
          <w:p w14:paraId="46337D79" w14:textId="77777777" w:rsidR="00CA13EC" w:rsidRDefault="00CA13EC" w:rsidP="008D6309">
            <w:pPr>
              <w:pBdr>
                <w:top w:val="nil"/>
                <w:left w:val="nil"/>
                <w:bottom w:val="nil"/>
                <w:right w:val="nil"/>
                <w:between w:val="nil"/>
              </w:pBdr>
              <w:jc w:val="both"/>
              <w:rPr>
                <w:rFonts w:ascii="Arial" w:hAnsi="Arial" w:cs="Arial"/>
                <w:b/>
                <w:bCs/>
                <w:color w:val="000000"/>
                <w:sz w:val="24"/>
                <w:szCs w:val="24"/>
              </w:rPr>
            </w:pPr>
          </w:p>
          <w:p w14:paraId="6BE448C0" w14:textId="357E37E8" w:rsidR="008D6309" w:rsidRDefault="008D6309" w:rsidP="008D6309">
            <w:pPr>
              <w:pBdr>
                <w:top w:val="nil"/>
                <w:left w:val="nil"/>
                <w:bottom w:val="nil"/>
                <w:right w:val="nil"/>
                <w:between w:val="nil"/>
              </w:pBdr>
              <w:jc w:val="both"/>
              <w:rPr>
                <w:rFonts w:ascii="Arial" w:hAnsi="Arial" w:cs="Arial"/>
                <w:b/>
                <w:bCs/>
                <w:color w:val="000000"/>
                <w:sz w:val="24"/>
                <w:szCs w:val="24"/>
              </w:rPr>
            </w:pPr>
            <w:r w:rsidRPr="008D6309">
              <w:rPr>
                <w:rFonts w:ascii="Arial" w:hAnsi="Arial" w:cs="Arial"/>
                <w:b/>
                <w:bCs/>
                <w:color w:val="000000"/>
                <w:sz w:val="24"/>
                <w:szCs w:val="24"/>
              </w:rPr>
              <w:t xml:space="preserve">Articulación a la política pública, plan nacional de desarrollo y/o planes municipales de </w:t>
            </w:r>
            <w:r w:rsidR="00CA13EC">
              <w:rPr>
                <w:rFonts w:ascii="Arial" w:hAnsi="Arial" w:cs="Arial"/>
                <w:b/>
                <w:bCs/>
                <w:color w:val="000000"/>
                <w:sz w:val="24"/>
                <w:szCs w:val="24"/>
              </w:rPr>
              <w:t>Desarrollo.</w:t>
            </w:r>
          </w:p>
          <w:p w14:paraId="260C008F" w14:textId="77777777" w:rsidR="00CA13EC" w:rsidRPr="008D6309" w:rsidRDefault="00CA13EC" w:rsidP="008D6309">
            <w:pPr>
              <w:pBdr>
                <w:top w:val="nil"/>
                <w:left w:val="nil"/>
                <w:bottom w:val="nil"/>
                <w:right w:val="nil"/>
                <w:between w:val="nil"/>
              </w:pBdr>
              <w:jc w:val="both"/>
              <w:rPr>
                <w:rFonts w:ascii="Arial" w:hAnsi="Arial" w:cs="Arial"/>
                <w:b/>
                <w:bCs/>
                <w:color w:val="000000"/>
                <w:sz w:val="24"/>
                <w:szCs w:val="24"/>
              </w:rPr>
            </w:pPr>
          </w:p>
          <w:p w14:paraId="2FC7D2FB" w14:textId="77777777" w:rsidR="008D6309" w:rsidRPr="008D6309" w:rsidRDefault="008D6309" w:rsidP="008D6309">
            <w:pPr>
              <w:spacing w:line="278" w:lineRule="auto"/>
              <w:jc w:val="both"/>
              <w:rPr>
                <w:rFonts w:ascii="Arial" w:hAnsi="Arial" w:cs="Arial"/>
                <w:sz w:val="24"/>
                <w:szCs w:val="24"/>
              </w:rPr>
            </w:pPr>
            <w:r w:rsidRPr="008D6309">
              <w:rPr>
                <w:rFonts w:ascii="Arial" w:hAnsi="Arial" w:cs="Arial"/>
                <w:sz w:val="24"/>
                <w:szCs w:val="24"/>
              </w:rPr>
              <w:t>La contratación que se requiere adelantar responde al Plan de Desarrollo aprobado mediante Acuerdo No. 0578 de 2024 “POR MEDIO DEL CUAL SE ADOPTA EL PLAN DE DESARROLLO DEL DISTRITO ESPECIAL, DEPORTIVO, CULTURAL, TURÍSTICO, EMPRESARIAL Y DE SERVICIOS DE SANTIAGO DE CALI 2024-2027 “CALI, CAPITAL PACÍFICA DE COLOMBIA””, con los siguientes objetivos y programas:</w:t>
            </w:r>
          </w:p>
          <w:p w14:paraId="1FF5A9F2" w14:textId="77777777" w:rsidR="008D6309" w:rsidRPr="008D6309" w:rsidRDefault="008D6309" w:rsidP="008D6309">
            <w:pPr>
              <w:spacing w:line="278" w:lineRule="auto"/>
              <w:jc w:val="both"/>
              <w:rPr>
                <w:rFonts w:ascii="Arial" w:hAnsi="Arial" w:cs="Arial"/>
                <w:sz w:val="24"/>
                <w:szCs w:val="24"/>
              </w:rPr>
            </w:pPr>
          </w:p>
          <w:p w14:paraId="2E857CAF" w14:textId="77777777" w:rsidR="008D6309" w:rsidRPr="008D6309" w:rsidRDefault="008D6309" w:rsidP="008D6309">
            <w:pPr>
              <w:jc w:val="center"/>
              <w:rPr>
                <w:rFonts w:ascii="Arial" w:hAnsi="Arial" w:cs="Arial"/>
                <w:sz w:val="24"/>
                <w:szCs w:val="24"/>
              </w:rPr>
            </w:pPr>
            <w:r w:rsidRPr="008D6309">
              <w:rPr>
                <w:rFonts w:ascii="Arial" w:hAnsi="Arial" w:cs="Arial"/>
                <w:noProof/>
                <w:sz w:val="24"/>
                <w:szCs w:val="24"/>
              </w:rPr>
              <w:drawing>
                <wp:inline distT="0" distB="0" distL="0" distR="0" wp14:anchorId="6E24FF7F" wp14:editId="1C6A9A1C">
                  <wp:extent cx="3402655" cy="1361552"/>
                  <wp:effectExtent l="3175" t="3175" r="3175" b="3175"/>
                  <wp:docPr id="209887716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8"/>
                          <a:srcRect/>
                          <a:stretch>
                            <a:fillRect/>
                          </a:stretch>
                        </pic:blipFill>
                        <pic:spPr>
                          <a:xfrm>
                            <a:off x="0" y="0"/>
                            <a:ext cx="3402655" cy="1361552"/>
                          </a:xfrm>
                          <a:prstGeom prst="rect">
                            <a:avLst/>
                          </a:prstGeom>
                          <a:ln w="3175">
                            <a:solidFill>
                              <a:srgbClr val="000000"/>
                            </a:solidFill>
                            <a:prstDash val="solid"/>
                          </a:ln>
                        </pic:spPr>
                      </pic:pic>
                    </a:graphicData>
                  </a:graphic>
                </wp:inline>
              </w:drawing>
            </w:r>
          </w:p>
          <w:p w14:paraId="520D2242" w14:textId="77777777" w:rsidR="008D6309" w:rsidRPr="008D6309" w:rsidRDefault="008D6309" w:rsidP="008D6309">
            <w:pPr>
              <w:pBdr>
                <w:top w:val="nil"/>
                <w:left w:val="nil"/>
                <w:bottom w:val="nil"/>
                <w:right w:val="nil"/>
                <w:between w:val="nil"/>
              </w:pBdr>
              <w:jc w:val="both"/>
              <w:rPr>
                <w:rFonts w:ascii="Arial" w:hAnsi="Arial" w:cs="Arial"/>
                <w:b/>
                <w:bCs/>
                <w:color w:val="000000"/>
                <w:sz w:val="24"/>
                <w:szCs w:val="24"/>
              </w:rPr>
            </w:pPr>
          </w:p>
          <w:p w14:paraId="5CE83244"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El presente proceso de contratación se articula directamente con el Plan de Desarrollo Distrital 2024-2027 “Cali, Capital Pacífica de Colombia”, adoptado mediante Acuerdo No. 0578 de 2024, instrumento que orienta la gestión de la Administración Distrital hacia la construcción de un territorio más reconciliado, renovado, sostenible y con buen gobierno.</w:t>
            </w:r>
          </w:p>
          <w:p w14:paraId="7206078E" w14:textId="77777777" w:rsidR="00CA13EC" w:rsidRPr="008D6309" w:rsidRDefault="00CA13EC" w:rsidP="008D6309">
            <w:pPr>
              <w:spacing w:line="278" w:lineRule="auto"/>
              <w:jc w:val="both"/>
              <w:rPr>
                <w:rFonts w:ascii="Arial" w:hAnsi="Arial" w:cs="Arial"/>
                <w:sz w:val="24"/>
                <w:szCs w:val="24"/>
              </w:rPr>
            </w:pPr>
          </w:p>
          <w:p w14:paraId="52DD30F2" w14:textId="77777777" w:rsidR="008D6309" w:rsidRDefault="008D6309" w:rsidP="008D6309">
            <w:pPr>
              <w:spacing w:line="278" w:lineRule="auto"/>
              <w:jc w:val="both"/>
              <w:rPr>
                <w:rFonts w:ascii="Arial" w:hAnsi="Arial" w:cs="Arial"/>
                <w:sz w:val="24"/>
                <w:szCs w:val="24"/>
              </w:rPr>
            </w:pPr>
            <w:proofErr w:type="gramStart"/>
            <w:r w:rsidRPr="008D6309">
              <w:rPr>
                <w:rFonts w:ascii="Arial" w:hAnsi="Arial" w:cs="Arial"/>
                <w:sz w:val="24"/>
                <w:szCs w:val="24"/>
              </w:rPr>
              <w:t>En particular, las</w:t>
            </w:r>
            <w:proofErr w:type="gramEnd"/>
            <w:r w:rsidRPr="008D6309">
              <w:rPr>
                <w:rFonts w:ascii="Arial" w:hAnsi="Arial" w:cs="Arial"/>
                <w:sz w:val="24"/>
                <w:szCs w:val="24"/>
              </w:rPr>
              <w:t xml:space="preserve"> obras objeto de seguimiento mediante la presente interventoría se encuentran vinculadas con las acciones orientadas al fortalecimiento de la infraestructura deportiva y recreativa del Distrito, como instrumento para promover la convivencia, el aprovechamiento adecuado del tiempo libre, la actividad física, la formación deportiva y el bienestar de la población.</w:t>
            </w:r>
          </w:p>
          <w:p w14:paraId="40995AEC" w14:textId="77777777" w:rsidR="00CA13EC" w:rsidRPr="008D6309" w:rsidRDefault="00CA13EC" w:rsidP="008D6309">
            <w:pPr>
              <w:spacing w:line="278" w:lineRule="auto"/>
              <w:jc w:val="both"/>
              <w:rPr>
                <w:rFonts w:ascii="Arial" w:hAnsi="Arial" w:cs="Arial"/>
                <w:sz w:val="24"/>
                <w:szCs w:val="24"/>
              </w:rPr>
            </w:pPr>
          </w:p>
          <w:p w14:paraId="0AAB9061"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El artículo 14 del Plan de Desarrollo, correspondiente al propósito “Cali Reconciliada”, reconoce la importancia de fortalecer los espacios de encuentro comunitario y convivencia ciudadana. En este contexto, los escenarios deportivos y recreativos constituyen equipamientos fundamentales para promover la integración social y el uso adecuado del tiempo libre.</w:t>
            </w:r>
          </w:p>
          <w:p w14:paraId="39C17D0A" w14:textId="77777777" w:rsidR="00CA13EC" w:rsidRPr="008D6309" w:rsidRDefault="00CA13EC" w:rsidP="008D6309">
            <w:pPr>
              <w:spacing w:line="278" w:lineRule="auto"/>
              <w:jc w:val="both"/>
              <w:rPr>
                <w:rFonts w:ascii="Arial" w:hAnsi="Arial" w:cs="Arial"/>
                <w:sz w:val="24"/>
                <w:szCs w:val="24"/>
              </w:rPr>
            </w:pPr>
          </w:p>
          <w:p w14:paraId="72CE9242"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De igual manera, el artículo 15, numeral 2, relaciona la ocupación constructiva del tiempo libre y el desarrollo de actividades culturales, deportivas y recreativas con la prevención de conflictos y la construcción de paz, mientras que el artículo 16 incorpora dentro de sus estrategias el fortalecimiento de las capacidades deportivas mediante el desarrollo de infraestructura adecuada.</w:t>
            </w:r>
          </w:p>
          <w:p w14:paraId="7C9B7956" w14:textId="77777777" w:rsidR="008D6309" w:rsidRPr="008D6309" w:rsidRDefault="008D6309" w:rsidP="008D6309">
            <w:pPr>
              <w:spacing w:line="278" w:lineRule="auto"/>
              <w:jc w:val="both"/>
              <w:rPr>
                <w:rFonts w:ascii="Arial" w:hAnsi="Arial" w:cs="Arial"/>
                <w:sz w:val="24"/>
                <w:szCs w:val="24"/>
              </w:rPr>
            </w:pPr>
          </w:p>
          <w:p w14:paraId="79CDD094"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En concordancia con lo anterior, el presente proceso de interventoría se encuentra asociado a la ejecución de proyectos que contribuyen al cumplimiento de la meta de producto 62010010014 “Escenarios deportivos y recreativos de Santiago de Cali adecuados, intervenidos y construidos”, correspondiente a la dimensión 62 “Cali renovada y sostenible”, línea estratégica 6201 “Territorio planificado y conectado” y programa 6201001 “Ordenamiento territorial e integración regional”.</w:t>
            </w:r>
          </w:p>
          <w:p w14:paraId="30B55E21" w14:textId="77777777" w:rsidR="008D6309" w:rsidRPr="008D6309" w:rsidRDefault="008D6309" w:rsidP="008D6309">
            <w:pPr>
              <w:spacing w:line="278" w:lineRule="auto"/>
              <w:jc w:val="both"/>
              <w:rPr>
                <w:rFonts w:ascii="Arial" w:hAnsi="Arial" w:cs="Arial"/>
                <w:sz w:val="24"/>
                <w:szCs w:val="24"/>
              </w:rPr>
            </w:pPr>
          </w:p>
          <w:p w14:paraId="67C7BF77"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lastRenderedPageBreak/>
              <w:t>La interventoría, en este marco, no constituye una actividad independiente de la inversión en infraestructura, sino un componente necesario para garantizar que las intervenciones físicas que contribuyen al cumplimiento de dicha meta sean ejecutadas conforme a las condiciones previstas por la Administración Distrital.</w:t>
            </w:r>
          </w:p>
          <w:p w14:paraId="579E5136" w14:textId="77777777" w:rsidR="008D6309" w:rsidRPr="008D6309" w:rsidRDefault="008D6309" w:rsidP="008D6309">
            <w:pPr>
              <w:spacing w:line="278" w:lineRule="auto"/>
              <w:jc w:val="both"/>
              <w:rPr>
                <w:rFonts w:ascii="Arial" w:hAnsi="Arial" w:cs="Arial"/>
                <w:sz w:val="24"/>
                <w:szCs w:val="24"/>
              </w:rPr>
            </w:pPr>
          </w:p>
          <w:p w14:paraId="75092240"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Para la vigencia 2026, las obras objeto del presente proceso contemplan la intervención de diez (10) escenarios deportivos y recreativos, financiados con recursos de Presupuesto Participativo asignados a la Secretaría del Deporte y la Recreación.</w:t>
            </w:r>
          </w:p>
          <w:p w14:paraId="28754D5E" w14:textId="77777777" w:rsidR="008D6309" w:rsidRPr="008D6309" w:rsidRDefault="008D6309" w:rsidP="008D6309">
            <w:pPr>
              <w:spacing w:line="278" w:lineRule="auto"/>
              <w:jc w:val="both"/>
              <w:rPr>
                <w:rFonts w:ascii="Arial" w:hAnsi="Arial" w:cs="Arial"/>
                <w:sz w:val="24"/>
                <w:szCs w:val="24"/>
              </w:rPr>
            </w:pPr>
          </w:p>
          <w:p w14:paraId="7A73F246" w14:textId="77777777" w:rsidR="008D6309" w:rsidRDefault="008D6309" w:rsidP="008D6309">
            <w:pPr>
              <w:spacing w:line="278" w:lineRule="auto"/>
              <w:jc w:val="both"/>
              <w:rPr>
                <w:rFonts w:ascii="Arial" w:hAnsi="Arial" w:cs="Arial"/>
                <w:sz w:val="24"/>
                <w:szCs w:val="24"/>
              </w:rPr>
            </w:pPr>
            <w:r w:rsidRPr="008D6309">
              <w:rPr>
                <w:rFonts w:ascii="Arial" w:hAnsi="Arial" w:cs="Arial"/>
                <w:sz w:val="24"/>
                <w:szCs w:val="24"/>
              </w:rPr>
              <w:t>Por lo anterior, el seguimiento especializado de dichas obras mediante una interventoría integral permite fortalecer el cumplimiento de las metas del Plan de Desarrollo, asegurar la adecuada destinación de los recursos públicos y garantizar que los productos físicos derivados de la inversión correspondan efectivamente a las necesidades identificadas y concertadas con las comunidades beneficiarias.</w:t>
            </w:r>
          </w:p>
          <w:p w14:paraId="44178734" w14:textId="77777777" w:rsidR="008D6309" w:rsidRPr="008D6309" w:rsidRDefault="008D6309" w:rsidP="008D6309">
            <w:pPr>
              <w:spacing w:line="278" w:lineRule="auto"/>
              <w:jc w:val="both"/>
              <w:rPr>
                <w:rFonts w:ascii="Arial" w:hAnsi="Arial" w:cs="Arial"/>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5"/>
              <w:gridCol w:w="2837"/>
              <w:gridCol w:w="1487"/>
              <w:gridCol w:w="1847"/>
            </w:tblGrid>
            <w:tr w:rsidR="008D6309" w:rsidRPr="00BE680B" w14:paraId="1DCE8C4F" w14:textId="77777777" w:rsidTr="00BE680B">
              <w:trPr>
                <w:jc w:val="center"/>
              </w:trPr>
              <w:tc>
                <w:tcPr>
                  <w:tcW w:w="1663" w:type="pct"/>
                  <w:tcBorders>
                    <w:top w:val="single" w:sz="4" w:space="0" w:color="808080"/>
                    <w:left w:val="single" w:sz="4" w:space="0" w:color="808080"/>
                    <w:bottom w:val="single" w:sz="4" w:space="0" w:color="808080"/>
                    <w:right w:val="single" w:sz="4" w:space="0" w:color="808080"/>
                  </w:tcBorders>
                  <w:vAlign w:val="center"/>
                </w:tcPr>
                <w:p w14:paraId="4D225F8A" w14:textId="77777777" w:rsidR="008D6309" w:rsidRPr="00BE680B" w:rsidRDefault="008D6309" w:rsidP="008D6309">
                  <w:pPr>
                    <w:jc w:val="both"/>
                    <w:rPr>
                      <w:rFonts w:ascii="Arial" w:hAnsi="Arial" w:cs="Arial"/>
                      <w:color w:val="000000"/>
                      <w:sz w:val="22"/>
                      <w:szCs w:val="22"/>
                    </w:rPr>
                  </w:pPr>
                  <w:r w:rsidRPr="00BE680B">
                    <w:rPr>
                      <w:rFonts w:ascii="Arial" w:hAnsi="Arial" w:cs="Arial"/>
                      <w:b/>
                      <w:bCs/>
                      <w:color w:val="000000"/>
                      <w:sz w:val="22"/>
                      <w:szCs w:val="22"/>
                    </w:rPr>
                    <w:t>DIMENSIÓN / LÍNEA / PROGRAMA</w:t>
                  </w:r>
                </w:p>
              </w:tc>
              <w:tc>
                <w:tcPr>
                  <w:tcW w:w="1534" w:type="pct"/>
                  <w:tcBorders>
                    <w:top w:val="single" w:sz="4" w:space="0" w:color="808080"/>
                    <w:left w:val="single" w:sz="4" w:space="0" w:color="808080"/>
                    <w:bottom w:val="single" w:sz="4" w:space="0" w:color="808080"/>
                    <w:right w:val="single" w:sz="4" w:space="0" w:color="808080"/>
                  </w:tcBorders>
                  <w:vAlign w:val="center"/>
                </w:tcPr>
                <w:p w14:paraId="3AB81191" w14:textId="77777777" w:rsidR="008D6309" w:rsidRPr="00BE680B" w:rsidRDefault="008D6309" w:rsidP="008D6309">
                  <w:pPr>
                    <w:jc w:val="both"/>
                    <w:rPr>
                      <w:rFonts w:ascii="Arial" w:hAnsi="Arial" w:cs="Arial"/>
                      <w:color w:val="000000"/>
                      <w:sz w:val="22"/>
                      <w:szCs w:val="22"/>
                    </w:rPr>
                  </w:pPr>
                  <w:r w:rsidRPr="00BE680B">
                    <w:rPr>
                      <w:rFonts w:ascii="Arial" w:hAnsi="Arial" w:cs="Arial"/>
                      <w:b/>
                      <w:bCs/>
                      <w:color w:val="000000"/>
                      <w:sz w:val="22"/>
                      <w:szCs w:val="22"/>
                    </w:rPr>
                    <w:t>META - PLAN DE DESARROLLO 2024-2027</w:t>
                  </w:r>
                </w:p>
              </w:tc>
              <w:tc>
                <w:tcPr>
                  <w:tcW w:w="804" w:type="pct"/>
                  <w:tcBorders>
                    <w:top w:val="single" w:sz="4" w:space="0" w:color="808080"/>
                    <w:left w:val="single" w:sz="4" w:space="0" w:color="808080"/>
                    <w:bottom w:val="single" w:sz="4" w:space="0" w:color="808080"/>
                    <w:right w:val="single" w:sz="4" w:space="0" w:color="808080"/>
                  </w:tcBorders>
                  <w:vAlign w:val="center"/>
                </w:tcPr>
                <w:p w14:paraId="4286B8C0" w14:textId="77777777" w:rsidR="008D6309" w:rsidRPr="00BE680B" w:rsidRDefault="008D6309" w:rsidP="008D6309">
                  <w:pPr>
                    <w:jc w:val="both"/>
                    <w:rPr>
                      <w:rFonts w:ascii="Arial" w:hAnsi="Arial" w:cs="Arial"/>
                      <w:color w:val="000000"/>
                      <w:sz w:val="22"/>
                      <w:szCs w:val="22"/>
                    </w:rPr>
                  </w:pPr>
                  <w:r w:rsidRPr="00BE680B">
                    <w:rPr>
                      <w:rFonts w:ascii="Arial" w:hAnsi="Arial" w:cs="Arial"/>
                      <w:b/>
                      <w:bCs/>
                      <w:color w:val="000000"/>
                      <w:sz w:val="22"/>
                      <w:szCs w:val="22"/>
                    </w:rPr>
                    <w:t>APORTE VIGENCIA 2026</w:t>
                  </w:r>
                </w:p>
              </w:tc>
              <w:tc>
                <w:tcPr>
                  <w:tcW w:w="999" w:type="pct"/>
                  <w:tcBorders>
                    <w:top w:val="single" w:sz="4" w:space="0" w:color="808080"/>
                    <w:left w:val="single" w:sz="4" w:space="0" w:color="808080"/>
                    <w:bottom w:val="single" w:sz="4" w:space="0" w:color="808080"/>
                    <w:right w:val="single" w:sz="4" w:space="0" w:color="808080"/>
                  </w:tcBorders>
                  <w:vAlign w:val="center"/>
                </w:tcPr>
                <w:p w14:paraId="456A65C2" w14:textId="77777777" w:rsidR="008D6309" w:rsidRPr="00BE680B" w:rsidRDefault="008D6309" w:rsidP="008D6309">
                  <w:pPr>
                    <w:jc w:val="both"/>
                    <w:rPr>
                      <w:rFonts w:ascii="Arial" w:hAnsi="Arial" w:cs="Arial"/>
                      <w:color w:val="000000"/>
                      <w:sz w:val="22"/>
                      <w:szCs w:val="22"/>
                    </w:rPr>
                  </w:pPr>
                  <w:r w:rsidRPr="00BE680B">
                    <w:rPr>
                      <w:rFonts w:ascii="Arial" w:hAnsi="Arial" w:cs="Arial"/>
                      <w:b/>
                      <w:bCs/>
                      <w:color w:val="000000"/>
                      <w:sz w:val="22"/>
                      <w:szCs w:val="22"/>
                    </w:rPr>
                    <w:t>META CUATRIENIO</w:t>
                  </w:r>
                </w:p>
              </w:tc>
            </w:tr>
            <w:tr w:rsidR="008D6309" w:rsidRPr="00BE680B" w14:paraId="7C8EA119" w14:textId="77777777" w:rsidTr="00BE680B">
              <w:trPr>
                <w:trHeight w:val="1187"/>
                <w:jc w:val="center"/>
              </w:trPr>
              <w:tc>
                <w:tcPr>
                  <w:tcW w:w="1663" w:type="pct"/>
                  <w:tcBorders>
                    <w:top w:val="single" w:sz="4" w:space="0" w:color="808080"/>
                    <w:left w:val="single" w:sz="4" w:space="0" w:color="808080"/>
                    <w:bottom w:val="single" w:sz="4" w:space="0" w:color="808080"/>
                    <w:right w:val="single" w:sz="4" w:space="0" w:color="808080"/>
                  </w:tcBorders>
                  <w:vAlign w:val="center"/>
                </w:tcPr>
                <w:p w14:paraId="17E97B75" w14:textId="77777777" w:rsidR="008D6309" w:rsidRPr="00BE680B" w:rsidRDefault="008D6309" w:rsidP="008D6309">
                  <w:pPr>
                    <w:jc w:val="both"/>
                    <w:rPr>
                      <w:rFonts w:ascii="Arial" w:hAnsi="Arial" w:cs="Arial"/>
                      <w:sz w:val="22"/>
                      <w:szCs w:val="22"/>
                    </w:rPr>
                  </w:pPr>
                  <w:r w:rsidRPr="00BE680B">
                    <w:rPr>
                      <w:rFonts w:ascii="Arial" w:hAnsi="Arial" w:cs="Arial"/>
                      <w:sz w:val="22"/>
                      <w:szCs w:val="22"/>
                    </w:rPr>
                    <w:t>62 Cali renovada y sostenible / 6201 Territorio planificado y conectado / 6201001 Ordenamiento territorial e integración regional</w:t>
                  </w:r>
                </w:p>
              </w:tc>
              <w:tc>
                <w:tcPr>
                  <w:tcW w:w="1534" w:type="pct"/>
                  <w:tcBorders>
                    <w:top w:val="single" w:sz="4" w:space="0" w:color="808080"/>
                    <w:left w:val="single" w:sz="4" w:space="0" w:color="808080"/>
                    <w:bottom w:val="single" w:sz="4" w:space="0" w:color="808080"/>
                    <w:right w:val="single" w:sz="4" w:space="0" w:color="808080"/>
                  </w:tcBorders>
                  <w:vAlign w:val="center"/>
                </w:tcPr>
                <w:p w14:paraId="7331F94A" w14:textId="77777777" w:rsidR="008D6309" w:rsidRPr="00BE680B" w:rsidRDefault="008D6309" w:rsidP="008D6309">
                  <w:pPr>
                    <w:jc w:val="both"/>
                    <w:rPr>
                      <w:rFonts w:ascii="Arial" w:hAnsi="Arial" w:cs="Arial"/>
                      <w:sz w:val="22"/>
                      <w:szCs w:val="22"/>
                    </w:rPr>
                  </w:pPr>
                  <w:r w:rsidRPr="00BE680B">
                    <w:rPr>
                      <w:rFonts w:ascii="Arial" w:hAnsi="Arial" w:cs="Arial"/>
                      <w:sz w:val="22"/>
                      <w:szCs w:val="22"/>
                    </w:rPr>
                    <w:t>62010010014 — Escenarios deportivos y recreativos adecuados, intervenidos y construidos</w:t>
                  </w:r>
                </w:p>
              </w:tc>
              <w:tc>
                <w:tcPr>
                  <w:tcW w:w="804" w:type="pct"/>
                  <w:tcBorders>
                    <w:top w:val="single" w:sz="4" w:space="0" w:color="808080"/>
                    <w:left w:val="single" w:sz="4" w:space="0" w:color="808080"/>
                    <w:bottom w:val="single" w:sz="4" w:space="0" w:color="808080"/>
                    <w:right w:val="single" w:sz="4" w:space="0" w:color="808080"/>
                  </w:tcBorders>
                  <w:vAlign w:val="center"/>
                </w:tcPr>
                <w:p w14:paraId="5F357827" w14:textId="77777777" w:rsidR="008D6309" w:rsidRPr="00BE680B" w:rsidRDefault="008D6309" w:rsidP="008D6309">
                  <w:pPr>
                    <w:jc w:val="both"/>
                    <w:rPr>
                      <w:rFonts w:ascii="Arial" w:hAnsi="Arial" w:cs="Arial"/>
                      <w:sz w:val="22"/>
                      <w:szCs w:val="22"/>
                    </w:rPr>
                  </w:pPr>
                  <w:r w:rsidRPr="00BE680B">
                    <w:rPr>
                      <w:rFonts w:ascii="Arial" w:hAnsi="Arial" w:cs="Arial"/>
                      <w:sz w:val="22"/>
                      <w:szCs w:val="22"/>
                    </w:rPr>
                    <w:t>10 escenarios</w:t>
                  </w:r>
                </w:p>
              </w:tc>
              <w:tc>
                <w:tcPr>
                  <w:tcW w:w="999" w:type="pct"/>
                  <w:tcBorders>
                    <w:top w:val="single" w:sz="4" w:space="0" w:color="808080"/>
                    <w:left w:val="single" w:sz="4" w:space="0" w:color="808080"/>
                    <w:bottom w:val="single" w:sz="4" w:space="0" w:color="808080"/>
                    <w:right w:val="single" w:sz="4" w:space="0" w:color="808080"/>
                  </w:tcBorders>
                  <w:vAlign w:val="center"/>
                </w:tcPr>
                <w:p w14:paraId="214F5C24" w14:textId="77777777" w:rsidR="008D6309" w:rsidRPr="00BE680B" w:rsidRDefault="008D6309" w:rsidP="008D6309">
                  <w:pPr>
                    <w:jc w:val="both"/>
                    <w:rPr>
                      <w:rFonts w:ascii="Arial" w:hAnsi="Arial" w:cs="Arial"/>
                      <w:sz w:val="22"/>
                      <w:szCs w:val="22"/>
                    </w:rPr>
                  </w:pPr>
                  <w:r w:rsidRPr="00BE680B">
                    <w:rPr>
                      <w:rFonts w:ascii="Arial" w:hAnsi="Arial" w:cs="Arial"/>
                      <w:sz w:val="22"/>
                      <w:szCs w:val="22"/>
                    </w:rPr>
                    <w:t>1.000 escenarios</w:t>
                  </w:r>
                </w:p>
              </w:tc>
            </w:tr>
          </w:tbl>
          <w:p w14:paraId="06C73BFD" w14:textId="77777777" w:rsidR="008D6309" w:rsidRPr="008D6309" w:rsidRDefault="008D6309" w:rsidP="008D6309">
            <w:pPr>
              <w:spacing w:line="278" w:lineRule="auto"/>
              <w:jc w:val="both"/>
              <w:rPr>
                <w:rFonts w:ascii="Arial" w:hAnsi="Arial" w:cs="Arial"/>
                <w:sz w:val="24"/>
                <w:szCs w:val="24"/>
              </w:rPr>
            </w:pPr>
          </w:p>
          <w:p w14:paraId="101EAADE" w14:textId="77777777" w:rsidR="0026185E" w:rsidRDefault="008D6309" w:rsidP="008D6309">
            <w:pPr>
              <w:pBdr>
                <w:top w:val="nil"/>
                <w:left w:val="nil"/>
                <w:bottom w:val="nil"/>
                <w:right w:val="nil"/>
                <w:between w:val="nil"/>
              </w:pBdr>
              <w:jc w:val="both"/>
              <w:rPr>
                <w:rFonts w:ascii="Arial" w:hAnsi="Arial" w:cs="Arial"/>
                <w:sz w:val="24"/>
                <w:szCs w:val="24"/>
              </w:rPr>
            </w:pPr>
            <w:r w:rsidRPr="008D6309">
              <w:rPr>
                <w:rFonts w:ascii="Arial" w:hAnsi="Arial" w:cs="Arial"/>
                <w:sz w:val="24"/>
                <w:szCs w:val="24"/>
              </w:rPr>
              <w:t>Finalmente, la contratación de la interventoría contribuye al cumplimiento de los principios de eficiencia, economía, responsabilidad, transparencia y planeación que rigen la contratación estatal, en la medida en que permite realizar un seguimiento permanente y especializado a la ejecución de las obras y facilita la identificación temprana de situaciones que puedan afectar el cumplimiento del objeto contractual.</w:t>
            </w:r>
          </w:p>
          <w:p w14:paraId="470524EE" w14:textId="24550EC9" w:rsidR="008D6309" w:rsidRPr="008D6309" w:rsidRDefault="008D6309" w:rsidP="008D6309">
            <w:pPr>
              <w:pBdr>
                <w:top w:val="nil"/>
                <w:left w:val="nil"/>
                <w:bottom w:val="nil"/>
                <w:right w:val="nil"/>
                <w:between w:val="nil"/>
              </w:pBdr>
              <w:jc w:val="both"/>
              <w:rPr>
                <w:rFonts w:ascii="Arial" w:eastAsia="Arial" w:hAnsi="Arial" w:cs="Arial"/>
                <w:color w:val="000000"/>
                <w:sz w:val="24"/>
                <w:szCs w:val="24"/>
                <w:lang w:val="es-CO"/>
              </w:rPr>
            </w:pPr>
          </w:p>
        </w:tc>
      </w:tr>
      <w:tr w:rsidR="00D768A3" w14:paraId="344227AB" w14:textId="77777777" w:rsidTr="00FD2B6C">
        <w:trPr>
          <w:trHeight w:val="42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1C0CDB34" w14:textId="77777777" w:rsidR="00D768A3" w:rsidRDefault="00A0753E">
            <w:pPr>
              <w:widowControl/>
              <w:numPr>
                <w:ilvl w:val="0"/>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DEFINICIONES</w:t>
            </w:r>
          </w:p>
        </w:tc>
      </w:tr>
      <w:tr w:rsidR="00D768A3" w14:paraId="4AFD315A" w14:textId="77777777" w:rsidTr="00FD2B6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8F8936D" w14:textId="77777777" w:rsidR="00D768A3" w:rsidRDefault="00D768A3">
            <w:pPr>
              <w:pBdr>
                <w:top w:val="nil"/>
                <w:left w:val="nil"/>
                <w:bottom w:val="nil"/>
                <w:right w:val="nil"/>
                <w:between w:val="nil"/>
              </w:pBdr>
              <w:jc w:val="both"/>
              <w:rPr>
                <w:rFonts w:ascii="Arial" w:eastAsia="Arial" w:hAnsi="Arial" w:cs="Arial"/>
                <w:color w:val="000000"/>
                <w:sz w:val="24"/>
                <w:szCs w:val="24"/>
              </w:rPr>
            </w:pPr>
          </w:p>
          <w:p w14:paraId="233CA14E" w14:textId="0E16C631" w:rsidR="00D768A3" w:rsidRPr="00D67D8A" w:rsidRDefault="00A0753E">
            <w:pPr>
              <w:pBdr>
                <w:top w:val="nil"/>
                <w:left w:val="nil"/>
                <w:bottom w:val="nil"/>
                <w:right w:val="nil"/>
                <w:between w:val="nil"/>
              </w:pBd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 xml:space="preserve">Esta tabla proporciona definiciones claras de los términos claves relacionados con el análisis del sector para </w:t>
            </w:r>
            <w:r w:rsidR="00633DA3" w:rsidRPr="00633DA3">
              <w:rPr>
                <w:rFonts w:ascii="Arial" w:eastAsia="Arial" w:hAnsi="Arial" w:cs="Arial"/>
                <w:color w:val="000000"/>
                <w:sz w:val="24"/>
                <w:szCs w:val="24"/>
                <w:lang w:val="es-CO"/>
              </w:rPr>
              <w:t xml:space="preserve">REALIZAR LA INTERVENTORÍA TECNICA, </w:t>
            </w:r>
            <w:r w:rsidR="00633DA3" w:rsidRPr="00633DA3">
              <w:rPr>
                <w:rFonts w:ascii="Arial" w:eastAsia="Arial" w:hAnsi="Arial" w:cs="Arial"/>
                <w:color w:val="000000"/>
                <w:sz w:val="24"/>
                <w:szCs w:val="24"/>
                <w:lang w:val="es-CO"/>
              </w:rPr>
              <w:lastRenderedPageBreak/>
              <w:t xml:space="preserve">ADMINISTRATIVA, JURIDICA, FINANCIERA, AMBIENTAL Y CONTABLE A LOS CONTRATOS DE OBRA QUE </w:t>
            </w:r>
            <w:r w:rsidR="008F551B" w:rsidRPr="008F551B">
              <w:rPr>
                <w:rFonts w:ascii="Arial" w:eastAsia="Arial" w:hAnsi="Arial" w:cs="Arial"/>
                <w:color w:val="000000"/>
                <w:sz w:val="24"/>
                <w:szCs w:val="24"/>
                <w:lang w:val="es-CO"/>
              </w:rPr>
              <w:t>REALIZAR LA INTERVENTORÍA TECNICA, ADMINISTRATIVA, JURIDICA, FINANCIERA, AMBIENTAL Y CONTABLE A LOS CONTRATOS DE OBRA QUE RESULTEN ADJUDICADOS EN EL PROCESO DE LICITACIÓN PÚBLICA, CUYO OBJETO ES: " REALIZAR LA ADECUACIÓN</w:t>
            </w:r>
            <w:r w:rsidR="00D3174D">
              <w:rPr>
                <w:rFonts w:ascii="Arial" w:eastAsia="Arial" w:hAnsi="Arial" w:cs="Arial"/>
                <w:color w:val="000000"/>
                <w:sz w:val="24"/>
                <w:szCs w:val="24"/>
                <w:lang w:val="es-CO"/>
              </w:rPr>
              <w:t xml:space="preserve"> Y MEJORAMIENTO</w:t>
            </w:r>
            <w:r w:rsidR="008F551B" w:rsidRPr="008F551B">
              <w:rPr>
                <w:rFonts w:ascii="Arial" w:eastAsia="Arial" w:hAnsi="Arial" w:cs="Arial"/>
                <w:color w:val="000000"/>
                <w:sz w:val="24"/>
                <w:szCs w:val="24"/>
                <w:lang w:val="es-CO"/>
              </w:rPr>
              <w:t xml:space="preserve"> DE LOS DIFERENTES ESCENARIOS Y ESPACIOS DEPORTIVOS PRIORIZADOS DEL DISTRITO ESPECIAL DE SANTIAGO DE CALI”</w:t>
            </w:r>
            <w:r w:rsidR="008F551B">
              <w:rPr>
                <w:rFonts w:ascii="Arial" w:eastAsia="Arial" w:hAnsi="Arial" w:cs="Arial"/>
                <w:color w:val="000000"/>
                <w:sz w:val="24"/>
                <w:szCs w:val="24"/>
                <w:lang w:val="es-CO"/>
              </w:rPr>
              <w:t xml:space="preserve">, </w:t>
            </w:r>
            <w:r w:rsidRPr="00D67D8A">
              <w:rPr>
                <w:rFonts w:ascii="Arial" w:eastAsia="Arial" w:hAnsi="Arial" w:cs="Arial"/>
                <w:color w:val="000000"/>
                <w:sz w:val="24"/>
                <w:szCs w:val="24"/>
                <w:lang w:val="es-CO"/>
              </w:rPr>
              <w:t>lo que facilita la comprensión de los conceptos esenciales para quienes leen o trabajan con el documento:</w:t>
            </w:r>
          </w:p>
          <w:p w14:paraId="6804E59B" w14:textId="77777777" w:rsidR="00D768A3" w:rsidRPr="00D67D8A" w:rsidRDefault="00D768A3">
            <w:pPr>
              <w:jc w:val="center"/>
              <w:rPr>
                <w:rFonts w:ascii="Arial" w:eastAsia="Arial" w:hAnsi="Arial" w:cs="Arial"/>
                <w:color w:val="000000"/>
                <w:sz w:val="24"/>
                <w:szCs w:val="24"/>
                <w:lang w:val="es-CO"/>
              </w:rPr>
            </w:pPr>
            <w:bookmarkStart w:id="0" w:name="_heading=h.1fob9te" w:colFirst="0" w:colLast="0"/>
            <w:bookmarkEnd w:id="0"/>
          </w:p>
          <w:p w14:paraId="786D1930" w14:textId="613A1854" w:rsidR="00D768A3" w:rsidRPr="00E45020" w:rsidRDefault="00A0753E" w:rsidP="00E45020">
            <w:pPr>
              <w:jc w:val="center"/>
              <w:rPr>
                <w:rFonts w:ascii="Arial" w:eastAsia="Arial" w:hAnsi="Arial" w:cs="Arial"/>
                <w:b/>
                <w:color w:val="000000"/>
                <w:sz w:val="20"/>
                <w:szCs w:val="20"/>
              </w:rPr>
            </w:pPr>
            <w:r w:rsidRPr="00E45020">
              <w:rPr>
                <w:rFonts w:ascii="Arial" w:eastAsia="Arial" w:hAnsi="Arial" w:cs="Arial"/>
                <w:b/>
                <w:color w:val="000000"/>
                <w:sz w:val="20"/>
                <w:szCs w:val="20"/>
              </w:rPr>
              <w:t>Tabla 1. Glosario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4"/>
              <w:gridCol w:w="7032"/>
            </w:tblGrid>
            <w:tr w:rsidR="009E78B8" w:rsidRPr="009E78B8" w14:paraId="06E81C16" w14:textId="77777777" w:rsidTr="009E78B8">
              <w:trPr>
                <w:tblHeader/>
                <w:tblCellSpacing w:w="15" w:type="dxa"/>
              </w:trPr>
              <w:tc>
                <w:tcPr>
                  <w:tcW w:w="0" w:type="auto"/>
                  <w:vAlign w:val="center"/>
                  <w:hideMark/>
                </w:tcPr>
                <w:p w14:paraId="5FECC930" w14:textId="77777777" w:rsidR="009E78B8" w:rsidRPr="009E78B8" w:rsidRDefault="009E78B8" w:rsidP="009E78B8">
                  <w:pPr>
                    <w:jc w:val="center"/>
                    <w:rPr>
                      <w:rFonts w:ascii="Arial" w:hAnsi="Arial" w:cs="Arial"/>
                      <w:b/>
                      <w:bCs/>
                      <w:lang w:val="es-CO"/>
                    </w:rPr>
                  </w:pPr>
                  <w:r w:rsidRPr="009E78B8">
                    <w:rPr>
                      <w:rFonts w:ascii="Arial" w:hAnsi="Arial" w:cs="Arial"/>
                      <w:b/>
                      <w:bCs/>
                      <w:lang w:val="es-CO"/>
                    </w:rPr>
                    <w:t>Término / Concepto</w:t>
                  </w:r>
                </w:p>
              </w:tc>
              <w:tc>
                <w:tcPr>
                  <w:tcW w:w="0" w:type="auto"/>
                  <w:vAlign w:val="center"/>
                  <w:hideMark/>
                </w:tcPr>
                <w:p w14:paraId="19EF2842" w14:textId="08BB1A5A" w:rsidR="009E78B8" w:rsidRPr="009E78B8" w:rsidRDefault="009E78B8" w:rsidP="009E78B8">
                  <w:pPr>
                    <w:jc w:val="center"/>
                    <w:rPr>
                      <w:rFonts w:ascii="Arial" w:hAnsi="Arial" w:cs="Arial"/>
                      <w:b/>
                      <w:bCs/>
                      <w:lang w:val="es-CO"/>
                    </w:rPr>
                  </w:pPr>
                  <w:r w:rsidRPr="009E78B8">
                    <w:rPr>
                      <w:rFonts w:ascii="Arial" w:hAnsi="Arial" w:cs="Arial"/>
                      <w:b/>
                      <w:bCs/>
                      <w:lang w:val="es-CO"/>
                    </w:rPr>
                    <w:t>Definición</w:t>
                  </w:r>
                </w:p>
              </w:tc>
            </w:tr>
            <w:tr w:rsidR="009E78B8" w:rsidRPr="009E78B8" w14:paraId="197A5FBE" w14:textId="77777777" w:rsidTr="009E78B8">
              <w:trPr>
                <w:tblCellSpacing w:w="15" w:type="dxa"/>
              </w:trPr>
              <w:tc>
                <w:tcPr>
                  <w:tcW w:w="0" w:type="auto"/>
                  <w:vAlign w:val="center"/>
                  <w:hideMark/>
                </w:tcPr>
                <w:p w14:paraId="118A1CA3" w14:textId="77777777" w:rsidR="009E78B8" w:rsidRPr="009E78B8" w:rsidRDefault="009E78B8" w:rsidP="009E78B8">
                  <w:pPr>
                    <w:rPr>
                      <w:rFonts w:ascii="Arial" w:hAnsi="Arial" w:cs="Arial"/>
                      <w:lang w:val="es-CO"/>
                    </w:rPr>
                  </w:pPr>
                  <w:r w:rsidRPr="009E78B8">
                    <w:rPr>
                      <w:rFonts w:ascii="Arial" w:hAnsi="Arial" w:cs="Arial"/>
                      <w:b/>
                      <w:bCs/>
                      <w:lang w:val="es-CO"/>
                    </w:rPr>
                    <w:t>Interventoría</w:t>
                  </w:r>
                </w:p>
              </w:tc>
              <w:tc>
                <w:tcPr>
                  <w:tcW w:w="0" w:type="auto"/>
                  <w:vAlign w:val="center"/>
                  <w:hideMark/>
                </w:tcPr>
                <w:p w14:paraId="7A7945DE" w14:textId="77777777" w:rsidR="009E78B8" w:rsidRPr="009E78B8" w:rsidRDefault="009E78B8" w:rsidP="009E78B8">
                  <w:pPr>
                    <w:jc w:val="both"/>
                    <w:rPr>
                      <w:rFonts w:ascii="Arial" w:hAnsi="Arial" w:cs="Arial"/>
                      <w:lang w:val="es-CO"/>
                    </w:rPr>
                  </w:pPr>
                  <w:r w:rsidRPr="009E78B8">
                    <w:rPr>
                      <w:rFonts w:ascii="Arial" w:hAnsi="Arial" w:cs="Arial"/>
                      <w:lang w:val="es-CO"/>
                    </w:rPr>
                    <w:t>La interventoría es el seguimiento técnico, administrativo, jurídico, financiero, ambiental y contable que se realiza sobre el cumplimiento de las obligaciones derivadas de un contrato, con el propósito de verificar que su ejecución se adelante conforme a las condiciones pactadas, los estudios y documentos que hacen parte del proceso y la normativa aplicable.</w:t>
                  </w:r>
                </w:p>
              </w:tc>
            </w:tr>
            <w:tr w:rsidR="009E78B8" w:rsidRPr="009E78B8" w14:paraId="04F0FD85" w14:textId="77777777" w:rsidTr="009E78B8">
              <w:trPr>
                <w:tblCellSpacing w:w="15" w:type="dxa"/>
              </w:trPr>
              <w:tc>
                <w:tcPr>
                  <w:tcW w:w="0" w:type="auto"/>
                  <w:vAlign w:val="center"/>
                  <w:hideMark/>
                </w:tcPr>
                <w:p w14:paraId="06B7CCE0" w14:textId="77777777" w:rsidR="009E78B8" w:rsidRPr="009E78B8" w:rsidRDefault="009E78B8" w:rsidP="009E78B8">
                  <w:pPr>
                    <w:rPr>
                      <w:rFonts w:ascii="Arial" w:hAnsi="Arial" w:cs="Arial"/>
                      <w:lang w:val="es-CO"/>
                    </w:rPr>
                  </w:pPr>
                  <w:r w:rsidRPr="009E78B8">
                    <w:rPr>
                      <w:rFonts w:ascii="Arial" w:hAnsi="Arial" w:cs="Arial"/>
                      <w:b/>
                      <w:bCs/>
                      <w:lang w:val="es-CO"/>
                    </w:rPr>
                    <w:t>Interventoría de obra</w:t>
                  </w:r>
                </w:p>
              </w:tc>
              <w:tc>
                <w:tcPr>
                  <w:tcW w:w="0" w:type="auto"/>
                  <w:vAlign w:val="center"/>
                  <w:hideMark/>
                </w:tcPr>
                <w:p w14:paraId="543B607A" w14:textId="77777777" w:rsidR="009E78B8" w:rsidRPr="009E78B8" w:rsidRDefault="009E78B8" w:rsidP="009E78B8">
                  <w:pPr>
                    <w:jc w:val="both"/>
                    <w:rPr>
                      <w:rFonts w:ascii="Arial" w:hAnsi="Arial" w:cs="Arial"/>
                      <w:lang w:val="es-CO"/>
                    </w:rPr>
                  </w:pPr>
                  <w:r w:rsidRPr="009E78B8">
                    <w:rPr>
                      <w:rFonts w:ascii="Arial" w:hAnsi="Arial" w:cs="Arial"/>
                      <w:lang w:val="es-CO"/>
                    </w:rPr>
                    <w:t>Corresponde al servicio especializado de seguimiento, vigilancia y control integral de los contratos de obra, orientado a verificar el cumplimiento de las especificaciones técnicas, obligaciones contractuales, cronogramas, presupuesto, calidad, seguridad, aspectos ambientales y demás condiciones previstas para la ejecución de las obras.</w:t>
                  </w:r>
                </w:p>
              </w:tc>
            </w:tr>
            <w:tr w:rsidR="009E78B8" w:rsidRPr="009E78B8" w14:paraId="1FE1E1D5" w14:textId="77777777" w:rsidTr="009E78B8">
              <w:trPr>
                <w:tblCellSpacing w:w="15" w:type="dxa"/>
              </w:trPr>
              <w:tc>
                <w:tcPr>
                  <w:tcW w:w="0" w:type="auto"/>
                  <w:vAlign w:val="center"/>
                  <w:hideMark/>
                </w:tcPr>
                <w:p w14:paraId="2C3A7896" w14:textId="77777777" w:rsidR="009E78B8" w:rsidRPr="009E78B8" w:rsidRDefault="009E78B8" w:rsidP="009E78B8">
                  <w:pPr>
                    <w:rPr>
                      <w:rFonts w:ascii="Arial" w:hAnsi="Arial" w:cs="Arial"/>
                      <w:lang w:val="es-CO"/>
                    </w:rPr>
                  </w:pPr>
                  <w:r w:rsidRPr="009E78B8">
                    <w:rPr>
                      <w:rFonts w:ascii="Arial" w:hAnsi="Arial" w:cs="Arial"/>
                      <w:b/>
                      <w:bCs/>
                      <w:lang w:val="es-CO"/>
                    </w:rPr>
                    <w:t>Interventoría técnica</w:t>
                  </w:r>
                </w:p>
              </w:tc>
              <w:tc>
                <w:tcPr>
                  <w:tcW w:w="0" w:type="auto"/>
                  <w:vAlign w:val="center"/>
                  <w:hideMark/>
                </w:tcPr>
                <w:p w14:paraId="5A30DED8" w14:textId="77777777" w:rsidR="009E78B8" w:rsidRPr="009E78B8" w:rsidRDefault="009E78B8" w:rsidP="009E78B8">
                  <w:pPr>
                    <w:jc w:val="both"/>
                    <w:rPr>
                      <w:rFonts w:ascii="Arial" w:hAnsi="Arial" w:cs="Arial"/>
                      <w:lang w:val="es-CO"/>
                    </w:rPr>
                  </w:pPr>
                  <w:r w:rsidRPr="009E78B8">
                    <w:rPr>
                      <w:rFonts w:ascii="Arial" w:hAnsi="Arial" w:cs="Arial"/>
                      <w:lang w:val="es-CO"/>
                    </w:rPr>
                    <w:t>Comprende el seguimiento y control de los aspectos técnicos de la obra, incluyendo la verificación de especificaciones, diseños, cantidades, calidad de materiales, procedimientos constructivos, programación y avance físico, así como el cumplimiento de las normas técnicas aplicables.</w:t>
                  </w:r>
                </w:p>
              </w:tc>
            </w:tr>
            <w:tr w:rsidR="009E78B8" w:rsidRPr="009E78B8" w14:paraId="756404AC" w14:textId="77777777" w:rsidTr="009E78B8">
              <w:trPr>
                <w:tblCellSpacing w:w="15" w:type="dxa"/>
              </w:trPr>
              <w:tc>
                <w:tcPr>
                  <w:tcW w:w="0" w:type="auto"/>
                  <w:vAlign w:val="center"/>
                  <w:hideMark/>
                </w:tcPr>
                <w:p w14:paraId="37A1684B" w14:textId="77777777" w:rsidR="009E78B8" w:rsidRPr="009E78B8" w:rsidRDefault="009E78B8" w:rsidP="009E78B8">
                  <w:pPr>
                    <w:rPr>
                      <w:rFonts w:ascii="Arial" w:hAnsi="Arial" w:cs="Arial"/>
                      <w:lang w:val="es-CO"/>
                    </w:rPr>
                  </w:pPr>
                  <w:r w:rsidRPr="009E78B8">
                    <w:rPr>
                      <w:rFonts w:ascii="Arial" w:hAnsi="Arial" w:cs="Arial"/>
                      <w:b/>
                      <w:bCs/>
                      <w:lang w:val="es-CO"/>
                    </w:rPr>
                    <w:t>Interventoría administrativa</w:t>
                  </w:r>
                </w:p>
              </w:tc>
              <w:tc>
                <w:tcPr>
                  <w:tcW w:w="0" w:type="auto"/>
                  <w:vAlign w:val="center"/>
                  <w:hideMark/>
                </w:tcPr>
                <w:p w14:paraId="462ADCC3" w14:textId="77777777" w:rsidR="009E78B8" w:rsidRPr="009E78B8" w:rsidRDefault="009E78B8" w:rsidP="009E78B8">
                  <w:pPr>
                    <w:jc w:val="both"/>
                    <w:rPr>
                      <w:rFonts w:ascii="Arial" w:hAnsi="Arial" w:cs="Arial"/>
                      <w:lang w:val="es-CO"/>
                    </w:rPr>
                  </w:pPr>
                  <w:r w:rsidRPr="009E78B8">
                    <w:rPr>
                      <w:rFonts w:ascii="Arial" w:hAnsi="Arial" w:cs="Arial"/>
                      <w:lang w:val="es-CO"/>
                    </w:rPr>
                    <w:t>Comprende el seguimiento a la gestión administrativa del contrato de obra, incluyendo el cumplimiento de obligaciones, cronogramas, organización documental, personal requerido, actas, informes, comunicaciones y demás aspectos relacionados con la adecuada administración contractual.</w:t>
                  </w:r>
                </w:p>
              </w:tc>
            </w:tr>
            <w:tr w:rsidR="009E78B8" w:rsidRPr="009E78B8" w14:paraId="5961F4F6" w14:textId="77777777" w:rsidTr="009E78B8">
              <w:trPr>
                <w:tblCellSpacing w:w="15" w:type="dxa"/>
              </w:trPr>
              <w:tc>
                <w:tcPr>
                  <w:tcW w:w="0" w:type="auto"/>
                  <w:vAlign w:val="center"/>
                  <w:hideMark/>
                </w:tcPr>
                <w:p w14:paraId="1914208A" w14:textId="77777777" w:rsidR="009E78B8" w:rsidRPr="009E78B8" w:rsidRDefault="009E78B8" w:rsidP="009E78B8">
                  <w:pPr>
                    <w:rPr>
                      <w:rFonts w:ascii="Arial" w:hAnsi="Arial" w:cs="Arial"/>
                      <w:lang w:val="es-CO"/>
                    </w:rPr>
                  </w:pPr>
                  <w:r w:rsidRPr="009E78B8">
                    <w:rPr>
                      <w:rFonts w:ascii="Arial" w:hAnsi="Arial" w:cs="Arial"/>
                      <w:b/>
                      <w:bCs/>
                      <w:lang w:val="es-CO"/>
                    </w:rPr>
                    <w:t>Interventoría jurídica</w:t>
                  </w:r>
                </w:p>
              </w:tc>
              <w:tc>
                <w:tcPr>
                  <w:tcW w:w="0" w:type="auto"/>
                  <w:vAlign w:val="center"/>
                  <w:hideMark/>
                </w:tcPr>
                <w:p w14:paraId="343110E5" w14:textId="77777777" w:rsidR="009E78B8" w:rsidRPr="009E78B8" w:rsidRDefault="009E78B8" w:rsidP="009E78B8">
                  <w:pPr>
                    <w:jc w:val="both"/>
                    <w:rPr>
                      <w:rFonts w:ascii="Arial" w:hAnsi="Arial" w:cs="Arial"/>
                      <w:lang w:val="es-CO"/>
                    </w:rPr>
                  </w:pPr>
                  <w:r w:rsidRPr="009E78B8">
                    <w:rPr>
                      <w:rFonts w:ascii="Arial" w:hAnsi="Arial" w:cs="Arial"/>
                      <w:lang w:val="es-CO"/>
                    </w:rPr>
                    <w:t>Comprende el seguimiento y control del cumplimiento de las obligaciones contractuales y de las disposiciones legales aplicables a los contratos de obra, incluyendo el análisis de situaciones jurídicas que se presenten durante su ejecución y la emisión de conceptos y recomendaciones cuando corresponda.</w:t>
                  </w:r>
                </w:p>
              </w:tc>
            </w:tr>
            <w:tr w:rsidR="009E78B8" w:rsidRPr="009E78B8" w14:paraId="5DA80255" w14:textId="77777777" w:rsidTr="009E78B8">
              <w:trPr>
                <w:tblCellSpacing w:w="15" w:type="dxa"/>
              </w:trPr>
              <w:tc>
                <w:tcPr>
                  <w:tcW w:w="0" w:type="auto"/>
                  <w:vAlign w:val="center"/>
                  <w:hideMark/>
                </w:tcPr>
                <w:p w14:paraId="1DFF5E0E" w14:textId="77777777" w:rsidR="009E78B8" w:rsidRPr="009E78B8" w:rsidRDefault="009E78B8" w:rsidP="009E78B8">
                  <w:pPr>
                    <w:rPr>
                      <w:rFonts w:ascii="Arial" w:hAnsi="Arial" w:cs="Arial"/>
                      <w:lang w:val="es-CO"/>
                    </w:rPr>
                  </w:pPr>
                  <w:r w:rsidRPr="009E78B8">
                    <w:rPr>
                      <w:rFonts w:ascii="Arial" w:hAnsi="Arial" w:cs="Arial"/>
                      <w:b/>
                      <w:bCs/>
                      <w:lang w:val="es-CO"/>
                    </w:rPr>
                    <w:t>Interventoría financiera</w:t>
                  </w:r>
                </w:p>
              </w:tc>
              <w:tc>
                <w:tcPr>
                  <w:tcW w:w="0" w:type="auto"/>
                  <w:vAlign w:val="center"/>
                  <w:hideMark/>
                </w:tcPr>
                <w:p w14:paraId="68C80D02" w14:textId="77777777" w:rsidR="009E78B8" w:rsidRPr="009E78B8" w:rsidRDefault="009E78B8" w:rsidP="009E78B8">
                  <w:pPr>
                    <w:jc w:val="both"/>
                    <w:rPr>
                      <w:rFonts w:ascii="Arial" w:hAnsi="Arial" w:cs="Arial"/>
                      <w:lang w:val="es-CO"/>
                    </w:rPr>
                  </w:pPr>
                  <w:r w:rsidRPr="009E78B8">
                    <w:rPr>
                      <w:rFonts w:ascii="Arial" w:hAnsi="Arial" w:cs="Arial"/>
                      <w:lang w:val="es-CO"/>
                    </w:rPr>
                    <w:t>Comprende el seguimiento y control de la ejecución económica y presupuestal del contrato de obra, incluyendo la revisión de pagos, actas, cantidades ejecutadas, modificaciones, anticipos cuando existan, amortizaciones y demás aspectos que incidan en el manejo de los recursos del contrato.</w:t>
                  </w:r>
                </w:p>
              </w:tc>
            </w:tr>
            <w:tr w:rsidR="009E78B8" w:rsidRPr="009E78B8" w14:paraId="5BF23F84" w14:textId="77777777" w:rsidTr="009E78B8">
              <w:trPr>
                <w:tblCellSpacing w:w="15" w:type="dxa"/>
              </w:trPr>
              <w:tc>
                <w:tcPr>
                  <w:tcW w:w="0" w:type="auto"/>
                  <w:vAlign w:val="center"/>
                  <w:hideMark/>
                </w:tcPr>
                <w:p w14:paraId="116E5358" w14:textId="77777777" w:rsidR="009E78B8" w:rsidRPr="009E78B8" w:rsidRDefault="009E78B8" w:rsidP="009E78B8">
                  <w:pPr>
                    <w:rPr>
                      <w:rFonts w:ascii="Arial" w:hAnsi="Arial" w:cs="Arial"/>
                      <w:lang w:val="es-CO"/>
                    </w:rPr>
                  </w:pPr>
                  <w:r w:rsidRPr="009E78B8">
                    <w:rPr>
                      <w:rFonts w:ascii="Arial" w:hAnsi="Arial" w:cs="Arial"/>
                      <w:b/>
                      <w:bCs/>
                      <w:lang w:val="es-CO"/>
                    </w:rPr>
                    <w:t>Interventoría ambiental</w:t>
                  </w:r>
                </w:p>
              </w:tc>
              <w:tc>
                <w:tcPr>
                  <w:tcW w:w="0" w:type="auto"/>
                  <w:vAlign w:val="center"/>
                  <w:hideMark/>
                </w:tcPr>
                <w:p w14:paraId="50800FFD" w14:textId="77777777" w:rsidR="009E78B8" w:rsidRPr="009E78B8" w:rsidRDefault="009E78B8" w:rsidP="009E78B8">
                  <w:pPr>
                    <w:jc w:val="both"/>
                    <w:rPr>
                      <w:rFonts w:ascii="Arial" w:hAnsi="Arial" w:cs="Arial"/>
                      <w:lang w:val="es-CO"/>
                    </w:rPr>
                  </w:pPr>
                  <w:r w:rsidRPr="009E78B8">
                    <w:rPr>
                      <w:rFonts w:ascii="Arial" w:hAnsi="Arial" w:cs="Arial"/>
                      <w:lang w:val="es-CO"/>
                    </w:rPr>
                    <w:t xml:space="preserve">Comprende el seguimiento al cumplimiento de las obligaciones y medidas ambientales aplicables a la ejecución de las obras, incluyendo el manejo de </w:t>
                  </w:r>
                  <w:r w:rsidRPr="009E78B8">
                    <w:rPr>
                      <w:rFonts w:ascii="Arial" w:hAnsi="Arial" w:cs="Arial"/>
                      <w:lang w:val="es-CO"/>
                    </w:rPr>
                    <w:lastRenderedPageBreak/>
                    <w:t>residuos, materiales, escombros, impactos ambientales y demás requisitos establecidos en la normativa y en los documentos contractuales.</w:t>
                  </w:r>
                </w:p>
              </w:tc>
            </w:tr>
            <w:tr w:rsidR="009E78B8" w:rsidRPr="009E78B8" w14:paraId="7ECEF538" w14:textId="77777777" w:rsidTr="009E78B8">
              <w:trPr>
                <w:tblCellSpacing w:w="15" w:type="dxa"/>
              </w:trPr>
              <w:tc>
                <w:tcPr>
                  <w:tcW w:w="0" w:type="auto"/>
                  <w:vAlign w:val="center"/>
                  <w:hideMark/>
                </w:tcPr>
                <w:p w14:paraId="777B864A" w14:textId="77777777" w:rsidR="009E78B8" w:rsidRPr="009E78B8" w:rsidRDefault="009E78B8" w:rsidP="009E78B8">
                  <w:pPr>
                    <w:rPr>
                      <w:rFonts w:ascii="Arial" w:hAnsi="Arial" w:cs="Arial"/>
                      <w:lang w:val="es-CO"/>
                    </w:rPr>
                  </w:pPr>
                  <w:r w:rsidRPr="009E78B8">
                    <w:rPr>
                      <w:rFonts w:ascii="Arial" w:hAnsi="Arial" w:cs="Arial"/>
                      <w:b/>
                      <w:bCs/>
                      <w:lang w:val="es-CO"/>
                    </w:rPr>
                    <w:lastRenderedPageBreak/>
                    <w:t>Interventoría contable</w:t>
                  </w:r>
                </w:p>
              </w:tc>
              <w:tc>
                <w:tcPr>
                  <w:tcW w:w="0" w:type="auto"/>
                  <w:vAlign w:val="center"/>
                  <w:hideMark/>
                </w:tcPr>
                <w:p w14:paraId="58DBAED5" w14:textId="77777777" w:rsidR="009E78B8" w:rsidRPr="009E78B8" w:rsidRDefault="009E78B8" w:rsidP="009E78B8">
                  <w:pPr>
                    <w:jc w:val="both"/>
                    <w:rPr>
                      <w:rFonts w:ascii="Arial" w:hAnsi="Arial" w:cs="Arial"/>
                      <w:lang w:val="es-CO"/>
                    </w:rPr>
                  </w:pPr>
                  <w:r w:rsidRPr="009E78B8">
                    <w:rPr>
                      <w:rFonts w:ascii="Arial" w:hAnsi="Arial" w:cs="Arial"/>
                      <w:lang w:val="es-CO"/>
                    </w:rPr>
                    <w:t>Comprende la revisión y seguimiento de los aspectos contables relacionados con la ejecución del contrato de obra, verificando la consistencia de la información financiera, soportes de pago, registros y demás documentos que permitan establecer la correcta aplicación de los recursos.</w:t>
                  </w:r>
                </w:p>
              </w:tc>
            </w:tr>
            <w:tr w:rsidR="009E78B8" w:rsidRPr="009E78B8" w14:paraId="2BD09337" w14:textId="77777777" w:rsidTr="009E78B8">
              <w:trPr>
                <w:tblCellSpacing w:w="15" w:type="dxa"/>
              </w:trPr>
              <w:tc>
                <w:tcPr>
                  <w:tcW w:w="0" w:type="auto"/>
                  <w:vAlign w:val="center"/>
                  <w:hideMark/>
                </w:tcPr>
                <w:p w14:paraId="64A26F5C" w14:textId="77777777" w:rsidR="009E78B8" w:rsidRPr="009E78B8" w:rsidRDefault="009E78B8" w:rsidP="009E78B8">
                  <w:pPr>
                    <w:rPr>
                      <w:rFonts w:ascii="Arial" w:hAnsi="Arial" w:cs="Arial"/>
                      <w:lang w:val="es-CO"/>
                    </w:rPr>
                  </w:pPr>
                  <w:r w:rsidRPr="009E78B8">
                    <w:rPr>
                      <w:rFonts w:ascii="Arial" w:hAnsi="Arial" w:cs="Arial"/>
                      <w:b/>
                      <w:bCs/>
                      <w:lang w:val="es-CO"/>
                    </w:rPr>
                    <w:t>Contrato de obra pública</w:t>
                  </w:r>
                </w:p>
              </w:tc>
              <w:tc>
                <w:tcPr>
                  <w:tcW w:w="0" w:type="auto"/>
                  <w:vAlign w:val="center"/>
                  <w:hideMark/>
                </w:tcPr>
                <w:p w14:paraId="46970CBD" w14:textId="77777777" w:rsidR="009E78B8" w:rsidRPr="009E78B8" w:rsidRDefault="009E78B8" w:rsidP="009E78B8">
                  <w:pPr>
                    <w:jc w:val="both"/>
                    <w:rPr>
                      <w:rFonts w:ascii="Arial" w:hAnsi="Arial" w:cs="Arial"/>
                      <w:lang w:val="es-CO"/>
                    </w:rPr>
                  </w:pPr>
                  <w:r w:rsidRPr="009E78B8">
                    <w:rPr>
                      <w:rFonts w:ascii="Arial" w:hAnsi="Arial" w:cs="Arial"/>
                      <w:lang w:val="es-CO"/>
                    </w:rPr>
                    <w:t>Es el contrato celebrado por una entidad estatal para la construcción, mantenimiento, instalación y, en general, para la realización de cualquier otro trabajo material sobre bienes inmuebles, cualquiera que sea la modalidad de ejecución y pago.</w:t>
                  </w:r>
                </w:p>
              </w:tc>
            </w:tr>
            <w:tr w:rsidR="009E78B8" w:rsidRPr="009E78B8" w14:paraId="7504B318" w14:textId="77777777" w:rsidTr="009E78B8">
              <w:trPr>
                <w:tblCellSpacing w:w="15" w:type="dxa"/>
              </w:trPr>
              <w:tc>
                <w:tcPr>
                  <w:tcW w:w="0" w:type="auto"/>
                  <w:vAlign w:val="center"/>
                  <w:hideMark/>
                </w:tcPr>
                <w:p w14:paraId="7BAC75AD" w14:textId="77777777" w:rsidR="009E78B8" w:rsidRPr="009E78B8" w:rsidRDefault="009E78B8" w:rsidP="009E78B8">
                  <w:pPr>
                    <w:rPr>
                      <w:rFonts w:ascii="Arial" w:hAnsi="Arial" w:cs="Arial"/>
                      <w:lang w:val="es-CO"/>
                    </w:rPr>
                  </w:pPr>
                  <w:r w:rsidRPr="009E78B8">
                    <w:rPr>
                      <w:rFonts w:ascii="Arial" w:hAnsi="Arial" w:cs="Arial"/>
                      <w:b/>
                      <w:bCs/>
                      <w:lang w:val="es-CO"/>
                    </w:rPr>
                    <w:t>Obra pública</w:t>
                  </w:r>
                </w:p>
              </w:tc>
              <w:tc>
                <w:tcPr>
                  <w:tcW w:w="0" w:type="auto"/>
                  <w:vAlign w:val="center"/>
                  <w:hideMark/>
                </w:tcPr>
                <w:p w14:paraId="222B5FBE" w14:textId="77777777" w:rsidR="009E78B8" w:rsidRPr="009E78B8" w:rsidRDefault="009E78B8" w:rsidP="009E78B8">
                  <w:pPr>
                    <w:jc w:val="both"/>
                    <w:rPr>
                      <w:rFonts w:ascii="Arial" w:hAnsi="Arial" w:cs="Arial"/>
                      <w:lang w:val="es-CO"/>
                    </w:rPr>
                  </w:pPr>
                  <w:r w:rsidRPr="009E78B8">
                    <w:rPr>
                      <w:rFonts w:ascii="Arial" w:hAnsi="Arial" w:cs="Arial"/>
                      <w:lang w:val="es-CO"/>
                    </w:rPr>
                    <w:t>Comprende las actividades materiales que adelanta un contratista para la construcción, adecuación, mantenimiento, mejoramiento o intervención de bienes inmuebles destinados al cumplimiento de fines públicos.</w:t>
                  </w:r>
                </w:p>
              </w:tc>
            </w:tr>
            <w:tr w:rsidR="009E78B8" w:rsidRPr="009E78B8" w14:paraId="0D357294" w14:textId="77777777" w:rsidTr="009E78B8">
              <w:trPr>
                <w:tblCellSpacing w:w="15" w:type="dxa"/>
              </w:trPr>
              <w:tc>
                <w:tcPr>
                  <w:tcW w:w="0" w:type="auto"/>
                  <w:vAlign w:val="center"/>
                  <w:hideMark/>
                </w:tcPr>
                <w:p w14:paraId="50578CF7" w14:textId="77777777" w:rsidR="009E78B8" w:rsidRPr="009E78B8" w:rsidRDefault="009E78B8" w:rsidP="009E78B8">
                  <w:pPr>
                    <w:rPr>
                      <w:rFonts w:ascii="Arial" w:hAnsi="Arial" w:cs="Arial"/>
                      <w:lang w:val="es-CO"/>
                    </w:rPr>
                  </w:pPr>
                  <w:r w:rsidRPr="009E78B8">
                    <w:rPr>
                      <w:rFonts w:ascii="Arial" w:hAnsi="Arial" w:cs="Arial"/>
                      <w:b/>
                      <w:bCs/>
                      <w:lang w:val="es-CO"/>
                    </w:rPr>
                    <w:t>Adecuación de escenarios deportivos</w:t>
                  </w:r>
                </w:p>
              </w:tc>
              <w:tc>
                <w:tcPr>
                  <w:tcW w:w="0" w:type="auto"/>
                  <w:vAlign w:val="center"/>
                  <w:hideMark/>
                </w:tcPr>
                <w:p w14:paraId="49C7B346" w14:textId="77777777" w:rsidR="009E78B8" w:rsidRPr="009E78B8" w:rsidRDefault="009E78B8" w:rsidP="009E78B8">
                  <w:pPr>
                    <w:jc w:val="both"/>
                    <w:rPr>
                      <w:rFonts w:ascii="Arial" w:hAnsi="Arial" w:cs="Arial"/>
                      <w:lang w:val="es-CO"/>
                    </w:rPr>
                  </w:pPr>
                  <w:r w:rsidRPr="009E78B8">
                    <w:rPr>
                      <w:rFonts w:ascii="Arial" w:hAnsi="Arial" w:cs="Arial"/>
                      <w:lang w:val="es-CO"/>
                    </w:rPr>
                    <w:t>Comprende el conjunto de actividades de obra destinadas a mejorar, adaptar, recuperar o acondicionar escenarios y espacios deportivos, de acuerdo con las necesidades funcionales, técnicas y de seguridad requeridas para su adecuada utilización.</w:t>
                  </w:r>
                </w:p>
              </w:tc>
            </w:tr>
            <w:tr w:rsidR="009E78B8" w:rsidRPr="009E78B8" w14:paraId="3685E1E6" w14:textId="77777777" w:rsidTr="009E78B8">
              <w:trPr>
                <w:tblCellSpacing w:w="15" w:type="dxa"/>
              </w:trPr>
              <w:tc>
                <w:tcPr>
                  <w:tcW w:w="0" w:type="auto"/>
                  <w:vAlign w:val="center"/>
                  <w:hideMark/>
                </w:tcPr>
                <w:p w14:paraId="56794BB1" w14:textId="77777777" w:rsidR="009E78B8" w:rsidRPr="009E78B8" w:rsidRDefault="009E78B8" w:rsidP="009E78B8">
                  <w:pPr>
                    <w:rPr>
                      <w:rFonts w:ascii="Arial" w:hAnsi="Arial" w:cs="Arial"/>
                      <w:lang w:val="es-CO"/>
                    </w:rPr>
                  </w:pPr>
                  <w:r w:rsidRPr="009E78B8">
                    <w:rPr>
                      <w:rFonts w:ascii="Arial" w:hAnsi="Arial" w:cs="Arial"/>
                      <w:b/>
                      <w:bCs/>
                      <w:lang w:val="es-CO"/>
                    </w:rPr>
                    <w:t>Escenarios y espacios deportivos</w:t>
                  </w:r>
                </w:p>
              </w:tc>
              <w:tc>
                <w:tcPr>
                  <w:tcW w:w="0" w:type="auto"/>
                  <w:vAlign w:val="center"/>
                  <w:hideMark/>
                </w:tcPr>
                <w:p w14:paraId="06599A6C" w14:textId="77777777" w:rsidR="009E78B8" w:rsidRPr="009E78B8" w:rsidRDefault="009E78B8" w:rsidP="009E78B8">
                  <w:pPr>
                    <w:jc w:val="both"/>
                    <w:rPr>
                      <w:rFonts w:ascii="Arial" w:hAnsi="Arial" w:cs="Arial"/>
                      <w:lang w:val="es-CO"/>
                    </w:rPr>
                  </w:pPr>
                  <w:r w:rsidRPr="009E78B8">
                    <w:rPr>
                      <w:rFonts w:ascii="Arial" w:hAnsi="Arial" w:cs="Arial"/>
                      <w:lang w:val="es-CO"/>
                    </w:rPr>
                    <w:t>Son los espacios e instalaciones destinados al desarrollo de actividades deportivas, recreativas y de actividad física, incluyendo sus áreas complementarias, elementos de infraestructura, equipamientos y demás componentes necesarios para su funcionamiento.</w:t>
                  </w:r>
                </w:p>
              </w:tc>
            </w:tr>
            <w:tr w:rsidR="009E78B8" w:rsidRPr="009E78B8" w14:paraId="1371B6D8" w14:textId="77777777" w:rsidTr="009E78B8">
              <w:trPr>
                <w:tblCellSpacing w:w="15" w:type="dxa"/>
              </w:trPr>
              <w:tc>
                <w:tcPr>
                  <w:tcW w:w="0" w:type="auto"/>
                  <w:vAlign w:val="center"/>
                  <w:hideMark/>
                </w:tcPr>
                <w:p w14:paraId="49380507" w14:textId="77777777" w:rsidR="009E78B8" w:rsidRPr="009E78B8" w:rsidRDefault="009E78B8" w:rsidP="009E78B8">
                  <w:pPr>
                    <w:rPr>
                      <w:rFonts w:ascii="Arial" w:hAnsi="Arial" w:cs="Arial"/>
                      <w:lang w:val="es-CO"/>
                    </w:rPr>
                  </w:pPr>
                  <w:r w:rsidRPr="009E78B8">
                    <w:rPr>
                      <w:rFonts w:ascii="Arial" w:hAnsi="Arial" w:cs="Arial"/>
                      <w:b/>
                      <w:bCs/>
                      <w:lang w:val="es-CO"/>
                    </w:rPr>
                    <w:t>Adecuación y mejoramiento de infraestructura deportiva</w:t>
                  </w:r>
                </w:p>
              </w:tc>
              <w:tc>
                <w:tcPr>
                  <w:tcW w:w="0" w:type="auto"/>
                  <w:vAlign w:val="center"/>
                  <w:hideMark/>
                </w:tcPr>
                <w:p w14:paraId="0525BA88" w14:textId="77777777" w:rsidR="009E78B8" w:rsidRPr="009E78B8" w:rsidRDefault="009E78B8" w:rsidP="009E78B8">
                  <w:pPr>
                    <w:jc w:val="both"/>
                    <w:rPr>
                      <w:rFonts w:ascii="Arial" w:hAnsi="Arial" w:cs="Arial"/>
                      <w:lang w:val="es-CO"/>
                    </w:rPr>
                  </w:pPr>
                  <w:r w:rsidRPr="009E78B8">
                    <w:rPr>
                      <w:rFonts w:ascii="Arial" w:hAnsi="Arial" w:cs="Arial"/>
                      <w:lang w:val="es-CO"/>
                    </w:rPr>
                    <w:t>Comprende las actividades de intervención física destinadas a optimizar las condiciones funcionales, técnicas, de seguridad, accesibilidad y conservación de escenarios e instalaciones deportivas existentes.</w:t>
                  </w:r>
                </w:p>
              </w:tc>
            </w:tr>
            <w:tr w:rsidR="009E78B8" w:rsidRPr="009E78B8" w14:paraId="648AC934" w14:textId="77777777" w:rsidTr="009E78B8">
              <w:trPr>
                <w:tblCellSpacing w:w="15" w:type="dxa"/>
              </w:trPr>
              <w:tc>
                <w:tcPr>
                  <w:tcW w:w="0" w:type="auto"/>
                  <w:vAlign w:val="center"/>
                  <w:hideMark/>
                </w:tcPr>
                <w:p w14:paraId="0C80423B" w14:textId="77777777" w:rsidR="009E78B8" w:rsidRPr="009E78B8" w:rsidRDefault="009E78B8" w:rsidP="009E78B8">
                  <w:pPr>
                    <w:rPr>
                      <w:rFonts w:ascii="Arial" w:hAnsi="Arial" w:cs="Arial"/>
                      <w:lang w:val="es-CO"/>
                    </w:rPr>
                  </w:pPr>
                  <w:r w:rsidRPr="009E78B8">
                    <w:rPr>
                      <w:rFonts w:ascii="Arial" w:hAnsi="Arial" w:cs="Arial"/>
                      <w:b/>
                      <w:bCs/>
                      <w:lang w:val="es-CO"/>
                    </w:rPr>
                    <w:t>Servicios de consultoría</w:t>
                  </w:r>
                </w:p>
              </w:tc>
              <w:tc>
                <w:tcPr>
                  <w:tcW w:w="0" w:type="auto"/>
                  <w:vAlign w:val="center"/>
                  <w:hideMark/>
                </w:tcPr>
                <w:p w14:paraId="2F798908" w14:textId="77777777" w:rsidR="009E78B8" w:rsidRPr="009E78B8" w:rsidRDefault="009E78B8" w:rsidP="009E78B8">
                  <w:pPr>
                    <w:jc w:val="both"/>
                    <w:rPr>
                      <w:rFonts w:ascii="Arial" w:hAnsi="Arial" w:cs="Arial"/>
                      <w:lang w:val="es-CO"/>
                    </w:rPr>
                  </w:pPr>
                  <w:r w:rsidRPr="009E78B8">
                    <w:rPr>
                      <w:rFonts w:ascii="Arial" w:hAnsi="Arial" w:cs="Arial"/>
                      <w:lang w:val="es-CO"/>
                    </w:rPr>
                    <w:t>Son los servicios profesionales especializados que incluyen, entre otros, estudios, diseños, asesorías, gerencia de proyectos, dirección, programación y ejecución de proyectos, así como la interventoría.</w:t>
                  </w:r>
                </w:p>
              </w:tc>
            </w:tr>
            <w:tr w:rsidR="009E78B8" w:rsidRPr="009E78B8" w14:paraId="1D31D538" w14:textId="77777777" w:rsidTr="009E78B8">
              <w:trPr>
                <w:tblCellSpacing w:w="15" w:type="dxa"/>
              </w:trPr>
              <w:tc>
                <w:tcPr>
                  <w:tcW w:w="0" w:type="auto"/>
                  <w:vAlign w:val="center"/>
                  <w:hideMark/>
                </w:tcPr>
                <w:p w14:paraId="3B55ACCD" w14:textId="77777777" w:rsidR="009E78B8" w:rsidRPr="009E78B8" w:rsidRDefault="009E78B8" w:rsidP="009E78B8">
                  <w:pPr>
                    <w:rPr>
                      <w:rFonts w:ascii="Arial" w:hAnsi="Arial" w:cs="Arial"/>
                      <w:lang w:val="es-CO"/>
                    </w:rPr>
                  </w:pPr>
                  <w:r w:rsidRPr="009E78B8">
                    <w:rPr>
                      <w:rFonts w:ascii="Arial" w:hAnsi="Arial" w:cs="Arial"/>
                      <w:b/>
                      <w:bCs/>
                      <w:lang w:val="es-CO"/>
                    </w:rPr>
                    <w:t>Concurso de méritos</w:t>
                  </w:r>
                </w:p>
              </w:tc>
              <w:tc>
                <w:tcPr>
                  <w:tcW w:w="0" w:type="auto"/>
                  <w:vAlign w:val="center"/>
                  <w:hideMark/>
                </w:tcPr>
                <w:p w14:paraId="60D3174D" w14:textId="77777777" w:rsidR="009E78B8" w:rsidRPr="009E78B8" w:rsidRDefault="009E78B8" w:rsidP="009E78B8">
                  <w:pPr>
                    <w:jc w:val="both"/>
                    <w:rPr>
                      <w:rFonts w:ascii="Arial" w:hAnsi="Arial" w:cs="Arial"/>
                      <w:lang w:val="es-CO"/>
                    </w:rPr>
                  </w:pPr>
                  <w:r w:rsidRPr="009E78B8">
                    <w:rPr>
                      <w:rFonts w:ascii="Arial" w:hAnsi="Arial" w:cs="Arial"/>
                      <w:lang w:val="es-CO"/>
                    </w:rPr>
                    <w:t>Es la modalidad de selección prevista para la contratación de servicios de consultoría y proyectos de arquitectura, en la cual se selecciona la oferta con fundamento principalmente en factores de calidad y experiencia, de acuerdo con las condiciones establecidas en los documentos del proceso y la normativa aplicable.</w:t>
                  </w:r>
                </w:p>
              </w:tc>
            </w:tr>
            <w:tr w:rsidR="009E78B8" w:rsidRPr="009E78B8" w14:paraId="24CA224B" w14:textId="77777777" w:rsidTr="009E78B8">
              <w:trPr>
                <w:tblCellSpacing w:w="15" w:type="dxa"/>
              </w:trPr>
              <w:tc>
                <w:tcPr>
                  <w:tcW w:w="0" w:type="auto"/>
                  <w:vAlign w:val="center"/>
                  <w:hideMark/>
                </w:tcPr>
                <w:p w14:paraId="1BCD7C92" w14:textId="77777777" w:rsidR="009E78B8" w:rsidRPr="009E78B8" w:rsidRDefault="009E78B8" w:rsidP="009E78B8">
                  <w:pPr>
                    <w:rPr>
                      <w:rFonts w:ascii="Arial" w:hAnsi="Arial" w:cs="Arial"/>
                      <w:lang w:val="es-CO"/>
                    </w:rPr>
                  </w:pPr>
                  <w:r w:rsidRPr="009E78B8">
                    <w:rPr>
                      <w:rFonts w:ascii="Arial" w:hAnsi="Arial" w:cs="Arial"/>
                      <w:b/>
                      <w:bCs/>
                      <w:lang w:val="es-CO"/>
                    </w:rPr>
                    <w:t>Contratista de obra</w:t>
                  </w:r>
                </w:p>
              </w:tc>
              <w:tc>
                <w:tcPr>
                  <w:tcW w:w="0" w:type="auto"/>
                  <w:vAlign w:val="center"/>
                  <w:hideMark/>
                </w:tcPr>
                <w:p w14:paraId="35309B7F" w14:textId="77777777" w:rsidR="009E78B8" w:rsidRPr="009E78B8" w:rsidRDefault="009E78B8" w:rsidP="009E78B8">
                  <w:pPr>
                    <w:jc w:val="both"/>
                    <w:rPr>
                      <w:rFonts w:ascii="Arial" w:hAnsi="Arial" w:cs="Arial"/>
                      <w:lang w:val="es-CO"/>
                    </w:rPr>
                  </w:pPr>
                  <w:r w:rsidRPr="009E78B8">
                    <w:rPr>
                      <w:rFonts w:ascii="Arial" w:hAnsi="Arial" w:cs="Arial"/>
                      <w:lang w:val="es-CO"/>
                    </w:rPr>
                    <w:t>Persona natural o jurídica, consorcio o unión temporal que celebra con la entidad estatal un contrato cuyo objeto corresponde a la ejecución de las obras requeridas para la adecuación de los escenarios y espacios deportivos.</w:t>
                  </w:r>
                </w:p>
              </w:tc>
            </w:tr>
            <w:tr w:rsidR="009E78B8" w:rsidRPr="009E78B8" w14:paraId="140418D2" w14:textId="77777777" w:rsidTr="009E78B8">
              <w:trPr>
                <w:tblCellSpacing w:w="15" w:type="dxa"/>
              </w:trPr>
              <w:tc>
                <w:tcPr>
                  <w:tcW w:w="0" w:type="auto"/>
                  <w:vAlign w:val="center"/>
                  <w:hideMark/>
                </w:tcPr>
                <w:p w14:paraId="799251D6" w14:textId="77777777" w:rsidR="009E78B8" w:rsidRPr="009E78B8" w:rsidRDefault="009E78B8" w:rsidP="009E78B8">
                  <w:pPr>
                    <w:rPr>
                      <w:rFonts w:ascii="Arial" w:hAnsi="Arial" w:cs="Arial"/>
                      <w:lang w:val="es-CO"/>
                    </w:rPr>
                  </w:pPr>
                  <w:r w:rsidRPr="009E78B8">
                    <w:rPr>
                      <w:rFonts w:ascii="Arial" w:hAnsi="Arial" w:cs="Arial"/>
                      <w:b/>
                      <w:bCs/>
                      <w:lang w:val="es-CO"/>
                    </w:rPr>
                    <w:t>Contratista interventor</w:t>
                  </w:r>
                </w:p>
              </w:tc>
              <w:tc>
                <w:tcPr>
                  <w:tcW w:w="0" w:type="auto"/>
                  <w:vAlign w:val="center"/>
                  <w:hideMark/>
                </w:tcPr>
                <w:p w14:paraId="7D5A8097" w14:textId="77777777" w:rsidR="009E78B8" w:rsidRPr="009E78B8" w:rsidRDefault="009E78B8" w:rsidP="009E78B8">
                  <w:pPr>
                    <w:jc w:val="both"/>
                    <w:rPr>
                      <w:rFonts w:ascii="Arial" w:hAnsi="Arial" w:cs="Arial"/>
                      <w:lang w:val="es-CO"/>
                    </w:rPr>
                  </w:pPr>
                  <w:r w:rsidRPr="009E78B8">
                    <w:rPr>
                      <w:rFonts w:ascii="Arial" w:hAnsi="Arial" w:cs="Arial"/>
                      <w:lang w:val="es-CO"/>
                    </w:rPr>
                    <w:t>Persona natural o jurídica, consorcio o unión temporal seleccionada para realizar el seguimiento integral a los contratos de obra, verificando el cumplimiento de las obligaciones técnicas, administrativas, jurídicas, financieras, ambientales y contables.</w:t>
                  </w:r>
                </w:p>
              </w:tc>
            </w:tr>
            <w:tr w:rsidR="009E78B8" w:rsidRPr="009E78B8" w14:paraId="6AEE8C7A" w14:textId="77777777" w:rsidTr="009E78B8">
              <w:trPr>
                <w:tblCellSpacing w:w="15" w:type="dxa"/>
              </w:trPr>
              <w:tc>
                <w:tcPr>
                  <w:tcW w:w="0" w:type="auto"/>
                  <w:vAlign w:val="center"/>
                  <w:hideMark/>
                </w:tcPr>
                <w:p w14:paraId="7C38DC6B" w14:textId="77777777" w:rsidR="009E78B8" w:rsidRPr="009E78B8" w:rsidRDefault="009E78B8" w:rsidP="009E78B8">
                  <w:pPr>
                    <w:rPr>
                      <w:rFonts w:ascii="Arial" w:hAnsi="Arial" w:cs="Arial"/>
                      <w:lang w:val="es-CO"/>
                    </w:rPr>
                  </w:pPr>
                  <w:r w:rsidRPr="009E78B8">
                    <w:rPr>
                      <w:rFonts w:ascii="Arial" w:hAnsi="Arial" w:cs="Arial"/>
                      <w:b/>
                      <w:bCs/>
                      <w:lang w:val="es-CO"/>
                    </w:rPr>
                    <w:lastRenderedPageBreak/>
                    <w:t>Seguimiento y control contractual</w:t>
                  </w:r>
                </w:p>
              </w:tc>
              <w:tc>
                <w:tcPr>
                  <w:tcW w:w="0" w:type="auto"/>
                  <w:vAlign w:val="center"/>
                  <w:hideMark/>
                </w:tcPr>
                <w:p w14:paraId="2C6CF48D" w14:textId="77777777" w:rsidR="009E78B8" w:rsidRPr="009E78B8" w:rsidRDefault="009E78B8" w:rsidP="009E78B8">
                  <w:pPr>
                    <w:jc w:val="both"/>
                    <w:rPr>
                      <w:rFonts w:ascii="Arial" w:hAnsi="Arial" w:cs="Arial"/>
                      <w:lang w:val="es-CO"/>
                    </w:rPr>
                  </w:pPr>
                  <w:r w:rsidRPr="009E78B8">
                    <w:rPr>
                      <w:rFonts w:ascii="Arial" w:hAnsi="Arial" w:cs="Arial"/>
                      <w:lang w:val="es-CO"/>
                    </w:rPr>
                    <w:t>Conjunto de actividades encaminadas a verificar que las obligaciones contractuales se ejecuten de manera adecuada, oportuna y conforme a las condiciones establecidas por la entidad estatal.</w:t>
                  </w:r>
                </w:p>
              </w:tc>
            </w:tr>
            <w:tr w:rsidR="009E78B8" w:rsidRPr="009E78B8" w14:paraId="0162E45F" w14:textId="77777777" w:rsidTr="009E78B8">
              <w:trPr>
                <w:tblCellSpacing w:w="15" w:type="dxa"/>
              </w:trPr>
              <w:tc>
                <w:tcPr>
                  <w:tcW w:w="0" w:type="auto"/>
                  <w:vAlign w:val="center"/>
                  <w:hideMark/>
                </w:tcPr>
                <w:p w14:paraId="5C901A8E" w14:textId="77777777" w:rsidR="009E78B8" w:rsidRPr="009E78B8" w:rsidRDefault="009E78B8" w:rsidP="009E78B8">
                  <w:pPr>
                    <w:rPr>
                      <w:rFonts w:ascii="Arial" w:hAnsi="Arial" w:cs="Arial"/>
                      <w:lang w:val="es-CO"/>
                    </w:rPr>
                  </w:pPr>
                  <w:r w:rsidRPr="009E78B8">
                    <w:rPr>
                      <w:rFonts w:ascii="Arial" w:hAnsi="Arial" w:cs="Arial"/>
                      <w:b/>
                      <w:bCs/>
                      <w:lang w:val="es-CO"/>
                    </w:rPr>
                    <w:t>Supervisión</w:t>
                  </w:r>
                </w:p>
              </w:tc>
              <w:tc>
                <w:tcPr>
                  <w:tcW w:w="0" w:type="auto"/>
                  <w:vAlign w:val="center"/>
                  <w:hideMark/>
                </w:tcPr>
                <w:p w14:paraId="1F57ABB4" w14:textId="77777777" w:rsidR="009E78B8" w:rsidRPr="009E78B8" w:rsidRDefault="009E78B8" w:rsidP="009E78B8">
                  <w:pPr>
                    <w:jc w:val="both"/>
                    <w:rPr>
                      <w:rFonts w:ascii="Arial" w:hAnsi="Arial" w:cs="Arial"/>
                      <w:lang w:val="es-CO"/>
                    </w:rPr>
                  </w:pPr>
                  <w:r w:rsidRPr="009E78B8">
                    <w:rPr>
                      <w:rFonts w:ascii="Arial" w:hAnsi="Arial" w:cs="Arial"/>
                      <w:lang w:val="es-CO"/>
                    </w:rPr>
                    <w:t>Seguimiento técnico, administrativo, financiero, contable y jurídico que, sobre el cumplimiento del objeto del contrato, es ejercido por la misma entidad estatal cuando n</w:t>
                  </w:r>
                </w:p>
              </w:tc>
            </w:tr>
          </w:tbl>
          <w:p w14:paraId="581CFCAB" w14:textId="45153D9E" w:rsidR="00D768A3" w:rsidRPr="00614944" w:rsidRDefault="00A0753E">
            <w:pPr>
              <w:jc w:val="center"/>
              <w:rPr>
                <w:rFonts w:ascii="Arial" w:eastAsia="Arial" w:hAnsi="Arial" w:cs="Arial"/>
                <w:color w:val="000000"/>
                <w:sz w:val="20"/>
                <w:szCs w:val="20"/>
                <w:lang w:val="es-CO"/>
              </w:rPr>
            </w:pPr>
            <w:r w:rsidRPr="00614944">
              <w:rPr>
                <w:rFonts w:ascii="Arial" w:eastAsia="Arial" w:hAnsi="Arial" w:cs="Arial"/>
                <w:color w:val="000000"/>
                <w:sz w:val="20"/>
                <w:szCs w:val="20"/>
                <w:lang w:val="es-CO"/>
              </w:rPr>
              <w:t xml:space="preserve">Fuente: </w:t>
            </w:r>
            <w:r w:rsidR="007733B2" w:rsidRPr="00614944">
              <w:rPr>
                <w:rFonts w:ascii="Arial" w:eastAsia="Arial" w:hAnsi="Arial" w:cs="Arial"/>
                <w:color w:val="000000"/>
                <w:sz w:val="20"/>
                <w:szCs w:val="20"/>
                <w:lang w:val="es-CO"/>
              </w:rPr>
              <w:t xml:space="preserve">Elaboración propia - </w:t>
            </w:r>
            <w:r w:rsidRPr="00614944">
              <w:rPr>
                <w:rFonts w:ascii="Arial" w:eastAsia="Arial" w:hAnsi="Arial" w:cs="Arial"/>
                <w:color w:val="000000"/>
                <w:sz w:val="20"/>
                <w:szCs w:val="20"/>
                <w:lang w:val="es-CO"/>
              </w:rPr>
              <w:t xml:space="preserve">Definiciones internet </w:t>
            </w:r>
          </w:p>
          <w:p w14:paraId="6D4045D3" w14:textId="77777777" w:rsidR="00D768A3"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6B162102" w14:textId="77777777" w:rsidR="006A320A" w:rsidRPr="00D67D8A" w:rsidRDefault="006A320A">
            <w:pPr>
              <w:widowControl/>
              <w:pBdr>
                <w:top w:val="nil"/>
                <w:left w:val="nil"/>
                <w:bottom w:val="nil"/>
                <w:right w:val="nil"/>
                <w:between w:val="nil"/>
              </w:pBdr>
              <w:jc w:val="both"/>
              <w:rPr>
                <w:rFonts w:ascii="Arial" w:eastAsia="Arial" w:hAnsi="Arial" w:cs="Arial"/>
                <w:color w:val="000000"/>
                <w:sz w:val="24"/>
                <w:szCs w:val="24"/>
                <w:lang w:val="es-CO"/>
              </w:rPr>
            </w:pPr>
          </w:p>
        </w:tc>
      </w:tr>
      <w:tr w:rsidR="00D768A3" w14:paraId="3AA5827A" w14:textId="77777777" w:rsidTr="00FD2B6C">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E5B2BA0" w14:textId="77777777" w:rsidR="00D768A3" w:rsidRDefault="00A0753E">
            <w:pPr>
              <w:widowControl/>
              <w:numPr>
                <w:ilvl w:val="0"/>
                <w:numId w:val="1"/>
              </w:numPr>
              <w:pBdr>
                <w:top w:val="nil"/>
                <w:left w:val="nil"/>
                <w:bottom w:val="nil"/>
                <w:right w:val="nil"/>
                <w:between w:val="nil"/>
              </w:pBdr>
              <w:tabs>
                <w:tab w:val="left" w:pos="362"/>
              </w:tabs>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 xml:space="preserve">ASPECTOS GENERALES DEL MERCADO              </w:t>
            </w:r>
          </w:p>
        </w:tc>
      </w:tr>
      <w:tr w:rsidR="00D768A3" w14:paraId="5FA5000F" w14:textId="77777777" w:rsidTr="00FD2B6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CEB034"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El presente análisis se desarrolla con el propósito de identificar las condiciones generales del mercado relacionadas con la prestación de servicios de consultoría e interventoría de obras públicas, específicamente aquellos asociados al seguimiento y control integral de proyectos de infraestructura destinados a la adecuación y mejoramiento de escenarios y espacios deportivos.</w:t>
            </w:r>
          </w:p>
          <w:p w14:paraId="7EA2C683" w14:textId="77777777" w:rsidR="0026599B" w:rsidRPr="00840039" w:rsidRDefault="0026599B" w:rsidP="00840039">
            <w:pPr>
              <w:pBdr>
                <w:top w:val="nil"/>
                <w:left w:val="nil"/>
                <w:bottom w:val="nil"/>
                <w:right w:val="nil"/>
                <w:between w:val="nil"/>
              </w:pBdr>
              <w:jc w:val="both"/>
              <w:rPr>
                <w:rFonts w:ascii="Arial" w:eastAsia="Arial" w:hAnsi="Arial" w:cs="Arial"/>
                <w:color w:val="000000"/>
                <w:sz w:val="24"/>
                <w:szCs w:val="24"/>
                <w:lang w:val="es-CO"/>
              </w:rPr>
            </w:pPr>
          </w:p>
          <w:p w14:paraId="5A4AB552" w14:textId="70E474C5" w:rsidR="00840039" w:rsidRDefault="00840039" w:rsidP="00840039">
            <w:pPr>
              <w:pBdr>
                <w:top w:val="nil"/>
                <w:left w:val="nil"/>
                <w:bottom w:val="nil"/>
                <w:right w:val="nil"/>
                <w:between w:val="nil"/>
              </w:pBdr>
              <w:jc w:val="both"/>
              <w:rPr>
                <w:rFonts w:ascii="Arial" w:eastAsia="Arial" w:hAnsi="Arial" w:cs="Arial"/>
                <w:b/>
                <w:bCs/>
                <w:color w:val="000000"/>
                <w:sz w:val="24"/>
                <w:szCs w:val="24"/>
                <w:lang w:val="es-CO"/>
              </w:rPr>
            </w:pPr>
            <w:r w:rsidRPr="00840039">
              <w:rPr>
                <w:rFonts w:ascii="Arial" w:eastAsia="Arial" w:hAnsi="Arial" w:cs="Arial"/>
                <w:color w:val="000000"/>
                <w:sz w:val="24"/>
                <w:szCs w:val="24"/>
                <w:lang w:val="es-CO"/>
              </w:rPr>
              <w:t xml:space="preserve">El objeto del proceso corresponde a </w:t>
            </w:r>
            <w:r w:rsidRPr="00840039">
              <w:rPr>
                <w:rFonts w:ascii="Arial" w:eastAsia="Arial" w:hAnsi="Arial" w:cs="Arial"/>
                <w:b/>
                <w:bCs/>
                <w:color w:val="000000"/>
                <w:sz w:val="24"/>
                <w:szCs w:val="24"/>
                <w:lang w:val="es-CO"/>
              </w:rPr>
              <w:t>“REALIZAR LA INTERVENTORÍA TÉCNICA, ADMINISTRATIVA, JURÍDICA, FINANCIERA, AMBIENTAL Y CONTABLE A LOS CONTRATOS DE OBRA QUE RESULTEN ADJUDICADOS EN EL PROCESO DE LICITACIÓN PÚBLICA, CUYO OBJETO ES: ‘REALIZAR LA ADECUACIÓN</w:t>
            </w:r>
            <w:r w:rsidR="00D3174D">
              <w:rPr>
                <w:rFonts w:ascii="Arial" w:eastAsia="Arial" w:hAnsi="Arial" w:cs="Arial"/>
                <w:b/>
                <w:bCs/>
                <w:color w:val="000000"/>
                <w:sz w:val="24"/>
                <w:szCs w:val="24"/>
                <w:lang w:val="es-CO"/>
              </w:rPr>
              <w:t xml:space="preserve"> Y MEJORAMIENTO</w:t>
            </w:r>
            <w:r w:rsidRPr="00840039">
              <w:rPr>
                <w:rFonts w:ascii="Arial" w:eastAsia="Arial" w:hAnsi="Arial" w:cs="Arial"/>
                <w:b/>
                <w:bCs/>
                <w:color w:val="000000"/>
                <w:sz w:val="24"/>
                <w:szCs w:val="24"/>
                <w:lang w:val="es-CO"/>
              </w:rPr>
              <w:t xml:space="preserve"> DE LOS DIFERENTES ESCENARIOS Y ESPACIOS DEPORTIVOS PRIORIZADOS DEL DISTRITO ESPECIAL DE SANTIAGO DE CALI</w:t>
            </w:r>
            <w:r w:rsidR="0026599B">
              <w:rPr>
                <w:rFonts w:ascii="Arial" w:eastAsia="Arial" w:hAnsi="Arial" w:cs="Arial"/>
                <w:b/>
                <w:bCs/>
                <w:color w:val="000000"/>
                <w:sz w:val="24"/>
                <w:szCs w:val="24"/>
                <w:lang w:val="es-CO"/>
              </w:rPr>
              <w:t>.</w:t>
            </w:r>
            <w:r w:rsidRPr="00840039">
              <w:rPr>
                <w:rFonts w:ascii="Arial" w:eastAsia="Arial" w:hAnsi="Arial" w:cs="Arial"/>
                <w:b/>
                <w:bCs/>
                <w:color w:val="000000"/>
                <w:sz w:val="24"/>
                <w:szCs w:val="24"/>
                <w:lang w:val="es-CO"/>
              </w:rPr>
              <w:t>”</w:t>
            </w:r>
          </w:p>
          <w:p w14:paraId="7B537E07" w14:textId="77777777" w:rsidR="0026599B" w:rsidRPr="00840039" w:rsidRDefault="0026599B" w:rsidP="00840039">
            <w:pPr>
              <w:pBdr>
                <w:top w:val="nil"/>
                <w:left w:val="nil"/>
                <w:bottom w:val="nil"/>
                <w:right w:val="nil"/>
                <w:between w:val="nil"/>
              </w:pBdr>
              <w:jc w:val="both"/>
              <w:rPr>
                <w:rFonts w:ascii="Arial" w:eastAsia="Arial" w:hAnsi="Arial" w:cs="Arial"/>
                <w:color w:val="000000"/>
                <w:sz w:val="24"/>
                <w:szCs w:val="24"/>
                <w:lang w:val="es-CO"/>
              </w:rPr>
            </w:pPr>
          </w:p>
          <w:p w14:paraId="7F1B037F"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 xml:space="preserve">De acuerdo con el artículo 32 de la Ley 80 de 1993, la interventoría constituye una actividad propia de los contratos de consultoría. En este sentido, el mercado objeto de análisis corresponde principalmente al de </w:t>
            </w:r>
            <w:r w:rsidRPr="00840039">
              <w:rPr>
                <w:rFonts w:ascii="Arial" w:eastAsia="Arial" w:hAnsi="Arial" w:cs="Arial"/>
                <w:b/>
                <w:bCs/>
                <w:color w:val="000000"/>
                <w:sz w:val="24"/>
                <w:szCs w:val="24"/>
                <w:lang w:val="es-CO"/>
              </w:rPr>
              <w:t>servicios profesionales especializados de interventoría de obras públicas</w:t>
            </w:r>
            <w:r w:rsidRPr="00840039">
              <w:rPr>
                <w:rFonts w:ascii="Arial" w:eastAsia="Arial" w:hAnsi="Arial" w:cs="Arial"/>
                <w:color w:val="000000"/>
                <w:sz w:val="24"/>
                <w:szCs w:val="24"/>
                <w:lang w:val="es-CO"/>
              </w:rPr>
              <w:t>, en el cual participan personas naturales o jurídicas con capacidad técnica, administrativa, financiera y organizacional para realizar el seguimiento y control de la ejecución de proyectos de infraestructura.</w:t>
            </w:r>
          </w:p>
          <w:p w14:paraId="0C70ECE3"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p>
          <w:p w14:paraId="4A6210E1"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La interventoría tiene como finalidad verificar que los contratos de obra sean ejecutados de conformidad con las condiciones técnicas, administrativas, jurídicas, financieras, ambientales y contables establecidas por la entidad contratante, así como con los estudios, diseños, especificaciones, cronogramas, presupuesto y demás documentos que hacen parte integral de los contratos.</w:t>
            </w:r>
          </w:p>
          <w:p w14:paraId="5F829681"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p>
          <w:p w14:paraId="2F2E5763"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 xml:space="preserve">Para el presente caso, el mercado presenta características de </w:t>
            </w:r>
            <w:r w:rsidRPr="00840039">
              <w:rPr>
                <w:rFonts w:ascii="Arial" w:eastAsia="Arial" w:hAnsi="Arial" w:cs="Arial"/>
                <w:b/>
                <w:bCs/>
                <w:color w:val="000000"/>
                <w:sz w:val="24"/>
                <w:szCs w:val="24"/>
                <w:lang w:val="es-CO"/>
              </w:rPr>
              <w:t xml:space="preserve">especialización </w:t>
            </w:r>
            <w:r w:rsidRPr="00840039">
              <w:rPr>
                <w:rFonts w:ascii="Arial" w:eastAsia="Arial" w:hAnsi="Arial" w:cs="Arial"/>
                <w:b/>
                <w:bCs/>
                <w:color w:val="000000"/>
                <w:sz w:val="24"/>
                <w:szCs w:val="24"/>
                <w:lang w:val="es-CO"/>
              </w:rPr>
              <w:lastRenderedPageBreak/>
              <w:t>profesional</w:t>
            </w:r>
            <w:r w:rsidRPr="00840039">
              <w:rPr>
                <w:rFonts w:ascii="Arial" w:eastAsia="Arial" w:hAnsi="Arial" w:cs="Arial"/>
                <w:color w:val="000000"/>
                <w:sz w:val="24"/>
                <w:szCs w:val="24"/>
                <w:lang w:val="es-CO"/>
              </w:rPr>
              <w:t>, debido a que la ejecución de las actividades requiere la participación de personal con formación y experiencia en diferentes áreas relacionadas con la ingeniería, arquitectura, administración, derecho, contabilidad, gestión financiera y gestión ambiental, de acuerdo con el alcance específico de la interventoría.</w:t>
            </w:r>
          </w:p>
          <w:p w14:paraId="7D19D0F7"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p>
          <w:p w14:paraId="1FDB4E07"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La naturaleza del servicio implica, además, una intervención durante las diferentes etapas de ejecución de los contratos de obra, mediante actividades de seguimiento, verificación, control, revisión documental, control de cantidades y calidad, seguimiento al cronograma y presupuesto, revisión de obligaciones contractuales, elaboración de informes y emisión de recomendaciones y conceptos dentro del alcance establecido contractualmente.</w:t>
            </w:r>
          </w:p>
          <w:p w14:paraId="3A56B3BF"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p>
          <w:p w14:paraId="3B4D2CF3"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En este sentido, el mercado de interventoría se encuentra estrechamente relacionado con el comportamiento de la contratación pública de obras de infraestructura, toda vez que la demanda de estos servicios surge de la necesidad de las entidades estatales de contar con un tercero especializado e independiente que realice el seguimiento de aquellos contratos de obra que, por disposición legal, complejidad, extensión o especialidad, requieren interventoría.</w:t>
            </w:r>
          </w:p>
          <w:p w14:paraId="127FD130"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p>
          <w:p w14:paraId="1AC227EB"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La Agencia Nacional de Contratación Pública – Colombia Compra Eficiente ha señalado que la interventoría constituye un mecanismo de vigilancia que exige conocimientos especializados y que, por su naturaleza de especie del contrato de consultoría, se selecciona, por regla general, mediante la modalidad de concurso de méritos. Igualmente, ha precisado que, además del seguimiento técnico inherente a la interventoría, pueden incorporarse obligaciones de seguimiento administrativo, financiero, contable y jurídico, de acuerdo con las necesidades de la entidad.</w:t>
            </w:r>
          </w:p>
          <w:p w14:paraId="28D4923B"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p>
          <w:p w14:paraId="25821A58"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Para el presente proceso, la demanda del servicio está determinada por la necesidad de efectuar el seguimiento integral a los contratos de obra que resulten adjudicados para la adecuación de los diferentes escenarios y espacios deportivos priorizados del Distrito Especial de Santiago de Cali. En consecuencia, el mercado relevante está constituido por los proveedores que cuentan con experiencia y capacidad para desarrollar servicios de interventoría de proyectos de infraestructura y obras civiles de características y complejidad similares.</w:t>
            </w:r>
          </w:p>
          <w:p w14:paraId="2ADBCD2A"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p>
          <w:p w14:paraId="0B396FBF"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 xml:space="preserve">En términos generales, los proveedores que participan en este mercado pueden estar conformados por personas jurídicas especializadas en consultoría e interventoría, </w:t>
            </w:r>
            <w:r w:rsidRPr="00840039">
              <w:rPr>
                <w:rFonts w:ascii="Arial" w:eastAsia="Arial" w:hAnsi="Arial" w:cs="Arial"/>
                <w:color w:val="000000"/>
                <w:sz w:val="24"/>
                <w:szCs w:val="24"/>
                <w:lang w:val="es-CO"/>
              </w:rPr>
              <w:lastRenderedPageBreak/>
              <w:t>firmas de ingeniería y arquitectura, así como consorcios y uniones temporales que integran diferentes capacidades profesionales y técnicas para atender proyectos de mayor alcance y complejidad.</w:t>
            </w:r>
          </w:p>
          <w:p w14:paraId="071898BC"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p>
          <w:p w14:paraId="3580BAB2" w14:textId="77777777" w:rsid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Por lo anterior, para efectos del presente Análisis del Sector, el estudio del mercado deberá considerar, entre otros aspectos, la oferta de servicios de interventoría, la experiencia de los potenciales proveedores, la capacidad financiera y organizacional requerida, el personal profesional y técnico necesario, las condiciones de prestación del servicio, los costos asociados a la conformación del equipo de trabajo y demás factores que inciden en la determinación del presupuesto oficial del proceso.</w:t>
            </w:r>
          </w:p>
          <w:p w14:paraId="13C748AB"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p>
          <w:p w14:paraId="2686FD02" w14:textId="77777777" w:rsidR="00840039" w:rsidRPr="00840039" w:rsidRDefault="00840039" w:rsidP="00840039">
            <w:pPr>
              <w:pBdr>
                <w:top w:val="nil"/>
                <w:left w:val="nil"/>
                <w:bottom w:val="nil"/>
                <w:right w:val="nil"/>
                <w:between w:val="nil"/>
              </w:pBdr>
              <w:jc w:val="both"/>
              <w:rPr>
                <w:rFonts w:ascii="Arial" w:eastAsia="Arial" w:hAnsi="Arial" w:cs="Arial"/>
                <w:color w:val="000000"/>
                <w:sz w:val="24"/>
                <w:szCs w:val="24"/>
                <w:lang w:val="es-CO"/>
              </w:rPr>
            </w:pPr>
            <w:r w:rsidRPr="00840039">
              <w:rPr>
                <w:rFonts w:ascii="Arial" w:eastAsia="Arial" w:hAnsi="Arial" w:cs="Arial"/>
                <w:color w:val="000000"/>
                <w:sz w:val="24"/>
                <w:szCs w:val="24"/>
                <w:lang w:val="es-CO"/>
              </w:rPr>
              <w:t xml:space="preserve">En conclusión, el mercado objeto del presente proceso corresponde al de </w:t>
            </w:r>
            <w:r w:rsidRPr="00840039">
              <w:rPr>
                <w:rFonts w:ascii="Arial" w:eastAsia="Arial" w:hAnsi="Arial" w:cs="Arial"/>
                <w:b/>
                <w:bCs/>
                <w:color w:val="000000"/>
                <w:sz w:val="24"/>
                <w:szCs w:val="24"/>
                <w:lang w:val="es-CO"/>
              </w:rPr>
              <w:t>servicios profesionales especializados de consultoría e interventoría de obras públicas</w:t>
            </w:r>
            <w:r w:rsidRPr="00840039">
              <w:rPr>
                <w:rFonts w:ascii="Arial" w:eastAsia="Arial" w:hAnsi="Arial" w:cs="Arial"/>
                <w:color w:val="000000"/>
                <w:sz w:val="24"/>
                <w:szCs w:val="24"/>
                <w:lang w:val="es-CO"/>
              </w:rPr>
              <w:t>, con énfasis en proyectos de infraestructura y adecuación de escenarios deportivos, en el cual existe participación de proveedores especializados capaces de desarrollar actividades de seguimiento y control integral de contratos de obra bajo las condiciones técnicas, administrativas, jurídicas, financieras, ambientales y contables requeridas por la Entidad.</w:t>
            </w:r>
          </w:p>
          <w:p w14:paraId="07DA6017" w14:textId="77777777" w:rsidR="007D1ABD" w:rsidRPr="00D67D8A" w:rsidRDefault="007D1ABD">
            <w:pPr>
              <w:widowControl/>
              <w:pBdr>
                <w:top w:val="nil"/>
                <w:left w:val="nil"/>
                <w:bottom w:val="nil"/>
                <w:right w:val="nil"/>
                <w:between w:val="nil"/>
              </w:pBdr>
              <w:jc w:val="both"/>
              <w:rPr>
                <w:rFonts w:ascii="Arial" w:eastAsia="Arial" w:hAnsi="Arial" w:cs="Arial"/>
                <w:color w:val="000000"/>
                <w:sz w:val="24"/>
                <w:szCs w:val="24"/>
                <w:lang w:val="es-CO"/>
              </w:rPr>
            </w:pPr>
          </w:p>
        </w:tc>
      </w:tr>
      <w:tr w:rsidR="00D768A3" w14:paraId="1B718889" w14:textId="77777777" w:rsidTr="00FD2B6C">
        <w:trPr>
          <w:trHeight w:val="49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8003802" w14:textId="77777777" w:rsidR="00D768A3" w:rsidRPr="007D1ABD"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rPr>
            </w:pPr>
            <w:r w:rsidRPr="007D1ABD">
              <w:rPr>
                <w:rFonts w:ascii="Arial" w:eastAsia="Arial" w:hAnsi="Arial" w:cs="Arial"/>
                <w:color w:val="000000"/>
                <w:sz w:val="24"/>
                <w:szCs w:val="24"/>
              </w:rPr>
              <w:lastRenderedPageBreak/>
              <w:t>ASPECTOS ECONÓMICOS</w:t>
            </w:r>
          </w:p>
        </w:tc>
      </w:tr>
      <w:tr w:rsidR="00D768A3" w14:paraId="28941304"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12AB5B" w14:textId="77777777" w:rsidR="00D768A3" w:rsidRPr="003C058F"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7106C0FD" w14:textId="6BB1C8B9" w:rsidR="004A7F07" w:rsidRDefault="004A7F07" w:rsidP="004A7F07">
            <w:pPr>
              <w:pBdr>
                <w:top w:val="nil"/>
                <w:left w:val="nil"/>
                <w:bottom w:val="nil"/>
                <w:right w:val="nil"/>
                <w:between w:val="nil"/>
              </w:pBdr>
              <w:jc w:val="both"/>
              <w:rPr>
                <w:rFonts w:ascii="Arial" w:eastAsia="Arial" w:hAnsi="Arial" w:cs="Arial"/>
                <w:color w:val="000000"/>
                <w:sz w:val="24"/>
                <w:szCs w:val="24"/>
                <w:lang w:val="es-CO"/>
              </w:rPr>
            </w:pPr>
            <w:r w:rsidRPr="004A7F07">
              <w:rPr>
                <w:rFonts w:ascii="Arial" w:eastAsia="Arial" w:hAnsi="Arial" w:cs="Arial"/>
                <w:color w:val="000000"/>
                <w:sz w:val="24"/>
                <w:szCs w:val="24"/>
                <w:lang w:val="es-CO"/>
              </w:rPr>
              <w:t xml:space="preserve">El objeto del presente proceso se encuentra asociado al mercado de </w:t>
            </w:r>
            <w:r w:rsidRPr="004A7F07">
              <w:rPr>
                <w:rFonts w:ascii="Arial" w:eastAsia="Arial" w:hAnsi="Arial" w:cs="Arial"/>
                <w:b/>
                <w:bCs/>
                <w:color w:val="000000"/>
                <w:sz w:val="24"/>
                <w:szCs w:val="24"/>
                <w:lang w:val="es-CO"/>
              </w:rPr>
              <w:t>servicios profesionales de consultoría e interventoría de obras públicas</w:t>
            </w:r>
            <w:r w:rsidRPr="004A7F07">
              <w:rPr>
                <w:rFonts w:ascii="Arial" w:eastAsia="Arial" w:hAnsi="Arial" w:cs="Arial"/>
                <w:color w:val="000000"/>
                <w:sz w:val="24"/>
                <w:szCs w:val="24"/>
                <w:lang w:val="es-CO"/>
              </w:rPr>
              <w:t>, específicamente a la prestación de servicios especializados para realizar el seguimiento y control técnico, administrativo, jurídico, financiero, ambiental y contable de los contratos de obra que resulten adjudicados para la adecuación</w:t>
            </w:r>
            <w:r w:rsidR="00D3174D">
              <w:rPr>
                <w:rFonts w:ascii="Arial" w:eastAsia="Arial" w:hAnsi="Arial" w:cs="Arial"/>
                <w:color w:val="000000"/>
                <w:sz w:val="24"/>
                <w:szCs w:val="24"/>
                <w:lang w:val="es-CO"/>
              </w:rPr>
              <w:t xml:space="preserve"> y mejoras</w:t>
            </w:r>
            <w:r w:rsidRPr="004A7F07">
              <w:rPr>
                <w:rFonts w:ascii="Arial" w:eastAsia="Arial" w:hAnsi="Arial" w:cs="Arial"/>
                <w:color w:val="000000"/>
                <w:sz w:val="24"/>
                <w:szCs w:val="24"/>
                <w:lang w:val="es-CO"/>
              </w:rPr>
              <w:t xml:space="preserve"> de los diferentes escenarios y espacios deportivos priorizados del Distrito Especial de Santiago de Cali.</w:t>
            </w:r>
          </w:p>
          <w:p w14:paraId="5F395290" w14:textId="77777777" w:rsidR="004A7F07" w:rsidRPr="004A7F07" w:rsidRDefault="004A7F07" w:rsidP="004A7F07">
            <w:pPr>
              <w:pBdr>
                <w:top w:val="nil"/>
                <w:left w:val="nil"/>
                <w:bottom w:val="nil"/>
                <w:right w:val="nil"/>
                <w:between w:val="nil"/>
              </w:pBdr>
              <w:jc w:val="both"/>
              <w:rPr>
                <w:rFonts w:ascii="Arial" w:eastAsia="Arial" w:hAnsi="Arial" w:cs="Arial"/>
                <w:color w:val="000000"/>
                <w:sz w:val="24"/>
                <w:szCs w:val="24"/>
                <w:lang w:val="es-CO"/>
              </w:rPr>
            </w:pPr>
          </w:p>
          <w:p w14:paraId="2B269941" w14:textId="77777777" w:rsidR="004A7F07" w:rsidRDefault="004A7F07" w:rsidP="004A7F07">
            <w:pPr>
              <w:pBdr>
                <w:top w:val="nil"/>
                <w:left w:val="nil"/>
                <w:bottom w:val="nil"/>
                <w:right w:val="nil"/>
                <w:between w:val="nil"/>
              </w:pBdr>
              <w:jc w:val="both"/>
              <w:rPr>
                <w:rFonts w:ascii="Arial" w:eastAsia="Arial" w:hAnsi="Arial" w:cs="Arial"/>
                <w:color w:val="000000"/>
                <w:sz w:val="24"/>
                <w:szCs w:val="24"/>
                <w:lang w:val="es-CO"/>
              </w:rPr>
            </w:pPr>
            <w:r w:rsidRPr="004A7F07">
              <w:rPr>
                <w:rFonts w:ascii="Arial" w:eastAsia="Arial" w:hAnsi="Arial" w:cs="Arial"/>
                <w:color w:val="000000"/>
                <w:sz w:val="24"/>
                <w:szCs w:val="24"/>
                <w:lang w:val="es-CO"/>
              </w:rPr>
              <w:t>Desde el punto de vista económico, la actividad objeto del proceso hace parte del sector terciario de la economía, correspondiente a la prestación de servicios profesionales, científicos y técnicos. Se trata de un mercado especializado en el cual intervienen personas jurídicas, firmas de ingeniería y arquitectura, consultores especializados, así como consorcios y uniones temporales que cuentan con la capacidad técnica, financiera, administrativa y organizacional requerida para ejecutar proyectos de interventoría.</w:t>
            </w:r>
          </w:p>
          <w:p w14:paraId="7DCCE0AC" w14:textId="77777777" w:rsidR="004A7F07" w:rsidRPr="004A7F07" w:rsidRDefault="004A7F07" w:rsidP="004A7F07">
            <w:pPr>
              <w:pBdr>
                <w:top w:val="nil"/>
                <w:left w:val="nil"/>
                <w:bottom w:val="nil"/>
                <w:right w:val="nil"/>
                <w:between w:val="nil"/>
              </w:pBdr>
              <w:jc w:val="both"/>
              <w:rPr>
                <w:rFonts w:ascii="Arial" w:eastAsia="Arial" w:hAnsi="Arial" w:cs="Arial"/>
                <w:color w:val="000000"/>
                <w:sz w:val="24"/>
                <w:szCs w:val="24"/>
                <w:lang w:val="es-CO"/>
              </w:rPr>
            </w:pPr>
          </w:p>
          <w:p w14:paraId="02D22976" w14:textId="77777777" w:rsidR="004A7F07" w:rsidRDefault="004A7F07" w:rsidP="004A7F07">
            <w:pPr>
              <w:pBdr>
                <w:top w:val="nil"/>
                <w:left w:val="nil"/>
                <w:bottom w:val="nil"/>
                <w:right w:val="nil"/>
                <w:between w:val="nil"/>
              </w:pBdr>
              <w:jc w:val="both"/>
              <w:rPr>
                <w:rFonts w:ascii="Arial" w:eastAsia="Arial" w:hAnsi="Arial" w:cs="Arial"/>
                <w:color w:val="000000"/>
                <w:sz w:val="24"/>
                <w:szCs w:val="24"/>
                <w:lang w:val="es-CO"/>
              </w:rPr>
            </w:pPr>
            <w:r w:rsidRPr="004A7F07">
              <w:rPr>
                <w:rFonts w:ascii="Arial" w:eastAsia="Arial" w:hAnsi="Arial" w:cs="Arial"/>
                <w:color w:val="000000"/>
                <w:sz w:val="24"/>
                <w:szCs w:val="24"/>
                <w:lang w:val="es-CO"/>
              </w:rPr>
              <w:lastRenderedPageBreak/>
              <w:t xml:space="preserve">La actividad económica principal relacionada con el objeto contractual corresponde a la </w:t>
            </w:r>
            <w:r w:rsidRPr="004A7F07">
              <w:rPr>
                <w:rFonts w:ascii="Arial" w:eastAsia="Arial" w:hAnsi="Arial" w:cs="Arial"/>
                <w:b/>
                <w:bCs/>
                <w:color w:val="000000"/>
                <w:sz w:val="24"/>
                <w:szCs w:val="24"/>
                <w:lang w:val="es-CO"/>
              </w:rPr>
              <w:t>Sección M – Actividades profesionales, científicas y técnicas</w:t>
            </w:r>
            <w:r w:rsidRPr="004A7F07">
              <w:rPr>
                <w:rFonts w:ascii="Arial" w:eastAsia="Arial" w:hAnsi="Arial" w:cs="Arial"/>
                <w:color w:val="000000"/>
                <w:sz w:val="24"/>
                <w:szCs w:val="24"/>
                <w:lang w:val="es-CO"/>
              </w:rPr>
              <w:t xml:space="preserve">, específicamente a la </w:t>
            </w:r>
            <w:r w:rsidRPr="004A7F07">
              <w:rPr>
                <w:rFonts w:ascii="Arial" w:eastAsia="Arial" w:hAnsi="Arial" w:cs="Arial"/>
                <w:b/>
                <w:bCs/>
                <w:color w:val="000000"/>
                <w:sz w:val="24"/>
                <w:szCs w:val="24"/>
                <w:lang w:val="es-CO"/>
              </w:rPr>
              <w:t>División 71 – Actividades de arquitectura e ingeniería; ensayos y análisis técnicos</w:t>
            </w:r>
            <w:r w:rsidRPr="004A7F07">
              <w:rPr>
                <w:rFonts w:ascii="Arial" w:eastAsia="Arial" w:hAnsi="Arial" w:cs="Arial"/>
                <w:color w:val="000000"/>
                <w:sz w:val="24"/>
                <w:szCs w:val="24"/>
                <w:lang w:val="es-CO"/>
              </w:rPr>
              <w:t xml:space="preserve"> de la Clasificación Industrial Internacional Uniforme – CIIU Rev. 4 A.C.</w:t>
            </w:r>
          </w:p>
          <w:p w14:paraId="10B99B79" w14:textId="77777777" w:rsidR="00D717E0" w:rsidRDefault="00D717E0" w:rsidP="004A7F07">
            <w:pPr>
              <w:pBdr>
                <w:top w:val="nil"/>
                <w:left w:val="nil"/>
                <w:bottom w:val="nil"/>
                <w:right w:val="nil"/>
                <w:between w:val="nil"/>
              </w:pBdr>
              <w:jc w:val="both"/>
              <w:rPr>
                <w:rFonts w:ascii="Arial" w:eastAsia="Arial" w:hAnsi="Arial" w:cs="Arial"/>
                <w:color w:val="000000"/>
                <w:sz w:val="24"/>
                <w:szCs w:val="24"/>
                <w:lang w:val="es-CO"/>
              </w:rPr>
            </w:pPr>
          </w:p>
          <w:p w14:paraId="56A58D2B" w14:textId="4560E5AD" w:rsidR="00D717E0" w:rsidRPr="004A7F07" w:rsidRDefault="00D717E0" w:rsidP="004A7F07">
            <w:pPr>
              <w:pBdr>
                <w:top w:val="nil"/>
                <w:left w:val="nil"/>
                <w:bottom w:val="nil"/>
                <w:right w:val="nil"/>
                <w:between w:val="nil"/>
              </w:pBdr>
              <w:jc w:val="both"/>
              <w:rPr>
                <w:rFonts w:ascii="Arial" w:eastAsia="Arial" w:hAnsi="Arial" w:cs="Arial"/>
                <w:color w:val="000000"/>
                <w:sz w:val="24"/>
                <w:szCs w:val="24"/>
                <w:lang w:val="es-CO"/>
              </w:rPr>
            </w:pPr>
            <w:r w:rsidRPr="00D717E0">
              <w:rPr>
                <w:rFonts w:ascii="Arial" w:eastAsia="Arial" w:hAnsi="Arial" w:cs="Arial"/>
                <w:color w:val="000000"/>
                <w:sz w:val="24"/>
                <w:szCs w:val="24"/>
                <w:lang w:val="es"/>
              </w:rPr>
              <w:t>Dentro de esta división se identifica como actividad directamente relacionada con el objeto contractual la siguiente:</w:t>
            </w:r>
          </w:p>
          <w:p w14:paraId="6EE64780" w14:textId="77777777" w:rsidR="003C058F" w:rsidRDefault="003C058F">
            <w:pPr>
              <w:widowControl/>
              <w:pBdr>
                <w:top w:val="nil"/>
                <w:left w:val="nil"/>
                <w:bottom w:val="nil"/>
                <w:right w:val="nil"/>
                <w:between w:val="nil"/>
              </w:pBdr>
              <w:jc w:val="both"/>
              <w:rPr>
                <w:rFonts w:ascii="Arial" w:eastAsia="Arial" w:hAnsi="Arial" w:cs="Arial"/>
                <w:color w:val="000000"/>
                <w:sz w:val="24"/>
                <w:szCs w:val="24"/>
                <w:lang w:val="es-CO"/>
              </w:rPr>
            </w:pPr>
          </w:p>
          <w:p w14:paraId="56BDFFE0" w14:textId="433A87B5" w:rsidR="00614944" w:rsidRPr="00E45020" w:rsidRDefault="00614944" w:rsidP="00614944">
            <w:pPr>
              <w:jc w:val="center"/>
              <w:rPr>
                <w:rFonts w:ascii="Arial" w:eastAsia="Arial" w:hAnsi="Arial" w:cs="Arial"/>
                <w:b/>
                <w:color w:val="000000"/>
                <w:sz w:val="20"/>
                <w:szCs w:val="20"/>
              </w:rPr>
            </w:pPr>
            <w:r w:rsidRPr="00E45020">
              <w:rPr>
                <w:rFonts w:ascii="Arial" w:eastAsia="Arial" w:hAnsi="Arial" w:cs="Arial"/>
                <w:b/>
                <w:color w:val="000000"/>
                <w:sz w:val="20"/>
                <w:szCs w:val="20"/>
              </w:rPr>
              <w:t xml:space="preserve">Tabla </w:t>
            </w:r>
            <w:r>
              <w:rPr>
                <w:rFonts w:ascii="Arial" w:eastAsia="Arial" w:hAnsi="Arial" w:cs="Arial"/>
                <w:b/>
                <w:color w:val="000000"/>
                <w:sz w:val="20"/>
                <w:szCs w:val="20"/>
              </w:rPr>
              <w:t>2</w:t>
            </w:r>
            <w:r w:rsidRPr="00E45020">
              <w:rPr>
                <w:rFonts w:ascii="Arial" w:eastAsia="Arial" w:hAnsi="Arial" w:cs="Arial"/>
                <w:b/>
                <w:color w:val="000000"/>
                <w:sz w:val="20"/>
                <w:szCs w:val="20"/>
              </w:rPr>
              <w:t xml:space="preserve">. </w:t>
            </w:r>
            <w:r>
              <w:rPr>
                <w:rFonts w:ascii="Arial" w:eastAsia="Arial" w:hAnsi="Arial" w:cs="Arial"/>
                <w:b/>
                <w:color w:val="000000"/>
                <w:sz w:val="20"/>
                <w:szCs w:val="20"/>
              </w:rPr>
              <w:t>Códigos CIIU</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99"/>
              <w:gridCol w:w="2893"/>
              <w:gridCol w:w="5454"/>
            </w:tblGrid>
            <w:tr w:rsidR="00650E29" w:rsidRPr="007C7E96" w14:paraId="258A6D07" w14:textId="77777777" w:rsidTr="00FD2958">
              <w:trPr>
                <w:tblHeader/>
                <w:tblCellSpacing w:w="15" w:type="dxa"/>
              </w:trPr>
              <w:tc>
                <w:tcPr>
                  <w:tcW w:w="0" w:type="auto"/>
                  <w:vAlign w:val="center"/>
                  <w:hideMark/>
                </w:tcPr>
                <w:p w14:paraId="0D302714" w14:textId="77777777" w:rsidR="00650E29" w:rsidRPr="00614944" w:rsidRDefault="00650E29" w:rsidP="00650E29">
                  <w:pPr>
                    <w:spacing w:after="160" w:line="259" w:lineRule="auto"/>
                    <w:rPr>
                      <w:rFonts w:ascii="Arial" w:hAnsi="Arial" w:cs="Arial"/>
                      <w:b/>
                      <w:bCs/>
                      <w:lang w:val="pt-PT"/>
                    </w:rPr>
                  </w:pPr>
                  <w:r w:rsidRPr="00614944">
                    <w:rPr>
                      <w:rFonts w:ascii="Arial" w:hAnsi="Arial" w:cs="Arial"/>
                      <w:b/>
                      <w:bCs/>
                      <w:lang w:val="pt-PT"/>
                    </w:rPr>
                    <w:t>Código CIIU</w:t>
                  </w:r>
                </w:p>
              </w:tc>
              <w:tc>
                <w:tcPr>
                  <w:tcW w:w="0" w:type="auto"/>
                  <w:vAlign w:val="center"/>
                  <w:hideMark/>
                </w:tcPr>
                <w:p w14:paraId="0B57E5FD" w14:textId="77777777" w:rsidR="00650E29" w:rsidRPr="007C7E96" w:rsidRDefault="00650E29" w:rsidP="00650E29">
                  <w:pPr>
                    <w:spacing w:after="160" w:line="259" w:lineRule="auto"/>
                    <w:rPr>
                      <w:rFonts w:ascii="Arial" w:hAnsi="Arial" w:cs="Arial"/>
                      <w:b/>
                      <w:bCs/>
                    </w:rPr>
                  </w:pPr>
                  <w:r w:rsidRPr="007C7E96">
                    <w:rPr>
                      <w:rFonts w:ascii="Arial" w:hAnsi="Arial" w:cs="Arial"/>
                      <w:b/>
                      <w:bCs/>
                    </w:rPr>
                    <w:t>Actividad económica</w:t>
                  </w:r>
                </w:p>
              </w:tc>
              <w:tc>
                <w:tcPr>
                  <w:tcW w:w="0" w:type="auto"/>
                  <w:vAlign w:val="center"/>
                  <w:hideMark/>
                </w:tcPr>
                <w:p w14:paraId="461EC578" w14:textId="77777777" w:rsidR="00650E29" w:rsidRPr="007C7E96" w:rsidRDefault="00650E29" w:rsidP="00650E29">
                  <w:pPr>
                    <w:spacing w:after="160" w:line="259" w:lineRule="auto"/>
                    <w:rPr>
                      <w:rFonts w:ascii="Arial" w:hAnsi="Arial" w:cs="Arial"/>
                      <w:b/>
                      <w:bCs/>
                    </w:rPr>
                  </w:pPr>
                  <w:r w:rsidRPr="007C7E96">
                    <w:rPr>
                      <w:rFonts w:ascii="Arial" w:hAnsi="Arial" w:cs="Arial"/>
                      <w:b/>
                      <w:bCs/>
                    </w:rPr>
                    <w:t>Relación con el proceso</w:t>
                  </w:r>
                </w:p>
              </w:tc>
            </w:tr>
            <w:tr w:rsidR="00650E29" w:rsidRPr="007C7E96" w14:paraId="2A32A0CB" w14:textId="77777777" w:rsidTr="00FD2958">
              <w:trPr>
                <w:tblCellSpacing w:w="15" w:type="dxa"/>
              </w:trPr>
              <w:tc>
                <w:tcPr>
                  <w:tcW w:w="0" w:type="auto"/>
                  <w:vAlign w:val="center"/>
                  <w:hideMark/>
                </w:tcPr>
                <w:p w14:paraId="4A85769D" w14:textId="77777777" w:rsidR="00650E29" w:rsidRPr="007C7E96" w:rsidRDefault="00650E29" w:rsidP="00650E29">
                  <w:pPr>
                    <w:spacing w:after="160" w:line="259" w:lineRule="auto"/>
                    <w:rPr>
                      <w:rFonts w:ascii="Arial" w:hAnsi="Arial" w:cs="Arial"/>
                    </w:rPr>
                  </w:pPr>
                  <w:r w:rsidRPr="007C7E96">
                    <w:rPr>
                      <w:rFonts w:ascii="Arial" w:hAnsi="Arial" w:cs="Arial"/>
                      <w:b/>
                      <w:bCs/>
                    </w:rPr>
                    <w:t>7110</w:t>
                  </w:r>
                </w:p>
              </w:tc>
              <w:tc>
                <w:tcPr>
                  <w:tcW w:w="0" w:type="auto"/>
                  <w:vAlign w:val="center"/>
                  <w:hideMark/>
                </w:tcPr>
                <w:p w14:paraId="7D245367" w14:textId="77777777" w:rsidR="00650E29" w:rsidRPr="007C7E96" w:rsidRDefault="00650E29" w:rsidP="00650E29">
                  <w:pPr>
                    <w:spacing w:after="160" w:line="259" w:lineRule="auto"/>
                    <w:rPr>
                      <w:rFonts w:ascii="Arial" w:hAnsi="Arial" w:cs="Arial"/>
                    </w:rPr>
                  </w:pPr>
                  <w:r w:rsidRPr="007C7E96">
                    <w:rPr>
                      <w:rFonts w:ascii="Arial" w:hAnsi="Arial" w:cs="Arial"/>
                    </w:rPr>
                    <w:t>Actividades de arquitectura e ingeniería y otras actividades conexas de consultoría técnica</w:t>
                  </w:r>
                </w:p>
              </w:tc>
              <w:tc>
                <w:tcPr>
                  <w:tcW w:w="0" w:type="auto"/>
                  <w:vAlign w:val="center"/>
                  <w:hideMark/>
                </w:tcPr>
                <w:p w14:paraId="75A0859C" w14:textId="77777777" w:rsidR="00650E29" w:rsidRPr="007C7E96" w:rsidRDefault="00650E29" w:rsidP="00650E29">
                  <w:pPr>
                    <w:spacing w:after="160" w:line="259" w:lineRule="auto"/>
                    <w:rPr>
                      <w:rFonts w:ascii="Arial" w:hAnsi="Arial" w:cs="Arial"/>
                    </w:rPr>
                  </w:pPr>
                  <w:r w:rsidRPr="007C7E96">
                    <w:rPr>
                      <w:rFonts w:ascii="Arial" w:hAnsi="Arial" w:cs="Arial"/>
                    </w:rPr>
                    <w:t>Corresponde al código principal de referencia, debido a que comprende actividades de consultoría y servicios relacionados con arquitectura, ingeniería y proyectos de construcción.</w:t>
                  </w:r>
                </w:p>
              </w:tc>
            </w:tr>
            <w:tr w:rsidR="00650E29" w:rsidRPr="007C7E96" w14:paraId="415AE663" w14:textId="77777777" w:rsidTr="00FD2958">
              <w:trPr>
                <w:tblCellSpacing w:w="15" w:type="dxa"/>
              </w:trPr>
              <w:tc>
                <w:tcPr>
                  <w:tcW w:w="0" w:type="auto"/>
                  <w:vAlign w:val="center"/>
                  <w:hideMark/>
                </w:tcPr>
                <w:p w14:paraId="734F4D9B" w14:textId="77777777" w:rsidR="00650E29" w:rsidRPr="007C7E96" w:rsidRDefault="00650E29" w:rsidP="00650E29">
                  <w:pPr>
                    <w:spacing w:after="160" w:line="259" w:lineRule="auto"/>
                    <w:rPr>
                      <w:rFonts w:ascii="Arial" w:hAnsi="Arial" w:cs="Arial"/>
                    </w:rPr>
                  </w:pPr>
                  <w:r w:rsidRPr="007C7E96">
                    <w:rPr>
                      <w:rFonts w:ascii="Arial" w:hAnsi="Arial" w:cs="Arial"/>
                      <w:b/>
                      <w:bCs/>
                    </w:rPr>
                    <w:t>7112</w:t>
                  </w:r>
                </w:p>
              </w:tc>
              <w:tc>
                <w:tcPr>
                  <w:tcW w:w="0" w:type="auto"/>
                  <w:vAlign w:val="center"/>
                  <w:hideMark/>
                </w:tcPr>
                <w:p w14:paraId="4461268C" w14:textId="77777777" w:rsidR="00650E29" w:rsidRPr="007C7E96" w:rsidRDefault="00650E29" w:rsidP="00650E29">
                  <w:pPr>
                    <w:spacing w:after="160" w:line="259" w:lineRule="auto"/>
                    <w:rPr>
                      <w:rFonts w:ascii="Arial" w:hAnsi="Arial" w:cs="Arial"/>
                    </w:rPr>
                  </w:pPr>
                  <w:r w:rsidRPr="007C7E96">
                    <w:rPr>
                      <w:rFonts w:ascii="Arial" w:hAnsi="Arial" w:cs="Arial"/>
                    </w:rPr>
                    <w:t>Actividades de ingeniería y otras actividades conexas de consultoría técnica</w:t>
                  </w:r>
                </w:p>
              </w:tc>
              <w:tc>
                <w:tcPr>
                  <w:tcW w:w="0" w:type="auto"/>
                  <w:vAlign w:val="center"/>
                  <w:hideMark/>
                </w:tcPr>
                <w:p w14:paraId="5E10B0C9" w14:textId="77777777" w:rsidR="00650E29" w:rsidRPr="007C7E96" w:rsidRDefault="00650E29" w:rsidP="00650E29">
                  <w:pPr>
                    <w:spacing w:after="160" w:line="259" w:lineRule="auto"/>
                    <w:rPr>
                      <w:rFonts w:ascii="Arial" w:hAnsi="Arial" w:cs="Arial"/>
                    </w:rPr>
                  </w:pPr>
                  <w:r w:rsidRPr="007C7E96">
                    <w:rPr>
                      <w:rFonts w:ascii="Arial" w:hAnsi="Arial" w:cs="Arial"/>
                    </w:rPr>
                    <w:t>Presenta relación directa con los servicios especializados de ingeniería y consultoría técnica requeridos para el seguimiento y control de proyectos de obra.</w:t>
                  </w:r>
                </w:p>
              </w:tc>
            </w:tr>
            <w:tr w:rsidR="00650E29" w:rsidRPr="007C7E96" w14:paraId="5E012B21" w14:textId="77777777" w:rsidTr="00FD2958">
              <w:trPr>
                <w:tblCellSpacing w:w="15" w:type="dxa"/>
              </w:trPr>
              <w:tc>
                <w:tcPr>
                  <w:tcW w:w="0" w:type="auto"/>
                  <w:vAlign w:val="center"/>
                  <w:hideMark/>
                </w:tcPr>
                <w:p w14:paraId="574535DC" w14:textId="77777777" w:rsidR="00650E29" w:rsidRPr="007C7E96" w:rsidRDefault="00650E29" w:rsidP="00650E29">
                  <w:pPr>
                    <w:spacing w:after="160" w:line="259" w:lineRule="auto"/>
                    <w:rPr>
                      <w:rFonts w:ascii="Arial" w:hAnsi="Arial" w:cs="Arial"/>
                    </w:rPr>
                  </w:pPr>
                  <w:r w:rsidRPr="007C7E96">
                    <w:rPr>
                      <w:rFonts w:ascii="Arial" w:hAnsi="Arial" w:cs="Arial"/>
                      <w:b/>
                      <w:bCs/>
                    </w:rPr>
                    <w:t>7111</w:t>
                  </w:r>
                </w:p>
              </w:tc>
              <w:tc>
                <w:tcPr>
                  <w:tcW w:w="0" w:type="auto"/>
                  <w:vAlign w:val="center"/>
                  <w:hideMark/>
                </w:tcPr>
                <w:p w14:paraId="15302738" w14:textId="77777777" w:rsidR="00650E29" w:rsidRPr="007C7E96" w:rsidRDefault="00650E29" w:rsidP="00650E29">
                  <w:pPr>
                    <w:spacing w:after="160" w:line="259" w:lineRule="auto"/>
                    <w:rPr>
                      <w:rFonts w:ascii="Arial" w:hAnsi="Arial" w:cs="Arial"/>
                    </w:rPr>
                  </w:pPr>
                  <w:r w:rsidRPr="007C7E96">
                    <w:rPr>
                      <w:rFonts w:ascii="Arial" w:hAnsi="Arial" w:cs="Arial"/>
                    </w:rPr>
                    <w:t>Actividades de arquitectura</w:t>
                  </w:r>
                </w:p>
              </w:tc>
              <w:tc>
                <w:tcPr>
                  <w:tcW w:w="0" w:type="auto"/>
                  <w:vAlign w:val="center"/>
                  <w:hideMark/>
                </w:tcPr>
                <w:p w14:paraId="735D5134" w14:textId="77777777" w:rsidR="00650E29" w:rsidRPr="007C7E96" w:rsidRDefault="00650E29" w:rsidP="00650E29">
                  <w:pPr>
                    <w:spacing w:after="160" w:line="259" w:lineRule="auto"/>
                    <w:rPr>
                      <w:rFonts w:ascii="Arial" w:hAnsi="Arial" w:cs="Arial"/>
                    </w:rPr>
                  </w:pPr>
                  <w:r w:rsidRPr="007C7E96">
                    <w:rPr>
                      <w:rFonts w:ascii="Arial" w:hAnsi="Arial" w:cs="Arial"/>
                    </w:rPr>
                    <w:t>Puede guardar relación con determinados componentes de la interventoría cuando dentro del equipo se requieran profesionales y actividades asociadas al seguimiento arquitectónico de las obras.</w:t>
                  </w:r>
                </w:p>
              </w:tc>
            </w:tr>
          </w:tbl>
          <w:p w14:paraId="4104BA11" w14:textId="77777777" w:rsidR="00255A62" w:rsidRDefault="00255A62">
            <w:pPr>
              <w:widowControl/>
              <w:pBdr>
                <w:top w:val="nil"/>
                <w:left w:val="nil"/>
                <w:bottom w:val="nil"/>
                <w:right w:val="nil"/>
                <w:between w:val="nil"/>
              </w:pBdr>
              <w:jc w:val="both"/>
              <w:rPr>
                <w:rFonts w:ascii="Arial" w:eastAsia="Arial" w:hAnsi="Arial" w:cs="Arial"/>
                <w:color w:val="000000"/>
                <w:sz w:val="24"/>
                <w:szCs w:val="24"/>
                <w:lang w:val="es"/>
              </w:rPr>
            </w:pPr>
          </w:p>
          <w:p w14:paraId="7A6F2638" w14:textId="77777777" w:rsidR="00982097" w:rsidRDefault="00982097" w:rsidP="00982097">
            <w:pPr>
              <w:pBdr>
                <w:top w:val="nil"/>
                <w:left w:val="nil"/>
                <w:bottom w:val="nil"/>
                <w:right w:val="nil"/>
                <w:between w:val="nil"/>
              </w:pBdr>
              <w:jc w:val="both"/>
              <w:rPr>
                <w:rFonts w:ascii="Arial" w:eastAsia="Arial" w:hAnsi="Arial" w:cs="Arial"/>
                <w:b/>
                <w:bCs/>
                <w:color w:val="000000"/>
                <w:sz w:val="24"/>
                <w:szCs w:val="24"/>
                <w:lang w:val="es-CO"/>
              </w:rPr>
            </w:pPr>
            <w:r w:rsidRPr="00982097">
              <w:rPr>
                <w:rFonts w:ascii="Arial" w:eastAsia="Arial" w:hAnsi="Arial" w:cs="Arial"/>
                <w:b/>
                <w:bCs/>
                <w:color w:val="000000"/>
                <w:sz w:val="24"/>
                <w:szCs w:val="24"/>
                <w:lang w:val="es-CO"/>
              </w:rPr>
              <w:t>ASPECTOS MACROECONÓMICOS</w:t>
            </w:r>
          </w:p>
          <w:p w14:paraId="6F3EBB54" w14:textId="77777777" w:rsidR="00982097" w:rsidRPr="00982097" w:rsidRDefault="00982097" w:rsidP="00982097">
            <w:pPr>
              <w:pBdr>
                <w:top w:val="nil"/>
                <w:left w:val="nil"/>
                <w:bottom w:val="nil"/>
                <w:right w:val="nil"/>
                <w:between w:val="nil"/>
              </w:pBdr>
              <w:jc w:val="both"/>
              <w:rPr>
                <w:rFonts w:ascii="Arial" w:eastAsia="Arial" w:hAnsi="Arial" w:cs="Arial"/>
                <w:b/>
                <w:bCs/>
                <w:color w:val="000000"/>
                <w:sz w:val="24"/>
                <w:szCs w:val="24"/>
                <w:lang w:val="es-CO"/>
              </w:rPr>
            </w:pPr>
          </w:p>
          <w:p w14:paraId="151A21C4" w14:textId="77777777" w:rsidR="00982097" w:rsidRDefault="00982097" w:rsidP="00982097">
            <w:pPr>
              <w:pBdr>
                <w:top w:val="nil"/>
                <w:left w:val="nil"/>
                <w:bottom w:val="nil"/>
                <w:right w:val="nil"/>
                <w:between w:val="nil"/>
              </w:pBdr>
              <w:jc w:val="both"/>
              <w:rPr>
                <w:rFonts w:ascii="Arial" w:eastAsia="Arial" w:hAnsi="Arial" w:cs="Arial"/>
                <w:color w:val="000000"/>
                <w:sz w:val="24"/>
                <w:szCs w:val="24"/>
                <w:lang w:val="es-CO"/>
              </w:rPr>
            </w:pPr>
            <w:r w:rsidRPr="00982097">
              <w:rPr>
                <w:rFonts w:ascii="Arial" w:eastAsia="Arial" w:hAnsi="Arial" w:cs="Arial"/>
                <w:color w:val="000000"/>
                <w:sz w:val="24"/>
                <w:szCs w:val="24"/>
                <w:lang w:val="es-CO"/>
              </w:rPr>
              <w:t>El análisis de los aspectos macroeconómicos permite identificar las principales variables de la economía nacional que pueden incidir en las condiciones de prestación de los servicios profesionales de consultoría e interventoría de obra pública y, particularmente, en la determinación de los costos asociados al personal especializado, gastos administrativos y demás componentes necesarios para la ejecución del contrato.</w:t>
            </w:r>
          </w:p>
          <w:p w14:paraId="6CD6D7DD" w14:textId="77777777" w:rsidR="00982097" w:rsidRPr="00982097" w:rsidRDefault="00982097" w:rsidP="00982097">
            <w:pPr>
              <w:pBdr>
                <w:top w:val="nil"/>
                <w:left w:val="nil"/>
                <w:bottom w:val="nil"/>
                <w:right w:val="nil"/>
                <w:between w:val="nil"/>
              </w:pBdr>
              <w:jc w:val="both"/>
              <w:rPr>
                <w:rFonts w:ascii="Arial" w:eastAsia="Arial" w:hAnsi="Arial" w:cs="Arial"/>
                <w:color w:val="000000"/>
                <w:sz w:val="24"/>
                <w:szCs w:val="24"/>
                <w:lang w:val="es-CO"/>
              </w:rPr>
            </w:pPr>
          </w:p>
          <w:p w14:paraId="268E1394" w14:textId="460E2819" w:rsidR="00982097" w:rsidRPr="00982097" w:rsidRDefault="00982097" w:rsidP="005F7547">
            <w:pPr>
              <w:pBdr>
                <w:top w:val="nil"/>
                <w:left w:val="nil"/>
                <w:bottom w:val="nil"/>
                <w:right w:val="nil"/>
                <w:between w:val="nil"/>
              </w:pBdr>
              <w:jc w:val="both"/>
              <w:rPr>
                <w:rFonts w:ascii="Arial" w:eastAsia="Arial" w:hAnsi="Arial" w:cs="Arial"/>
                <w:color w:val="000000"/>
                <w:sz w:val="24"/>
                <w:szCs w:val="24"/>
                <w:lang w:val="es-CO"/>
              </w:rPr>
            </w:pPr>
            <w:r w:rsidRPr="00982097">
              <w:rPr>
                <w:rFonts w:ascii="Arial" w:eastAsia="Arial" w:hAnsi="Arial" w:cs="Arial"/>
                <w:color w:val="000000"/>
                <w:sz w:val="24"/>
                <w:szCs w:val="24"/>
                <w:lang w:val="es-CO"/>
              </w:rPr>
              <w:t>Para el presente proceso, cuyo objeto corresponde a la realización de la interventoría técnica, administrativa, jurídica, financiera, ambiental y contable de los contratos de obra destinados a</w:t>
            </w:r>
            <w:r w:rsidR="007445F8">
              <w:rPr>
                <w:rFonts w:ascii="Arial" w:eastAsia="Arial" w:hAnsi="Arial" w:cs="Arial"/>
                <w:color w:val="000000"/>
                <w:sz w:val="24"/>
                <w:szCs w:val="24"/>
                <w:lang w:val="es-CO"/>
              </w:rPr>
              <w:t xml:space="preserve"> </w:t>
            </w:r>
            <w:r w:rsidR="005F7547" w:rsidRPr="005F7547">
              <w:rPr>
                <w:rFonts w:ascii="Arial" w:eastAsia="Arial" w:hAnsi="Arial" w:cs="Arial"/>
                <w:color w:val="000000"/>
                <w:sz w:val="24"/>
                <w:szCs w:val="24"/>
                <w:lang w:val="es-CO"/>
              </w:rPr>
              <w:t xml:space="preserve">realizar la interventoría técnica, administrativa, jurídica, financiera, ambiental y contable a los contratos de obra que resulten adjudicados en el proceso de </w:t>
            </w:r>
            <w:r w:rsidR="005F7547" w:rsidRPr="005F7547">
              <w:rPr>
                <w:rFonts w:ascii="Arial" w:eastAsia="Arial" w:hAnsi="Arial" w:cs="Arial"/>
                <w:color w:val="000000"/>
                <w:sz w:val="24"/>
                <w:szCs w:val="24"/>
                <w:lang w:val="es-CO"/>
              </w:rPr>
              <w:lastRenderedPageBreak/>
              <w:t>licitación pública, cuyo objeto es: "realizar la adecuación y mejoramiento de la infraestructura de los escenarios deportivos y recreativos del distrito especial, deportivo, cultural, turístico, empresarial y de servicios de Santiago de Cali</w:t>
            </w:r>
            <w:r w:rsidRPr="00982097">
              <w:rPr>
                <w:rFonts w:ascii="Arial" w:eastAsia="Arial" w:hAnsi="Arial" w:cs="Arial"/>
                <w:color w:val="000000"/>
                <w:sz w:val="24"/>
                <w:szCs w:val="24"/>
                <w:lang w:val="es-CO"/>
              </w:rPr>
              <w:t>, se consideran relevantes las siguientes variables macroeconómicas:</w:t>
            </w:r>
          </w:p>
          <w:p w14:paraId="3E03587E" w14:textId="77777777" w:rsidR="00982097" w:rsidRPr="00982097" w:rsidRDefault="00982097">
            <w:pPr>
              <w:widowControl/>
              <w:pBdr>
                <w:top w:val="nil"/>
                <w:left w:val="nil"/>
                <w:bottom w:val="nil"/>
                <w:right w:val="nil"/>
                <w:between w:val="nil"/>
              </w:pBdr>
              <w:jc w:val="both"/>
              <w:rPr>
                <w:rFonts w:ascii="Arial" w:eastAsia="Arial" w:hAnsi="Arial" w:cs="Arial"/>
                <w:color w:val="000000"/>
                <w:sz w:val="24"/>
                <w:szCs w:val="24"/>
                <w:lang w:val="es-CO"/>
              </w:rPr>
            </w:pPr>
          </w:p>
          <w:p w14:paraId="07A0D0D6" w14:textId="10F7D481" w:rsidR="001610A2" w:rsidRPr="00982097" w:rsidRDefault="005C7269" w:rsidP="00982097">
            <w:pPr>
              <w:pBdr>
                <w:top w:val="nil"/>
                <w:left w:val="nil"/>
                <w:bottom w:val="nil"/>
                <w:right w:val="nil"/>
                <w:between w:val="nil"/>
              </w:pBdr>
              <w:jc w:val="both"/>
              <w:rPr>
                <w:rFonts w:ascii="Arial" w:eastAsia="Arial" w:hAnsi="Arial" w:cs="Arial"/>
                <w:b/>
                <w:bCs/>
                <w:color w:val="000000"/>
                <w:sz w:val="24"/>
                <w:szCs w:val="24"/>
                <w:lang w:val="es-CO"/>
              </w:rPr>
            </w:pPr>
            <w:r w:rsidRPr="00982097">
              <w:rPr>
                <w:rFonts w:ascii="Arial" w:eastAsia="Arial" w:hAnsi="Arial" w:cs="Arial"/>
                <w:b/>
                <w:bCs/>
                <w:color w:val="000000"/>
                <w:sz w:val="24"/>
                <w:szCs w:val="24"/>
                <w:lang w:val="es-CO"/>
              </w:rPr>
              <w:t>PRODUCTO INTERNO BRUTO – PIB</w:t>
            </w:r>
          </w:p>
          <w:p w14:paraId="0891FE30" w14:textId="77777777" w:rsidR="001610A2" w:rsidRDefault="001610A2">
            <w:pPr>
              <w:widowControl/>
              <w:pBdr>
                <w:top w:val="nil"/>
                <w:left w:val="nil"/>
                <w:bottom w:val="nil"/>
                <w:right w:val="nil"/>
                <w:between w:val="nil"/>
              </w:pBdr>
              <w:jc w:val="both"/>
              <w:rPr>
                <w:rFonts w:ascii="Arial" w:eastAsia="Arial" w:hAnsi="Arial" w:cs="Arial"/>
                <w:color w:val="000000"/>
                <w:sz w:val="24"/>
                <w:szCs w:val="24"/>
                <w:lang w:val="es"/>
              </w:rPr>
            </w:pPr>
          </w:p>
          <w:p w14:paraId="59269260" w14:textId="77777777"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t>El Producto Interno Bruto (PIB) constituye uno de los principales indicadores para analizar el comportamiento de la actividad económica nacional, en la medida en que permite observar la evolución de la producción de bienes y servicios y establecer el contexto económico en el cual se desarrollan las actividades productivas y de prestación de servicios.</w:t>
            </w:r>
          </w:p>
          <w:p w14:paraId="308E30F8" w14:textId="77777777" w:rsidR="001610A2" w:rsidRP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p>
          <w:p w14:paraId="37CA56E6" w14:textId="77777777"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t xml:space="preserve">De acuerdo con el boletín del Departamento Administrativo Nacional de Estadística – DANE correspondiente al segundo trimestre de 2026, publicado el 18 de agosto de 2026, el </w:t>
            </w:r>
            <w:r w:rsidRPr="001610A2">
              <w:rPr>
                <w:rFonts w:ascii="Arial" w:eastAsia="Arial" w:hAnsi="Arial" w:cs="Arial"/>
                <w:b/>
                <w:bCs/>
                <w:color w:val="000000"/>
                <w:sz w:val="24"/>
                <w:szCs w:val="24"/>
                <w:lang w:val="es-CO"/>
              </w:rPr>
              <w:t>Producto Interno Bruto en su serie original presentó un crecimiento de 3,5 % en el segundo trimestre de 2026, respecto del mismo periodo de 2025</w:t>
            </w:r>
            <w:r w:rsidRPr="001610A2">
              <w:rPr>
                <w:rFonts w:ascii="Arial" w:eastAsia="Arial" w:hAnsi="Arial" w:cs="Arial"/>
                <w:color w:val="000000"/>
                <w:sz w:val="24"/>
                <w:szCs w:val="24"/>
                <w:lang w:val="es-CO"/>
              </w:rPr>
              <w:t xml:space="preserve">. Así mismo, durante el </w:t>
            </w:r>
            <w:r w:rsidRPr="001610A2">
              <w:rPr>
                <w:rFonts w:ascii="Arial" w:eastAsia="Arial" w:hAnsi="Arial" w:cs="Arial"/>
                <w:b/>
                <w:bCs/>
                <w:color w:val="000000"/>
                <w:sz w:val="24"/>
                <w:szCs w:val="24"/>
                <w:lang w:val="es-CO"/>
              </w:rPr>
              <w:t>primer semestre de 2026, el PIB presentó un crecimiento de 2,9 % frente al mismo periodo del año anterior</w:t>
            </w:r>
            <w:r w:rsidRPr="001610A2">
              <w:rPr>
                <w:rFonts w:ascii="Arial" w:eastAsia="Arial" w:hAnsi="Arial" w:cs="Arial"/>
                <w:color w:val="000000"/>
                <w:sz w:val="24"/>
                <w:szCs w:val="24"/>
                <w:lang w:val="es-CO"/>
              </w:rPr>
              <w:t>.</w:t>
            </w:r>
          </w:p>
          <w:p w14:paraId="227F02FE" w14:textId="77777777" w:rsidR="00614944" w:rsidRDefault="00614944" w:rsidP="001610A2">
            <w:pPr>
              <w:pBdr>
                <w:top w:val="nil"/>
                <w:left w:val="nil"/>
                <w:bottom w:val="nil"/>
                <w:right w:val="nil"/>
                <w:between w:val="nil"/>
              </w:pBdr>
              <w:jc w:val="both"/>
              <w:rPr>
                <w:rFonts w:ascii="Arial" w:eastAsia="Arial" w:hAnsi="Arial" w:cs="Arial"/>
                <w:color w:val="000000"/>
                <w:sz w:val="24"/>
                <w:szCs w:val="24"/>
                <w:lang w:val="es-CO"/>
              </w:rPr>
            </w:pPr>
          </w:p>
          <w:p w14:paraId="4D0ED8EF" w14:textId="77777777" w:rsidR="00ED6F6F" w:rsidRDefault="00614944" w:rsidP="00614944">
            <w:pPr>
              <w:jc w:val="center"/>
              <w:rPr>
                <w:rFonts w:ascii="Arial" w:eastAsia="Arial" w:hAnsi="Arial" w:cs="Arial"/>
                <w:b/>
                <w:color w:val="000000"/>
                <w:sz w:val="20"/>
                <w:szCs w:val="20"/>
              </w:rPr>
            </w:pPr>
            <w:r>
              <w:rPr>
                <w:rFonts w:ascii="Arial" w:eastAsia="Arial" w:hAnsi="Arial" w:cs="Arial"/>
                <w:b/>
                <w:color w:val="000000"/>
                <w:sz w:val="20"/>
                <w:szCs w:val="20"/>
              </w:rPr>
              <w:t xml:space="preserve">Grafica </w:t>
            </w:r>
            <w:r w:rsidRPr="00E45020">
              <w:rPr>
                <w:rFonts w:ascii="Arial" w:eastAsia="Arial" w:hAnsi="Arial" w:cs="Arial"/>
                <w:b/>
                <w:color w:val="000000"/>
                <w:sz w:val="20"/>
                <w:szCs w:val="20"/>
              </w:rPr>
              <w:t xml:space="preserve">1. </w:t>
            </w:r>
            <w:r w:rsidR="00ED6F6F" w:rsidRPr="00ED6F6F">
              <w:rPr>
                <w:rFonts w:ascii="Arial" w:eastAsia="Arial" w:hAnsi="Arial" w:cs="Arial"/>
                <w:b/>
                <w:color w:val="000000"/>
                <w:sz w:val="20"/>
                <w:szCs w:val="20"/>
              </w:rPr>
              <w:t xml:space="preserve">Producto Interno Bruto </w:t>
            </w:r>
          </w:p>
          <w:p w14:paraId="3774FAC7" w14:textId="31492972" w:rsidR="00614944" w:rsidRPr="00E45020" w:rsidRDefault="00ED6F6F" w:rsidP="00614944">
            <w:pPr>
              <w:jc w:val="center"/>
              <w:rPr>
                <w:rFonts w:ascii="Arial" w:eastAsia="Arial" w:hAnsi="Arial" w:cs="Arial"/>
                <w:b/>
                <w:color w:val="000000"/>
                <w:sz w:val="20"/>
                <w:szCs w:val="20"/>
              </w:rPr>
            </w:pPr>
            <w:r w:rsidRPr="00ED6F6F">
              <w:rPr>
                <w:rFonts w:ascii="Arial" w:eastAsia="Arial" w:hAnsi="Arial" w:cs="Arial"/>
                <w:b/>
                <w:color w:val="000000"/>
                <w:sz w:val="20"/>
                <w:szCs w:val="20"/>
              </w:rPr>
              <w:t>Tasa de crecimiento</w:t>
            </w:r>
            <w:r>
              <w:rPr>
                <w:rFonts w:ascii="Arial" w:eastAsia="Arial" w:hAnsi="Arial" w:cs="Arial"/>
                <w:b/>
                <w:color w:val="000000"/>
                <w:sz w:val="20"/>
                <w:szCs w:val="20"/>
              </w:rPr>
              <w:t xml:space="preserve"> anual</w:t>
            </w:r>
            <w:r w:rsidRPr="00ED6F6F">
              <w:rPr>
                <w:rFonts w:ascii="Arial" w:eastAsia="Arial" w:hAnsi="Arial" w:cs="Arial"/>
                <w:b/>
                <w:color w:val="000000"/>
                <w:sz w:val="20"/>
                <w:szCs w:val="20"/>
              </w:rPr>
              <w:t xml:space="preserve"> en volumen</w:t>
            </w:r>
          </w:p>
          <w:p w14:paraId="0E8004F9" w14:textId="77777777" w:rsidR="00614944" w:rsidRDefault="00614944" w:rsidP="001610A2">
            <w:pPr>
              <w:pBdr>
                <w:top w:val="nil"/>
                <w:left w:val="nil"/>
                <w:bottom w:val="nil"/>
                <w:right w:val="nil"/>
                <w:between w:val="nil"/>
              </w:pBdr>
              <w:jc w:val="both"/>
              <w:rPr>
                <w:rFonts w:ascii="Arial" w:eastAsia="Arial" w:hAnsi="Arial" w:cs="Arial"/>
                <w:color w:val="000000"/>
                <w:sz w:val="24"/>
                <w:szCs w:val="24"/>
                <w:lang w:val="es-CO"/>
              </w:rPr>
            </w:pPr>
          </w:p>
          <w:p w14:paraId="49B523F6" w14:textId="45317BFE" w:rsidR="00614944" w:rsidRDefault="00614944" w:rsidP="00614944">
            <w:pPr>
              <w:pBdr>
                <w:top w:val="nil"/>
                <w:left w:val="nil"/>
                <w:bottom w:val="nil"/>
                <w:right w:val="nil"/>
                <w:between w:val="nil"/>
              </w:pBdr>
              <w:jc w:val="center"/>
              <w:rPr>
                <w:rFonts w:ascii="Arial" w:eastAsia="Arial" w:hAnsi="Arial" w:cs="Arial"/>
                <w:color w:val="000000"/>
                <w:sz w:val="24"/>
                <w:szCs w:val="24"/>
                <w:lang w:val="es-CO"/>
              </w:rPr>
            </w:pPr>
            <w:r w:rsidRPr="00F51113">
              <w:rPr>
                <w:noProof/>
              </w:rPr>
              <w:drawing>
                <wp:inline distT="0" distB="0" distL="0" distR="0" wp14:anchorId="166EA122" wp14:editId="219D3BB2">
                  <wp:extent cx="5612130" cy="2333625"/>
                  <wp:effectExtent l="0" t="0" r="7620" b="9525"/>
                  <wp:docPr id="1822675219" name="Imagen 2" descr="Gráfica PI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áfica PIB "/>
                          <pic:cNvPicPr>
                            <a:picLocks noChangeAspect="1" noChangeArrowheads="1"/>
                          </pic:cNvPicPr>
                        </pic:nvPicPr>
                        <pic:blipFill rotWithShape="1">
                          <a:blip r:embed="rId9">
                            <a:extLst>
                              <a:ext uri="{28A0092B-C50C-407E-A947-70E740481C1C}">
                                <a14:useLocalDpi xmlns:a14="http://schemas.microsoft.com/office/drawing/2010/main" val="0"/>
                              </a:ext>
                            </a:extLst>
                          </a:blip>
                          <a:srcRect t="13262"/>
                          <a:stretch>
                            <a:fillRect/>
                          </a:stretch>
                        </pic:blipFill>
                        <pic:spPr bwMode="auto">
                          <a:xfrm>
                            <a:off x="0" y="0"/>
                            <a:ext cx="5612130" cy="2333625"/>
                          </a:xfrm>
                          <a:prstGeom prst="rect">
                            <a:avLst/>
                          </a:prstGeom>
                          <a:noFill/>
                          <a:ln>
                            <a:noFill/>
                          </a:ln>
                          <a:extLst>
                            <a:ext uri="{53640926-AAD7-44D8-BBD7-CCE9431645EC}">
                              <a14:shadowObscured xmlns:a14="http://schemas.microsoft.com/office/drawing/2010/main"/>
                            </a:ext>
                          </a:extLst>
                        </pic:spPr>
                      </pic:pic>
                    </a:graphicData>
                  </a:graphic>
                </wp:inline>
              </w:drawing>
            </w:r>
          </w:p>
          <w:p w14:paraId="0FF411F4" w14:textId="77777777" w:rsidR="001610A2" w:rsidRP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p>
          <w:p w14:paraId="68749037" w14:textId="77777777"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lastRenderedPageBreak/>
              <w:t xml:space="preserve">El comportamiento observado evidencia una evolución positiva de la actividad económica nacional durante el periodo analizado. Dentro de las actividades que más contribuyeron a la dinámica del valor agregado durante el segundo trimestre de 2026 se encuentra el grupo correspondiente a </w:t>
            </w:r>
            <w:r w:rsidRPr="001610A2">
              <w:rPr>
                <w:rFonts w:ascii="Arial" w:eastAsia="Arial" w:hAnsi="Arial" w:cs="Arial"/>
                <w:b/>
                <w:bCs/>
                <w:color w:val="000000"/>
                <w:sz w:val="24"/>
                <w:szCs w:val="24"/>
                <w:lang w:val="es-CO"/>
              </w:rPr>
              <w:t>Administración pública y defensa; planes de seguridad social de afiliación obligatoria; Educación; y Actividades de atención de la salud humana y de servicios sociales</w:t>
            </w:r>
            <w:r w:rsidRPr="001610A2">
              <w:rPr>
                <w:rFonts w:ascii="Arial" w:eastAsia="Arial" w:hAnsi="Arial" w:cs="Arial"/>
                <w:color w:val="000000"/>
                <w:sz w:val="24"/>
                <w:szCs w:val="24"/>
                <w:lang w:val="es-CO"/>
              </w:rPr>
              <w:t xml:space="preserve">, que presentó un crecimiento de </w:t>
            </w:r>
            <w:r w:rsidRPr="001610A2">
              <w:rPr>
                <w:rFonts w:ascii="Arial" w:eastAsia="Arial" w:hAnsi="Arial" w:cs="Arial"/>
                <w:b/>
                <w:bCs/>
                <w:color w:val="000000"/>
                <w:sz w:val="24"/>
                <w:szCs w:val="24"/>
                <w:lang w:val="es-CO"/>
              </w:rPr>
              <w:t>10,0 %</w:t>
            </w:r>
            <w:r w:rsidRPr="001610A2">
              <w:rPr>
                <w:rFonts w:ascii="Arial" w:eastAsia="Arial" w:hAnsi="Arial" w:cs="Arial"/>
                <w:color w:val="000000"/>
                <w:sz w:val="24"/>
                <w:szCs w:val="24"/>
                <w:lang w:val="es-CO"/>
              </w:rPr>
              <w:t xml:space="preserve"> y contribuyó con </w:t>
            </w:r>
            <w:r w:rsidRPr="001610A2">
              <w:rPr>
                <w:rFonts w:ascii="Arial" w:eastAsia="Arial" w:hAnsi="Arial" w:cs="Arial"/>
                <w:b/>
                <w:bCs/>
                <w:color w:val="000000"/>
                <w:sz w:val="24"/>
                <w:szCs w:val="24"/>
                <w:lang w:val="es-CO"/>
              </w:rPr>
              <w:t>1,7 puntos porcentuales</w:t>
            </w:r>
            <w:r w:rsidRPr="001610A2">
              <w:rPr>
                <w:rFonts w:ascii="Arial" w:eastAsia="Arial" w:hAnsi="Arial" w:cs="Arial"/>
                <w:color w:val="000000"/>
                <w:sz w:val="24"/>
                <w:szCs w:val="24"/>
                <w:lang w:val="es-CO"/>
              </w:rPr>
              <w:t xml:space="preserve"> a la variación anual.</w:t>
            </w:r>
          </w:p>
          <w:p w14:paraId="4A732D4A" w14:textId="77777777" w:rsidR="001610A2" w:rsidRP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p>
          <w:p w14:paraId="5ACD85F0" w14:textId="77777777"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t xml:space="preserve">De igual manera, el grupo correspondiente a </w:t>
            </w:r>
            <w:r w:rsidRPr="001610A2">
              <w:rPr>
                <w:rFonts w:ascii="Arial" w:eastAsia="Arial" w:hAnsi="Arial" w:cs="Arial"/>
                <w:b/>
                <w:bCs/>
                <w:color w:val="000000"/>
                <w:sz w:val="24"/>
                <w:szCs w:val="24"/>
                <w:lang w:val="es-CO"/>
              </w:rPr>
              <w:t>Actividades artísticas, de entretenimiento y recreación y otras actividades de servicios</w:t>
            </w:r>
            <w:r w:rsidRPr="001610A2">
              <w:rPr>
                <w:rFonts w:ascii="Arial" w:eastAsia="Arial" w:hAnsi="Arial" w:cs="Arial"/>
                <w:color w:val="000000"/>
                <w:sz w:val="24"/>
                <w:szCs w:val="24"/>
                <w:lang w:val="es-CO"/>
              </w:rPr>
              <w:t xml:space="preserve"> presentó un crecimiento de </w:t>
            </w:r>
            <w:r w:rsidRPr="001610A2">
              <w:rPr>
                <w:rFonts w:ascii="Arial" w:eastAsia="Arial" w:hAnsi="Arial" w:cs="Arial"/>
                <w:b/>
                <w:bCs/>
                <w:color w:val="000000"/>
                <w:sz w:val="24"/>
                <w:szCs w:val="24"/>
                <w:lang w:val="es-CO"/>
              </w:rPr>
              <w:t>9,5 % durante el segundo trimestre de 2026</w:t>
            </w:r>
            <w:r w:rsidRPr="001610A2">
              <w:rPr>
                <w:rFonts w:ascii="Arial" w:eastAsia="Arial" w:hAnsi="Arial" w:cs="Arial"/>
                <w:color w:val="000000"/>
                <w:sz w:val="24"/>
                <w:szCs w:val="24"/>
                <w:lang w:val="es-CO"/>
              </w:rPr>
              <w:t xml:space="preserve">, contribuyendo con </w:t>
            </w:r>
            <w:r w:rsidRPr="001610A2">
              <w:rPr>
                <w:rFonts w:ascii="Arial" w:eastAsia="Arial" w:hAnsi="Arial" w:cs="Arial"/>
                <w:b/>
                <w:bCs/>
                <w:color w:val="000000"/>
                <w:sz w:val="24"/>
                <w:szCs w:val="24"/>
                <w:lang w:val="es-CO"/>
              </w:rPr>
              <w:t>0,4 puntos porcentuales</w:t>
            </w:r>
            <w:r w:rsidRPr="001610A2">
              <w:rPr>
                <w:rFonts w:ascii="Arial" w:eastAsia="Arial" w:hAnsi="Arial" w:cs="Arial"/>
                <w:color w:val="000000"/>
                <w:sz w:val="24"/>
                <w:szCs w:val="24"/>
                <w:lang w:val="es-CO"/>
              </w:rPr>
              <w:t xml:space="preserve"> a la variación anual del valor agregado. Este comportamiento resulta particularmente relevante para el presente proceso, considerando que el objeto contractual se encuentra relacionado con la infraestructura destinada al desarrollo de actividades deportivas y de recreación.</w:t>
            </w:r>
          </w:p>
          <w:p w14:paraId="3149CBD7" w14:textId="77777777" w:rsidR="001610A2" w:rsidRP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p>
          <w:p w14:paraId="199840F9" w14:textId="77777777"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t xml:space="preserve">Desde la perspectiva del primer semestre de 2026, el grupo de </w:t>
            </w:r>
            <w:r w:rsidRPr="001610A2">
              <w:rPr>
                <w:rFonts w:ascii="Arial" w:eastAsia="Arial" w:hAnsi="Arial" w:cs="Arial"/>
                <w:b/>
                <w:bCs/>
                <w:color w:val="000000"/>
                <w:sz w:val="24"/>
                <w:szCs w:val="24"/>
                <w:lang w:val="es-CO"/>
              </w:rPr>
              <w:t>Actividades artísticas, de entretenimiento y recreación y otras actividades de servicios</w:t>
            </w:r>
            <w:r w:rsidRPr="001610A2">
              <w:rPr>
                <w:rFonts w:ascii="Arial" w:eastAsia="Arial" w:hAnsi="Arial" w:cs="Arial"/>
                <w:color w:val="000000"/>
                <w:sz w:val="24"/>
                <w:szCs w:val="24"/>
                <w:lang w:val="es-CO"/>
              </w:rPr>
              <w:t xml:space="preserve"> presentó un crecimiento de </w:t>
            </w:r>
            <w:r w:rsidRPr="001610A2">
              <w:rPr>
                <w:rFonts w:ascii="Arial" w:eastAsia="Arial" w:hAnsi="Arial" w:cs="Arial"/>
                <w:b/>
                <w:bCs/>
                <w:color w:val="000000"/>
                <w:sz w:val="24"/>
                <w:szCs w:val="24"/>
                <w:lang w:val="es-CO"/>
              </w:rPr>
              <w:t>6,3 %</w:t>
            </w:r>
            <w:r w:rsidRPr="001610A2">
              <w:rPr>
                <w:rFonts w:ascii="Arial" w:eastAsia="Arial" w:hAnsi="Arial" w:cs="Arial"/>
                <w:color w:val="000000"/>
                <w:sz w:val="24"/>
                <w:szCs w:val="24"/>
                <w:lang w:val="es-CO"/>
              </w:rPr>
              <w:t xml:space="preserve">, mientras que el grupo de Administración pública, defensa, educación y salud presentó un crecimiento de </w:t>
            </w:r>
            <w:r w:rsidRPr="001610A2">
              <w:rPr>
                <w:rFonts w:ascii="Arial" w:eastAsia="Arial" w:hAnsi="Arial" w:cs="Arial"/>
                <w:b/>
                <w:bCs/>
                <w:color w:val="000000"/>
                <w:sz w:val="24"/>
                <w:szCs w:val="24"/>
                <w:lang w:val="es-CO"/>
              </w:rPr>
              <w:t>7,9 %</w:t>
            </w:r>
            <w:r w:rsidRPr="001610A2">
              <w:rPr>
                <w:rFonts w:ascii="Arial" w:eastAsia="Arial" w:hAnsi="Arial" w:cs="Arial"/>
                <w:color w:val="000000"/>
                <w:sz w:val="24"/>
                <w:szCs w:val="24"/>
                <w:lang w:val="es-CO"/>
              </w:rPr>
              <w:t>.</w:t>
            </w:r>
          </w:p>
          <w:p w14:paraId="3B70788B" w14:textId="77777777"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p>
          <w:p w14:paraId="23B33BB2" w14:textId="77777777" w:rsidR="00397684" w:rsidRDefault="00B64B4F" w:rsidP="00B64B4F">
            <w:pPr>
              <w:pBdr>
                <w:top w:val="nil"/>
                <w:left w:val="nil"/>
                <w:bottom w:val="nil"/>
                <w:right w:val="nil"/>
                <w:between w:val="nil"/>
              </w:pBdr>
              <w:jc w:val="center"/>
              <w:rPr>
                <w:rFonts w:ascii="Arial" w:eastAsia="Arial" w:hAnsi="Arial" w:cs="Arial"/>
                <w:b/>
                <w:color w:val="000000"/>
                <w:sz w:val="20"/>
                <w:szCs w:val="20"/>
              </w:rPr>
            </w:pPr>
            <w:r w:rsidRPr="00E45020">
              <w:rPr>
                <w:rFonts w:ascii="Arial" w:eastAsia="Arial" w:hAnsi="Arial" w:cs="Arial"/>
                <w:b/>
                <w:color w:val="000000"/>
                <w:sz w:val="20"/>
                <w:szCs w:val="20"/>
              </w:rPr>
              <w:t xml:space="preserve">Tabla </w:t>
            </w:r>
            <w:r>
              <w:rPr>
                <w:rFonts w:ascii="Arial" w:eastAsia="Arial" w:hAnsi="Arial" w:cs="Arial"/>
                <w:b/>
                <w:color w:val="000000"/>
                <w:sz w:val="20"/>
                <w:szCs w:val="20"/>
              </w:rPr>
              <w:t>3.</w:t>
            </w:r>
            <w:r w:rsidR="00397684">
              <w:t xml:space="preserve"> </w:t>
            </w:r>
            <w:r w:rsidR="00397684" w:rsidRPr="00397684">
              <w:rPr>
                <w:rFonts w:ascii="Arial" w:eastAsia="Arial" w:hAnsi="Arial" w:cs="Arial"/>
                <w:b/>
                <w:color w:val="000000"/>
                <w:sz w:val="20"/>
                <w:szCs w:val="20"/>
              </w:rPr>
              <w:t xml:space="preserve">Valor agregado por actividad económica </w:t>
            </w:r>
          </w:p>
          <w:p w14:paraId="28831660" w14:textId="76D55485" w:rsidR="00B64B4F" w:rsidRDefault="00397684" w:rsidP="00B64B4F">
            <w:pPr>
              <w:pBdr>
                <w:top w:val="nil"/>
                <w:left w:val="nil"/>
                <w:bottom w:val="nil"/>
                <w:right w:val="nil"/>
                <w:between w:val="nil"/>
              </w:pBdr>
              <w:jc w:val="center"/>
              <w:rPr>
                <w:rFonts w:ascii="Arial" w:eastAsia="Arial" w:hAnsi="Arial" w:cs="Arial"/>
                <w:b/>
                <w:color w:val="000000"/>
                <w:sz w:val="20"/>
                <w:szCs w:val="20"/>
              </w:rPr>
            </w:pPr>
            <w:r w:rsidRPr="00397684">
              <w:rPr>
                <w:rFonts w:ascii="Arial" w:eastAsia="Arial" w:hAnsi="Arial" w:cs="Arial"/>
                <w:b/>
                <w:color w:val="000000"/>
                <w:sz w:val="20"/>
                <w:szCs w:val="20"/>
              </w:rPr>
              <w:t xml:space="preserve">Tasas de crecimiento en </w:t>
            </w:r>
            <w:r>
              <w:rPr>
                <w:rFonts w:ascii="Arial" w:eastAsia="Arial" w:hAnsi="Arial" w:cs="Arial"/>
                <w:b/>
                <w:color w:val="000000"/>
                <w:sz w:val="20"/>
                <w:szCs w:val="20"/>
              </w:rPr>
              <w:t>volume</w:t>
            </w:r>
          </w:p>
          <w:p w14:paraId="5E2B5992" w14:textId="6F7364E1" w:rsidR="00397684" w:rsidRPr="003E64E8" w:rsidRDefault="003E64E8" w:rsidP="00B64B4F">
            <w:pPr>
              <w:pBdr>
                <w:top w:val="nil"/>
                <w:left w:val="nil"/>
                <w:bottom w:val="nil"/>
                <w:right w:val="nil"/>
                <w:between w:val="nil"/>
              </w:pBdr>
              <w:jc w:val="center"/>
              <w:rPr>
                <w:rFonts w:ascii="Arial" w:eastAsia="Arial" w:hAnsi="Arial" w:cs="Arial"/>
                <w:b/>
                <w:bCs/>
                <w:color w:val="000000"/>
                <w:sz w:val="20"/>
                <w:szCs w:val="20"/>
                <w:lang w:val="es-CO"/>
              </w:rPr>
            </w:pPr>
            <w:r w:rsidRPr="003E64E8">
              <w:rPr>
                <w:rFonts w:ascii="Arial" w:eastAsia="Arial" w:hAnsi="Arial" w:cs="Arial"/>
                <w:b/>
                <w:bCs/>
                <w:color w:val="000000"/>
                <w:sz w:val="20"/>
                <w:szCs w:val="20"/>
                <w:lang w:val="es-CO"/>
              </w:rPr>
              <w:t>Segundo trimestre 2026pr</w:t>
            </w:r>
          </w:p>
          <w:p w14:paraId="744027A7" w14:textId="5C3E274E" w:rsidR="00B64B4F" w:rsidRPr="001610A2" w:rsidRDefault="00B64B4F" w:rsidP="001610A2">
            <w:pPr>
              <w:pBdr>
                <w:top w:val="nil"/>
                <w:left w:val="nil"/>
                <w:bottom w:val="nil"/>
                <w:right w:val="nil"/>
                <w:between w:val="nil"/>
              </w:pBdr>
              <w:jc w:val="both"/>
              <w:rPr>
                <w:rFonts w:ascii="Arial" w:eastAsia="Arial" w:hAnsi="Arial" w:cs="Arial"/>
                <w:color w:val="000000"/>
                <w:sz w:val="24"/>
                <w:szCs w:val="24"/>
                <w:lang w:val="es-CO"/>
              </w:rPr>
            </w:pPr>
            <w:r w:rsidRPr="00F51113">
              <w:rPr>
                <w:noProof/>
              </w:rPr>
              <w:lastRenderedPageBreak/>
              <w:drawing>
                <wp:inline distT="0" distB="0" distL="0" distR="0" wp14:anchorId="5776BC11" wp14:editId="1DF564E5">
                  <wp:extent cx="5612130" cy="3038475"/>
                  <wp:effectExtent l="0" t="0" r="7620" b="9525"/>
                  <wp:docPr id="1768172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72744" name=""/>
                          <pic:cNvPicPr/>
                        </pic:nvPicPr>
                        <pic:blipFill rotWithShape="1">
                          <a:blip r:embed="rId10"/>
                          <a:srcRect t="14107"/>
                          <a:stretch>
                            <a:fillRect/>
                          </a:stretch>
                        </pic:blipFill>
                        <pic:spPr bwMode="auto">
                          <a:xfrm>
                            <a:off x="0" y="0"/>
                            <a:ext cx="5612130" cy="3038475"/>
                          </a:xfrm>
                          <a:prstGeom prst="rect">
                            <a:avLst/>
                          </a:prstGeom>
                          <a:ln>
                            <a:noFill/>
                          </a:ln>
                          <a:extLst>
                            <a:ext uri="{53640926-AAD7-44D8-BBD7-CCE9431645EC}">
                              <a14:shadowObscured xmlns:a14="http://schemas.microsoft.com/office/drawing/2010/main"/>
                            </a:ext>
                          </a:extLst>
                        </pic:spPr>
                      </pic:pic>
                    </a:graphicData>
                  </a:graphic>
                </wp:inline>
              </w:drawing>
            </w:r>
          </w:p>
          <w:p w14:paraId="36934763" w14:textId="77777777" w:rsidR="003E64E8" w:rsidRDefault="003E64E8" w:rsidP="001610A2">
            <w:pPr>
              <w:pBdr>
                <w:top w:val="nil"/>
                <w:left w:val="nil"/>
                <w:bottom w:val="nil"/>
                <w:right w:val="nil"/>
                <w:between w:val="nil"/>
              </w:pBdr>
              <w:jc w:val="both"/>
              <w:rPr>
                <w:rFonts w:ascii="Arial" w:eastAsia="Arial" w:hAnsi="Arial" w:cs="Arial"/>
                <w:color w:val="000000"/>
                <w:sz w:val="24"/>
                <w:szCs w:val="24"/>
                <w:lang w:val="es-CO"/>
              </w:rPr>
            </w:pPr>
          </w:p>
          <w:p w14:paraId="010162CF" w14:textId="4B267B2E"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t xml:space="preserve">Por otra parte, el cuadro de valor agregado por actividad económica presentado por el DANE en el boletín, se observa que durante el segundo trimestre de 2026 la actividad de </w:t>
            </w:r>
            <w:r w:rsidRPr="001610A2">
              <w:rPr>
                <w:rFonts w:ascii="Arial" w:eastAsia="Arial" w:hAnsi="Arial" w:cs="Arial"/>
                <w:b/>
                <w:bCs/>
                <w:color w:val="000000"/>
                <w:sz w:val="24"/>
                <w:szCs w:val="24"/>
                <w:lang w:val="es-CO"/>
              </w:rPr>
              <w:t>Construcción presentó un crecimiento anual de 2,2 %</w:t>
            </w:r>
            <w:r w:rsidRPr="001610A2">
              <w:rPr>
                <w:rFonts w:ascii="Arial" w:eastAsia="Arial" w:hAnsi="Arial" w:cs="Arial"/>
                <w:color w:val="000000"/>
                <w:sz w:val="24"/>
                <w:szCs w:val="24"/>
                <w:lang w:val="es-CO"/>
              </w:rPr>
              <w:t xml:space="preserve">, mientras que para el año corrido registró una variación de </w:t>
            </w:r>
            <w:r w:rsidRPr="001610A2">
              <w:rPr>
                <w:rFonts w:ascii="Arial" w:eastAsia="Arial" w:hAnsi="Arial" w:cs="Arial"/>
                <w:b/>
                <w:bCs/>
                <w:color w:val="000000"/>
                <w:sz w:val="24"/>
                <w:szCs w:val="24"/>
                <w:lang w:val="es-CO"/>
              </w:rPr>
              <w:t>-1,5 %</w:t>
            </w:r>
            <w:r w:rsidRPr="001610A2">
              <w:rPr>
                <w:rFonts w:ascii="Arial" w:eastAsia="Arial" w:hAnsi="Arial" w:cs="Arial"/>
                <w:color w:val="000000"/>
                <w:sz w:val="24"/>
                <w:szCs w:val="24"/>
                <w:lang w:val="es-CO"/>
              </w:rPr>
              <w:t xml:space="preserve">. No obstante, al comparar el segundo trimestre de 2026 con el trimestre inmediatamente anterior, utilizando la serie ajustada por efecto estacional y calendario, la actividad de construcción presentó un crecimiento trimestral de </w:t>
            </w:r>
            <w:r w:rsidRPr="001610A2">
              <w:rPr>
                <w:rFonts w:ascii="Arial" w:eastAsia="Arial" w:hAnsi="Arial" w:cs="Arial"/>
                <w:b/>
                <w:bCs/>
                <w:color w:val="000000"/>
                <w:sz w:val="24"/>
                <w:szCs w:val="24"/>
                <w:lang w:val="es-CO"/>
              </w:rPr>
              <w:t>6,4 %</w:t>
            </w:r>
            <w:r w:rsidRPr="001610A2">
              <w:rPr>
                <w:rFonts w:ascii="Arial" w:eastAsia="Arial" w:hAnsi="Arial" w:cs="Arial"/>
                <w:color w:val="000000"/>
                <w:sz w:val="24"/>
                <w:szCs w:val="24"/>
                <w:lang w:val="es-CO"/>
              </w:rPr>
              <w:t>.</w:t>
            </w:r>
          </w:p>
          <w:p w14:paraId="35E1C94E" w14:textId="77777777" w:rsidR="00ED6F6F" w:rsidRPr="001610A2" w:rsidRDefault="00ED6F6F" w:rsidP="001610A2">
            <w:pPr>
              <w:pBdr>
                <w:top w:val="nil"/>
                <w:left w:val="nil"/>
                <w:bottom w:val="nil"/>
                <w:right w:val="nil"/>
                <w:between w:val="nil"/>
              </w:pBdr>
              <w:jc w:val="both"/>
              <w:rPr>
                <w:rFonts w:ascii="Arial" w:eastAsia="Arial" w:hAnsi="Arial" w:cs="Arial"/>
                <w:color w:val="000000"/>
                <w:sz w:val="24"/>
                <w:szCs w:val="24"/>
                <w:lang w:val="es-CO"/>
              </w:rPr>
            </w:pPr>
          </w:p>
          <w:p w14:paraId="2D384437" w14:textId="7A4BD313"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t xml:space="preserve">Este comportamiento resulta relevante para el presente Análisis del Sector debido a la relación existente entre la actividad de construcción y la demanda de servicios de interventoría. La ejecución de proyectos de construcción, </w:t>
            </w:r>
            <w:r w:rsidR="00C77486">
              <w:rPr>
                <w:rFonts w:ascii="Arial" w:eastAsia="Arial" w:hAnsi="Arial" w:cs="Arial"/>
                <w:color w:val="000000"/>
                <w:sz w:val="24"/>
                <w:szCs w:val="24"/>
                <w:lang w:val="es-CO"/>
              </w:rPr>
              <w:t>adecuación</w:t>
            </w:r>
            <w:r w:rsidRPr="001610A2">
              <w:rPr>
                <w:rFonts w:ascii="Arial" w:eastAsia="Arial" w:hAnsi="Arial" w:cs="Arial"/>
                <w:color w:val="000000"/>
                <w:sz w:val="24"/>
                <w:szCs w:val="24"/>
                <w:lang w:val="es-CO"/>
              </w:rPr>
              <w:t xml:space="preserve"> y mejoramiento de infraestructura pública genera la necesidad de contratar servicios especializados de seguimiento y control, por lo que la evolución de la actividad constructiva constituye un referente para analizar las condiciones generales del mercado en el cual se desarrolla el presente proceso.</w:t>
            </w:r>
          </w:p>
          <w:p w14:paraId="5141CFD5" w14:textId="77777777" w:rsidR="001610A2" w:rsidRP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p>
          <w:p w14:paraId="629DC17B" w14:textId="49ED77F0"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t xml:space="preserve">Así mismo, el comportamiento positivo registrado en las actividades de </w:t>
            </w:r>
            <w:r w:rsidRPr="001610A2">
              <w:rPr>
                <w:rFonts w:ascii="Arial" w:eastAsia="Arial" w:hAnsi="Arial" w:cs="Arial"/>
                <w:b/>
                <w:bCs/>
                <w:color w:val="000000"/>
                <w:sz w:val="24"/>
                <w:szCs w:val="24"/>
                <w:lang w:val="es-CO"/>
              </w:rPr>
              <w:t>entretenimiento y recreación</w:t>
            </w:r>
            <w:r w:rsidRPr="001610A2">
              <w:rPr>
                <w:rFonts w:ascii="Arial" w:eastAsia="Arial" w:hAnsi="Arial" w:cs="Arial"/>
                <w:color w:val="000000"/>
                <w:sz w:val="24"/>
                <w:szCs w:val="24"/>
                <w:lang w:val="es-CO"/>
              </w:rPr>
              <w:t xml:space="preserve"> constituye un elemento de contexto favorable para el análisis del presente proceso, toda vez que el objeto de la contratación se encuentra asociado</w:t>
            </w:r>
            <w:r w:rsidR="00FE7770">
              <w:rPr>
                <w:rFonts w:ascii="Arial" w:eastAsia="Arial" w:hAnsi="Arial" w:cs="Arial"/>
                <w:color w:val="000000"/>
                <w:sz w:val="24"/>
                <w:szCs w:val="24"/>
                <w:lang w:val="es-CO"/>
              </w:rPr>
              <w:t xml:space="preserve"> a</w:t>
            </w:r>
            <w:r w:rsidRPr="001610A2">
              <w:rPr>
                <w:rFonts w:ascii="Arial" w:eastAsia="Arial" w:hAnsi="Arial" w:cs="Arial"/>
                <w:color w:val="000000"/>
                <w:sz w:val="24"/>
                <w:szCs w:val="24"/>
                <w:lang w:val="es-CO"/>
              </w:rPr>
              <w:t xml:space="preserve"> </w:t>
            </w:r>
            <w:r w:rsidR="00F87430" w:rsidRPr="000C6452">
              <w:rPr>
                <w:rFonts w:ascii="Arial" w:eastAsia="Arial" w:hAnsi="Arial" w:cs="Arial"/>
                <w:color w:val="000000"/>
                <w:sz w:val="24"/>
                <w:szCs w:val="24"/>
                <w:lang w:val="es-CO"/>
              </w:rPr>
              <w:t xml:space="preserve">realizar la </w:t>
            </w:r>
            <w:r w:rsidR="00F87430" w:rsidRPr="000C6452">
              <w:rPr>
                <w:rFonts w:ascii="Arial" w:eastAsia="Arial" w:hAnsi="Arial" w:cs="Arial"/>
                <w:color w:val="000000"/>
                <w:sz w:val="24"/>
                <w:szCs w:val="24"/>
                <w:lang w:val="es-CO"/>
              </w:rPr>
              <w:lastRenderedPageBreak/>
              <w:t>interventoría técnica, administrativa, jurídica, financiera, ambiental y contable a los contratos de obra que resulten adjudicados en el proceso de licitación pública, cuyo objeto es</w:t>
            </w:r>
            <w:r w:rsidR="000C6452" w:rsidRPr="000C6452">
              <w:rPr>
                <w:rFonts w:ascii="Arial" w:eastAsia="Arial" w:hAnsi="Arial" w:cs="Arial"/>
                <w:color w:val="000000"/>
                <w:sz w:val="24"/>
                <w:szCs w:val="24"/>
                <w:lang w:val="es-CO"/>
              </w:rPr>
              <w:t xml:space="preserve">: </w:t>
            </w:r>
            <w:r w:rsidRPr="001610A2">
              <w:rPr>
                <w:rFonts w:ascii="Arial" w:eastAsia="Arial" w:hAnsi="Arial" w:cs="Arial"/>
                <w:color w:val="000000"/>
                <w:sz w:val="24"/>
                <w:szCs w:val="24"/>
                <w:lang w:val="es-CO"/>
              </w:rPr>
              <w:t xml:space="preserve"> </w:t>
            </w:r>
            <w:r w:rsidR="007445F8" w:rsidRPr="007445F8">
              <w:rPr>
                <w:rFonts w:ascii="Arial" w:eastAsia="Arial" w:hAnsi="Arial" w:cs="Arial"/>
                <w:color w:val="000000"/>
                <w:sz w:val="24"/>
                <w:szCs w:val="24"/>
                <w:lang w:val="es-CO"/>
              </w:rPr>
              <w:t xml:space="preserve">realizar la adecuación y mejoramiento de la infraestructura de los escenarios deportivos y recreativos del distrito especial, deportivo, cultural, turístico, empresarial y de servicios de </w:t>
            </w:r>
            <w:r w:rsidR="00915A78" w:rsidRPr="007445F8">
              <w:rPr>
                <w:rFonts w:ascii="Arial" w:eastAsia="Arial" w:hAnsi="Arial" w:cs="Arial"/>
                <w:color w:val="000000"/>
                <w:sz w:val="24"/>
                <w:szCs w:val="24"/>
                <w:lang w:val="es-CO"/>
              </w:rPr>
              <w:t>Santiago</w:t>
            </w:r>
            <w:r w:rsidR="007445F8" w:rsidRPr="007445F8">
              <w:rPr>
                <w:rFonts w:ascii="Arial" w:eastAsia="Arial" w:hAnsi="Arial" w:cs="Arial"/>
                <w:color w:val="000000"/>
                <w:sz w:val="24"/>
                <w:szCs w:val="24"/>
                <w:lang w:val="es-CO"/>
              </w:rPr>
              <w:t xml:space="preserve"> de </w:t>
            </w:r>
            <w:r w:rsidR="00915A78" w:rsidRPr="007445F8">
              <w:rPr>
                <w:rFonts w:ascii="Arial" w:eastAsia="Arial" w:hAnsi="Arial" w:cs="Arial"/>
                <w:color w:val="000000"/>
                <w:sz w:val="24"/>
                <w:szCs w:val="24"/>
                <w:lang w:val="es-CO"/>
              </w:rPr>
              <w:t>Cali</w:t>
            </w:r>
            <w:r w:rsidRPr="001610A2">
              <w:rPr>
                <w:rFonts w:ascii="Arial" w:eastAsia="Arial" w:hAnsi="Arial" w:cs="Arial"/>
                <w:color w:val="000000"/>
                <w:sz w:val="24"/>
                <w:szCs w:val="24"/>
                <w:lang w:val="es-CO"/>
              </w:rPr>
              <w:t>.</w:t>
            </w:r>
          </w:p>
          <w:p w14:paraId="763A29CD" w14:textId="77777777" w:rsidR="001610A2" w:rsidRP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p>
          <w:p w14:paraId="5914664F" w14:textId="77777777" w:rsid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t>En consecuencia, el comportamiento del PIB durante el segundo trimestre y el primer semestre de 2026 permite establecer un escenario de crecimiento de la actividad económica nacional, acompañado de una evolución positiva en actividades relacionadas con la recreación y otros servicios, así como una recuperación trimestral de la actividad constructiva. Estas condiciones constituyen elementos relevantes para contextualizar la demanda de servicios profesionales especializados de consultoría e interventoría asociados a proyectos de infraestructura pública.</w:t>
            </w:r>
          </w:p>
          <w:p w14:paraId="51C38D8B" w14:textId="77777777" w:rsidR="001610A2" w:rsidRP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p>
          <w:p w14:paraId="7EA5C5F4" w14:textId="77777777" w:rsidR="001610A2" w:rsidRPr="001610A2" w:rsidRDefault="001610A2" w:rsidP="001610A2">
            <w:pPr>
              <w:pBdr>
                <w:top w:val="nil"/>
                <w:left w:val="nil"/>
                <w:bottom w:val="nil"/>
                <w:right w:val="nil"/>
                <w:between w:val="nil"/>
              </w:pBdr>
              <w:jc w:val="both"/>
              <w:rPr>
                <w:rFonts w:ascii="Arial" w:eastAsia="Arial" w:hAnsi="Arial" w:cs="Arial"/>
                <w:color w:val="000000"/>
                <w:sz w:val="24"/>
                <w:szCs w:val="24"/>
                <w:lang w:val="es-CO"/>
              </w:rPr>
            </w:pPr>
            <w:r w:rsidRPr="001610A2">
              <w:rPr>
                <w:rFonts w:ascii="Arial" w:eastAsia="Arial" w:hAnsi="Arial" w:cs="Arial"/>
                <w:color w:val="000000"/>
                <w:sz w:val="24"/>
                <w:szCs w:val="24"/>
                <w:lang w:val="es-CO"/>
              </w:rPr>
              <w:t xml:space="preserve">No obstante, para efectos de la determinación del presupuesto oficial, el comportamiento del PIB debe analizarse conjuntamente con otras variables económicas de mayor incidencia directa sobre la estructura de costos del servicio de interventoría, especialmente el </w:t>
            </w:r>
            <w:r w:rsidRPr="001610A2">
              <w:rPr>
                <w:rFonts w:ascii="Arial" w:eastAsia="Arial" w:hAnsi="Arial" w:cs="Arial"/>
                <w:b/>
                <w:bCs/>
                <w:color w:val="000000"/>
                <w:sz w:val="24"/>
                <w:szCs w:val="24"/>
                <w:lang w:val="es-CO"/>
              </w:rPr>
              <w:t>IPC, los costos del talento humano especializado, las condiciones del mercado laboral y los indicadores relacionados con los costos de la construcción</w:t>
            </w:r>
            <w:r w:rsidRPr="001610A2">
              <w:rPr>
                <w:rFonts w:ascii="Arial" w:eastAsia="Arial" w:hAnsi="Arial" w:cs="Arial"/>
                <w:color w:val="000000"/>
                <w:sz w:val="24"/>
                <w:szCs w:val="24"/>
                <w:lang w:val="es-CO"/>
              </w:rPr>
              <w:t>, considerando que el principal componente económico del servicio corresponde a la conformación y permanencia del equipo profesional requerido para desarrollar las actividades de interventoría.</w:t>
            </w:r>
          </w:p>
          <w:p w14:paraId="0CC72013" w14:textId="77777777" w:rsidR="001610A2" w:rsidRDefault="001610A2">
            <w:pPr>
              <w:widowControl/>
              <w:pBdr>
                <w:top w:val="nil"/>
                <w:left w:val="nil"/>
                <w:bottom w:val="nil"/>
                <w:right w:val="nil"/>
                <w:between w:val="nil"/>
              </w:pBdr>
              <w:jc w:val="both"/>
              <w:rPr>
                <w:rFonts w:ascii="Arial" w:eastAsia="Arial" w:hAnsi="Arial" w:cs="Arial"/>
                <w:color w:val="000000"/>
                <w:sz w:val="24"/>
                <w:szCs w:val="24"/>
                <w:lang w:val="es-CO"/>
              </w:rPr>
            </w:pPr>
          </w:p>
          <w:p w14:paraId="37A5D6B5" w14:textId="6C1F23E8" w:rsidR="00ED65D9" w:rsidRDefault="005C7269" w:rsidP="00ED65D9">
            <w:pPr>
              <w:pBdr>
                <w:top w:val="nil"/>
                <w:left w:val="nil"/>
                <w:bottom w:val="nil"/>
                <w:right w:val="nil"/>
                <w:between w:val="nil"/>
              </w:pBdr>
              <w:jc w:val="both"/>
              <w:rPr>
                <w:rFonts w:ascii="Arial" w:eastAsia="Arial" w:hAnsi="Arial" w:cs="Arial"/>
                <w:b/>
                <w:bCs/>
                <w:color w:val="000000"/>
                <w:sz w:val="24"/>
                <w:szCs w:val="24"/>
                <w:lang w:val="es-CO"/>
              </w:rPr>
            </w:pPr>
            <w:r w:rsidRPr="00ED65D9">
              <w:rPr>
                <w:rFonts w:ascii="Arial" w:eastAsia="Arial" w:hAnsi="Arial" w:cs="Arial"/>
                <w:b/>
                <w:bCs/>
                <w:color w:val="000000"/>
                <w:sz w:val="24"/>
                <w:szCs w:val="24"/>
                <w:lang w:val="es-CO"/>
              </w:rPr>
              <w:t>INFLACIÓN – ÍNDICE DE PRECIOS AL CONSUMIDOR (IPC)</w:t>
            </w:r>
          </w:p>
          <w:p w14:paraId="5ACB6BBD" w14:textId="77777777" w:rsidR="00ED65D9" w:rsidRPr="00ED65D9" w:rsidRDefault="00ED65D9" w:rsidP="00ED65D9">
            <w:pPr>
              <w:pBdr>
                <w:top w:val="nil"/>
                <w:left w:val="nil"/>
                <w:bottom w:val="nil"/>
                <w:right w:val="nil"/>
                <w:between w:val="nil"/>
              </w:pBdr>
              <w:jc w:val="both"/>
              <w:rPr>
                <w:rFonts w:ascii="Arial" w:eastAsia="Arial" w:hAnsi="Arial" w:cs="Arial"/>
                <w:b/>
                <w:bCs/>
                <w:color w:val="000000"/>
                <w:sz w:val="24"/>
                <w:szCs w:val="24"/>
                <w:lang w:val="es-CO"/>
              </w:rPr>
            </w:pPr>
          </w:p>
          <w:p w14:paraId="702AA66F" w14:textId="77777777" w:rsidR="00ED65D9" w:rsidRDefault="00ED65D9" w:rsidP="00ED65D9">
            <w:pPr>
              <w:pBdr>
                <w:top w:val="nil"/>
                <w:left w:val="nil"/>
                <w:bottom w:val="nil"/>
                <w:right w:val="nil"/>
                <w:between w:val="nil"/>
              </w:pBdr>
              <w:jc w:val="both"/>
              <w:rPr>
                <w:rFonts w:ascii="Arial" w:eastAsia="Arial" w:hAnsi="Arial" w:cs="Arial"/>
                <w:color w:val="000000"/>
                <w:sz w:val="24"/>
                <w:szCs w:val="24"/>
                <w:lang w:val="es-CO"/>
              </w:rPr>
            </w:pPr>
            <w:r w:rsidRPr="00ED65D9">
              <w:rPr>
                <w:rFonts w:ascii="Arial" w:eastAsia="Arial" w:hAnsi="Arial" w:cs="Arial"/>
                <w:color w:val="000000"/>
                <w:sz w:val="24"/>
                <w:szCs w:val="24"/>
                <w:lang w:val="es-CO"/>
              </w:rPr>
              <w:t>La inflación constituye una variable relevante para el análisis económico del contrato, debido a que afecta el poder adquisitivo y los costos de bienes y servicios utilizados por los agentes económicos.</w:t>
            </w:r>
          </w:p>
          <w:p w14:paraId="2D117BE8" w14:textId="77777777" w:rsidR="0036114D" w:rsidRDefault="0036114D" w:rsidP="00ED65D9">
            <w:pPr>
              <w:pBdr>
                <w:top w:val="nil"/>
                <w:left w:val="nil"/>
                <w:bottom w:val="nil"/>
                <w:right w:val="nil"/>
                <w:between w:val="nil"/>
              </w:pBdr>
              <w:jc w:val="both"/>
              <w:rPr>
                <w:rFonts w:ascii="Arial" w:eastAsia="Arial" w:hAnsi="Arial" w:cs="Arial"/>
                <w:color w:val="000000"/>
                <w:sz w:val="24"/>
                <w:szCs w:val="24"/>
                <w:lang w:val="es-CO"/>
              </w:rPr>
            </w:pPr>
          </w:p>
          <w:p w14:paraId="045D43F7" w14:textId="19465110" w:rsidR="0036114D" w:rsidRDefault="00A51CB8" w:rsidP="00A51CB8">
            <w:pPr>
              <w:pBdr>
                <w:top w:val="nil"/>
                <w:left w:val="nil"/>
                <w:bottom w:val="nil"/>
                <w:right w:val="nil"/>
                <w:between w:val="nil"/>
              </w:pBdr>
              <w:jc w:val="center"/>
              <w:rPr>
                <w:rFonts w:ascii="Arial" w:eastAsia="Arial" w:hAnsi="Arial" w:cs="Arial"/>
                <w:b/>
                <w:bCs/>
                <w:color w:val="000000"/>
                <w:sz w:val="24"/>
                <w:szCs w:val="24"/>
                <w:lang w:val="es-CO"/>
              </w:rPr>
            </w:pPr>
            <w:r w:rsidRPr="00A51CB8">
              <w:rPr>
                <w:rFonts w:ascii="Arial" w:eastAsia="Arial" w:hAnsi="Arial" w:cs="Arial"/>
                <w:b/>
                <w:bCs/>
                <w:color w:val="000000"/>
                <w:sz w:val="24"/>
                <w:szCs w:val="24"/>
                <w:lang w:val="es-CO"/>
              </w:rPr>
              <w:t xml:space="preserve">Índice de Precios al Consumidor (IPC) </w:t>
            </w:r>
            <w:r w:rsidR="0042707F">
              <w:rPr>
                <w:rFonts w:ascii="Arial" w:eastAsia="Arial" w:hAnsi="Arial" w:cs="Arial"/>
                <w:b/>
                <w:bCs/>
                <w:color w:val="000000"/>
                <w:sz w:val="24"/>
                <w:szCs w:val="24"/>
                <w:lang w:val="es-CO"/>
              </w:rPr>
              <w:t>agosto</w:t>
            </w:r>
            <w:r w:rsidRPr="00A51CB8">
              <w:rPr>
                <w:rFonts w:ascii="Arial" w:eastAsia="Arial" w:hAnsi="Arial" w:cs="Arial"/>
                <w:b/>
                <w:bCs/>
                <w:color w:val="000000"/>
                <w:sz w:val="24"/>
                <w:szCs w:val="24"/>
                <w:lang w:val="es-CO"/>
              </w:rPr>
              <w:t xml:space="preserve"> 2026</w:t>
            </w:r>
          </w:p>
          <w:p w14:paraId="0B796AA9" w14:textId="77777777" w:rsidR="00A51CB8" w:rsidRDefault="00A51CB8" w:rsidP="00A51CB8">
            <w:pPr>
              <w:pBdr>
                <w:top w:val="nil"/>
                <w:left w:val="nil"/>
                <w:bottom w:val="nil"/>
                <w:right w:val="nil"/>
                <w:between w:val="nil"/>
              </w:pBdr>
              <w:jc w:val="center"/>
              <w:rPr>
                <w:rFonts w:ascii="Arial" w:eastAsia="Arial" w:hAnsi="Arial" w:cs="Arial"/>
                <w:b/>
                <w:bCs/>
                <w:color w:val="000000"/>
                <w:sz w:val="24"/>
                <w:szCs w:val="24"/>
                <w:lang w:val="es-CO"/>
              </w:rPr>
            </w:pPr>
          </w:p>
          <w:p w14:paraId="3EE905F8" w14:textId="77777777" w:rsidR="00A51CB8" w:rsidRDefault="00A51CB8" w:rsidP="00A51CB8">
            <w:pPr>
              <w:pBdr>
                <w:top w:val="nil"/>
                <w:left w:val="nil"/>
                <w:bottom w:val="nil"/>
                <w:right w:val="nil"/>
                <w:between w:val="nil"/>
              </w:pBdr>
              <w:jc w:val="center"/>
              <w:rPr>
                <w:rFonts w:ascii="Arial" w:eastAsia="Arial" w:hAnsi="Arial" w:cs="Arial"/>
                <w:b/>
                <w:bCs/>
                <w:color w:val="000000"/>
                <w:sz w:val="20"/>
                <w:szCs w:val="20"/>
                <w:lang w:val="es-CO"/>
              </w:rPr>
            </w:pPr>
            <w:r w:rsidRPr="00A51CB8">
              <w:rPr>
                <w:rFonts w:ascii="Arial" w:eastAsia="Arial" w:hAnsi="Arial" w:cs="Arial"/>
                <w:b/>
                <w:bCs/>
                <w:color w:val="000000"/>
                <w:sz w:val="20"/>
                <w:szCs w:val="20"/>
                <w:lang w:val="es-CO"/>
              </w:rPr>
              <w:t xml:space="preserve">Gráfico </w:t>
            </w:r>
            <w:r>
              <w:rPr>
                <w:rFonts w:ascii="Arial" w:eastAsia="Arial" w:hAnsi="Arial" w:cs="Arial"/>
                <w:b/>
                <w:bCs/>
                <w:color w:val="000000"/>
                <w:sz w:val="20"/>
                <w:szCs w:val="20"/>
                <w:lang w:val="es-CO"/>
              </w:rPr>
              <w:t>2</w:t>
            </w:r>
            <w:r w:rsidRPr="00A51CB8">
              <w:rPr>
                <w:rFonts w:ascii="Arial" w:eastAsia="Arial" w:hAnsi="Arial" w:cs="Arial"/>
                <w:b/>
                <w:bCs/>
                <w:color w:val="000000"/>
                <w:sz w:val="20"/>
                <w:szCs w:val="20"/>
                <w:lang w:val="es-CO"/>
              </w:rPr>
              <w:t xml:space="preserve">. IPC Variaciones </w:t>
            </w:r>
          </w:p>
          <w:p w14:paraId="132892D7" w14:textId="77777777" w:rsidR="00A51CB8" w:rsidRDefault="00A51CB8" w:rsidP="00A51CB8">
            <w:pPr>
              <w:pBdr>
                <w:top w:val="nil"/>
                <w:left w:val="nil"/>
                <w:bottom w:val="nil"/>
                <w:right w:val="nil"/>
                <w:between w:val="nil"/>
              </w:pBdr>
              <w:jc w:val="center"/>
              <w:rPr>
                <w:rFonts w:ascii="Arial" w:eastAsia="Arial" w:hAnsi="Arial" w:cs="Arial"/>
                <w:b/>
                <w:bCs/>
                <w:color w:val="000000"/>
                <w:sz w:val="20"/>
                <w:szCs w:val="20"/>
                <w:lang w:val="es-CO"/>
              </w:rPr>
            </w:pPr>
            <w:r w:rsidRPr="00A51CB8">
              <w:rPr>
                <w:rFonts w:ascii="Arial" w:eastAsia="Arial" w:hAnsi="Arial" w:cs="Arial"/>
                <w:b/>
                <w:bCs/>
                <w:color w:val="000000"/>
                <w:sz w:val="20"/>
                <w:szCs w:val="20"/>
                <w:lang w:val="es-CO"/>
              </w:rPr>
              <w:t xml:space="preserve">Total Nacional </w:t>
            </w:r>
          </w:p>
          <w:p w14:paraId="49E181D3" w14:textId="77777777" w:rsidR="0042707F" w:rsidRPr="00A51CB8" w:rsidRDefault="0042707F" w:rsidP="0042707F">
            <w:pPr>
              <w:pBdr>
                <w:top w:val="nil"/>
                <w:left w:val="nil"/>
                <w:bottom w:val="nil"/>
                <w:right w:val="nil"/>
                <w:between w:val="nil"/>
              </w:pBdr>
              <w:jc w:val="center"/>
              <w:rPr>
                <w:rFonts w:ascii="Arial" w:eastAsia="Arial" w:hAnsi="Arial" w:cs="Arial"/>
                <w:b/>
                <w:bCs/>
                <w:color w:val="000000"/>
                <w:sz w:val="20"/>
                <w:szCs w:val="20"/>
                <w:lang w:val="es-CO"/>
              </w:rPr>
            </w:pPr>
            <w:r>
              <w:rPr>
                <w:rFonts w:ascii="Arial" w:eastAsia="Arial" w:hAnsi="Arial" w:cs="Arial"/>
                <w:b/>
                <w:bCs/>
                <w:color w:val="000000"/>
                <w:sz w:val="20"/>
                <w:szCs w:val="20"/>
                <w:lang w:val="es-CO"/>
              </w:rPr>
              <w:t>Agosto</w:t>
            </w:r>
            <w:r w:rsidRPr="00A51CB8">
              <w:rPr>
                <w:rFonts w:ascii="Arial" w:eastAsia="Arial" w:hAnsi="Arial" w:cs="Arial"/>
                <w:b/>
                <w:bCs/>
                <w:color w:val="000000"/>
                <w:sz w:val="20"/>
                <w:szCs w:val="20"/>
                <w:lang w:val="es-CO"/>
              </w:rPr>
              <w:t xml:space="preserve"> 2025 - 2026</w:t>
            </w:r>
          </w:p>
          <w:p w14:paraId="6B3E4AD9" w14:textId="77777777" w:rsidR="0042707F" w:rsidRDefault="0042707F" w:rsidP="0042707F">
            <w:pPr>
              <w:pBdr>
                <w:top w:val="nil"/>
                <w:left w:val="nil"/>
                <w:bottom w:val="nil"/>
                <w:right w:val="nil"/>
                <w:between w:val="nil"/>
              </w:pBdr>
              <w:jc w:val="both"/>
              <w:rPr>
                <w:rFonts w:ascii="Arial" w:eastAsia="Arial" w:hAnsi="Arial" w:cs="Arial"/>
                <w:color w:val="000000"/>
                <w:sz w:val="24"/>
                <w:szCs w:val="24"/>
                <w:lang w:val="es-CO"/>
              </w:rPr>
            </w:pPr>
          </w:p>
          <w:p w14:paraId="4FCA66CF" w14:textId="77777777" w:rsidR="0042707F" w:rsidRDefault="0042707F" w:rsidP="0042707F">
            <w:pPr>
              <w:pBdr>
                <w:top w:val="nil"/>
                <w:left w:val="nil"/>
                <w:bottom w:val="nil"/>
                <w:right w:val="nil"/>
                <w:between w:val="nil"/>
              </w:pBdr>
              <w:jc w:val="both"/>
              <w:rPr>
                <w:rFonts w:ascii="Arial" w:eastAsia="Arial" w:hAnsi="Arial" w:cs="Arial"/>
                <w:color w:val="000000"/>
                <w:sz w:val="24"/>
                <w:szCs w:val="24"/>
                <w:lang w:val="es-CO"/>
              </w:rPr>
            </w:pPr>
            <w:r w:rsidRPr="000C5FA0">
              <w:rPr>
                <w:rFonts w:ascii="Arial" w:eastAsia="Arial" w:hAnsi="Arial" w:cs="Arial"/>
                <w:noProof/>
                <w:color w:val="000000"/>
                <w:sz w:val="24"/>
                <w:szCs w:val="24"/>
                <w:lang w:val="es-CO"/>
              </w:rPr>
              <w:lastRenderedPageBreak/>
              <w:drawing>
                <wp:inline distT="0" distB="0" distL="0" distR="0" wp14:anchorId="5426562B" wp14:editId="5DC485F0">
                  <wp:extent cx="5257800" cy="2990003"/>
                  <wp:effectExtent l="0" t="0" r="0" b="1270"/>
                  <wp:docPr id="237637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3747" name=""/>
                          <pic:cNvPicPr/>
                        </pic:nvPicPr>
                        <pic:blipFill>
                          <a:blip r:embed="rId11"/>
                          <a:stretch>
                            <a:fillRect/>
                          </a:stretch>
                        </pic:blipFill>
                        <pic:spPr>
                          <a:xfrm>
                            <a:off x="0" y="0"/>
                            <a:ext cx="5261010" cy="2991828"/>
                          </a:xfrm>
                          <a:prstGeom prst="rect">
                            <a:avLst/>
                          </a:prstGeom>
                        </pic:spPr>
                      </pic:pic>
                    </a:graphicData>
                  </a:graphic>
                </wp:inline>
              </w:drawing>
            </w:r>
          </w:p>
          <w:p w14:paraId="22D6F655" w14:textId="77777777" w:rsidR="0042707F" w:rsidRPr="00ED65D9" w:rsidRDefault="0042707F" w:rsidP="0042707F">
            <w:pPr>
              <w:pBdr>
                <w:top w:val="nil"/>
                <w:left w:val="nil"/>
                <w:bottom w:val="nil"/>
                <w:right w:val="nil"/>
                <w:between w:val="nil"/>
              </w:pBdr>
              <w:jc w:val="both"/>
              <w:rPr>
                <w:rFonts w:ascii="Arial" w:eastAsia="Arial" w:hAnsi="Arial" w:cs="Arial"/>
                <w:color w:val="000000"/>
                <w:sz w:val="24"/>
                <w:szCs w:val="24"/>
                <w:lang w:val="es-CO"/>
              </w:rPr>
            </w:pPr>
          </w:p>
          <w:p w14:paraId="2BB4DA45" w14:textId="77777777" w:rsidR="0042707F" w:rsidRDefault="0042707F" w:rsidP="0042707F">
            <w:pPr>
              <w:widowControl/>
              <w:pBdr>
                <w:top w:val="nil"/>
                <w:left w:val="nil"/>
                <w:bottom w:val="nil"/>
                <w:right w:val="nil"/>
                <w:between w:val="nil"/>
              </w:pBdr>
              <w:jc w:val="both"/>
              <w:rPr>
                <w:rFonts w:ascii="Arial" w:eastAsia="Arial" w:hAnsi="Arial" w:cs="Arial"/>
                <w:color w:val="000000"/>
                <w:sz w:val="24"/>
                <w:szCs w:val="24"/>
                <w:lang w:val="es"/>
              </w:rPr>
            </w:pPr>
            <w:r w:rsidRPr="00E32F00">
              <w:rPr>
                <w:rFonts w:ascii="Arial" w:eastAsia="Arial" w:hAnsi="Arial" w:cs="Arial"/>
                <w:color w:val="000000"/>
                <w:sz w:val="24"/>
                <w:szCs w:val="24"/>
                <w:lang w:val="es"/>
              </w:rPr>
              <w:t xml:space="preserve">e acuerdo con el último boletín publicado por el Departamento Administrativo Nacional de Estadística – DANE, correspondiente al mes de agosto de 2026, el Índice de Precios al Consumidor – IPC presentó una variación mensual de </w:t>
            </w:r>
            <w:r w:rsidRPr="00E32F00">
              <w:rPr>
                <w:rFonts w:ascii="Arial" w:eastAsia="Arial" w:hAnsi="Arial" w:cs="Arial"/>
                <w:b/>
                <w:bCs/>
                <w:color w:val="000000"/>
                <w:sz w:val="24"/>
                <w:szCs w:val="24"/>
                <w:lang w:val="es"/>
              </w:rPr>
              <w:t>0,39 %</w:t>
            </w:r>
            <w:r w:rsidRPr="00E32F00">
              <w:rPr>
                <w:rFonts w:ascii="Arial" w:eastAsia="Arial" w:hAnsi="Arial" w:cs="Arial"/>
                <w:color w:val="000000"/>
                <w:sz w:val="24"/>
                <w:szCs w:val="24"/>
                <w:lang w:val="es"/>
              </w:rPr>
              <w:t xml:space="preserve">, una variación año corrido de </w:t>
            </w:r>
            <w:r w:rsidRPr="00E32F00">
              <w:rPr>
                <w:rFonts w:ascii="Arial" w:eastAsia="Arial" w:hAnsi="Arial" w:cs="Arial"/>
                <w:b/>
                <w:bCs/>
                <w:color w:val="000000"/>
                <w:sz w:val="24"/>
                <w:szCs w:val="24"/>
                <w:lang w:val="es"/>
              </w:rPr>
              <w:t>5,35 %</w:t>
            </w:r>
            <w:r w:rsidRPr="00E32F00">
              <w:rPr>
                <w:rFonts w:ascii="Arial" w:eastAsia="Arial" w:hAnsi="Arial" w:cs="Arial"/>
                <w:color w:val="000000"/>
                <w:sz w:val="24"/>
                <w:szCs w:val="24"/>
                <w:lang w:val="es"/>
              </w:rPr>
              <w:t xml:space="preserve"> y una variación anual de </w:t>
            </w:r>
            <w:r w:rsidRPr="00E32F00">
              <w:rPr>
                <w:rFonts w:ascii="Arial" w:eastAsia="Arial" w:hAnsi="Arial" w:cs="Arial"/>
                <w:b/>
                <w:bCs/>
                <w:color w:val="000000"/>
                <w:sz w:val="24"/>
                <w:szCs w:val="24"/>
                <w:lang w:val="es"/>
              </w:rPr>
              <w:t>6,24 %</w:t>
            </w:r>
            <w:r w:rsidRPr="00E32F00">
              <w:rPr>
                <w:rFonts w:ascii="Arial" w:eastAsia="Arial" w:hAnsi="Arial" w:cs="Arial"/>
                <w:color w:val="000000"/>
                <w:sz w:val="24"/>
                <w:szCs w:val="24"/>
                <w:lang w:val="es"/>
              </w:rPr>
              <w:t>. La variación anual registrada en agosto de 2026 fue superior en 1,14 puntos porcentuales a la registrada en el mismo mes del año 2025, cuando se ubicó en 5,10 %.</w:t>
            </w:r>
          </w:p>
          <w:p w14:paraId="1CBC8271" w14:textId="369D415E" w:rsidR="003E64E8" w:rsidRDefault="00004EC1">
            <w:pPr>
              <w:widowControl/>
              <w:pBdr>
                <w:top w:val="nil"/>
                <w:left w:val="nil"/>
                <w:bottom w:val="nil"/>
                <w:right w:val="nil"/>
                <w:between w:val="nil"/>
              </w:pBdr>
              <w:jc w:val="both"/>
              <w:rPr>
                <w:rFonts w:ascii="Arial" w:eastAsia="Arial" w:hAnsi="Arial" w:cs="Arial"/>
                <w:color w:val="000000"/>
                <w:sz w:val="24"/>
                <w:szCs w:val="24"/>
                <w:lang w:val="es-CO"/>
              </w:rPr>
            </w:pPr>
            <w:r w:rsidRPr="00004EC1">
              <w:rPr>
                <w:rFonts w:ascii="Arial" w:eastAsia="Arial" w:hAnsi="Arial" w:cs="Arial"/>
                <w:color w:val="000000"/>
                <w:sz w:val="24"/>
                <w:szCs w:val="24"/>
                <w:lang w:val="es-CO"/>
              </w:rPr>
              <w:t xml:space="preserve"> </w:t>
            </w:r>
          </w:p>
          <w:p w14:paraId="5293B5E3" w14:textId="125935DC" w:rsidR="00266E2F" w:rsidRDefault="00266E2F">
            <w:pPr>
              <w:widowControl/>
              <w:pBdr>
                <w:top w:val="nil"/>
                <w:left w:val="nil"/>
                <w:bottom w:val="nil"/>
                <w:right w:val="nil"/>
                <w:between w:val="nil"/>
              </w:pBdr>
              <w:jc w:val="both"/>
              <w:rPr>
                <w:rFonts w:ascii="Arial" w:eastAsia="Arial" w:hAnsi="Arial" w:cs="Arial"/>
                <w:b/>
                <w:bCs/>
                <w:color w:val="000000"/>
                <w:sz w:val="20"/>
                <w:szCs w:val="20"/>
                <w:lang w:val="es-CO"/>
              </w:rPr>
            </w:pPr>
          </w:p>
          <w:p w14:paraId="12D344A0" w14:textId="50EAC71A" w:rsidR="00266E2F" w:rsidRPr="00266E2F" w:rsidRDefault="00266E2F">
            <w:pPr>
              <w:widowControl/>
              <w:pBdr>
                <w:top w:val="nil"/>
                <w:left w:val="nil"/>
                <w:bottom w:val="nil"/>
                <w:right w:val="nil"/>
                <w:between w:val="nil"/>
              </w:pBdr>
              <w:jc w:val="both"/>
              <w:rPr>
                <w:rFonts w:ascii="Arial" w:eastAsia="Arial" w:hAnsi="Arial" w:cs="Arial"/>
                <w:b/>
                <w:bCs/>
                <w:color w:val="000000"/>
                <w:sz w:val="20"/>
                <w:szCs w:val="20"/>
                <w:lang w:val="es-CO"/>
              </w:rPr>
            </w:pPr>
            <w:r>
              <w:rPr>
                <w:rFonts w:ascii="Arial" w:eastAsia="Arial" w:hAnsi="Arial" w:cs="Arial"/>
                <w:b/>
                <w:bCs/>
                <w:color w:val="000000"/>
                <w:sz w:val="20"/>
                <w:szCs w:val="20"/>
                <w:lang w:val="es-CO"/>
              </w:rPr>
              <w:t>Tabla 4.</w:t>
            </w:r>
            <w:r w:rsidR="00145EF9">
              <w:t xml:space="preserve"> </w:t>
            </w:r>
            <w:r w:rsidR="00145EF9" w:rsidRPr="00145EF9">
              <w:rPr>
                <w:rFonts w:ascii="Arial" w:eastAsia="Arial" w:hAnsi="Arial" w:cs="Arial"/>
                <w:b/>
                <w:bCs/>
                <w:color w:val="000000"/>
                <w:sz w:val="20"/>
                <w:szCs w:val="20"/>
                <w:lang w:val="es-CO"/>
              </w:rPr>
              <w:t>IPC Variación y contribución mensual</w:t>
            </w:r>
          </w:p>
          <w:p w14:paraId="5BAE6E92" w14:textId="77777777" w:rsidR="00347065" w:rsidRDefault="00347065" w:rsidP="00347065">
            <w:pPr>
              <w:widowControl/>
              <w:pBdr>
                <w:top w:val="nil"/>
                <w:left w:val="nil"/>
                <w:bottom w:val="nil"/>
                <w:right w:val="nil"/>
                <w:between w:val="nil"/>
              </w:pBdr>
              <w:jc w:val="both"/>
              <w:rPr>
                <w:rFonts w:ascii="Arial" w:eastAsia="Arial" w:hAnsi="Arial" w:cs="Arial"/>
                <w:color w:val="000000"/>
                <w:sz w:val="24"/>
                <w:szCs w:val="24"/>
                <w:lang w:val="es-CO"/>
              </w:rPr>
            </w:pPr>
            <w:r w:rsidRPr="003D2A37">
              <w:rPr>
                <w:rFonts w:ascii="Arial" w:eastAsia="Arial" w:hAnsi="Arial" w:cs="Arial"/>
                <w:noProof/>
                <w:color w:val="000000"/>
                <w:sz w:val="24"/>
                <w:szCs w:val="24"/>
                <w:lang w:val="es-CO"/>
              </w:rPr>
              <w:lastRenderedPageBreak/>
              <w:drawing>
                <wp:inline distT="0" distB="0" distL="0" distR="0" wp14:anchorId="163BFC92" wp14:editId="16551BB9">
                  <wp:extent cx="5972810" cy="2382520"/>
                  <wp:effectExtent l="0" t="0" r="8890" b="0"/>
                  <wp:docPr id="1690880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80771" name=""/>
                          <pic:cNvPicPr/>
                        </pic:nvPicPr>
                        <pic:blipFill>
                          <a:blip r:embed="rId12"/>
                          <a:stretch>
                            <a:fillRect/>
                          </a:stretch>
                        </pic:blipFill>
                        <pic:spPr>
                          <a:xfrm>
                            <a:off x="0" y="0"/>
                            <a:ext cx="5972810" cy="2382520"/>
                          </a:xfrm>
                          <a:prstGeom prst="rect">
                            <a:avLst/>
                          </a:prstGeom>
                        </pic:spPr>
                      </pic:pic>
                    </a:graphicData>
                  </a:graphic>
                </wp:inline>
              </w:drawing>
            </w:r>
          </w:p>
          <w:p w14:paraId="4DD4B23A" w14:textId="77777777" w:rsidR="00347065" w:rsidRDefault="00347065" w:rsidP="00347065">
            <w:pPr>
              <w:widowControl/>
              <w:pBdr>
                <w:top w:val="nil"/>
                <w:left w:val="nil"/>
                <w:bottom w:val="nil"/>
                <w:right w:val="nil"/>
                <w:between w:val="nil"/>
              </w:pBdr>
              <w:jc w:val="both"/>
              <w:rPr>
                <w:rFonts w:ascii="Arial" w:eastAsia="Arial" w:hAnsi="Arial" w:cs="Arial"/>
                <w:color w:val="000000"/>
                <w:sz w:val="24"/>
                <w:szCs w:val="24"/>
                <w:lang w:val="es-CO"/>
              </w:rPr>
            </w:pPr>
          </w:p>
          <w:p w14:paraId="73C63714" w14:textId="77777777" w:rsidR="00347065" w:rsidRDefault="00347065" w:rsidP="00347065">
            <w:pPr>
              <w:widowControl/>
              <w:pBdr>
                <w:top w:val="nil"/>
                <w:left w:val="nil"/>
                <w:bottom w:val="nil"/>
                <w:right w:val="nil"/>
                <w:between w:val="nil"/>
              </w:pBdr>
              <w:jc w:val="both"/>
              <w:rPr>
                <w:rFonts w:ascii="Arial" w:eastAsia="Arial" w:hAnsi="Arial" w:cs="Arial"/>
                <w:color w:val="000000"/>
                <w:sz w:val="24"/>
                <w:szCs w:val="24"/>
                <w:lang w:val="es-CO"/>
              </w:rPr>
            </w:pPr>
            <w:r w:rsidRPr="00E32F00">
              <w:rPr>
                <w:rFonts w:ascii="Arial" w:eastAsia="Arial" w:hAnsi="Arial" w:cs="Arial"/>
                <w:color w:val="000000"/>
                <w:sz w:val="24"/>
                <w:szCs w:val="24"/>
                <w:lang w:val="es"/>
              </w:rPr>
              <w:t xml:space="preserve">En términos de las divisiones de gasto, durante agosto de 2026 se presentaron comportamientos diferenciados en los precios de los bienes y servicios que conforman la canasta del IPC. Entre las divisiones que presentaron las mayores variaciones mensuales se encontraron </w:t>
            </w:r>
            <w:r w:rsidRPr="00E32F00">
              <w:rPr>
                <w:rFonts w:ascii="Arial" w:eastAsia="Arial" w:hAnsi="Arial" w:cs="Arial"/>
                <w:b/>
                <w:bCs/>
                <w:color w:val="000000"/>
                <w:sz w:val="24"/>
                <w:szCs w:val="24"/>
                <w:lang w:val="es"/>
              </w:rPr>
              <w:t>Recreación y cultura (0,89 %)</w:t>
            </w:r>
            <w:r w:rsidRPr="00E32F00">
              <w:rPr>
                <w:rFonts w:ascii="Arial" w:eastAsia="Arial" w:hAnsi="Arial" w:cs="Arial"/>
                <w:color w:val="000000"/>
                <w:sz w:val="24"/>
                <w:szCs w:val="24"/>
                <w:lang w:val="es"/>
              </w:rPr>
              <w:t xml:space="preserve"> e </w:t>
            </w:r>
            <w:r w:rsidRPr="00E32F00">
              <w:rPr>
                <w:rFonts w:ascii="Arial" w:eastAsia="Arial" w:hAnsi="Arial" w:cs="Arial"/>
                <w:b/>
                <w:bCs/>
                <w:color w:val="000000"/>
                <w:sz w:val="24"/>
                <w:szCs w:val="24"/>
                <w:lang w:val="es"/>
              </w:rPr>
              <w:t>Información y comunicación (0,81 %)</w:t>
            </w:r>
            <w:r w:rsidRPr="00E32F00">
              <w:rPr>
                <w:rFonts w:ascii="Arial" w:eastAsia="Arial" w:hAnsi="Arial" w:cs="Arial"/>
                <w:color w:val="000000"/>
                <w:sz w:val="24"/>
                <w:szCs w:val="24"/>
                <w:lang w:val="es"/>
              </w:rPr>
              <w:t xml:space="preserve">, mientras que en la variación de los últimos doce meses se destacaron </w:t>
            </w:r>
            <w:r w:rsidRPr="00E32F00">
              <w:rPr>
                <w:rFonts w:ascii="Arial" w:eastAsia="Arial" w:hAnsi="Arial" w:cs="Arial"/>
                <w:b/>
                <w:bCs/>
                <w:color w:val="000000"/>
                <w:sz w:val="24"/>
                <w:szCs w:val="24"/>
                <w:lang w:val="es"/>
              </w:rPr>
              <w:t>Restaurantes y hoteles (9,36 %), Salud (8,30 %) y Educación (7,45 %)</w:t>
            </w:r>
            <w:r w:rsidRPr="00E32F00">
              <w:rPr>
                <w:rFonts w:ascii="Arial" w:eastAsia="Arial" w:hAnsi="Arial" w:cs="Arial"/>
                <w:color w:val="000000"/>
                <w:sz w:val="24"/>
                <w:szCs w:val="24"/>
                <w:lang w:val="es"/>
              </w:rPr>
              <w:t>, frente a una variación anual nacional de 6,24 %.</w:t>
            </w:r>
          </w:p>
          <w:p w14:paraId="01A32119" w14:textId="77777777" w:rsidR="008A3B8E" w:rsidRDefault="008A3B8E">
            <w:pPr>
              <w:widowControl/>
              <w:pBdr>
                <w:top w:val="nil"/>
                <w:left w:val="nil"/>
                <w:bottom w:val="nil"/>
                <w:right w:val="nil"/>
                <w:between w:val="nil"/>
              </w:pBdr>
              <w:jc w:val="both"/>
              <w:rPr>
                <w:rFonts w:ascii="Arial" w:eastAsia="Arial" w:hAnsi="Arial" w:cs="Arial"/>
                <w:color w:val="000000"/>
                <w:sz w:val="24"/>
                <w:szCs w:val="24"/>
                <w:lang w:val="es-CO"/>
              </w:rPr>
            </w:pPr>
          </w:p>
          <w:p w14:paraId="08AA3FB4" w14:textId="78B1DEFE" w:rsidR="008A3B8E" w:rsidRPr="00266E2F" w:rsidRDefault="008A3B8E" w:rsidP="008A3B8E">
            <w:pPr>
              <w:widowControl/>
              <w:pBdr>
                <w:top w:val="nil"/>
                <w:left w:val="nil"/>
                <w:bottom w:val="nil"/>
                <w:right w:val="nil"/>
                <w:between w:val="nil"/>
              </w:pBdr>
              <w:jc w:val="both"/>
              <w:rPr>
                <w:rFonts w:ascii="Arial" w:eastAsia="Arial" w:hAnsi="Arial" w:cs="Arial"/>
                <w:b/>
                <w:bCs/>
                <w:color w:val="000000"/>
                <w:sz w:val="20"/>
                <w:szCs w:val="20"/>
                <w:lang w:val="es-CO"/>
              </w:rPr>
            </w:pPr>
            <w:r>
              <w:rPr>
                <w:rFonts w:ascii="Arial" w:eastAsia="Arial" w:hAnsi="Arial" w:cs="Arial"/>
                <w:b/>
                <w:bCs/>
                <w:color w:val="000000"/>
                <w:sz w:val="20"/>
                <w:szCs w:val="20"/>
                <w:lang w:val="es-CO"/>
              </w:rPr>
              <w:t>Tabla 5.</w:t>
            </w:r>
            <w:r>
              <w:t xml:space="preserve"> </w:t>
            </w:r>
            <w:r w:rsidRPr="00145EF9">
              <w:rPr>
                <w:rFonts w:ascii="Arial" w:eastAsia="Arial" w:hAnsi="Arial" w:cs="Arial"/>
                <w:b/>
                <w:bCs/>
                <w:color w:val="000000"/>
                <w:sz w:val="20"/>
                <w:szCs w:val="20"/>
                <w:lang w:val="es-CO"/>
              </w:rPr>
              <w:t xml:space="preserve">IPC Variación y contribución </w:t>
            </w:r>
            <w:r>
              <w:rPr>
                <w:rFonts w:ascii="Arial" w:eastAsia="Arial" w:hAnsi="Arial" w:cs="Arial"/>
                <w:b/>
                <w:bCs/>
                <w:color w:val="000000"/>
                <w:sz w:val="20"/>
                <w:szCs w:val="20"/>
                <w:lang w:val="es-CO"/>
              </w:rPr>
              <w:t>año corrido</w:t>
            </w:r>
          </w:p>
          <w:p w14:paraId="09CFF403" w14:textId="77777777" w:rsidR="00146BB6" w:rsidRDefault="00146BB6" w:rsidP="00146BB6">
            <w:pPr>
              <w:widowControl/>
              <w:pBdr>
                <w:top w:val="nil"/>
                <w:left w:val="nil"/>
                <w:bottom w:val="nil"/>
                <w:right w:val="nil"/>
                <w:between w:val="nil"/>
              </w:pBdr>
              <w:jc w:val="both"/>
              <w:rPr>
                <w:rFonts w:ascii="Arial" w:eastAsia="Arial" w:hAnsi="Arial" w:cs="Arial"/>
                <w:color w:val="000000"/>
                <w:sz w:val="24"/>
                <w:szCs w:val="24"/>
                <w:lang w:val="es-CO"/>
              </w:rPr>
            </w:pPr>
            <w:r w:rsidRPr="006349FA">
              <w:rPr>
                <w:rFonts w:ascii="Arial" w:eastAsia="Arial" w:hAnsi="Arial" w:cs="Arial"/>
                <w:noProof/>
                <w:color w:val="000000"/>
                <w:sz w:val="24"/>
                <w:szCs w:val="24"/>
                <w:lang w:val="es-CO"/>
              </w:rPr>
              <w:lastRenderedPageBreak/>
              <w:drawing>
                <wp:inline distT="0" distB="0" distL="0" distR="0" wp14:anchorId="7765814D" wp14:editId="0C1E6AED">
                  <wp:extent cx="5972810" cy="2559685"/>
                  <wp:effectExtent l="0" t="0" r="8890" b="0"/>
                  <wp:docPr id="12039701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70189" name=""/>
                          <pic:cNvPicPr/>
                        </pic:nvPicPr>
                        <pic:blipFill>
                          <a:blip r:embed="rId13"/>
                          <a:stretch>
                            <a:fillRect/>
                          </a:stretch>
                        </pic:blipFill>
                        <pic:spPr>
                          <a:xfrm>
                            <a:off x="0" y="0"/>
                            <a:ext cx="5972810" cy="2559685"/>
                          </a:xfrm>
                          <a:prstGeom prst="rect">
                            <a:avLst/>
                          </a:prstGeom>
                        </pic:spPr>
                      </pic:pic>
                    </a:graphicData>
                  </a:graphic>
                </wp:inline>
              </w:drawing>
            </w:r>
          </w:p>
          <w:p w14:paraId="09D0DA87" w14:textId="77777777" w:rsidR="00146BB6" w:rsidRDefault="00146BB6" w:rsidP="00146BB6">
            <w:pPr>
              <w:widowControl/>
              <w:pBdr>
                <w:top w:val="nil"/>
                <w:left w:val="nil"/>
                <w:bottom w:val="nil"/>
                <w:right w:val="nil"/>
                <w:between w:val="nil"/>
              </w:pBdr>
              <w:jc w:val="both"/>
              <w:rPr>
                <w:rFonts w:ascii="Arial" w:eastAsia="Arial" w:hAnsi="Arial" w:cs="Arial"/>
                <w:color w:val="000000"/>
                <w:sz w:val="24"/>
                <w:szCs w:val="24"/>
                <w:lang w:val="es-CO"/>
              </w:rPr>
            </w:pPr>
          </w:p>
          <w:p w14:paraId="2C5C32CE" w14:textId="77777777" w:rsidR="00146BB6" w:rsidRDefault="00146BB6" w:rsidP="00146BB6">
            <w:pPr>
              <w:pBdr>
                <w:top w:val="nil"/>
                <w:left w:val="nil"/>
                <w:bottom w:val="nil"/>
                <w:right w:val="nil"/>
                <w:between w:val="nil"/>
              </w:pBdr>
              <w:jc w:val="both"/>
              <w:rPr>
                <w:rFonts w:ascii="Arial" w:eastAsia="Arial" w:hAnsi="Arial" w:cs="Arial"/>
                <w:color w:val="000000"/>
                <w:sz w:val="24"/>
                <w:szCs w:val="24"/>
                <w:lang w:val="es-CO"/>
              </w:rPr>
            </w:pPr>
            <w:r w:rsidRPr="007D10E7">
              <w:rPr>
                <w:rFonts w:ascii="Arial" w:eastAsia="Arial" w:hAnsi="Arial" w:cs="Arial"/>
                <w:color w:val="000000"/>
                <w:sz w:val="24"/>
                <w:szCs w:val="24"/>
                <w:lang w:val="es-CO"/>
              </w:rPr>
              <w:t xml:space="preserve">Para efectos del presente proceso resulta particularmente relevante el comportamiento de la división de </w:t>
            </w:r>
            <w:r w:rsidRPr="007D10E7">
              <w:rPr>
                <w:rFonts w:ascii="Arial" w:eastAsia="Arial" w:hAnsi="Arial" w:cs="Arial"/>
                <w:b/>
                <w:bCs/>
                <w:color w:val="000000"/>
                <w:sz w:val="24"/>
                <w:szCs w:val="24"/>
                <w:lang w:val="es-CO"/>
              </w:rPr>
              <w:t>Recreación y cultura</w:t>
            </w:r>
            <w:r w:rsidRPr="007D10E7">
              <w:rPr>
                <w:rFonts w:ascii="Arial" w:eastAsia="Arial" w:hAnsi="Arial" w:cs="Arial"/>
                <w:color w:val="000000"/>
                <w:sz w:val="24"/>
                <w:szCs w:val="24"/>
                <w:lang w:val="es-CO"/>
              </w:rPr>
              <w:t xml:space="preserve">, teniendo en cuenta que el objeto contractual se encuentra relacionado con el mantenimiento y mejoramiento de infraestructura destinada a Unidades Deportivas de Alto Rendimiento. Esta división presentó una variación acumulada de </w:t>
            </w:r>
            <w:r>
              <w:rPr>
                <w:rFonts w:ascii="Arial" w:eastAsia="Arial" w:hAnsi="Arial" w:cs="Arial"/>
                <w:b/>
                <w:bCs/>
                <w:color w:val="000000"/>
                <w:sz w:val="24"/>
                <w:szCs w:val="24"/>
                <w:lang w:val="es-CO"/>
              </w:rPr>
              <w:t>3</w:t>
            </w:r>
            <w:r w:rsidRPr="007D10E7">
              <w:rPr>
                <w:rFonts w:ascii="Arial" w:eastAsia="Arial" w:hAnsi="Arial" w:cs="Arial"/>
                <w:b/>
                <w:bCs/>
                <w:color w:val="000000"/>
                <w:sz w:val="24"/>
                <w:szCs w:val="24"/>
                <w:lang w:val="es-CO"/>
              </w:rPr>
              <w:t>,</w:t>
            </w:r>
            <w:r>
              <w:rPr>
                <w:rFonts w:ascii="Arial" w:eastAsia="Arial" w:hAnsi="Arial" w:cs="Arial"/>
                <w:b/>
                <w:bCs/>
                <w:color w:val="000000"/>
                <w:sz w:val="24"/>
                <w:szCs w:val="24"/>
                <w:lang w:val="es-CO"/>
              </w:rPr>
              <w:t>71</w:t>
            </w:r>
            <w:r w:rsidRPr="007D10E7">
              <w:rPr>
                <w:rFonts w:ascii="Arial" w:eastAsia="Arial" w:hAnsi="Arial" w:cs="Arial"/>
                <w:b/>
                <w:bCs/>
                <w:color w:val="000000"/>
                <w:sz w:val="24"/>
                <w:szCs w:val="24"/>
                <w:lang w:val="es-CO"/>
              </w:rPr>
              <w:t xml:space="preserve"> % entre enero y </w:t>
            </w:r>
            <w:r>
              <w:rPr>
                <w:rFonts w:ascii="Arial" w:eastAsia="Arial" w:hAnsi="Arial" w:cs="Arial"/>
                <w:b/>
                <w:bCs/>
                <w:color w:val="000000"/>
                <w:sz w:val="24"/>
                <w:szCs w:val="24"/>
                <w:lang w:val="es-CO"/>
              </w:rPr>
              <w:t>agosto</w:t>
            </w:r>
            <w:r w:rsidRPr="007D10E7">
              <w:rPr>
                <w:rFonts w:ascii="Arial" w:eastAsia="Arial" w:hAnsi="Arial" w:cs="Arial"/>
                <w:b/>
                <w:bCs/>
                <w:color w:val="000000"/>
                <w:sz w:val="24"/>
                <w:szCs w:val="24"/>
                <w:lang w:val="es-CO"/>
              </w:rPr>
              <w:t xml:space="preserve"> de 2026</w:t>
            </w:r>
            <w:r w:rsidRPr="007D10E7">
              <w:rPr>
                <w:rFonts w:ascii="Arial" w:eastAsia="Arial" w:hAnsi="Arial" w:cs="Arial"/>
                <w:color w:val="000000"/>
                <w:sz w:val="24"/>
                <w:szCs w:val="24"/>
                <w:lang w:val="es-CO"/>
              </w:rPr>
              <w:t>, ubicándose por debajo de la variación promedio nacional del IPC para el mismo periodo.</w:t>
            </w:r>
          </w:p>
          <w:p w14:paraId="6815C06E" w14:textId="77777777" w:rsidR="00146BB6" w:rsidRPr="007D10E7" w:rsidRDefault="00146BB6" w:rsidP="00146BB6">
            <w:pPr>
              <w:pBdr>
                <w:top w:val="nil"/>
                <w:left w:val="nil"/>
                <w:bottom w:val="nil"/>
                <w:right w:val="nil"/>
                <w:between w:val="nil"/>
              </w:pBdr>
              <w:jc w:val="both"/>
              <w:rPr>
                <w:rFonts w:ascii="Arial" w:eastAsia="Arial" w:hAnsi="Arial" w:cs="Arial"/>
                <w:color w:val="000000"/>
                <w:sz w:val="24"/>
                <w:szCs w:val="24"/>
                <w:lang w:val="es-CO"/>
              </w:rPr>
            </w:pPr>
          </w:p>
          <w:p w14:paraId="258433A0" w14:textId="77777777" w:rsidR="00146BB6" w:rsidRDefault="00146BB6" w:rsidP="00146BB6">
            <w:pPr>
              <w:pBdr>
                <w:top w:val="nil"/>
                <w:left w:val="nil"/>
                <w:bottom w:val="nil"/>
                <w:right w:val="nil"/>
                <w:between w:val="nil"/>
              </w:pBdr>
              <w:jc w:val="both"/>
              <w:rPr>
                <w:rFonts w:ascii="Arial" w:eastAsia="Arial" w:hAnsi="Arial" w:cs="Arial"/>
                <w:color w:val="000000"/>
                <w:sz w:val="24"/>
                <w:szCs w:val="24"/>
                <w:lang w:val="es-CO"/>
              </w:rPr>
            </w:pPr>
            <w:r w:rsidRPr="007D10E7">
              <w:rPr>
                <w:rFonts w:ascii="Arial" w:eastAsia="Arial" w:hAnsi="Arial" w:cs="Arial"/>
                <w:color w:val="000000"/>
                <w:sz w:val="24"/>
                <w:szCs w:val="24"/>
                <w:lang w:val="es-CO"/>
              </w:rPr>
              <w:t>Desde la perspectiva económica del contrato de interventoría, el comportamiento del IPC constituye un indicador de referencia para analizar la evolución general de los precios de bienes y servicios que pueden hacer parte de los costos de operación de los potenciales contratistas. En particular, la inflación puede incidir sobre los gastos administrativos, transporte, comunicaciones, arrendamientos, suministros, herramientas y demás costos asociados al desarrollo de las actividades de seguimiento y control contractual.</w:t>
            </w:r>
          </w:p>
          <w:p w14:paraId="5BBD37AC" w14:textId="77777777" w:rsidR="00146BB6" w:rsidRPr="007D10E7" w:rsidRDefault="00146BB6" w:rsidP="00146BB6">
            <w:pPr>
              <w:pBdr>
                <w:top w:val="nil"/>
                <w:left w:val="nil"/>
                <w:bottom w:val="nil"/>
                <w:right w:val="nil"/>
                <w:between w:val="nil"/>
              </w:pBdr>
              <w:jc w:val="both"/>
              <w:rPr>
                <w:rFonts w:ascii="Arial" w:eastAsia="Arial" w:hAnsi="Arial" w:cs="Arial"/>
                <w:color w:val="000000"/>
                <w:sz w:val="24"/>
                <w:szCs w:val="24"/>
                <w:lang w:val="es-CO"/>
              </w:rPr>
            </w:pPr>
          </w:p>
          <w:p w14:paraId="050DA452" w14:textId="77777777" w:rsidR="00146BB6" w:rsidRPr="007D10E7" w:rsidRDefault="00146BB6" w:rsidP="00146BB6">
            <w:pPr>
              <w:pBdr>
                <w:top w:val="nil"/>
                <w:left w:val="nil"/>
                <w:bottom w:val="nil"/>
                <w:right w:val="nil"/>
                <w:between w:val="nil"/>
              </w:pBdr>
              <w:jc w:val="both"/>
              <w:rPr>
                <w:rFonts w:ascii="Arial" w:eastAsia="Arial" w:hAnsi="Arial" w:cs="Arial"/>
                <w:color w:val="000000"/>
                <w:sz w:val="24"/>
                <w:szCs w:val="24"/>
                <w:lang w:val="es-CO"/>
              </w:rPr>
            </w:pPr>
            <w:r w:rsidRPr="007D10E7">
              <w:rPr>
                <w:rFonts w:ascii="Arial" w:eastAsia="Arial" w:hAnsi="Arial" w:cs="Arial"/>
                <w:color w:val="000000"/>
                <w:sz w:val="24"/>
                <w:szCs w:val="24"/>
                <w:lang w:val="es-CO"/>
              </w:rPr>
              <w:t xml:space="preserve">No obstante, debido a la naturaleza del objeto contractual, debe considerarse que el componente de mayor relevancia dentro de la estructura de costos de la interventoría corresponde al </w:t>
            </w:r>
            <w:r w:rsidRPr="007D10E7">
              <w:rPr>
                <w:rFonts w:ascii="Arial" w:eastAsia="Arial" w:hAnsi="Arial" w:cs="Arial"/>
                <w:b/>
                <w:bCs/>
                <w:color w:val="000000"/>
                <w:sz w:val="24"/>
                <w:szCs w:val="24"/>
                <w:lang w:val="es-CO"/>
              </w:rPr>
              <w:t>talento humano profesional y técnico requerido para la ejecución del servicio</w:t>
            </w:r>
            <w:r w:rsidRPr="007D10E7">
              <w:rPr>
                <w:rFonts w:ascii="Arial" w:eastAsia="Arial" w:hAnsi="Arial" w:cs="Arial"/>
                <w:color w:val="000000"/>
                <w:sz w:val="24"/>
                <w:szCs w:val="24"/>
                <w:lang w:val="es-CO"/>
              </w:rPr>
              <w:t xml:space="preserve">. Por esta razón, el IPC constituye una variable de contexto económico que debe analizarse conjuntamente con el comportamiento del mercado laboral, los costos salariales y profesionales y las demás variables que inciden directamente en el costo </w:t>
            </w:r>
            <w:r w:rsidRPr="007D10E7">
              <w:rPr>
                <w:rFonts w:ascii="Arial" w:eastAsia="Arial" w:hAnsi="Arial" w:cs="Arial"/>
                <w:color w:val="000000"/>
                <w:sz w:val="24"/>
                <w:szCs w:val="24"/>
                <w:lang w:val="es-CO"/>
              </w:rPr>
              <w:lastRenderedPageBreak/>
              <w:t>de los servicios de consultoría especializada.</w:t>
            </w:r>
          </w:p>
          <w:p w14:paraId="41B0C5D7" w14:textId="77777777" w:rsidR="00146BB6" w:rsidRDefault="00146BB6" w:rsidP="007D10E7">
            <w:pPr>
              <w:pBdr>
                <w:top w:val="nil"/>
                <w:left w:val="nil"/>
                <w:bottom w:val="nil"/>
                <w:right w:val="nil"/>
                <w:between w:val="nil"/>
              </w:pBdr>
              <w:jc w:val="both"/>
              <w:rPr>
                <w:rFonts w:ascii="Arial" w:eastAsia="Arial" w:hAnsi="Arial" w:cs="Arial"/>
                <w:color w:val="000000"/>
                <w:sz w:val="24"/>
                <w:szCs w:val="24"/>
                <w:lang w:val="es-CO"/>
              </w:rPr>
            </w:pPr>
          </w:p>
          <w:p w14:paraId="6CF95A46" w14:textId="017A08D0" w:rsidR="007D10E7" w:rsidRDefault="007D10E7" w:rsidP="007D10E7">
            <w:pPr>
              <w:pBdr>
                <w:top w:val="nil"/>
                <w:left w:val="nil"/>
                <w:bottom w:val="nil"/>
                <w:right w:val="nil"/>
                <w:between w:val="nil"/>
              </w:pBdr>
              <w:jc w:val="both"/>
              <w:rPr>
                <w:rFonts w:ascii="Arial" w:eastAsia="Arial" w:hAnsi="Arial" w:cs="Arial"/>
                <w:color w:val="000000"/>
                <w:sz w:val="24"/>
                <w:szCs w:val="24"/>
                <w:lang w:val="es-CO"/>
              </w:rPr>
            </w:pPr>
            <w:r w:rsidRPr="007D10E7">
              <w:rPr>
                <w:rFonts w:ascii="Arial" w:eastAsia="Arial" w:hAnsi="Arial" w:cs="Arial"/>
                <w:color w:val="000000"/>
                <w:sz w:val="24"/>
                <w:szCs w:val="24"/>
                <w:lang w:val="es-CO"/>
              </w:rPr>
              <w:t>Adicionalmente, el comportamiento de la inflación resulta relevante para el análisis de los contratos de obra que serán objeto de interventoría, dado que las variaciones de precios pueden incidir sobre los costos de materiales, equipos, transporte y demás componentes de las obras. En consecuencia, la interventoría deberá realizar el seguimiento correspondiente a la ejecución financiera y presupuestal de los contratos, dentro del alcance de sus obligaciones.</w:t>
            </w:r>
          </w:p>
          <w:p w14:paraId="4094A9BE" w14:textId="77777777" w:rsidR="007D10E7" w:rsidRPr="007D10E7" w:rsidRDefault="007D10E7" w:rsidP="007D10E7">
            <w:pPr>
              <w:pBdr>
                <w:top w:val="nil"/>
                <w:left w:val="nil"/>
                <w:bottom w:val="nil"/>
                <w:right w:val="nil"/>
                <w:between w:val="nil"/>
              </w:pBdr>
              <w:jc w:val="both"/>
              <w:rPr>
                <w:rFonts w:ascii="Arial" w:eastAsia="Arial" w:hAnsi="Arial" w:cs="Arial"/>
                <w:color w:val="000000"/>
                <w:sz w:val="24"/>
                <w:szCs w:val="24"/>
                <w:lang w:val="es-CO"/>
              </w:rPr>
            </w:pPr>
          </w:p>
          <w:p w14:paraId="2324258E" w14:textId="77777777" w:rsidR="007F1996" w:rsidRDefault="007F1996" w:rsidP="007F1996">
            <w:pPr>
              <w:pBdr>
                <w:top w:val="nil"/>
                <w:left w:val="nil"/>
                <w:bottom w:val="nil"/>
                <w:right w:val="nil"/>
                <w:between w:val="nil"/>
              </w:pBdr>
              <w:jc w:val="both"/>
              <w:rPr>
                <w:rFonts w:ascii="Arial" w:eastAsia="Arial" w:hAnsi="Arial" w:cs="Arial"/>
                <w:color w:val="000000"/>
                <w:sz w:val="24"/>
                <w:szCs w:val="24"/>
                <w:lang w:val="es-CO"/>
              </w:rPr>
            </w:pPr>
            <w:r w:rsidRPr="007D10E7">
              <w:rPr>
                <w:rFonts w:ascii="Arial" w:eastAsia="Arial" w:hAnsi="Arial" w:cs="Arial"/>
                <w:color w:val="000000"/>
                <w:sz w:val="24"/>
                <w:szCs w:val="24"/>
                <w:lang w:val="es-CO"/>
              </w:rPr>
              <w:t xml:space="preserve">En este contexto, la variación acumulada del IPC de </w:t>
            </w:r>
            <w:r>
              <w:rPr>
                <w:rFonts w:ascii="Arial" w:eastAsia="Arial" w:hAnsi="Arial" w:cs="Arial"/>
                <w:b/>
                <w:bCs/>
                <w:color w:val="000000"/>
                <w:sz w:val="24"/>
                <w:szCs w:val="24"/>
                <w:lang w:val="es-CO"/>
              </w:rPr>
              <w:t>5</w:t>
            </w:r>
            <w:r w:rsidRPr="007D10E7">
              <w:rPr>
                <w:rFonts w:ascii="Arial" w:eastAsia="Arial" w:hAnsi="Arial" w:cs="Arial"/>
                <w:b/>
                <w:bCs/>
                <w:color w:val="000000"/>
                <w:sz w:val="24"/>
                <w:szCs w:val="24"/>
                <w:lang w:val="es-CO"/>
              </w:rPr>
              <w:t>,</w:t>
            </w:r>
            <w:r>
              <w:rPr>
                <w:rFonts w:ascii="Arial" w:eastAsia="Arial" w:hAnsi="Arial" w:cs="Arial"/>
                <w:b/>
                <w:bCs/>
                <w:color w:val="000000"/>
                <w:sz w:val="24"/>
                <w:szCs w:val="24"/>
                <w:lang w:val="es-CO"/>
              </w:rPr>
              <w:t>35</w:t>
            </w:r>
            <w:r w:rsidRPr="007D10E7">
              <w:rPr>
                <w:rFonts w:ascii="Arial" w:eastAsia="Arial" w:hAnsi="Arial" w:cs="Arial"/>
                <w:b/>
                <w:bCs/>
                <w:color w:val="000000"/>
                <w:sz w:val="24"/>
                <w:szCs w:val="24"/>
                <w:lang w:val="es-CO"/>
              </w:rPr>
              <w:t xml:space="preserve"> % a </w:t>
            </w:r>
            <w:r>
              <w:rPr>
                <w:rFonts w:ascii="Arial" w:eastAsia="Arial" w:hAnsi="Arial" w:cs="Arial"/>
                <w:b/>
                <w:bCs/>
                <w:color w:val="000000"/>
                <w:sz w:val="24"/>
                <w:szCs w:val="24"/>
                <w:lang w:val="es-CO"/>
              </w:rPr>
              <w:t>agosto</w:t>
            </w:r>
            <w:r w:rsidRPr="007D10E7">
              <w:rPr>
                <w:rFonts w:ascii="Arial" w:eastAsia="Arial" w:hAnsi="Arial" w:cs="Arial"/>
                <w:b/>
                <w:bCs/>
                <w:color w:val="000000"/>
                <w:sz w:val="24"/>
                <w:szCs w:val="24"/>
                <w:lang w:val="es-CO"/>
              </w:rPr>
              <w:t xml:space="preserve"> de 2026</w:t>
            </w:r>
            <w:r w:rsidRPr="007D10E7">
              <w:rPr>
                <w:rFonts w:ascii="Arial" w:eastAsia="Arial" w:hAnsi="Arial" w:cs="Arial"/>
                <w:color w:val="000000"/>
                <w:sz w:val="24"/>
                <w:szCs w:val="24"/>
                <w:lang w:val="es-CO"/>
              </w:rPr>
              <w:t xml:space="preserve"> constituye un referente para caracterizar las condiciones económicas vigentes al momento de estructurar el proceso, sin que por sí sola determine el valor del contrato de interventoría, el cual deberá establecerse de acuerdo con las necesidades reales del servicio, el equipo de trabajo requerido, sus dedicaciones, el plazo contractual, los costos directos e indirectos y las demás condiciones particulares del mercado.</w:t>
            </w:r>
          </w:p>
          <w:p w14:paraId="29E8734B" w14:textId="77777777" w:rsidR="007D10E7" w:rsidRPr="007D10E7" w:rsidRDefault="007D10E7" w:rsidP="007D10E7">
            <w:pPr>
              <w:pBdr>
                <w:top w:val="nil"/>
                <w:left w:val="nil"/>
                <w:bottom w:val="nil"/>
                <w:right w:val="nil"/>
                <w:between w:val="nil"/>
              </w:pBdr>
              <w:jc w:val="both"/>
              <w:rPr>
                <w:rFonts w:ascii="Arial" w:eastAsia="Arial" w:hAnsi="Arial" w:cs="Arial"/>
                <w:color w:val="000000"/>
                <w:sz w:val="24"/>
                <w:szCs w:val="24"/>
                <w:lang w:val="es-CO"/>
              </w:rPr>
            </w:pPr>
          </w:p>
          <w:p w14:paraId="38141E09" w14:textId="77777777" w:rsidR="007D10E7" w:rsidRPr="007D10E7" w:rsidRDefault="007D10E7" w:rsidP="007D10E7">
            <w:pPr>
              <w:pBdr>
                <w:top w:val="nil"/>
                <w:left w:val="nil"/>
                <w:bottom w:val="nil"/>
                <w:right w:val="nil"/>
                <w:between w:val="nil"/>
              </w:pBdr>
              <w:jc w:val="both"/>
              <w:rPr>
                <w:rFonts w:ascii="Arial" w:eastAsia="Arial" w:hAnsi="Arial" w:cs="Arial"/>
                <w:color w:val="000000"/>
                <w:sz w:val="24"/>
                <w:szCs w:val="24"/>
                <w:lang w:val="es-CO"/>
              </w:rPr>
            </w:pPr>
            <w:r w:rsidRPr="007D10E7">
              <w:rPr>
                <w:rFonts w:ascii="Arial" w:eastAsia="Arial" w:hAnsi="Arial" w:cs="Arial"/>
                <w:color w:val="000000"/>
                <w:sz w:val="24"/>
                <w:szCs w:val="24"/>
                <w:lang w:val="es-CO"/>
              </w:rPr>
              <w:t>En conclusión, el comportamiento del IPC durante 2026 evidencia un incremento acumulado de los precios de la economía que debe ser considerado dentro del análisis de las condiciones económicas del mercado. Para el presente proceso, su incidencia deberá evaluarse principalmente frente a los costos operativos y de talento humano asociados a la prestación de los servicios de interventoría, así como en relación con la dinámica económica de los contratos de obra objeto de seguimiento.</w:t>
            </w:r>
          </w:p>
          <w:p w14:paraId="394CAF2B" w14:textId="77777777" w:rsidR="007D10E7" w:rsidRDefault="007D10E7">
            <w:pPr>
              <w:widowControl/>
              <w:pBdr>
                <w:top w:val="nil"/>
                <w:left w:val="nil"/>
                <w:bottom w:val="nil"/>
                <w:right w:val="nil"/>
                <w:between w:val="nil"/>
              </w:pBdr>
              <w:jc w:val="both"/>
              <w:rPr>
                <w:rFonts w:ascii="Arial" w:eastAsia="Arial" w:hAnsi="Arial" w:cs="Arial"/>
                <w:color w:val="000000"/>
                <w:sz w:val="24"/>
                <w:szCs w:val="24"/>
                <w:lang w:val="es-CO"/>
              </w:rPr>
            </w:pPr>
          </w:p>
          <w:p w14:paraId="00BE9684" w14:textId="5A91DC75" w:rsidR="00E11C72" w:rsidRDefault="005C7269" w:rsidP="00E11C72">
            <w:pPr>
              <w:pBdr>
                <w:top w:val="nil"/>
                <w:left w:val="nil"/>
                <w:bottom w:val="nil"/>
                <w:right w:val="nil"/>
                <w:between w:val="nil"/>
              </w:pBdr>
              <w:jc w:val="both"/>
              <w:rPr>
                <w:rFonts w:ascii="Arial" w:eastAsia="Arial" w:hAnsi="Arial" w:cs="Arial"/>
                <w:b/>
                <w:bCs/>
                <w:color w:val="000000"/>
                <w:sz w:val="24"/>
                <w:szCs w:val="24"/>
                <w:lang w:val="es-CO"/>
              </w:rPr>
            </w:pPr>
            <w:r w:rsidRPr="00E11C72">
              <w:rPr>
                <w:rFonts w:ascii="Arial" w:eastAsia="Arial" w:hAnsi="Arial" w:cs="Arial"/>
                <w:b/>
                <w:bCs/>
                <w:color w:val="000000"/>
                <w:sz w:val="24"/>
                <w:szCs w:val="24"/>
                <w:lang w:val="es-CO"/>
              </w:rPr>
              <w:t>MERCADO LABORAL Y COSTOS DEL TALENTO HUMANO</w:t>
            </w:r>
          </w:p>
          <w:p w14:paraId="3D4CD312" w14:textId="77777777" w:rsidR="0082469A" w:rsidRPr="00E11C72" w:rsidRDefault="0082469A" w:rsidP="00E11C72">
            <w:pPr>
              <w:pBdr>
                <w:top w:val="nil"/>
                <w:left w:val="nil"/>
                <w:bottom w:val="nil"/>
                <w:right w:val="nil"/>
                <w:between w:val="nil"/>
              </w:pBdr>
              <w:jc w:val="both"/>
              <w:rPr>
                <w:rFonts w:ascii="Arial" w:eastAsia="Arial" w:hAnsi="Arial" w:cs="Arial"/>
                <w:b/>
                <w:bCs/>
                <w:color w:val="000000"/>
                <w:sz w:val="24"/>
                <w:szCs w:val="24"/>
                <w:lang w:val="es-CO"/>
              </w:rPr>
            </w:pPr>
          </w:p>
          <w:p w14:paraId="422C2B2D" w14:textId="77777777" w:rsidR="00D12BEE" w:rsidRDefault="00D12BEE" w:rsidP="00D12BEE">
            <w:pPr>
              <w:pBdr>
                <w:top w:val="nil"/>
                <w:left w:val="nil"/>
                <w:bottom w:val="nil"/>
                <w:right w:val="nil"/>
                <w:between w:val="nil"/>
              </w:pBdr>
              <w:jc w:val="both"/>
              <w:rPr>
                <w:rFonts w:ascii="Arial" w:eastAsia="Arial" w:hAnsi="Arial" w:cs="Arial"/>
                <w:color w:val="000000"/>
                <w:sz w:val="24"/>
                <w:szCs w:val="24"/>
                <w:lang w:val="es-CO"/>
              </w:rPr>
            </w:pPr>
            <w:r w:rsidRPr="00D12BEE">
              <w:rPr>
                <w:rFonts w:ascii="Arial" w:eastAsia="Arial" w:hAnsi="Arial" w:cs="Arial"/>
                <w:color w:val="000000"/>
                <w:sz w:val="24"/>
                <w:szCs w:val="24"/>
                <w:lang w:val="es-CO"/>
              </w:rPr>
              <w:t>El comportamiento del mercado laboral constituye una variable macroeconómica de especial relevancia para el presente proceso, teniendo en cuenta que la prestación de los servicios de interventoría de obra pública depende principalmente de la disponibilidad y de los costos asociados al talento humano profesional, técnico y administrativo requerido para desarrollar las actividades de seguimiento técnico, administrativo, jurídico, financiero, ambiental y contable.</w:t>
            </w:r>
          </w:p>
          <w:p w14:paraId="4A352E2B" w14:textId="77777777" w:rsidR="00D12BEE" w:rsidRDefault="00D12BEE" w:rsidP="00D12BEE">
            <w:pPr>
              <w:pBdr>
                <w:top w:val="nil"/>
                <w:left w:val="nil"/>
                <w:bottom w:val="nil"/>
                <w:right w:val="nil"/>
                <w:between w:val="nil"/>
              </w:pBdr>
              <w:jc w:val="both"/>
              <w:rPr>
                <w:rFonts w:ascii="Arial" w:eastAsia="Arial" w:hAnsi="Arial" w:cs="Arial"/>
                <w:color w:val="000000"/>
                <w:sz w:val="24"/>
                <w:szCs w:val="24"/>
                <w:lang w:val="es-CO"/>
              </w:rPr>
            </w:pPr>
          </w:p>
          <w:p w14:paraId="529A223C" w14:textId="77777777" w:rsidR="004405D9" w:rsidRDefault="004405D9" w:rsidP="004405D9">
            <w:pPr>
              <w:pBdr>
                <w:top w:val="nil"/>
                <w:left w:val="nil"/>
                <w:bottom w:val="nil"/>
                <w:right w:val="nil"/>
                <w:between w:val="nil"/>
              </w:pBdr>
              <w:jc w:val="center"/>
              <w:rPr>
                <w:rFonts w:ascii="Arial" w:eastAsia="Arial" w:hAnsi="Arial" w:cs="Arial"/>
                <w:b/>
                <w:bCs/>
                <w:color w:val="000000"/>
                <w:sz w:val="20"/>
                <w:szCs w:val="20"/>
                <w:lang w:val="es-CO"/>
              </w:rPr>
            </w:pPr>
          </w:p>
          <w:p w14:paraId="350E8106" w14:textId="77777777" w:rsidR="004405D9" w:rsidRDefault="004405D9" w:rsidP="004405D9">
            <w:pPr>
              <w:pBdr>
                <w:top w:val="nil"/>
                <w:left w:val="nil"/>
                <w:bottom w:val="nil"/>
                <w:right w:val="nil"/>
                <w:between w:val="nil"/>
              </w:pBdr>
              <w:jc w:val="center"/>
              <w:rPr>
                <w:rFonts w:ascii="Arial" w:eastAsia="Arial" w:hAnsi="Arial" w:cs="Arial"/>
                <w:b/>
                <w:bCs/>
                <w:color w:val="000000"/>
                <w:sz w:val="20"/>
                <w:szCs w:val="20"/>
                <w:lang w:val="es-CO"/>
              </w:rPr>
            </w:pPr>
          </w:p>
          <w:p w14:paraId="15FE9C8F" w14:textId="77777777" w:rsidR="004405D9" w:rsidRDefault="004405D9" w:rsidP="004405D9">
            <w:pPr>
              <w:pBdr>
                <w:top w:val="nil"/>
                <w:left w:val="nil"/>
                <w:bottom w:val="nil"/>
                <w:right w:val="nil"/>
                <w:between w:val="nil"/>
              </w:pBdr>
              <w:jc w:val="center"/>
              <w:rPr>
                <w:rFonts w:ascii="Arial" w:eastAsia="Arial" w:hAnsi="Arial" w:cs="Arial"/>
                <w:b/>
                <w:bCs/>
                <w:color w:val="000000"/>
                <w:sz w:val="20"/>
                <w:szCs w:val="20"/>
                <w:lang w:val="es-CO"/>
              </w:rPr>
            </w:pPr>
          </w:p>
          <w:p w14:paraId="2D8E3174" w14:textId="77777777" w:rsidR="004405D9" w:rsidRDefault="004405D9" w:rsidP="004405D9">
            <w:pPr>
              <w:pBdr>
                <w:top w:val="nil"/>
                <w:left w:val="nil"/>
                <w:bottom w:val="nil"/>
                <w:right w:val="nil"/>
                <w:between w:val="nil"/>
              </w:pBdr>
              <w:jc w:val="center"/>
              <w:rPr>
                <w:rFonts w:ascii="Arial" w:eastAsia="Arial" w:hAnsi="Arial" w:cs="Arial"/>
                <w:b/>
                <w:bCs/>
                <w:color w:val="000000"/>
                <w:sz w:val="20"/>
                <w:szCs w:val="20"/>
                <w:lang w:val="es-CO"/>
              </w:rPr>
            </w:pPr>
          </w:p>
          <w:p w14:paraId="4056D021" w14:textId="77777777" w:rsidR="004405D9" w:rsidRDefault="004405D9" w:rsidP="004405D9">
            <w:pPr>
              <w:pBdr>
                <w:top w:val="nil"/>
                <w:left w:val="nil"/>
                <w:bottom w:val="nil"/>
                <w:right w:val="nil"/>
                <w:between w:val="nil"/>
              </w:pBdr>
              <w:jc w:val="center"/>
              <w:rPr>
                <w:rFonts w:ascii="Arial" w:eastAsia="Arial" w:hAnsi="Arial" w:cs="Arial"/>
                <w:b/>
                <w:bCs/>
                <w:color w:val="000000"/>
                <w:sz w:val="20"/>
                <w:szCs w:val="20"/>
                <w:lang w:val="es-CO"/>
              </w:rPr>
            </w:pPr>
          </w:p>
          <w:p w14:paraId="62CECB0B" w14:textId="77777777" w:rsidR="004405D9" w:rsidRDefault="004405D9" w:rsidP="004405D9">
            <w:pPr>
              <w:pBdr>
                <w:top w:val="nil"/>
                <w:left w:val="nil"/>
                <w:bottom w:val="nil"/>
                <w:right w:val="nil"/>
                <w:between w:val="nil"/>
              </w:pBdr>
              <w:jc w:val="center"/>
              <w:rPr>
                <w:rFonts w:ascii="Arial" w:eastAsia="Arial" w:hAnsi="Arial" w:cs="Arial"/>
                <w:b/>
                <w:bCs/>
                <w:color w:val="000000"/>
                <w:sz w:val="20"/>
                <w:szCs w:val="20"/>
                <w:lang w:val="es-CO"/>
              </w:rPr>
            </w:pPr>
          </w:p>
          <w:p w14:paraId="378E6FCE" w14:textId="5D7B6B43" w:rsidR="004405D9" w:rsidRPr="0082469A" w:rsidRDefault="004405D9" w:rsidP="004405D9">
            <w:pPr>
              <w:pBdr>
                <w:top w:val="nil"/>
                <w:left w:val="nil"/>
                <w:bottom w:val="nil"/>
                <w:right w:val="nil"/>
                <w:between w:val="nil"/>
              </w:pBdr>
              <w:jc w:val="center"/>
              <w:rPr>
                <w:rFonts w:ascii="Arial" w:eastAsia="Arial" w:hAnsi="Arial" w:cs="Arial"/>
                <w:b/>
                <w:bCs/>
                <w:color w:val="000000"/>
                <w:sz w:val="20"/>
                <w:szCs w:val="20"/>
                <w:lang w:val="es-CO"/>
              </w:rPr>
            </w:pPr>
            <w:r>
              <w:rPr>
                <w:rFonts w:ascii="Arial" w:eastAsia="Arial" w:hAnsi="Arial" w:cs="Arial"/>
                <w:b/>
                <w:bCs/>
                <w:color w:val="000000"/>
                <w:sz w:val="20"/>
                <w:szCs w:val="20"/>
                <w:lang w:val="es-CO"/>
              </w:rPr>
              <w:lastRenderedPageBreak/>
              <w:t xml:space="preserve">Grafica 3. </w:t>
            </w:r>
            <w:r w:rsidRPr="0082469A">
              <w:rPr>
                <w:rFonts w:ascii="Arial" w:eastAsia="Arial" w:hAnsi="Arial" w:cs="Arial"/>
                <w:b/>
                <w:bCs/>
                <w:color w:val="000000"/>
                <w:sz w:val="20"/>
                <w:szCs w:val="20"/>
                <w:lang w:val="es-CO"/>
              </w:rPr>
              <w:t>Tasa global de participación (TGP), Tasa de ocupación (TO) y Tasa de desocupación (TD)</w:t>
            </w:r>
          </w:p>
          <w:p w14:paraId="4D5F7658" w14:textId="77777777" w:rsidR="00C92C48" w:rsidRPr="0082469A" w:rsidRDefault="004405D9" w:rsidP="00C92C48">
            <w:pPr>
              <w:pBdr>
                <w:top w:val="nil"/>
                <w:left w:val="nil"/>
                <w:bottom w:val="nil"/>
                <w:right w:val="nil"/>
                <w:between w:val="nil"/>
              </w:pBdr>
              <w:jc w:val="center"/>
              <w:rPr>
                <w:rFonts w:ascii="Arial" w:eastAsia="Arial" w:hAnsi="Arial" w:cs="Arial"/>
                <w:b/>
                <w:bCs/>
                <w:color w:val="000000"/>
                <w:sz w:val="20"/>
                <w:szCs w:val="20"/>
                <w:lang w:val="es-CO"/>
              </w:rPr>
            </w:pPr>
            <w:r w:rsidRPr="0082469A">
              <w:rPr>
                <w:rFonts w:ascii="Arial" w:eastAsia="Arial" w:hAnsi="Arial" w:cs="Arial"/>
                <w:b/>
                <w:bCs/>
                <w:color w:val="000000"/>
                <w:sz w:val="20"/>
                <w:szCs w:val="20"/>
                <w:lang w:val="es-CO"/>
              </w:rPr>
              <w:t>Total nacional</w:t>
            </w:r>
            <w:r w:rsidRPr="0082469A">
              <w:rPr>
                <w:rFonts w:ascii="Arial" w:eastAsia="Arial" w:hAnsi="Arial" w:cs="Arial"/>
                <w:b/>
                <w:bCs/>
                <w:color w:val="000000"/>
                <w:sz w:val="20"/>
                <w:szCs w:val="20"/>
                <w:lang w:val="es-CO"/>
              </w:rPr>
              <w:br/>
            </w:r>
            <w:r w:rsidR="00C92C48" w:rsidRPr="0082469A">
              <w:rPr>
                <w:rFonts w:ascii="Arial" w:eastAsia="Arial" w:hAnsi="Arial" w:cs="Arial"/>
                <w:b/>
                <w:bCs/>
                <w:color w:val="000000"/>
                <w:sz w:val="20"/>
                <w:szCs w:val="20"/>
                <w:lang w:val="es-CO"/>
              </w:rPr>
              <w:t>Ju</w:t>
            </w:r>
            <w:r w:rsidR="00C92C48">
              <w:rPr>
                <w:rFonts w:ascii="Arial" w:eastAsia="Arial" w:hAnsi="Arial" w:cs="Arial"/>
                <w:b/>
                <w:bCs/>
                <w:color w:val="000000"/>
                <w:sz w:val="20"/>
                <w:szCs w:val="20"/>
                <w:lang w:val="es-CO"/>
              </w:rPr>
              <w:t>l</w:t>
            </w:r>
            <w:r w:rsidR="00C92C48" w:rsidRPr="0082469A">
              <w:rPr>
                <w:rFonts w:ascii="Arial" w:eastAsia="Arial" w:hAnsi="Arial" w:cs="Arial"/>
                <w:b/>
                <w:bCs/>
                <w:color w:val="000000"/>
                <w:sz w:val="20"/>
                <w:szCs w:val="20"/>
                <w:lang w:val="es-CO"/>
              </w:rPr>
              <w:t>io (2025-2026)</w:t>
            </w:r>
          </w:p>
          <w:p w14:paraId="624BF046" w14:textId="77777777" w:rsidR="00C92C48" w:rsidRPr="00E11C72"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9E489F">
              <w:rPr>
                <w:rFonts w:ascii="Arial" w:eastAsia="Arial" w:hAnsi="Arial" w:cs="Arial"/>
                <w:noProof/>
                <w:color w:val="000000"/>
                <w:sz w:val="24"/>
                <w:szCs w:val="24"/>
                <w:lang w:val="es-CO"/>
              </w:rPr>
              <w:drawing>
                <wp:inline distT="0" distB="0" distL="0" distR="0" wp14:anchorId="2A490541" wp14:editId="4E5B6621">
                  <wp:extent cx="5768840" cy="1752752"/>
                  <wp:effectExtent l="0" t="0" r="3810" b="0"/>
                  <wp:docPr id="7706270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27018" name=""/>
                          <pic:cNvPicPr/>
                        </pic:nvPicPr>
                        <pic:blipFill>
                          <a:blip r:embed="rId14"/>
                          <a:stretch>
                            <a:fillRect/>
                          </a:stretch>
                        </pic:blipFill>
                        <pic:spPr>
                          <a:xfrm>
                            <a:off x="0" y="0"/>
                            <a:ext cx="5768840" cy="1752752"/>
                          </a:xfrm>
                          <a:prstGeom prst="rect">
                            <a:avLst/>
                          </a:prstGeom>
                        </pic:spPr>
                      </pic:pic>
                    </a:graphicData>
                  </a:graphic>
                </wp:inline>
              </w:drawing>
            </w:r>
          </w:p>
          <w:p w14:paraId="164D9343" w14:textId="77777777" w:rsidR="00C92C48" w:rsidRPr="00D12BEE"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39171F0C"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
              </w:rPr>
            </w:pPr>
            <w:r w:rsidRPr="009E489F">
              <w:rPr>
                <w:rFonts w:ascii="Arial" w:eastAsia="Arial" w:hAnsi="Arial" w:cs="Arial"/>
                <w:color w:val="000000"/>
                <w:sz w:val="24"/>
                <w:szCs w:val="24"/>
                <w:lang w:val="es"/>
              </w:rPr>
              <w:t xml:space="preserve">De acuerdo con la información publicada por el Departamento Administrativo Nacional de Estadística – DANE, correspondiente al mes de julio de 2026, la tasa de desocupación del total nacional se ubicó en </w:t>
            </w:r>
            <w:r w:rsidRPr="009E489F">
              <w:rPr>
                <w:rFonts w:ascii="Arial" w:eastAsia="Arial" w:hAnsi="Arial" w:cs="Arial"/>
                <w:b/>
                <w:bCs/>
                <w:color w:val="000000"/>
                <w:sz w:val="24"/>
                <w:szCs w:val="24"/>
                <w:lang w:val="es"/>
              </w:rPr>
              <w:t>8,1 %</w:t>
            </w:r>
            <w:r w:rsidRPr="009E489F">
              <w:rPr>
                <w:rFonts w:ascii="Arial" w:eastAsia="Arial" w:hAnsi="Arial" w:cs="Arial"/>
                <w:color w:val="000000"/>
                <w:sz w:val="24"/>
                <w:szCs w:val="24"/>
                <w:lang w:val="es"/>
              </w:rPr>
              <w:t xml:space="preserve">, presentando una disminución de </w:t>
            </w:r>
            <w:r w:rsidRPr="009E489F">
              <w:rPr>
                <w:rFonts w:ascii="Arial" w:eastAsia="Arial" w:hAnsi="Arial" w:cs="Arial"/>
                <w:b/>
                <w:bCs/>
                <w:color w:val="000000"/>
                <w:sz w:val="24"/>
                <w:szCs w:val="24"/>
                <w:lang w:val="es"/>
              </w:rPr>
              <w:t>0,7 puntos porcentuales</w:t>
            </w:r>
            <w:r w:rsidRPr="009E489F">
              <w:rPr>
                <w:rFonts w:ascii="Arial" w:eastAsia="Arial" w:hAnsi="Arial" w:cs="Arial"/>
                <w:color w:val="000000"/>
                <w:sz w:val="24"/>
                <w:szCs w:val="24"/>
                <w:lang w:val="es"/>
              </w:rPr>
              <w:t xml:space="preserve"> frente al mismo mes de 2025, cuando se ubicó en 8,8 %. Por su parte, la tasa global de participación fue de </w:t>
            </w:r>
            <w:r w:rsidRPr="009E489F">
              <w:rPr>
                <w:rFonts w:ascii="Arial" w:eastAsia="Arial" w:hAnsi="Arial" w:cs="Arial"/>
                <w:b/>
                <w:bCs/>
                <w:color w:val="000000"/>
                <w:sz w:val="24"/>
                <w:szCs w:val="24"/>
                <w:lang w:val="es"/>
              </w:rPr>
              <w:t>64,8 %</w:t>
            </w:r>
            <w:r w:rsidRPr="009E489F">
              <w:rPr>
                <w:rFonts w:ascii="Arial" w:eastAsia="Arial" w:hAnsi="Arial" w:cs="Arial"/>
                <w:color w:val="000000"/>
                <w:sz w:val="24"/>
                <w:szCs w:val="24"/>
                <w:lang w:val="es"/>
              </w:rPr>
              <w:t xml:space="preserve"> y la tasa de ocupación alcanzó el </w:t>
            </w:r>
            <w:r w:rsidRPr="009E489F">
              <w:rPr>
                <w:rFonts w:ascii="Arial" w:eastAsia="Arial" w:hAnsi="Arial" w:cs="Arial"/>
                <w:b/>
                <w:bCs/>
                <w:color w:val="000000"/>
                <w:sz w:val="24"/>
                <w:szCs w:val="24"/>
                <w:lang w:val="es"/>
              </w:rPr>
              <w:t>59,5 %</w:t>
            </w:r>
            <w:r w:rsidRPr="009E489F">
              <w:rPr>
                <w:rFonts w:ascii="Arial" w:eastAsia="Arial" w:hAnsi="Arial" w:cs="Arial"/>
                <w:color w:val="000000"/>
                <w:sz w:val="24"/>
                <w:szCs w:val="24"/>
                <w:lang w:val="es"/>
              </w:rPr>
              <w:t xml:space="preserve">, evidenciando el comportamiento de la oferta y demanda de trabajo en el mercado laboral colombiano. Para el conjunto de las 13 ciudades y áreas metropolitanas, la tasa de desocupación fue de </w:t>
            </w:r>
            <w:r w:rsidRPr="009E489F">
              <w:rPr>
                <w:rFonts w:ascii="Arial" w:eastAsia="Arial" w:hAnsi="Arial" w:cs="Arial"/>
                <w:b/>
                <w:bCs/>
                <w:color w:val="000000"/>
                <w:sz w:val="24"/>
                <w:szCs w:val="24"/>
                <w:lang w:val="es"/>
              </w:rPr>
              <w:t>8,5 %</w:t>
            </w:r>
            <w:r w:rsidRPr="009E489F">
              <w:rPr>
                <w:rFonts w:ascii="Arial" w:eastAsia="Arial" w:hAnsi="Arial" w:cs="Arial"/>
                <w:color w:val="000000"/>
                <w:sz w:val="24"/>
                <w:szCs w:val="24"/>
                <w:lang w:val="es"/>
              </w:rPr>
              <w:t xml:space="preserve"> en julio de 2026. </w:t>
            </w:r>
          </w:p>
          <w:p w14:paraId="470EE18E"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20EFE865" w14:textId="77777777" w:rsidR="00C92C48" w:rsidRPr="005A0A8D" w:rsidRDefault="00C92C48" w:rsidP="00C92C48">
            <w:pPr>
              <w:pBdr>
                <w:top w:val="nil"/>
                <w:left w:val="nil"/>
                <w:bottom w:val="nil"/>
                <w:right w:val="nil"/>
                <w:between w:val="nil"/>
              </w:pBdr>
              <w:jc w:val="both"/>
              <w:rPr>
                <w:rFonts w:ascii="Arial" w:eastAsia="Arial" w:hAnsi="Arial" w:cs="Arial"/>
                <w:b/>
                <w:bCs/>
                <w:color w:val="000000"/>
                <w:sz w:val="20"/>
                <w:szCs w:val="20"/>
                <w:lang w:val="es-CO"/>
              </w:rPr>
            </w:pPr>
            <w:r w:rsidRPr="005A0A8D">
              <w:rPr>
                <w:rFonts w:ascii="Arial" w:eastAsia="Arial" w:hAnsi="Arial" w:cs="Arial"/>
                <w:b/>
                <w:bCs/>
                <w:color w:val="000000"/>
                <w:sz w:val="20"/>
                <w:szCs w:val="20"/>
                <w:lang w:val="es-CO"/>
              </w:rPr>
              <w:t xml:space="preserve">Tabla </w:t>
            </w:r>
            <w:r>
              <w:rPr>
                <w:rFonts w:ascii="Arial" w:eastAsia="Arial" w:hAnsi="Arial" w:cs="Arial"/>
                <w:b/>
                <w:bCs/>
                <w:color w:val="000000"/>
                <w:sz w:val="20"/>
                <w:szCs w:val="20"/>
                <w:lang w:val="es-CO"/>
              </w:rPr>
              <w:t>6</w:t>
            </w:r>
            <w:r w:rsidRPr="005A0A8D">
              <w:rPr>
                <w:rFonts w:ascii="Arial" w:eastAsia="Arial" w:hAnsi="Arial" w:cs="Arial"/>
                <w:b/>
                <w:bCs/>
                <w:color w:val="000000"/>
                <w:sz w:val="20"/>
                <w:szCs w:val="20"/>
                <w:lang w:val="es-CO"/>
              </w:rPr>
              <w:t>. Distribución porcentual, variación absoluta y contribución a la variación de la población ocupada según rama de actividad</w:t>
            </w:r>
          </w:p>
          <w:p w14:paraId="2EB31C12"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2848ACEA"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6F796F">
              <w:rPr>
                <w:rFonts w:ascii="Arial" w:eastAsia="Arial" w:hAnsi="Arial" w:cs="Arial"/>
                <w:noProof/>
                <w:color w:val="000000"/>
                <w:sz w:val="24"/>
                <w:szCs w:val="24"/>
                <w:lang w:val="es-CO"/>
              </w:rPr>
              <w:lastRenderedPageBreak/>
              <w:drawing>
                <wp:inline distT="0" distB="0" distL="0" distR="0" wp14:anchorId="2369DFD3" wp14:editId="2FBC6158">
                  <wp:extent cx="5623560" cy="3170524"/>
                  <wp:effectExtent l="0" t="0" r="0" b="0"/>
                  <wp:docPr id="7952530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253019" name=""/>
                          <pic:cNvPicPr/>
                        </pic:nvPicPr>
                        <pic:blipFill>
                          <a:blip r:embed="rId15"/>
                          <a:stretch>
                            <a:fillRect/>
                          </a:stretch>
                        </pic:blipFill>
                        <pic:spPr>
                          <a:xfrm>
                            <a:off x="0" y="0"/>
                            <a:ext cx="5637797" cy="3178551"/>
                          </a:xfrm>
                          <a:prstGeom prst="rect">
                            <a:avLst/>
                          </a:prstGeom>
                        </pic:spPr>
                      </pic:pic>
                    </a:graphicData>
                  </a:graphic>
                </wp:inline>
              </w:drawing>
            </w:r>
          </w:p>
          <w:p w14:paraId="071E66B3"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3456A4C3"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E11C72">
              <w:rPr>
                <w:rFonts w:ascii="Arial" w:eastAsia="Arial" w:hAnsi="Arial" w:cs="Arial"/>
                <w:color w:val="000000"/>
                <w:sz w:val="24"/>
                <w:szCs w:val="24"/>
                <w:lang w:val="es-CO"/>
              </w:rPr>
              <w:t>Para el presente proceso, esta variable debe analizarse conjuntamente con las condiciones de oferta y demanda de profesionales especializados en ingeniería, arquitectura, derecho, contaduría, administración, áreas ambientales y demás disciplinas requeridas para conformar el equipo de interventoría.</w:t>
            </w:r>
          </w:p>
          <w:p w14:paraId="7AFBAE78" w14:textId="77777777" w:rsidR="00C92C48" w:rsidRPr="00E11C72"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2461256F"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E11C72">
              <w:rPr>
                <w:rFonts w:ascii="Arial" w:eastAsia="Arial" w:hAnsi="Arial" w:cs="Arial"/>
                <w:color w:val="000000"/>
                <w:sz w:val="24"/>
                <w:szCs w:val="24"/>
                <w:lang w:val="es-CO"/>
              </w:rPr>
              <w:t>En consecuencia, el comportamiento del mercado laboral especializado puede incidir directamente en el valor del servicio, dado que la disponibilidad de profesionales con experiencia específica en interventoría de obras públicas constituye uno de los principales factores de costo del contrato.</w:t>
            </w:r>
          </w:p>
          <w:p w14:paraId="3DE5E645"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37BFC1D4"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A35D56">
              <w:rPr>
                <w:rFonts w:ascii="Arial" w:eastAsia="Arial" w:hAnsi="Arial" w:cs="Arial"/>
                <w:color w:val="000000"/>
                <w:sz w:val="24"/>
                <w:szCs w:val="24"/>
                <w:lang w:val="es-CO"/>
              </w:rPr>
              <w:t>El comportamiento observado resulta pertinente para el presente proceso, debido a la relación existente entre la actividad constructiva y la demanda de servicios de interventoría. El incremento de la población ocupada en la rama de construcción constituye un indicador de la dinámica del sector y de la participación de mano de obra en actividades relacionadas con la ejecución de proyectos de infraestructura, dentro de los cuales se generan necesidades de seguimiento y control especializado.</w:t>
            </w:r>
          </w:p>
          <w:p w14:paraId="527BB6E9" w14:textId="77777777" w:rsidR="00C92C48" w:rsidRPr="00A35D56"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6F24DAC3"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A35D56">
              <w:rPr>
                <w:rFonts w:ascii="Arial" w:eastAsia="Arial" w:hAnsi="Arial" w:cs="Arial"/>
                <w:color w:val="000000"/>
                <w:sz w:val="24"/>
                <w:szCs w:val="24"/>
                <w:lang w:val="es-CO"/>
              </w:rPr>
              <w:t xml:space="preserve">De igual manera, el comportamiento positivo de las actividades artísticas, de </w:t>
            </w:r>
            <w:r w:rsidRPr="00A35D56">
              <w:rPr>
                <w:rFonts w:ascii="Arial" w:eastAsia="Arial" w:hAnsi="Arial" w:cs="Arial"/>
                <w:color w:val="000000"/>
                <w:sz w:val="24"/>
                <w:szCs w:val="24"/>
                <w:lang w:val="es-CO"/>
              </w:rPr>
              <w:lastRenderedPageBreak/>
              <w:t xml:space="preserve">entretenimiento, recreación y otros servicios guarda relación con el objeto del presente proceso, considerando que las obras que serán objeto de interventoría están destinadas al mantenimiento y mejoramiento de infraestructura para las </w:t>
            </w:r>
            <w:r w:rsidRPr="00A35D56">
              <w:rPr>
                <w:rFonts w:ascii="Arial" w:eastAsia="Arial" w:hAnsi="Arial" w:cs="Arial"/>
                <w:b/>
                <w:bCs/>
                <w:color w:val="000000"/>
                <w:sz w:val="24"/>
                <w:szCs w:val="24"/>
                <w:lang w:val="es-CO"/>
              </w:rPr>
              <w:t>Unidades Deportivas de Alto Rendimiento del Distrito Especial de Santiago de Cali</w:t>
            </w:r>
            <w:r w:rsidRPr="00A35D56">
              <w:rPr>
                <w:rFonts w:ascii="Arial" w:eastAsia="Arial" w:hAnsi="Arial" w:cs="Arial"/>
                <w:color w:val="000000"/>
                <w:sz w:val="24"/>
                <w:szCs w:val="24"/>
                <w:lang w:val="es-CO"/>
              </w:rPr>
              <w:t>. En este sentido, la dinámica del empleo asociada a estas actividades constituye un elemento complementario para caracterizar el entorno económico en el cual se desarrolla el proyecto.</w:t>
            </w:r>
          </w:p>
          <w:p w14:paraId="73E96E09" w14:textId="77777777" w:rsidR="00C92C48" w:rsidRPr="00A35D56"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5D2F5192" w14:textId="77777777" w:rsidR="00C92C48" w:rsidRPr="00B4462A" w:rsidRDefault="00C92C48" w:rsidP="00C92C48">
            <w:pPr>
              <w:pBdr>
                <w:top w:val="nil"/>
                <w:left w:val="nil"/>
                <w:bottom w:val="nil"/>
                <w:right w:val="nil"/>
                <w:between w:val="nil"/>
              </w:pBdr>
              <w:rPr>
                <w:rFonts w:ascii="Arial" w:eastAsia="Arial" w:hAnsi="Arial" w:cs="Arial"/>
                <w:b/>
                <w:bCs/>
                <w:color w:val="000000"/>
                <w:sz w:val="20"/>
                <w:szCs w:val="20"/>
                <w:lang w:val="es-CO"/>
              </w:rPr>
            </w:pPr>
            <w:r w:rsidRPr="00B4462A">
              <w:rPr>
                <w:rFonts w:ascii="Arial" w:eastAsia="Arial" w:hAnsi="Arial" w:cs="Arial"/>
                <w:b/>
                <w:bCs/>
                <w:color w:val="000000"/>
                <w:sz w:val="20"/>
                <w:szCs w:val="20"/>
                <w:lang w:val="es-CO"/>
              </w:rPr>
              <w:t xml:space="preserve">Tabla </w:t>
            </w:r>
            <w:r>
              <w:rPr>
                <w:rFonts w:ascii="Arial" w:eastAsia="Arial" w:hAnsi="Arial" w:cs="Arial"/>
                <w:b/>
                <w:bCs/>
                <w:color w:val="000000"/>
                <w:sz w:val="20"/>
                <w:szCs w:val="20"/>
                <w:lang w:val="es-CO"/>
              </w:rPr>
              <w:t>7</w:t>
            </w:r>
            <w:r w:rsidRPr="00B4462A">
              <w:rPr>
                <w:rFonts w:ascii="Arial" w:eastAsia="Arial" w:hAnsi="Arial" w:cs="Arial"/>
                <w:b/>
                <w:bCs/>
                <w:color w:val="000000"/>
                <w:sz w:val="20"/>
                <w:szCs w:val="20"/>
                <w:lang w:val="es-CO"/>
              </w:rPr>
              <w:t>. Distribución porcentual, variación absoluta y contribución a la variación de la población ocupada según posición ocupacional</w:t>
            </w:r>
          </w:p>
          <w:p w14:paraId="7B592314"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5C27D4">
              <w:rPr>
                <w:rFonts w:ascii="Arial" w:eastAsia="Arial" w:hAnsi="Arial" w:cs="Arial"/>
                <w:noProof/>
                <w:color w:val="000000"/>
                <w:sz w:val="24"/>
                <w:szCs w:val="24"/>
                <w:lang w:val="es-CO"/>
              </w:rPr>
              <w:drawing>
                <wp:inline distT="0" distB="0" distL="0" distR="0" wp14:anchorId="68EF2F94" wp14:editId="3B012CF6">
                  <wp:extent cx="5692140" cy="2611805"/>
                  <wp:effectExtent l="0" t="0" r="3810" b="0"/>
                  <wp:docPr id="1927823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82357" name=""/>
                          <pic:cNvPicPr/>
                        </pic:nvPicPr>
                        <pic:blipFill>
                          <a:blip r:embed="rId16"/>
                          <a:stretch>
                            <a:fillRect/>
                          </a:stretch>
                        </pic:blipFill>
                        <pic:spPr>
                          <a:xfrm>
                            <a:off x="0" y="0"/>
                            <a:ext cx="5706862" cy="2618560"/>
                          </a:xfrm>
                          <a:prstGeom prst="rect">
                            <a:avLst/>
                          </a:prstGeom>
                        </pic:spPr>
                      </pic:pic>
                    </a:graphicData>
                  </a:graphic>
                </wp:inline>
              </w:drawing>
            </w:r>
          </w:p>
          <w:p w14:paraId="25A3BCB0"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4405D9">
              <w:rPr>
                <w:rFonts w:ascii="Arial" w:eastAsia="Arial" w:hAnsi="Arial" w:cs="Arial"/>
                <w:color w:val="000000"/>
                <w:sz w:val="24"/>
                <w:szCs w:val="24"/>
                <w:lang w:val="es-CO"/>
              </w:rPr>
              <w:t>Desde la perspectiva de la posición ocupacional, durante ju</w:t>
            </w:r>
            <w:r>
              <w:rPr>
                <w:rFonts w:ascii="Arial" w:eastAsia="Arial" w:hAnsi="Arial" w:cs="Arial"/>
                <w:color w:val="000000"/>
                <w:sz w:val="24"/>
                <w:szCs w:val="24"/>
                <w:lang w:val="es-CO"/>
              </w:rPr>
              <w:t>l</w:t>
            </w:r>
            <w:r w:rsidRPr="004405D9">
              <w:rPr>
                <w:rFonts w:ascii="Arial" w:eastAsia="Arial" w:hAnsi="Arial" w:cs="Arial"/>
                <w:color w:val="000000"/>
                <w:sz w:val="24"/>
                <w:szCs w:val="24"/>
                <w:lang w:val="es-CO"/>
              </w:rPr>
              <w:t xml:space="preserve">io de 2026 los grupos de </w:t>
            </w:r>
            <w:r w:rsidRPr="004405D9">
              <w:rPr>
                <w:rFonts w:ascii="Arial" w:eastAsia="Arial" w:hAnsi="Arial" w:cs="Arial"/>
                <w:b/>
                <w:bCs/>
                <w:color w:val="000000"/>
                <w:sz w:val="24"/>
                <w:szCs w:val="24"/>
                <w:lang w:val="es-CO"/>
              </w:rPr>
              <w:t>obrero, empleado particular</w:t>
            </w:r>
            <w:r w:rsidRPr="004405D9">
              <w:rPr>
                <w:rFonts w:ascii="Arial" w:eastAsia="Arial" w:hAnsi="Arial" w:cs="Arial"/>
                <w:color w:val="000000"/>
                <w:sz w:val="24"/>
                <w:szCs w:val="24"/>
                <w:lang w:val="es-CO"/>
              </w:rPr>
              <w:t xml:space="preserve"> y </w:t>
            </w:r>
            <w:r w:rsidRPr="004405D9">
              <w:rPr>
                <w:rFonts w:ascii="Arial" w:eastAsia="Arial" w:hAnsi="Arial" w:cs="Arial"/>
                <w:b/>
                <w:bCs/>
                <w:color w:val="000000"/>
                <w:sz w:val="24"/>
                <w:szCs w:val="24"/>
                <w:lang w:val="es-CO"/>
              </w:rPr>
              <w:t>trabajador por cuenta propia</w:t>
            </w:r>
            <w:r w:rsidRPr="004405D9">
              <w:rPr>
                <w:rFonts w:ascii="Arial" w:eastAsia="Arial" w:hAnsi="Arial" w:cs="Arial"/>
                <w:color w:val="000000"/>
                <w:sz w:val="24"/>
                <w:szCs w:val="24"/>
                <w:lang w:val="es-CO"/>
              </w:rPr>
              <w:t xml:space="preserve"> fueron los que más contribuyeron positivamente a la variación de la población ocupada en el total nacional, con aportes de </w:t>
            </w:r>
            <w:r>
              <w:rPr>
                <w:rFonts w:ascii="Arial" w:eastAsia="Arial" w:hAnsi="Arial" w:cs="Arial"/>
                <w:b/>
                <w:bCs/>
                <w:color w:val="000000"/>
                <w:sz w:val="24"/>
                <w:szCs w:val="24"/>
                <w:lang w:val="es-CO"/>
              </w:rPr>
              <w:t>0</w:t>
            </w:r>
            <w:r w:rsidRPr="004405D9">
              <w:rPr>
                <w:rFonts w:ascii="Arial" w:eastAsia="Arial" w:hAnsi="Arial" w:cs="Arial"/>
                <w:b/>
                <w:bCs/>
                <w:color w:val="000000"/>
                <w:sz w:val="24"/>
                <w:szCs w:val="24"/>
                <w:lang w:val="es-CO"/>
              </w:rPr>
              <w:t>,</w:t>
            </w:r>
            <w:r>
              <w:rPr>
                <w:rFonts w:ascii="Arial" w:eastAsia="Arial" w:hAnsi="Arial" w:cs="Arial"/>
                <w:b/>
                <w:bCs/>
                <w:color w:val="000000"/>
                <w:sz w:val="24"/>
                <w:szCs w:val="24"/>
                <w:lang w:val="es-CO"/>
              </w:rPr>
              <w:t>2</w:t>
            </w:r>
            <w:r w:rsidRPr="004405D9">
              <w:rPr>
                <w:rFonts w:ascii="Arial" w:eastAsia="Arial" w:hAnsi="Arial" w:cs="Arial"/>
                <w:b/>
                <w:bCs/>
                <w:color w:val="000000"/>
                <w:sz w:val="24"/>
                <w:szCs w:val="24"/>
                <w:lang w:val="es-CO"/>
              </w:rPr>
              <w:t xml:space="preserve"> y 1,7 puntos porcentuales</w:t>
            </w:r>
            <w:r w:rsidRPr="004405D9">
              <w:rPr>
                <w:rFonts w:ascii="Arial" w:eastAsia="Arial" w:hAnsi="Arial" w:cs="Arial"/>
                <w:color w:val="000000"/>
                <w:sz w:val="24"/>
                <w:szCs w:val="24"/>
                <w:lang w:val="es-CO"/>
              </w:rPr>
              <w:t>, respectivamente.</w:t>
            </w:r>
          </w:p>
          <w:p w14:paraId="158A80AF" w14:textId="77777777" w:rsidR="00C92C48" w:rsidRPr="004405D9"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7D777DC1" w14:textId="77777777" w:rsidR="00C92C48" w:rsidRPr="004405D9"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4405D9">
              <w:rPr>
                <w:rFonts w:ascii="Arial" w:eastAsia="Arial" w:hAnsi="Arial" w:cs="Arial"/>
                <w:color w:val="000000"/>
                <w:sz w:val="24"/>
                <w:szCs w:val="24"/>
                <w:lang w:val="es-CO"/>
              </w:rPr>
              <w:t>Para el mercado de servicios profesionales de interventoría, esta información debe analizarse considerando que el principal componente de la estructura de costos corresponde al equipo profesional y técnico requerido para atender las diferentes áreas de especialidad. En consecuencia, las condiciones de oferta y demanda de profesionales con experiencia en ingeniería, arquitectura, administración, derecho, contaduría, áreas ambientales y demás disciplinas requeridas pueden incidir directamente en los costos de prestación del servicio.</w:t>
            </w:r>
          </w:p>
          <w:p w14:paraId="6C20608D"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4405D9">
              <w:rPr>
                <w:rFonts w:ascii="Arial" w:eastAsia="Arial" w:hAnsi="Arial" w:cs="Arial"/>
                <w:color w:val="000000"/>
                <w:sz w:val="24"/>
                <w:szCs w:val="24"/>
                <w:lang w:val="es-CO"/>
              </w:rPr>
              <w:lastRenderedPageBreak/>
              <w:t>Adicionalmente, el comportamiento del mercado laboral permite identificar las condiciones generales de disponibilidad de mano de obra en las actividades relacionadas con la construcción y los servicios de recreación. No obstante, los datos generales de ocupación no permiten establecer por sí solos la disponibilidad específica de profesionales especializados en interventoría, por lo cual este aspecto deberá complementarse con el análisis de la oferta de proveedores, la experiencia acreditada por los potenciales oferentes y las condiciones de remuneración y dedicación del personal requerido para el contrato.</w:t>
            </w:r>
          </w:p>
          <w:p w14:paraId="312502C6" w14:textId="77777777" w:rsidR="00C92C48" w:rsidRPr="004405D9"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73E84204" w14:textId="77777777" w:rsidR="00C92C48" w:rsidRDefault="00C92C48" w:rsidP="00C92C48">
            <w:pPr>
              <w:pBdr>
                <w:top w:val="nil"/>
                <w:left w:val="nil"/>
                <w:bottom w:val="nil"/>
                <w:right w:val="nil"/>
                <w:between w:val="nil"/>
              </w:pBdr>
              <w:jc w:val="both"/>
              <w:rPr>
                <w:rFonts w:ascii="Arial" w:eastAsia="Arial" w:hAnsi="Arial" w:cs="Arial"/>
                <w:b/>
                <w:bCs/>
                <w:color w:val="000000"/>
                <w:sz w:val="24"/>
                <w:szCs w:val="24"/>
                <w:lang w:val="es-CO"/>
              </w:rPr>
            </w:pPr>
            <w:r w:rsidRPr="004405D9">
              <w:rPr>
                <w:rFonts w:ascii="Arial" w:eastAsia="Arial" w:hAnsi="Arial" w:cs="Arial"/>
                <w:b/>
                <w:bCs/>
                <w:color w:val="000000"/>
                <w:sz w:val="24"/>
                <w:szCs w:val="24"/>
                <w:lang w:val="es-CO"/>
              </w:rPr>
              <w:t>Mercado laboral en las principales ciudades</w:t>
            </w:r>
          </w:p>
          <w:p w14:paraId="3039765C" w14:textId="77777777" w:rsidR="00C92C48" w:rsidRPr="004405D9" w:rsidRDefault="00C92C48" w:rsidP="00C92C48">
            <w:pPr>
              <w:pBdr>
                <w:top w:val="nil"/>
                <w:left w:val="nil"/>
                <w:bottom w:val="nil"/>
                <w:right w:val="nil"/>
                <w:between w:val="nil"/>
              </w:pBdr>
              <w:jc w:val="both"/>
              <w:rPr>
                <w:rFonts w:ascii="Arial" w:eastAsia="Arial" w:hAnsi="Arial" w:cs="Arial"/>
                <w:b/>
                <w:bCs/>
                <w:color w:val="000000"/>
                <w:sz w:val="24"/>
                <w:szCs w:val="24"/>
                <w:lang w:val="es-CO"/>
              </w:rPr>
            </w:pPr>
          </w:p>
          <w:p w14:paraId="277E7845"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4405D9">
              <w:rPr>
                <w:rFonts w:ascii="Arial" w:eastAsia="Arial" w:hAnsi="Arial" w:cs="Arial"/>
                <w:color w:val="000000"/>
                <w:sz w:val="24"/>
                <w:szCs w:val="24"/>
                <w:lang w:val="es-CO"/>
              </w:rPr>
              <w:t xml:space="preserve">El comportamiento del mercado laboral también presenta diferencias entre las ciudades y áreas metropolitanas </w:t>
            </w:r>
            <w:r w:rsidRPr="009C1E28">
              <w:rPr>
                <w:rFonts w:ascii="Arial" w:eastAsia="Arial" w:hAnsi="Arial" w:cs="Arial"/>
                <w:color w:val="000000"/>
                <w:sz w:val="24"/>
                <w:szCs w:val="24"/>
                <w:lang w:val="es-CO"/>
              </w:rPr>
              <w:t>de las 23 ciudades y áreas metropolitanas, las que presentaron mayores tasas de desocupación fueron: Quibdó (23,0%), Cartagena (13,6%) y Sincelejo (13,0%). Las ciudades con menor tasa de desocupación fueron: Pereira A.M. (7,5%), Bucaramanga A.M. (7,2%) y Medellín A.M. (7,0%).</w:t>
            </w:r>
          </w:p>
          <w:p w14:paraId="39D8C888"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p>
          <w:p w14:paraId="4C91DE99" w14:textId="77777777" w:rsidR="00C92C48" w:rsidRPr="007E3FE9" w:rsidRDefault="00C92C48" w:rsidP="00C92C48">
            <w:pPr>
              <w:pBdr>
                <w:top w:val="nil"/>
                <w:left w:val="nil"/>
                <w:bottom w:val="nil"/>
                <w:right w:val="nil"/>
                <w:between w:val="nil"/>
              </w:pBdr>
              <w:jc w:val="both"/>
              <w:rPr>
                <w:rFonts w:ascii="Arial" w:eastAsia="Arial" w:hAnsi="Arial" w:cs="Arial"/>
                <w:b/>
                <w:bCs/>
                <w:color w:val="000000"/>
                <w:sz w:val="20"/>
                <w:szCs w:val="20"/>
                <w:lang w:val="es-CO"/>
              </w:rPr>
            </w:pPr>
            <w:r w:rsidRPr="007E3FE9">
              <w:rPr>
                <w:rFonts w:ascii="Arial" w:eastAsia="Arial" w:hAnsi="Arial" w:cs="Arial"/>
                <w:b/>
                <w:bCs/>
                <w:color w:val="000000"/>
                <w:sz w:val="20"/>
                <w:szCs w:val="20"/>
                <w:lang w:val="es-CO"/>
              </w:rPr>
              <w:t xml:space="preserve">Gráfico </w:t>
            </w:r>
            <w:r>
              <w:rPr>
                <w:rFonts w:ascii="Arial" w:eastAsia="Arial" w:hAnsi="Arial" w:cs="Arial"/>
                <w:b/>
                <w:bCs/>
                <w:color w:val="000000"/>
                <w:sz w:val="20"/>
                <w:szCs w:val="20"/>
                <w:lang w:val="es-CO"/>
              </w:rPr>
              <w:t>4</w:t>
            </w:r>
            <w:r w:rsidRPr="007E3FE9">
              <w:rPr>
                <w:rFonts w:ascii="Arial" w:eastAsia="Arial" w:hAnsi="Arial" w:cs="Arial"/>
                <w:b/>
                <w:bCs/>
                <w:color w:val="000000"/>
                <w:sz w:val="20"/>
                <w:szCs w:val="20"/>
                <w:lang w:val="es-CO"/>
              </w:rPr>
              <w:t>. Tasa de desocupación según ciudades</w:t>
            </w:r>
          </w:p>
          <w:p w14:paraId="13158194" w14:textId="77777777" w:rsidR="00C92C48" w:rsidRPr="004405D9"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1A68CB">
              <w:rPr>
                <w:rFonts w:ascii="Arial" w:eastAsia="Arial" w:hAnsi="Arial" w:cs="Arial"/>
                <w:noProof/>
                <w:color w:val="000000"/>
                <w:sz w:val="24"/>
                <w:szCs w:val="24"/>
                <w:lang w:val="es-CO"/>
              </w:rPr>
              <w:drawing>
                <wp:inline distT="0" distB="0" distL="0" distR="0" wp14:anchorId="3726BE4C" wp14:editId="645F36C9">
                  <wp:extent cx="4435224" cy="3215919"/>
                  <wp:effectExtent l="0" t="0" r="3810" b="3810"/>
                  <wp:docPr id="7354664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66474" name=""/>
                          <pic:cNvPicPr/>
                        </pic:nvPicPr>
                        <pic:blipFill>
                          <a:blip r:embed="rId17"/>
                          <a:stretch>
                            <a:fillRect/>
                          </a:stretch>
                        </pic:blipFill>
                        <pic:spPr>
                          <a:xfrm>
                            <a:off x="0" y="0"/>
                            <a:ext cx="4435224" cy="3215919"/>
                          </a:xfrm>
                          <a:prstGeom prst="rect">
                            <a:avLst/>
                          </a:prstGeom>
                        </pic:spPr>
                      </pic:pic>
                    </a:graphicData>
                  </a:graphic>
                </wp:inline>
              </w:drawing>
            </w:r>
          </w:p>
          <w:p w14:paraId="3B18D71E" w14:textId="77777777" w:rsidR="00C92C48" w:rsidRDefault="00C92C48" w:rsidP="00C92C48">
            <w:pPr>
              <w:pBdr>
                <w:top w:val="nil"/>
                <w:left w:val="nil"/>
                <w:bottom w:val="nil"/>
                <w:right w:val="nil"/>
                <w:between w:val="nil"/>
              </w:pBdr>
              <w:jc w:val="both"/>
              <w:rPr>
                <w:rFonts w:ascii="Arial" w:eastAsia="Arial" w:hAnsi="Arial" w:cs="Arial"/>
                <w:color w:val="000000"/>
                <w:sz w:val="24"/>
                <w:szCs w:val="24"/>
                <w:lang w:val="es-CO"/>
              </w:rPr>
            </w:pPr>
            <w:r w:rsidRPr="004405D9">
              <w:rPr>
                <w:rFonts w:ascii="Arial" w:eastAsia="Arial" w:hAnsi="Arial" w:cs="Arial"/>
                <w:color w:val="000000"/>
                <w:sz w:val="24"/>
                <w:szCs w:val="24"/>
                <w:lang w:val="es-CO"/>
              </w:rPr>
              <w:t xml:space="preserve">El gráfico </w:t>
            </w:r>
            <w:r>
              <w:rPr>
                <w:rFonts w:ascii="Arial" w:eastAsia="Arial" w:hAnsi="Arial" w:cs="Arial"/>
                <w:color w:val="000000"/>
                <w:sz w:val="24"/>
                <w:szCs w:val="24"/>
                <w:lang w:val="es-CO"/>
              </w:rPr>
              <w:t>anterior</w:t>
            </w:r>
            <w:r w:rsidRPr="004405D9">
              <w:rPr>
                <w:rFonts w:ascii="Arial" w:eastAsia="Arial" w:hAnsi="Arial" w:cs="Arial"/>
                <w:color w:val="000000"/>
                <w:sz w:val="24"/>
                <w:szCs w:val="24"/>
                <w:lang w:val="es-CO"/>
              </w:rPr>
              <w:t xml:space="preserve"> permite observar que </w:t>
            </w:r>
            <w:r w:rsidRPr="004405D9">
              <w:rPr>
                <w:rFonts w:ascii="Arial" w:eastAsia="Arial" w:hAnsi="Arial" w:cs="Arial"/>
                <w:b/>
                <w:bCs/>
                <w:color w:val="000000"/>
                <w:sz w:val="24"/>
                <w:szCs w:val="24"/>
                <w:lang w:val="es-CO"/>
              </w:rPr>
              <w:t xml:space="preserve">Cali registra una tasa de desocupación </w:t>
            </w:r>
            <w:r w:rsidRPr="004405D9">
              <w:rPr>
                <w:rFonts w:ascii="Arial" w:eastAsia="Arial" w:hAnsi="Arial" w:cs="Arial"/>
                <w:b/>
                <w:bCs/>
                <w:color w:val="000000"/>
                <w:sz w:val="24"/>
                <w:szCs w:val="24"/>
                <w:lang w:val="es-CO"/>
              </w:rPr>
              <w:lastRenderedPageBreak/>
              <w:t>cercana al 8,</w:t>
            </w:r>
            <w:r>
              <w:rPr>
                <w:rFonts w:ascii="Arial" w:eastAsia="Arial" w:hAnsi="Arial" w:cs="Arial"/>
                <w:b/>
                <w:bCs/>
                <w:color w:val="000000"/>
                <w:sz w:val="24"/>
                <w:szCs w:val="24"/>
                <w:lang w:val="es-CO"/>
              </w:rPr>
              <w:t>9</w:t>
            </w:r>
            <w:r w:rsidRPr="004405D9">
              <w:rPr>
                <w:rFonts w:ascii="Arial" w:eastAsia="Arial" w:hAnsi="Arial" w:cs="Arial"/>
                <w:b/>
                <w:bCs/>
                <w:color w:val="000000"/>
                <w:sz w:val="24"/>
                <w:szCs w:val="24"/>
                <w:lang w:val="es-CO"/>
              </w:rPr>
              <w:t xml:space="preserve"> % para el trimestre </w:t>
            </w:r>
            <w:r>
              <w:rPr>
                <w:rFonts w:ascii="Arial" w:eastAsia="Arial" w:hAnsi="Arial" w:cs="Arial"/>
                <w:b/>
                <w:bCs/>
                <w:color w:val="000000"/>
                <w:sz w:val="24"/>
                <w:szCs w:val="24"/>
                <w:lang w:val="es-CO"/>
              </w:rPr>
              <w:t>mayo</w:t>
            </w:r>
            <w:r w:rsidRPr="004405D9">
              <w:rPr>
                <w:rFonts w:ascii="Arial" w:eastAsia="Arial" w:hAnsi="Arial" w:cs="Arial"/>
                <w:b/>
                <w:bCs/>
                <w:color w:val="000000"/>
                <w:sz w:val="24"/>
                <w:szCs w:val="24"/>
                <w:lang w:val="es-CO"/>
              </w:rPr>
              <w:t>-ju</w:t>
            </w:r>
            <w:r>
              <w:rPr>
                <w:rFonts w:ascii="Arial" w:eastAsia="Arial" w:hAnsi="Arial" w:cs="Arial"/>
                <w:b/>
                <w:bCs/>
                <w:color w:val="000000"/>
                <w:sz w:val="24"/>
                <w:szCs w:val="24"/>
                <w:lang w:val="es-CO"/>
              </w:rPr>
              <w:t>l</w:t>
            </w:r>
            <w:r w:rsidRPr="004405D9">
              <w:rPr>
                <w:rFonts w:ascii="Arial" w:eastAsia="Arial" w:hAnsi="Arial" w:cs="Arial"/>
                <w:b/>
                <w:bCs/>
                <w:color w:val="000000"/>
                <w:sz w:val="24"/>
                <w:szCs w:val="24"/>
                <w:lang w:val="es-CO"/>
              </w:rPr>
              <w:t>io de 2026</w:t>
            </w:r>
            <w:r w:rsidRPr="004405D9">
              <w:rPr>
                <w:rFonts w:ascii="Arial" w:eastAsia="Arial" w:hAnsi="Arial" w:cs="Arial"/>
                <w:color w:val="000000"/>
                <w:sz w:val="24"/>
                <w:szCs w:val="24"/>
                <w:lang w:val="es-CO"/>
              </w:rPr>
              <w:t>, ubicándose por debajo de la tasa registrada para el conjunto de las 23 ciudades y áreas metropolitanas. Este comportamiento constituye un referente para el análisis del mercado laboral local, teniendo en cuenta que el contrato será ejecutado en el Distrito Especial de Santiago de Cali.</w:t>
            </w:r>
          </w:p>
          <w:p w14:paraId="01290309" w14:textId="43017742" w:rsidR="00621435" w:rsidRPr="004405D9" w:rsidRDefault="00621435" w:rsidP="004405D9">
            <w:pPr>
              <w:pBdr>
                <w:top w:val="nil"/>
                <w:left w:val="nil"/>
                <w:bottom w:val="nil"/>
                <w:right w:val="nil"/>
                <w:between w:val="nil"/>
              </w:pBdr>
              <w:jc w:val="both"/>
              <w:rPr>
                <w:rFonts w:ascii="Arial" w:eastAsia="Arial" w:hAnsi="Arial" w:cs="Arial"/>
                <w:color w:val="000000"/>
                <w:sz w:val="24"/>
                <w:szCs w:val="24"/>
                <w:lang w:val="es-CO"/>
              </w:rPr>
            </w:pPr>
          </w:p>
          <w:p w14:paraId="1BCD48E8" w14:textId="77777777" w:rsidR="004405D9" w:rsidRDefault="004405D9" w:rsidP="004405D9">
            <w:pPr>
              <w:pBdr>
                <w:top w:val="nil"/>
                <w:left w:val="nil"/>
                <w:bottom w:val="nil"/>
                <w:right w:val="nil"/>
                <w:between w:val="nil"/>
              </w:pBdr>
              <w:jc w:val="both"/>
              <w:rPr>
                <w:rFonts w:ascii="Arial" w:eastAsia="Arial" w:hAnsi="Arial" w:cs="Arial"/>
                <w:color w:val="000000"/>
                <w:sz w:val="24"/>
                <w:szCs w:val="24"/>
                <w:lang w:val="es-CO"/>
              </w:rPr>
            </w:pPr>
            <w:r w:rsidRPr="004405D9">
              <w:rPr>
                <w:rFonts w:ascii="Arial" w:eastAsia="Arial" w:hAnsi="Arial" w:cs="Arial"/>
                <w:color w:val="000000"/>
                <w:sz w:val="24"/>
                <w:szCs w:val="24"/>
                <w:lang w:val="es-CO"/>
              </w:rPr>
              <w:t>La información anterior permite establecer que el mercado laboral de la ciudad presenta condiciones de disponibilidad de población ocupada que deben ser consideradas conjuntamente con las características específicas del mercado profesional requerido para la interventoría. En particular, la existencia de profesionales con experiencia y especialización en las áreas requeridas será un factor determinante para la conformación del equipo de trabajo y para la estructura económica del servicio.</w:t>
            </w:r>
          </w:p>
          <w:p w14:paraId="478E1FD7" w14:textId="77777777" w:rsidR="004405D9" w:rsidRPr="004405D9" w:rsidRDefault="004405D9" w:rsidP="004405D9">
            <w:pPr>
              <w:pBdr>
                <w:top w:val="nil"/>
                <w:left w:val="nil"/>
                <w:bottom w:val="nil"/>
                <w:right w:val="nil"/>
                <w:between w:val="nil"/>
              </w:pBdr>
              <w:jc w:val="both"/>
              <w:rPr>
                <w:rFonts w:ascii="Arial" w:eastAsia="Arial" w:hAnsi="Arial" w:cs="Arial"/>
                <w:color w:val="000000"/>
                <w:sz w:val="24"/>
                <w:szCs w:val="24"/>
                <w:lang w:val="es-CO"/>
              </w:rPr>
            </w:pPr>
          </w:p>
          <w:p w14:paraId="2D72B69D" w14:textId="77777777" w:rsidR="004405D9" w:rsidRDefault="004405D9" w:rsidP="004405D9">
            <w:pPr>
              <w:pBdr>
                <w:top w:val="nil"/>
                <w:left w:val="nil"/>
                <w:bottom w:val="nil"/>
                <w:right w:val="nil"/>
                <w:between w:val="nil"/>
              </w:pBdr>
              <w:jc w:val="both"/>
              <w:rPr>
                <w:rFonts w:ascii="Arial" w:eastAsia="Arial" w:hAnsi="Arial" w:cs="Arial"/>
                <w:b/>
                <w:bCs/>
                <w:color w:val="000000"/>
                <w:sz w:val="24"/>
                <w:szCs w:val="24"/>
                <w:lang w:val="es-CO"/>
              </w:rPr>
            </w:pPr>
            <w:r w:rsidRPr="004405D9">
              <w:rPr>
                <w:rFonts w:ascii="Arial" w:eastAsia="Arial" w:hAnsi="Arial" w:cs="Arial"/>
                <w:b/>
                <w:bCs/>
                <w:color w:val="000000"/>
                <w:sz w:val="24"/>
                <w:szCs w:val="24"/>
                <w:lang w:val="es-CO"/>
              </w:rPr>
              <w:t>Incidencia en el proceso de contratación</w:t>
            </w:r>
          </w:p>
          <w:p w14:paraId="67E2F5D5" w14:textId="77777777" w:rsidR="004405D9" w:rsidRPr="004405D9" w:rsidRDefault="004405D9" w:rsidP="004405D9">
            <w:pPr>
              <w:pBdr>
                <w:top w:val="nil"/>
                <w:left w:val="nil"/>
                <w:bottom w:val="nil"/>
                <w:right w:val="nil"/>
                <w:between w:val="nil"/>
              </w:pBdr>
              <w:jc w:val="both"/>
              <w:rPr>
                <w:rFonts w:ascii="Arial" w:eastAsia="Arial" w:hAnsi="Arial" w:cs="Arial"/>
                <w:b/>
                <w:bCs/>
                <w:color w:val="000000"/>
                <w:sz w:val="24"/>
                <w:szCs w:val="24"/>
                <w:lang w:val="es-CO"/>
              </w:rPr>
            </w:pPr>
          </w:p>
          <w:p w14:paraId="24D476B5" w14:textId="77777777" w:rsidR="004405D9" w:rsidRDefault="004405D9" w:rsidP="004405D9">
            <w:pPr>
              <w:pBdr>
                <w:top w:val="nil"/>
                <w:left w:val="nil"/>
                <w:bottom w:val="nil"/>
                <w:right w:val="nil"/>
                <w:between w:val="nil"/>
              </w:pBdr>
              <w:jc w:val="both"/>
              <w:rPr>
                <w:rFonts w:ascii="Arial" w:eastAsia="Arial" w:hAnsi="Arial" w:cs="Arial"/>
                <w:color w:val="000000"/>
                <w:sz w:val="24"/>
                <w:szCs w:val="24"/>
                <w:lang w:val="es-CO"/>
              </w:rPr>
            </w:pPr>
            <w:r w:rsidRPr="004405D9">
              <w:rPr>
                <w:rFonts w:ascii="Arial" w:eastAsia="Arial" w:hAnsi="Arial" w:cs="Arial"/>
                <w:color w:val="000000"/>
                <w:sz w:val="24"/>
                <w:szCs w:val="24"/>
                <w:lang w:val="es-CO"/>
              </w:rPr>
              <w:t>En términos económicos, el comportamiento del mercado laboral tiene una incidencia directa sobre la estructuración del presupuesto del contrato de interventoría, dado que la prestación del servicio requiere disponer de un equipo multidisciplinario durante el plazo establecido para el seguimiento de los contratos de obra.</w:t>
            </w:r>
          </w:p>
          <w:p w14:paraId="77460A6E" w14:textId="77777777" w:rsidR="00767077" w:rsidRPr="004405D9" w:rsidRDefault="00767077" w:rsidP="004405D9">
            <w:pPr>
              <w:pBdr>
                <w:top w:val="nil"/>
                <w:left w:val="nil"/>
                <w:bottom w:val="nil"/>
                <w:right w:val="nil"/>
                <w:between w:val="nil"/>
              </w:pBdr>
              <w:jc w:val="both"/>
              <w:rPr>
                <w:rFonts w:ascii="Arial" w:eastAsia="Arial" w:hAnsi="Arial" w:cs="Arial"/>
                <w:color w:val="000000"/>
                <w:sz w:val="24"/>
                <w:szCs w:val="24"/>
                <w:lang w:val="es-CO"/>
              </w:rPr>
            </w:pPr>
          </w:p>
          <w:p w14:paraId="05DAD726" w14:textId="77777777" w:rsidR="004405D9" w:rsidRDefault="004405D9" w:rsidP="004405D9">
            <w:pPr>
              <w:pBdr>
                <w:top w:val="nil"/>
                <w:left w:val="nil"/>
                <w:bottom w:val="nil"/>
                <w:right w:val="nil"/>
                <w:between w:val="nil"/>
              </w:pBdr>
              <w:jc w:val="both"/>
              <w:rPr>
                <w:rFonts w:ascii="Arial" w:eastAsia="Arial" w:hAnsi="Arial" w:cs="Arial"/>
                <w:color w:val="000000"/>
                <w:sz w:val="24"/>
                <w:szCs w:val="24"/>
                <w:lang w:val="es-CO"/>
              </w:rPr>
            </w:pPr>
            <w:r w:rsidRPr="004405D9">
              <w:rPr>
                <w:rFonts w:ascii="Arial" w:eastAsia="Arial" w:hAnsi="Arial" w:cs="Arial"/>
                <w:color w:val="000000"/>
                <w:sz w:val="24"/>
                <w:szCs w:val="24"/>
                <w:lang w:val="es-CO"/>
              </w:rPr>
              <w:t>Por lo anterior, las condiciones del mercado laboral, la disponibilidad de profesionales especializados, los niveles de remuneración, la experiencia requerida y el tiempo de dedicación del personal constituyen factores que deben ser considerados en la estimación de los costos del servicio.</w:t>
            </w:r>
          </w:p>
          <w:p w14:paraId="2512B448" w14:textId="77777777" w:rsidR="00767077" w:rsidRPr="004405D9" w:rsidRDefault="00767077" w:rsidP="004405D9">
            <w:pPr>
              <w:pBdr>
                <w:top w:val="nil"/>
                <w:left w:val="nil"/>
                <w:bottom w:val="nil"/>
                <w:right w:val="nil"/>
                <w:between w:val="nil"/>
              </w:pBdr>
              <w:jc w:val="both"/>
              <w:rPr>
                <w:rFonts w:ascii="Arial" w:eastAsia="Arial" w:hAnsi="Arial" w:cs="Arial"/>
                <w:color w:val="000000"/>
                <w:sz w:val="24"/>
                <w:szCs w:val="24"/>
                <w:lang w:val="es-CO"/>
              </w:rPr>
            </w:pPr>
          </w:p>
          <w:p w14:paraId="377C74AB" w14:textId="77777777" w:rsidR="004405D9" w:rsidRPr="004405D9" w:rsidRDefault="004405D9" w:rsidP="004405D9">
            <w:pPr>
              <w:pBdr>
                <w:top w:val="nil"/>
                <w:left w:val="nil"/>
                <w:bottom w:val="nil"/>
                <w:right w:val="nil"/>
                <w:between w:val="nil"/>
              </w:pBdr>
              <w:jc w:val="both"/>
              <w:rPr>
                <w:rFonts w:ascii="Arial" w:eastAsia="Arial" w:hAnsi="Arial" w:cs="Arial"/>
                <w:color w:val="000000"/>
                <w:sz w:val="24"/>
                <w:szCs w:val="24"/>
                <w:lang w:val="es-CO"/>
              </w:rPr>
            </w:pPr>
            <w:r w:rsidRPr="004405D9">
              <w:rPr>
                <w:rFonts w:ascii="Arial" w:eastAsia="Arial" w:hAnsi="Arial" w:cs="Arial"/>
                <w:color w:val="000000"/>
                <w:sz w:val="24"/>
                <w:szCs w:val="24"/>
                <w:lang w:val="es-CO"/>
              </w:rPr>
              <w:t>En consecuencia, para el presente proceso el mercado laboral se considera una variable macroeconómica de alta relevancia, particularmente por la naturaleza intelectual y especializada del servicio de interventoría. El análisis de esta variable deberá complementarse con la revisión de la oferta de proveedores y de las condiciones económicas observadas en procesos similares, con el propósito de establecer un presupuesto oficial acorde con las condiciones reales del mercado.</w:t>
            </w:r>
          </w:p>
          <w:p w14:paraId="15287AC5" w14:textId="77777777" w:rsidR="004405D9" w:rsidRDefault="004405D9" w:rsidP="00E11C72">
            <w:pPr>
              <w:pBdr>
                <w:top w:val="nil"/>
                <w:left w:val="nil"/>
                <w:bottom w:val="nil"/>
                <w:right w:val="nil"/>
                <w:between w:val="nil"/>
              </w:pBdr>
              <w:jc w:val="both"/>
              <w:rPr>
                <w:rFonts w:ascii="Arial" w:eastAsia="Arial" w:hAnsi="Arial" w:cs="Arial"/>
                <w:color w:val="000000"/>
                <w:sz w:val="24"/>
                <w:szCs w:val="24"/>
                <w:lang w:val="es-CO"/>
              </w:rPr>
            </w:pPr>
          </w:p>
          <w:p w14:paraId="64C2EB94" w14:textId="77777777" w:rsidR="00E11C72" w:rsidRP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p>
          <w:p w14:paraId="142BAB3E" w14:textId="48B2C7AB" w:rsidR="00E11C72" w:rsidRPr="00E11C72" w:rsidRDefault="005C7269" w:rsidP="00E11C72">
            <w:pPr>
              <w:pBdr>
                <w:top w:val="nil"/>
                <w:left w:val="nil"/>
                <w:bottom w:val="nil"/>
                <w:right w:val="nil"/>
                <w:between w:val="nil"/>
              </w:pBdr>
              <w:jc w:val="both"/>
              <w:rPr>
                <w:rFonts w:ascii="Arial" w:eastAsia="Arial" w:hAnsi="Arial" w:cs="Arial"/>
                <w:b/>
                <w:bCs/>
                <w:color w:val="000000"/>
                <w:sz w:val="24"/>
                <w:szCs w:val="24"/>
                <w:lang w:val="es-CO"/>
              </w:rPr>
            </w:pPr>
            <w:r w:rsidRPr="00E11C72">
              <w:rPr>
                <w:rFonts w:ascii="Arial" w:eastAsia="Arial" w:hAnsi="Arial" w:cs="Arial"/>
                <w:b/>
                <w:bCs/>
                <w:color w:val="000000"/>
                <w:sz w:val="24"/>
                <w:szCs w:val="24"/>
                <w:lang w:val="es-CO"/>
              </w:rPr>
              <w:t>TASA DE CAMBIO</w:t>
            </w:r>
          </w:p>
          <w:p w14:paraId="6A5513B5" w14:textId="77777777" w:rsid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r w:rsidRPr="00E11C72">
              <w:rPr>
                <w:rFonts w:ascii="Arial" w:eastAsia="Arial" w:hAnsi="Arial" w:cs="Arial"/>
                <w:color w:val="000000"/>
                <w:sz w:val="24"/>
                <w:szCs w:val="24"/>
                <w:lang w:val="es-CO"/>
              </w:rPr>
              <w:t>La tasa de cambio constituye otra variable macroeconómica que puede incidir indirectamente en los costos asociados a la prestación del servicio de interventoría.</w:t>
            </w:r>
          </w:p>
          <w:p w14:paraId="5CE1EAB5" w14:textId="77777777" w:rsid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r w:rsidRPr="00E11C72">
              <w:rPr>
                <w:rFonts w:ascii="Arial" w:eastAsia="Arial" w:hAnsi="Arial" w:cs="Arial"/>
                <w:color w:val="000000"/>
                <w:sz w:val="24"/>
                <w:szCs w:val="24"/>
                <w:lang w:val="es-CO"/>
              </w:rPr>
              <w:t xml:space="preserve">Su comportamiento puede afectar el precio de determinados bienes, equipos, </w:t>
            </w:r>
            <w:r w:rsidRPr="00E11C72">
              <w:rPr>
                <w:rFonts w:ascii="Arial" w:eastAsia="Arial" w:hAnsi="Arial" w:cs="Arial"/>
                <w:color w:val="000000"/>
                <w:sz w:val="24"/>
                <w:szCs w:val="24"/>
                <w:lang w:val="es-CO"/>
              </w:rPr>
              <w:lastRenderedPageBreak/>
              <w:t>herramientas tecnológicas, software, equipos de medición y otros elementos de origen importado que puedan ser utilizados como apoyo para la ejecución de las actividades de seguimiento y control.</w:t>
            </w:r>
          </w:p>
          <w:p w14:paraId="0D5B842E" w14:textId="77777777" w:rsidR="00E11C72" w:rsidRP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p>
          <w:p w14:paraId="61F6076E" w14:textId="77777777" w:rsid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r w:rsidRPr="00E11C72">
              <w:rPr>
                <w:rFonts w:ascii="Arial" w:eastAsia="Arial" w:hAnsi="Arial" w:cs="Arial"/>
                <w:color w:val="000000"/>
                <w:sz w:val="24"/>
                <w:szCs w:val="24"/>
                <w:lang w:val="es-CO"/>
              </w:rPr>
              <w:t>Sin embargo, teniendo en cuenta que el objeto principal del contrato corresponde a la prestación de servicios profesionales especializados, la incidencia de la tasa de cambio sobre el valor total del contrato se considera menor frente al impacto que pueden generar variables como la inflación, los costos laborales y el plazo de ejecución.</w:t>
            </w:r>
          </w:p>
          <w:p w14:paraId="296503A2" w14:textId="77777777" w:rsidR="00E11C72" w:rsidRP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p>
          <w:p w14:paraId="3687F375" w14:textId="392E65B6" w:rsidR="00E11C72" w:rsidRDefault="005C7269" w:rsidP="00E11C72">
            <w:pPr>
              <w:pBdr>
                <w:top w:val="nil"/>
                <w:left w:val="nil"/>
                <w:bottom w:val="nil"/>
                <w:right w:val="nil"/>
                <w:between w:val="nil"/>
              </w:pBdr>
              <w:jc w:val="both"/>
              <w:rPr>
                <w:rFonts w:ascii="Arial" w:eastAsia="Arial" w:hAnsi="Arial" w:cs="Arial"/>
                <w:b/>
                <w:bCs/>
                <w:color w:val="000000"/>
                <w:sz w:val="24"/>
                <w:szCs w:val="24"/>
                <w:lang w:val="es-CO"/>
              </w:rPr>
            </w:pPr>
            <w:r w:rsidRPr="00E11C72">
              <w:rPr>
                <w:rFonts w:ascii="Arial" w:eastAsia="Arial" w:hAnsi="Arial" w:cs="Arial"/>
                <w:b/>
                <w:bCs/>
                <w:color w:val="000000"/>
                <w:sz w:val="24"/>
                <w:szCs w:val="24"/>
                <w:lang w:val="es-CO"/>
              </w:rPr>
              <w:t>ACTIVIDAD ECONÓMICA DEL SECTOR CONSTRUCCIÓN Y OBRAS CIVILES</w:t>
            </w:r>
          </w:p>
          <w:p w14:paraId="22EFCBCD" w14:textId="77777777" w:rsidR="00AE7F60" w:rsidRPr="00E11C72" w:rsidRDefault="00AE7F60" w:rsidP="00E11C72">
            <w:pPr>
              <w:pBdr>
                <w:top w:val="nil"/>
                <w:left w:val="nil"/>
                <w:bottom w:val="nil"/>
                <w:right w:val="nil"/>
                <w:between w:val="nil"/>
              </w:pBdr>
              <w:jc w:val="both"/>
              <w:rPr>
                <w:rFonts w:ascii="Arial" w:eastAsia="Arial" w:hAnsi="Arial" w:cs="Arial"/>
                <w:b/>
                <w:bCs/>
                <w:color w:val="000000"/>
                <w:sz w:val="24"/>
                <w:szCs w:val="24"/>
                <w:lang w:val="es-CO"/>
              </w:rPr>
            </w:pPr>
          </w:p>
          <w:p w14:paraId="1A03FAE9" w14:textId="77777777" w:rsidR="00AE7F60" w:rsidRDefault="00AE7F60" w:rsidP="00AE7F60">
            <w:pPr>
              <w:pBdr>
                <w:top w:val="nil"/>
                <w:left w:val="nil"/>
                <w:bottom w:val="nil"/>
                <w:right w:val="nil"/>
                <w:between w:val="nil"/>
              </w:pBdr>
              <w:jc w:val="both"/>
              <w:rPr>
                <w:rFonts w:ascii="Arial" w:eastAsia="Arial" w:hAnsi="Arial" w:cs="Arial"/>
                <w:color w:val="000000"/>
                <w:sz w:val="24"/>
                <w:szCs w:val="24"/>
                <w:lang w:val="es-CO"/>
              </w:rPr>
            </w:pPr>
            <w:r w:rsidRPr="00AE7F60">
              <w:rPr>
                <w:rFonts w:ascii="Arial" w:eastAsia="Arial" w:hAnsi="Arial" w:cs="Arial"/>
                <w:color w:val="000000"/>
                <w:sz w:val="24"/>
                <w:szCs w:val="24"/>
                <w:lang w:val="es-CO"/>
              </w:rPr>
              <w:t>La actividad económica del sector construcción constituye una variable relevante para el presente proceso, teniendo en cuenta la relación directa entre la ejecución de proyectos de infraestructura pública y la demanda de servicios especializados de interventoría.</w:t>
            </w:r>
          </w:p>
          <w:p w14:paraId="598E0BF9" w14:textId="77777777" w:rsidR="00AE7F60" w:rsidRPr="00AE7F60" w:rsidRDefault="00AE7F60" w:rsidP="00AE7F60">
            <w:pPr>
              <w:pBdr>
                <w:top w:val="nil"/>
                <w:left w:val="nil"/>
                <w:bottom w:val="nil"/>
                <w:right w:val="nil"/>
                <w:between w:val="nil"/>
              </w:pBdr>
              <w:jc w:val="both"/>
              <w:rPr>
                <w:rFonts w:ascii="Arial" w:eastAsia="Arial" w:hAnsi="Arial" w:cs="Arial"/>
                <w:color w:val="000000"/>
                <w:sz w:val="24"/>
                <w:szCs w:val="24"/>
                <w:lang w:val="es-CO"/>
              </w:rPr>
            </w:pPr>
          </w:p>
          <w:p w14:paraId="25BD6974" w14:textId="77777777" w:rsidR="00AE7F60" w:rsidRDefault="00AE7F60" w:rsidP="00AE7F60">
            <w:pPr>
              <w:pBdr>
                <w:top w:val="nil"/>
                <w:left w:val="nil"/>
                <w:bottom w:val="nil"/>
                <w:right w:val="nil"/>
                <w:between w:val="nil"/>
              </w:pBdr>
              <w:jc w:val="both"/>
              <w:rPr>
                <w:rFonts w:ascii="Arial" w:eastAsia="Arial" w:hAnsi="Arial" w:cs="Arial"/>
                <w:color w:val="000000"/>
                <w:sz w:val="24"/>
                <w:szCs w:val="24"/>
                <w:lang w:val="es-CO"/>
              </w:rPr>
            </w:pPr>
            <w:r w:rsidRPr="00AE7F60">
              <w:rPr>
                <w:rFonts w:ascii="Arial" w:eastAsia="Arial" w:hAnsi="Arial" w:cs="Arial"/>
                <w:color w:val="000000"/>
                <w:sz w:val="24"/>
                <w:szCs w:val="24"/>
                <w:lang w:val="es-CO"/>
              </w:rPr>
              <w:t xml:space="preserve">De acuerdo con el boletín del DANE correspondiente al segundo trimestre de 2026, la actividad de </w:t>
            </w:r>
            <w:r w:rsidRPr="00AE7F60">
              <w:rPr>
                <w:rFonts w:ascii="Arial" w:eastAsia="Arial" w:hAnsi="Arial" w:cs="Arial"/>
                <w:b/>
                <w:bCs/>
                <w:color w:val="000000"/>
                <w:sz w:val="24"/>
                <w:szCs w:val="24"/>
                <w:lang w:val="es-CO"/>
              </w:rPr>
              <w:t>Construcción presentó un crecimiento anual de 2,2 % frente al mismo trimestre de 2025</w:t>
            </w:r>
            <w:r w:rsidRPr="00AE7F60">
              <w:rPr>
                <w:rFonts w:ascii="Arial" w:eastAsia="Arial" w:hAnsi="Arial" w:cs="Arial"/>
                <w:color w:val="000000"/>
                <w:sz w:val="24"/>
                <w:szCs w:val="24"/>
                <w:lang w:val="es-CO"/>
              </w:rPr>
              <w:t xml:space="preserve">. No obstante, en lo corrido del año registra una variación de </w:t>
            </w:r>
            <w:r w:rsidRPr="00AE7F60">
              <w:rPr>
                <w:rFonts w:ascii="Arial" w:eastAsia="Arial" w:hAnsi="Arial" w:cs="Arial"/>
                <w:b/>
                <w:bCs/>
                <w:color w:val="000000"/>
                <w:sz w:val="24"/>
                <w:szCs w:val="24"/>
                <w:lang w:val="es-CO"/>
              </w:rPr>
              <w:t>-1,5 %</w:t>
            </w:r>
            <w:r w:rsidRPr="00AE7F60">
              <w:rPr>
                <w:rFonts w:ascii="Arial" w:eastAsia="Arial" w:hAnsi="Arial" w:cs="Arial"/>
                <w:color w:val="000000"/>
                <w:sz w:val="24"/>
                <w:szCs w:val="24"/>
                <w:lang w:val="es-CO"/>
              </w:rPr>
              <w:t xml:space="preserve">, mientras que frente al trimestre inmediatamente anterior, mediante la serie ajustada por efecto estacional y calendario, presentó un crecimiento de </w:t>
            </w:r>
            <w:r w:rsidRPr="00AE7F60">
              <w:rPr>
                <w:rFonts w:ascii="Arial" w:eastAsia="Arial" w:hAnsi="Arial" w:cs="Arial"/>
                <w:b/>
                <w:bCs/>
                <w:color w:val="000000"/>
                <w:sz w:val="24"/>
                <w:szCs w:val="24"/>
                <w:lang w:val="es-CO"/>
              </w:rPr>
              <w:t>6,4 %</w:t>
            </w:r>
            <w:r w:rsidRPr="00AE7F60">
              <w:rPr>
                <w:rFonts w:ascii="Arial" w:eastAsia="Arial" w:hAnsi="Arial" w:cs="Arial"/>
                <w:color w:val="000000"/>
                <w:sz w:val="24"/>
                <w:szCs w:val="24"/>
                <w:lang w:val="es-CO"/>
              </w:rPr>
              <w:t>.</w:t>
            </w:r>
          </w:p>
          <w:p w14:paraId="077B47DC" w14:textId="77777777" w:rsidR="00B751D0" w:rsidRPr="00AE7F60" w:rsidRDefault="00B751D0" w:rsidP="00AE7F60">
            <w:pPr>
              <w:pBdr>
                <w:top w:val="nil"/>
                <w:left w:val="nil"/>
                <w:bottom w:val="nil"/>
                <w:right w:val="nil"/>
                <w:between w:val="nil"/>
              </w:pBdr>
              <w:jc w:val="both"/>
              <w:rPr>
                <w:rFonts w:ascii="Arial" w:eastAsia="Arial" w:hAnsi="Arial" w:cs="Arial"/>
                <w:color w:val="000000"/>
                <w:sz w:val="24"/>
                <w:szCs w:val="24"/>
                <w:lang w:val="es-CO"/>
              </w:rPr>
            </w:pPr>
          </w:p>
          <w:p w14:paraId="6E835271" w14:textId="233581CF" w:rsidR="00AE7F60" w:rsidRDefault="00AE7F60" w:rsidP="00AE7F60">
            <w:pPr>
              <w:pBdr>
                <w:top w:val="nil"/>
                <w:left w:val="nil"/>
                <w:bottom w:val="nil"/>
                <w:right w:val="nil"/>
                <w:between w:val="nil"/>
              </w:pBdr>
              <w:jc w:val="both"/>
              <w:rPr>
                <w:rFonts w:ascii="Arial" w:eastAsia="Arial" w:hAnsi="Arial" w:cs="Arial"/>
                <w:color w:val="000000"/>
                <w:sz w:val="24"/>
                <w:szCs w:val="24"/>
                <w:lang w:val="es-CO"/>
              </w:rPr>
            </w:pPr>
            <w:r w:rsidRPr="00AE7F60">
              <w:rPr>
                <w:rFonts w:ascii="Arial" w:eastAsia="Arial" w:hAnsi="Arial" w:cs="Arial"/>
                <w:color w:val="000000"/>
                <w:sz w:val="24"/>
                <w:szCs w:val="24"/>
                <w:lang w:val="es-CO"/>
              </w:rPr>
              <w:t xml:space="preserve">Estos resultados evidencian una recuperación reciente de la actividad constructiva, aunque persiste una variación negativa en el acumulado del primer semestre de 2026. Este comportamiento resulta relevante para el presente proceso, dado la ejecución de las obras de </w:t>
            </w:r>
            <w:r w:rsidR="002B2A5E" w:rsidRPr="002B2A5E">
              <w:rPr>
                <w:rFonts w:ascii="Arial" w:eastAsia="Arial" w:hAnsi="Arial" w:cs="Arial"/>
                <w:color w:val="000000"/>
                <w:sz w:val="24"/>
                <w:szCs w:val="24"/>
                <w:lang w:val="es-CO"/>
              </w:rPr>
              <w:t>adecuación y mejoramiento de la infraestructura de los escenarios deportivos y recreativos del distrito especial, deportivo, cultural, turístico, empresarial y de servicios de Santiago de Cali.</w:t>
            </w:r>
          </w:p>
          <w:p w14:paraId="52867688" w14:textId="77777777" w:rsidR="00AE7F60" w:rsidRPr="00AE7F60" w:rsidRDefault="00AE7F60" w:rsidP="00AE7F60">
            <w:pPr>
              <w:pBdr>
                <w:top w:val="nil"/>
                <w:left w:val="nil"/>
                <w:bottom w:val="nil"/>
                <w:right w:val="nil"/>
                <w:between w:val="nil"/>
              </w:pBdr>
              <w:jc w:val="both"/>
              <w:rPr>
                <w:rFonts w:ascii="Arial" w:eastAsia="Arial" w:hAnsi="Arial" w:cs="Arial"/>
                <w:color w:val="000000"/>
                <w:sz w:val="24"/>
                <w:szCs w:val="24"/>
                <w:lang w:val="es-CO"/>
              </w:rPr>
            </w:pPr>
          </w:p>
          <w:p w14:paraId="3EFEA7F2" w14:textId="77777777" w:rsidR="00AE7F60" w:rsidRPr="00AE7F60" w:rsidRDefault="00AE7F60" w:rsidP="00AE7F60">
            <w:pPr>
              <w:pBdr>
                <w:top w:val="nil"/>
                <w:left w:val="nil"/>
                <w:bottom w:val="nil"/>
                <w:right w:val="nil"/>
                <w:between w:val="nil"/>
              </w:pBdr>
              <w:jc w:val="both"/>
              <w:rPr>
                <w:rFonts w:ascii="Arial" w:eastAsia="Arial" w:hAnsi="Arial" w:cs="Arial"/>
                <w:color w:val="000000"/>
                <w:sz w:val="24"/>
                <w:szCs w:val="24"/>
                <w:lang w:val="es-CO"/>
              </w:rPr>
            </w:pPr>
            <w:r w:rsidRPr="00AE7F60">
              <w:rPr>
                <w:rFonts w:ascii="Arial" w:eastAsia="Arial" w:hAnsi="Arial" w:cs="Arial"/>
                <w:color w:val="000000"/>
                <w:sz w:val="24"/>
                <w:szCs w:val="24"/>
                <w:lang w:val="es-CO"/>
              </w:rPr>
              <w:t xml:space="preserve">En consecuencia, la dinámica del sector construcción constituye un referente para caracterizar las condiciones generales del mercado; sin embargo, por tratarse de un contrato de </w:t>
            </w:r>
            <w:r w:rsidRPr="00AE7F60">
              <w:rPr>
                <w:rFonts w:ascii="Arial" w:eastAsia="Arial" w:hAnsi="Arial" w:cs="Arial"/>
                <w:b/>
                <w:bCs/>
                <w:color w:val="000000"/>
                <w:sz w:val="24"/>
                <w:szCs w:val="24"/>
                <w:lang w:val="es-CO"/>
              </w:rPr>
              <w:t>interventoría y no de ejecución de obra</w:t>
            </w:r>
            <w:r w:rsidRPr="00AE7F60">
              <w:rPr>
                <w:rFonts w:ascii="Arial" w:eastAsia="Arial" w:hAnsi="Arial" w:cs="Arial"/>
                <w:color w:val="000000"/>
                <w:sz w:val="24"/>
                <w:szCs w:val="24"/>
                <w:lang w:val="es-CO"/>
              </w:rPr>
              <w:t>, el valor del servicio deberá analizarse principalmente a partir de los costos del equipo profesional, dedicaciones, plazo de ejecución y demás costos directos e indirectos asociados a la prestación del servicio.</w:t>
            </w:r>
          </w:p>
          <w:p w14:paraId="02F2411A" w14:textId="77777777" w:rsidR="00E11C72" w:rsidRP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p>
          <w:p w14:paraId="7B46CC03" w14:textId="7EE07FF6" w:rsidR="00E11C72" w:rsidRDefault="00AE7F60" w:rsidP="00E11C72">
            <w:pPr>
              <w:pBdr>
                <w:top w:val="nil"/>
                <w:left w:val="nil"/>
                <w:bottom w:val="nil"/>
                <w:right w:val="nil"/>
                <w:between w:val="nil"/>
              </w:pBdr>
              <w:jc w:val="both"/>
              <w:rPr>
                <w:rFonts w:ascii="Arial" w:eastAsia="Arial" w:hAnsi="Arial" w:cs="Arial"/>
                <w:b/>
                <w:bCs/>
                <w:color w:val="000000"/>
                <w:sz w:val="24"/>
                <w:szCs w:val="24"/>
                <w:lang w:val="es-CO"/>
              </w:rPr>
            </w:pPr>
            <w:r w:rsidRPr="00AE7F60">
              <w:rPr>
                <w:rFonts w:ascii="Arial" w:eastAsia="Arial" w:hAnsi="Arial" w:cs="Arial"/>
                <w:b/>
                <w:bCs/>
                <w:color w:val="000000"/>
                <w:sz w:val="24"/>
                <w:szCs w:val="24"/>
                <w:lang w:val="es-CO"/>
              </w:rPr>
              <w:t>ÍNDICE DE PRECIOS AL PRODUCTOR – IPP</w:t>
            </w:r>
          </w:p>
          <w:p w14:paraId="0BE8C609" w14:textId="77777777" w:rsidR="00004AA5" w:rsidRPr="00AE7F60" w:rsidRDefault="00004AA5" w:rsidP="00E11C72">
            <w:pPr>
              <w:pBdr>
                <w:top w:val="nil"/>
                <w:left w:val="nil"/>
                <w:bottom w:val="nil"/>
                <w:right w:val="nil"/>
                <w:between w:val="nil"/>
              </w:pBdr>
              <w:jc w:val="both"/>
              <w:rPr>
                <w:rFonts w:ascii="Arial" w:eastAsia="Arial" w:hAnsi="Arial" w:cs="Arial"/>
                <w:b/>
                <w:bCs/>
                <w:color w:val="000000"/>
                <w:sz w:val="24"/>
                <w:szCs w:val="24"/>
                <w:lang w:val="es-CO"/>
              </w:rPr>
            </w:pPr>
          </w:p>
          <w:p w14:paraId="56BCA3BD" w14:textId="77777777" w:rsidR="00004AA5" w:rsidRDefault="00004AA5" w:rsidP="00004AA5">
            <w:pPr>
              <w:pBdr>
                <w:top w:val="nil"/>
                <w:left w:val="nil"/>
                <w:bottom w:val="nil"/>
                <w:right w:val="nil"/>
                <w:between w:val="nil"/>
              </w:pBdr>
              <w:jc w:val="both"/>
              <w:rPr>
                <w:rFonts w:ascii="Arial" w:eastAsia="Arial" w:hAnsi="Arial" w:cs="Arial"/>
                <w:color w:val="000000"/>
                <w:sz w:val="24"/>
                <w:szCs w:val="24"/>
                <w:lang w:val="es-CO"/>
              </w:rPr>
            </w:pPr>
            <w:r w:rsidRPr="00004AA5">
              <w:rPr>
                <w:rFonts w:ascii="Arial" w:eastAsia="Arial" w:hAnsi="Arial" w:cs="Arial"/>
                <w:color w:val="000000"/>
                <w:sz w:val="24"/>
                <w:szCs w:val="24"/>
                <w:lang w:val="es-CO"/>
              </w:rPr>
              <w:t>El Índice de Precios del Productor – IPP constituye un indicador relevante para analizar la evolución de los precios de los bienes producidos en el país y, de manera complementaria, las condiciones de costos que pueden incidir sobre las actividades económicas relacionadas con la ejecución de proyectos de infraestructura.</w:t>
            </w:r>
          </w:p>
          <w:p w14:paraId="4B737943" w14:textId="77777777" w:rsidR="00542161" w:rsidRDefault="00542161" w:rsidP="00004AA5">
            <w:pPr>
              <w:pBdr>
                <w:top w:val="nil"/>
                <w:left w:val="nil"/>
                <w:bottom w:val="nil"/>
                <w:right w:val="nil"/>
                <w:between w:val="nil"/>
              </w:pBdr>
              <w:jc w:val="both"/>
              <w:rPr>
                <w:rFonts w:ascii="Arial" w:eastAsia="Arial" w:hAnsi="Arial" w:cs="Arial"/>
                <w:color w:val="000000"/>
                <w:sz w:val="24"/>
                <w:szCs w:val="24"/>
                <w:lang w:val="es-CO"/>
              </w:rPr>
            </w:pPr>
          </w:p>
          <w:p w14:paraId="1AA5194E" w14:textId="72CAC5F2" w:rsidR="00004AA5" w:rsidRPr="003E2737" w:rsidRDefault="003E2737" w:rsidP="00004AA5">
            <w:pPr>
              <w:pBdr>
                <w:top w:val="nil"/>
                <w:left w:val="nil"/>
                <w:bottom w:val="nil"/>
                <w:right w:val="nil"/>
                <w:between w:val="nil"/>
              </w:pBdr>
              <w:jc w:val="both"/>
              <w:rPr>
                <w:rFonts w:ascii="Arial" w:eastAsia="Arial" w:hAnsi="Arial" w:cs="Arial"/>
                <w:b/>
                <w:bCs/>
                <w:color w:val="000000"/>
                <w:sz w:val="20"/>
                <w:szCs w:val="20"/>
                <w:lang w:val="es-CO"/>
              </w:rPr>
            </w:pPr>
            <w:r w:rsidRPr="003E2737">
              <w:rPr>
                <w:rFonts w:ascii="Arial" w:eastAsia="Arial" w:hAnsi="Arial" w:cs="Arial"/>
                <w:b/>
                <w:bCs/>
                <w:color w:val="000000"/>
                <w:sz w:val="20"/>
                <w:szCs w:val="20"/>
                <w:lang w:val="es-CO"/>
              </w:rPr>
              <w:t xml:space="preserve">Gráfico </w:t>
            </w:r>
            <w:r>
              <w:rPr>
                <w:rFonts w:ascii="Arial" w:eastAsia="Arial" w:hAnsi="Arial" w:cs="Arial"/>
                <w:b/>
                <w:bCs/>
                <w:color w:val="000000"/>
                <w:sz w:val="20"/>
                <w:szCs w:val="20"/>
                <w:lang w:val="es-CO"/>
              </w:rPr>
              <w:t>5</w:t>
            </w:r>
            <w:r w:rsidRPr="003E2737">
              <w:rPr>
                <w:rFonts w:ascii="Arial" w:eastAsia="Arial" w:hAnsi="Arial" w:cs="Arial"/>
                <w:b/>
                <w:bCs/>
                <w:color w:val="000000"/>
                <w:sz w:val="20"/>
                <w:szCs w:val="20"/>
                <w:lang w:val="es-CO"/>
              </w:rPr>
              <w:t>. Variación mensual de los índices del IPP</w:t>
            </w:r>
          </w:p>
          <w:p w14:paraId="0CB2F6AB" w14:textId="75D4CC99" w:rsidR="00542161" w:rsidRDefault="00542161" w:rsidP="00004AA5">
            <w:pPr>
              <w:pBdr>
                <w:top w:val="nil"/>
                <w:left w:val="nil"/>
                <w:bottom w:val="nil"/>
                <w:right w:val="nil"/>
                <w:between w:val="nil"/>
              </w:pBdr>
              <w:jc w:val="both"/>
              <w:rPr>
                <w:rFonts w:ascii="Arial" w:eastAsia="Arial" w:hAnsi="Arial" w:cs="Arial"/>
                <w:color w:val="000000"/>
                <w:sz w:val="24"/>
                <w:szCs w:val="24"/>
                <w:lang w:val="es-CO"/>
              </w:rPr>
            </w:pPr>
            <w:r w:rsidRPr="00542161">
              <w:rPr>
                <w:rFonts w:ascii="Arial" w:eastAsia="Arial" w:hAnsi="Arial" w:cs="Arial"/>
                <w:noProof/>
                <w:color w:val="000000"/>
                <w:sz w:val="24"/>
                <w:szCs w:val="24"/>
                <w:lang w:val="es-CO"/>
              </w:rPr>
              <w:drawing>
                <wp:inline distT="0" distB="0" distL="0" distR="0" wp14:anchorId="7FBA0822" wp14:editId="37964606">
                  <wp:extent cx="5279525" cy="2369820"/>
                  <wp:effectExtent l="0" t="0" r="0" b="0"/>
                  <wp:docPr id="11559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9172" name=""/>
                          <pic:cNvPicPr/>
                        </pic:nvPicPr>
                        <pic:blipFill>
                          <a:blip r:embed="rId18"/>
                          <a:stretch>
                            <a:fillRect/>
                          </a:stretch>
                        </pic:blipFill>
                        <pic:spPr>
                          <a:xfrm>
                            <a:off x="0" y="0"/>
                            <a:ext cx="5288292" cy="2373755"/>
                          </a:xfrm>
                          <a:prstGeom prst="rect">
                            <a:avLst/>
                          </a:prstGeom>
                        </pic:spPr>
                      </pic:pic>
                    </a:graphicData>
                  </a:graphic>
                </wp:inline>
              </w:drawing>
            </w:r>
          </w:p>
          <w:p w14:paraId="4ED9D9D3" w14:textId="77777777" w:rsidR="00542161" w:rsidRPr="00004AA5" w:rsidRDefault="00542161" w:rsidP="00004AA5">
            <w:pPr>
              <w:pBdr>
                <w:top w:val="nil"/>
                <w:left w:val="nil"/>
                <w:bottom w:val="nil"/>
                <w:right w:val="nil"/>
                <w:between w:val="nil"/>
              </w:pBdr>
              <w:jc w:val="both"/>
              <w:rPr>
                <w:rFonts w:ascii="Arial" w:eastAsia="Arial" w:hAnsi="Arial" w:cs="Arial"/>
                <w:color w:val="000000"/>
                <w:sz w:val="24"/>
                <w:szCs w:val="24"/>
                <w:lang w:val="es-CO"/>
              </w:rPr>
            </w:pPr>
          </w:p>
          <w:p w14:paraId="1DE26513" w14:textId="77777777" w:rsidR="00004AA5" w:rsidRDefault="00004AA5" w:rsidP="00004AA5">
            <w:pPr>
              <w:pBdr>
                <w:top w:val="nil"/>
                <w:left w:val="nil"/>
                <w:bottom w:val="nil"/>
                <w:right w:val="nil"/>
                <w:between w:val="nil"/>
              </w:pBdr>
              <w:jc w:val="both"/>
              <w:rPr>
                <w:rFonts w:ascii="Arial" w:eastAsia="Arial" w:hAnsi="Arial" w:cs="Arial"/>
                <w:color w:val="000000"/>
                <w:sz w:val="24"/>
                <w:szCs w:val="24"/>
                <w:lang w:val="es-CO"/>
              </w:rPr>
            </w:pPr>
            <w:r w:rsidRPr="00004AA5">
              <w:rPr>
                <w:rFonts w:ascii="Arial" w:eastAsia="Arial" w:hAnsi="Arial" w:cs="Arial"/>
                <w:color w:val="000000"/>
                <w:sz w:val="24"/>
                <w:szCs w:val="24"/>
                <w:lang w:val="es-CO"/>
              </w:rPr>
              <w:t xml:space="preserve">De acuerdo con los resultados del IPP de Producción Nacional correspondientes a </w:t>
            </w:r>
            <w:r w:rsidRPr="00004AA5">
              <w:rPr>
                <w:rFonts w:ascii="Arial" w:eastAsia="Arial" w:hAnsi="Arial" w:cs="Arial"/>
                <w:b/>
                <w:bCs/>
                <w:color w:val="000000"/>
                <w:sz w:val="24"/>
                <w:szCs w:val="24"/>
                <w:lang w:val="es-CO"/>
              </w:rPr>
              <w:t>julio de 2026</w:t>
            </w:r>
            <w:r w:rsidRPr="00004AA5">
              <w:rPr>
                <w:rFonts w:ascii="Arial" w:eastAsia="Arial" w:hAnsi="Arial" w:cs="Arial"/>
                <w:color w:val="000000"/>
                <w:sz w:val="24"/>
                <w:szCs w:val="24"/>
                <w:lang w:val="es-CO"/>
              </w:rPr>
              <w:t xml:space="preserve">, el índice presentó una variación mensual de </w:t>
            </w:r>
            <w:r w:rsidRPr="00004AA5">
              <w:rPr>
                <w:rFonts w:ascii="Arial" w:eastAsia="Arial" w:hAnsi="Arial" w:cs="Arial"/>
                <w:b/>
                <w:bCs/>
                <w:color w:val="000000"/>
                <w:sz w:val="24"/>
                <w:szCs w:val="24"/>
                <w:lang w:val="es-CO"/>
              </w:rPr>
              <w:t>-1,42 % frente a junio de 2026</w:t>
            </w:r>
            <w:r w:rsidRPr="00004AA5">
              <w:rPr>
                <w:rFonts w:ascii="Arial" w:eastAsia="Arial" w:hAnsi="Arial" w:cs="Arial"/>
                <w:color w:val="000000"/>
                <w:sz w:val="24"/>
                <w:szCs w:val="24"/>
                <w:lang w:val="es-CO"/>
              </w:rPr>
              <w:t>. Este resultado estuvo determinado principalmente por las variaciones negativas registradas en los sectores de explotación de minas y canteras e industrias manufactureras.</w:t>
            </w:r>
          </w:p>
          <w:p w14:paraId="01AB8B5F" w14:textId="77777777" w:rsidR="00502FA7" w:rsidRDefault="00502FA7" w:rsidP="00004AA5">
            <w:pPr>
              <w:pBdr>
                <w:top w:val="nil"/>
                <w:left w:val="nil"/>
                <w:bottom w:val="nil"/>
                <w:right w:val="nil"/>
                <w:between w:val="nil"/>
              </w:pBdr>
              <w:jc w:val="both"/>
              <w:rPr>
                <w:rFonts w:ascii="Arial" w:eastAsia="Arial" w:hAnsi="Arial" w:cs="Arial"/>
                <w:color w:val="000000"/>
                <w:sz w:val="24"/>
                <w:szCs w:val="24"/>
                <w:lang w:val="es-CO"/>
              </w:rPr>
            </w:pPr>
          </w:p>
          <w:p w14:paraId="10CE26D7" w14:textId="13450BE4" w:rsidR="00E11C72" w:rsidRDefault="00502FA7" w:rsidP="00E11C72">
            <w:pPr>
              <w:pBdr>
                <w:top w:val="nil"/>
                <w:left w:val="nil"/>
                <w:bottom w:val="nil"/>
                <w:right w:val="nil"/>
                <w:between w:val="nil"/>
              </w:pBdr>
              <w:jc w:val="both"/>
              <w:rPr>
                <w:rFonts w:ascii="Arial" w:eastAsia="Arial" w:hAnsi="Arial" w:cs="Arial"/>
                <w:color w:val="000000"/>
                <w:sz w:val="24"/>
                <w:szCs w:val="24"/>
                <w:lang w:val="es-CO"/>
              </w:rPr>
            </w:pPr>
            <w:r>
              <w:rPr>
                <w:rFonts w:ascii="Arial" w:eastAsia="Arial" w:hAnsi="Arial" w:cs="Arial"/>
                <w:b/>
                <w:bCs/>
                <w:color w:val="000000"/>
                <w:sz w:val="20"/>
                <w:szCs w:val="20"/>
                <w:lang w:val="es-CO"/>
              </w:rPr>
              <w:t xml:space="preserve">Gráfico 6. </w:t>
            </w:r>
            <w:r w:rsidR="00B81ECD" w:rsidRPr="00B81ECD">
              <w:rPr>
                <w:rFonts w:ascii="Arial" w:eastAsia="Arial" w:hAnsi="Arial" w:cs="Arial"/>
                <w:b/>
                <w:bCs/>
                <w:color w:val="000000"/>
                <w:sz w:val="20"/>
                <w:szCs w:val="20"/>
                <w:lang w:val="es-CO"/>
              </w:rPr>
              <w:t>Variación y contribución mensual del IPP de Producción Nacional por secciones CIIU</w:t>
            </w:r>
          </w:p>
          <w:p w14:paraId="57A13D50" w14:textId="04965718" w:rsidR="00DD5F0C" w:rsidRDefault="00502FA7" w:rsidP="00E11C72">
            <w:pPr>
              <w:pBdr>
                <w:top w:val="nil"/>
                <w:left w:val="nil"/>
                <w:bottom w:val="nil"/>
                <w:right w:val="nil"/>
                <w:between w:val="nil"/>
              </w:pBdr>
              <w:jc w:val="both"/>
              <w:rPr>
                <w:rFonts w:ascii="Arial" w:eastAsia="Arial" w:hAnsi="Arial" w:cs="Arial"/>
                <w:color w:val="000000"/>
                <w:sz w:val="24"/>
                <w:szCs w:val="24"/>
                <w:lang w:val="es-CO"/>
              </w:rPr>
            </w:pPr>
            <w:r w:rsidRPr="00B051EC">
              <w:rPr>
                <w:noProof/>
              </w:rPr>
              <w:lastRenderedPageBreak/>
              <w:drawing>
                <wp:inline distT="0" distB="0" distL="0" distR="0" wp14:anchorId="1697D3DE" wp14:editId="6B8AE949">
                  <wp:extent cx="5383530" cy="2277110"/>
                  <wp:effectExtent l="0" t="0" r="7620" b="8890"/>
                  <wp:docPr id="963895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95654" name=""/>
                          <pic:cNvPicPr/>
                        </pic:nvPicPr>
                        <pic:blipFill rotWithShape="1">
                          <a:blip r:embed="rId19"/>
                          <a:srcRect t="8567"/>
                          <a:stretch>
                            <a:fillRect/>
                          </a:stretch>
                        </pic:blipFill>
                        <pic:spPr bwMode="auto">
                          <a:xfrm>
                            <a:off x="0" y="0"/>
                            <a:ext cx="5383530" cy="2277110"/>
                          </a:xfrm>
                          <a:prstGeom prst="rect">
                            <a:avLst/>
                          </a:prstGeom>
                          <a:ln>
                            <a:noFill/>
                          </a:ln>
                          <a:extLst>
                            <a:ext uri="{53640926-AAD7-44D8-BBD7-CCE9431645EC}">
                              <a14:shadowObscured xmlns:a14="http://schemas.microsoft.com/office/drawing/2010/main"/>
                            </a:ext>
                          </a:extLst>
                        </pic:spPr>
                      </pic:pic>
                    </a:graphicData>
                  </a:graphic>
                </wp:inline>
              </w:drawing>
            </w:r>
          </w:p>
          <w:p w14:paraId="52D34B82" w14:textId="77777777" w:rsidR="00B81ECD" w:rsidRDefault="00B81ECD" w:rsidP="00DD5F0C">
            <w:pPr>
              <w:pBdr>
                <w:top w:val="nil"/>
                <w:left w:val="nil"/>
                <w:bottom w:val="nil"/>
                <w:right w:val="nil"/>
                <w:between w:val="nil"/>
              </w:pBdr>
              <w:jc w:val="both"/>
              <w:rPr>
                <w:rFonts w:ascii="Arial" w:eastAsia="Arial" w:hAnsi="Arial" w:cs="Arial"/>
                <w:color w:val="000000"/>
                <w:sz w:val="24"/>
                <w:szCs w:val="24"/>
                <w:lang w:val="es-CO"/>
              </w:rPr>
            </w:pPr>
          </w:p>
          <w:p w14:paraId="07BDAEBF" w14:textId="4B248370" w:rsidR="00DD5F0C" w:rsidRDefault="00DD5F0C" w:rsidP="00DD5F0C">
            <w:pPr>
              <w:pBdr>
                <w:top w:val="nil"/>
                <w:left w:val="nil"/>
                <w:bottom w:val="nil"/>
                <w:right w:val="nil"/>
                <w:between w:val="nil"/>
              </w:pBdr>
              <w:jc w:val="both"/>
              <w:rPr>
                <w:rFonts w:ascii="Arial" w:eastAsia="Arial" w:hAnsi="Arial" w:cs="Arial"/>
                <w:color w:val="000000"/>
                <w:sz w:val="24"/>
                <w:szCs w:val="24"/>
                <w:lang w:val="es-CO"/>
              </w:rPr>
            </w:pPr>
            <w:r w:rsidRPr="00DD5F0C">
              <w:rPr>
                <w:rFonts w:ascii="Arial" w:eastAsia="Arial" w:hAnsi="Arial" w:cs="Arial"/>
                <w:color w:val="000000"/>
                <w:sz w:val="24"/>
                <w:szCs w:val="24"/>
                <w:lang w:val="es-CO"/>
              </w:rPr>
              <w:t xml:space="preserve">En particular, durante julio de 2026, la explotación de minas y canteras presentó una variación de </w:t>
            </w:r>
            <w:r w:rsidRPr="00DD5F0C">
              <w:rPr>
                <w:rFonts w:ascii="Arial" w:eastAsia="Arial" w:hAnsi="Arial" w:cs="Arial"/>
                <w:b/>
                <w:bCs/>
                <w:color w:val="000000"/>
                <w:sz w:val="24"/>
                <w:szCs w:val="24"/>
                <w:lang w:val="es-CO"/>
              </w:rPr>
              <w:t>-8,76 %</w:t>
            </w:r>
            <w:r w:rsidRPr="00DD5F0C">
              <w:rPr>
                <w:rFonts w:ascii="Arial" w:eastAsia="Arial" w:hAnsi="Arial" w:cs="Arial"/>
                <w:color w:val="000000"/>
                <w:sz w:val="24"/>
                <w:szCs w:val="24"/>
                <w:lang w:val="es-CO"/>
              </w:rPr>
              <w:t xml:space="preserve">, mientras que las industrias manufactureras registraron una variación de </w:t>
            </w:r>
            <w:r w:rsidRPr="00DD5F0C">
              <w:rPr>
                <w:rFonts w:ascii="Arial" w:eastAsia="Arial" w:hAnsi="Arial" w:cs="Arial"/>
                <w:b/>
                <w:bCs/>
                <w:color w:val="000000"/>
                <w:sz w:val="24"/>
                <w:szCs w:val="24"/>
                <w:lang w:val="es-CO"/>
              </w:rPr>
              <w:t>-1,65 %</w:t>
            </w:r>
            <w:r w:rsidRPr="00DD5F0C">
              <w:rPr>
                <w:rFonts w:ascii="Arial" w:eastAsia="Arial" w:hAnsi="Arial" w:cs="Arial"/>
                <w:color w:val="000000"/>
                <w:sz w:val="24"/>
                <w:szCs w:val="24"/>
                <w:lang w:val="es-CO"/>
              </w:rPr>
              <w:t xml:space="preserve">. Por su parte, agricultura, ganadería, silvicultura, caza y pesca presentó una variación positiva de </w:t>
            </w:r>
            <w:r w:rsidRPr="00DD5F0C">
              <w:rPr>
                <w:rFonts w:ascii="Arial" w:eastAsia="Arial" w:hAnsi="Arial" w:cs="Arial"/>
                <w:b/>
                <w:bCs/>
                <w:color w:val="000000"/>
                <w:sz w:val="24"/>
                <w:szCs w:val="24"/>
                <w:lang w:val="es-CO"/>
              </w:rPr>
              <w:t>3,89 %</w:t>
            </w:r>
            <w:r w:rsidRPr="00DD5F0C">
              <w:rPr>
                <w:rFonts w:ascii="Arial" w:eastAsia="Arial" w:hAnsi="Arial" w:cs="Arial"/>
                <w:color w:val="000000"/>
                <w:sz w:val="24"/>
                <w:szCs w:val="24"/>
                <w:lang w:val="es-CO"/>
              </w:rPr>
              <w:t>.</w:t>
            </w:r>
          </w:p>
          <w:p w14:paraId="1497BF97" w14:textId="77777777" w:rsidR="00DD5F0C" w:rsidRPr="00DD5F0C" w:rsidRDefault="00DD5F0C" w:rsidP="00DD5F0C">
            <w:pPr>
              <w:pBdr>
                <w:top w:val="nil"/>
                <w:left w:val="nil"/>
                <w:bottom w:val="nil"/>
                <w:right w:val="nil"/>
                <w:between w:val="nil"/>
              </w:pBdr>
              <w:jc w:val="both"/>
              <w:rPr>
                <w:rFonts w:ascii="Arial" w:eastAsia="Arial" w:hAnsi="Arial" w:cs="Arial"/>
                <w:color w:val="000000"/>
                <w:sz w:val="24"/>
                <w:szCs w:val="24"/>
                <w:lang w:val="es-CO"/>
              </w:rPr>
            </w:pPr>
          </w:p>
          <w:p w14:paraId="12E58857" w14:textId="77777777" w:rsidR="00DD5F0C" w:rsidRDefault="00DD5F0C" w:rsidP="00DD5F0C">
            <w:pPr>
              <w:pBdr>
                <w:top w:val="nil"/>
                <w:left w:val="nil"/>
                <w:bottom w:val="nil"/>
                <w:right w:val="nil"/>
                <w:between w:val="nil"/>
              </w:pBdr>
              <w:jc w:val="both"/>
              <w:rPr>
                <w:rFonts w:ascii="Arial" w:eastAsia="Arial" w:hAnsi="Arial" w:cs="Arial"/>
                <w:color w:val="000000"/>
                <w:sz w:val="24"/>
                <w:szCs w:val="24"/>
                <w:lang w:val="es-CO"/>
              </w:rPr>
            </w:pPr>
            <w:r w:rsidRPr="00DD5F0C">
              <w:rPr>
                <w:rFonts w:ascii="Arial" w:eastAsia="Arial" w:hAnsi="Arial" w:cs="Arial"/>
                <w:color w:val="000000"/>
                <w:sz w:val="24"/>
                <w:szCs w:val="24"/>
                <w:lang w:val="es-CO"/>
              </w:rPr>
              <w:t>Para el presente proceso, el comportamiento del IPP constituye una referencia económica complementaria, especialmente por la relación existente entre los precios de producción y los costos de algunos bienes, materiales, equipos y elementos que pueden ser utilizados durante la ejecución de los contratos de obra objeto de interventoría.</w:t>
            </w:r>
          </w:p>
          <w:p w14:paraId="6A9A5D85" w14:textId="77777777" w:rsidR="00DD5F0C" w:rsidRPr="00DD5F0C" w:rsidRDefault="00DD5F0C" w:rsidP="00DD5F0C">
            <w:pPr>
              <w:pBdr>
                <w:top w:val="nil"/>
                <w:left w:val="nil"/>
                <w:bottom w:val="nil"/>
                <w:right w:val="nil"/>
                <w:between w:val="nil"/>
              </w:pBdr>
              <w:jc w:val="both"/>
              <w:rPr>
                <w:rFonts w:ascii="Arial" w:eastAsia="Arial" w:hAnsi="Arial" w:cs="Arial"/>
                <w:color w:val="000000"/>
                <w:sz w:val="24"/>
                <w:szCs w:val="24"/>
                <w:lang w:val="es-CO"/>
              </w:rPr>
            </w:pPr>
          </w:p>
          <w:p w14:paraId="0AAC38DE" w14:textId="77777777" w:rsidR="00DD5F0C" w:rsidRDefault="00DD5F0C" w:rsidP="00DD5F0C">
            <w:pPr>
              <w:pBdr>
                <w:top w:val="nil"/>
                <w:left w:val="nil"/>
                <w:bottom w:val="nil"/>
                <w:right w:val="nil"/>
                <w:between w:val="nil"/>
              </w:pBdr>
              <w:jc w:val="both"/>
              <w:rPr>
                <w:rFonts w:ascii="Arial" w:eastAsia="Arial" w:hAnsi="Arial" w:cs="Arial"/>
                <w:color w:val="000000"/>
                <w:sz w:val="24"/>
                <w:szCs w:val="24"/>
                <w:lang w:val="es-CO"/>
              </w:rPr>
            </w:pPr>
            <w:r w:rsidRPr="00DD5F0C">
              <w:rPr>
                <w:rFonts w:ascii="Arial" w:eastAsia="Arial" w:hAnsi="Arial" w:cs="Arial"/>
                <w:color w:val="000000"/>
                <w:sz w:val="24"/>
                <w:szCs w:val="24"/>
                <w:lang w:val="es-CO"/>
              </w:rPr>
              <w:t xml:space="preserve">No obstante, teniendo en cuenta que el objeto contractual corresponde a la </w:t>
            </w:r>
            <w:r w:rsidRPr="00DD5F0C">
              <w:rPr>
                <w:rFonts w:ascii="Arial" w:eastAsia="Arial" w:hAnsi="Arial" w:cs="Arial"/>
                <w:b/>
                <w:bCs/>
                <w:color w:val="000000"/>
                <w:sz w:val="24"/>
                <w:szCs w:val="24"/>
                <w:lang w:val="es-CO"/>
              </w:rPr>
              <w:t>prestación de servicios profesionales especializados de interventoría</w:t>
            </w:r>
            <w:r w:rsidRPr="00DD5F0C">
              <w:rPr>
                <w:rFonts w:ascii="Arial" w:eastAsia="Arial" w:hAnsi="Arial" w:cs="Arial"/>
                <w:color w:val="000000"/>
                <w:sz w:val="24"/>
                <w:szCs w:val="24"/>
                <w:lang w:val="es-CO"/>
              </w:rPr>
              <w:t>, y no a la adquisición de materiales ni a la ejecución directa de las obras, la incidencia del IPP sobre el valor del contrato se considera indirecta. En consecuencia, para la determinación del presupuesto de la interventoría adquieren mayor relevancia variables como los costos del talento humano especializado, el IPC, el plazo de ejecución y las dedicaciones del equipo de trabajo.</w:t>
            </w:r>
          </w:p>
          <w:p w14:paraId="66445B1E" w14:textId="77777777" w:rsidR="00DD5F0C" w:rsidRPr="00DD5F0C" w:rsidRDefault="00DD5F0C" w:rsidP="00DD5F0C">
            <w:pPr>
              <w:pBdr>
                <w:top w:val="nil"/>
                <w:left w:val="nil"/>
                <w:bottom w:val="nil"/>
                <w:right w:val="nil"/>
                <w:between w:val="nil"/>
              </w:pBdr>
              <w:jc w:val="both"/>
              <w:rPr>
                <w:rFonts w:ascii="Arial" w:eastAsia="Arial" w:hAnsi="Arial" w:cs="Arial"/>
                <w:color w:val="000000"/>
                <w:sz w:val="24"/>
                <w:szCs w:val="24"/>
                <w:lang w:val="es-CO"/>
              </w:rPr>
            </w:pPr>
          </w:p>
          <w:p w14:paraId="0C0E462A" w14:textId="77777777" w:rsidR="00DD5F0C" w:rsidRPr="00DD5F0C" w:rsidRDefault="00DD5F0C" w:rsidP="00DD5F0C">
            <w:pPr>
              <w:pBdr>
                <w:top w:val="nil"/>
                <w:left w:val="nil"/>
                <w:bottom w:val="nil"/>
                <w:right w:val="nil"/>
                <w:between w:val="nil"/>
              </w:pBdr>
              <w:jc w:val="both"/>
              <w:rPr>
                <w:rFonts w:ascii="Arial" w:eastAsia="Arial" w:hAnsi="Arial" w:cs="Arial"/>
                <w:color w:val="000000"/>
                <w:sz w:val="24"/>
                <w:szCs w:val="24"/>
                <w:lang w:val="es-CO"/>
              </w:rPr>
            </w:pPr>
            <w:r w:rsidRPr="00DD5F0C">
              <w:rPr>
                <w:rFonts w:ascii="Arial" w:eastAsia="Arial" w:hAnsi="Arial" w:cs="Arial"/>
                <w:color w:val="000000"/>
                <w:sz w:val="24"/>
                <w:szCs w:val="24"/>
                <w:lang w:val="es-CO"/>
              </w:rPr>
              <w:t xml:space="preserve">En este sentido, el comportamiento negativo del IPP registrado en julio de 2026 evidencia una disminución mensual de los precios de la producción nacional, constituyendo un elemento de referencia dentro del contexto económico del proceso, sin que por sí solo determine el comportamiento de los costos del servicio de </w:t>
            </w:r>
            <w:r w:rsidRPr="00DD5F0C">
              <w:rPr>
                <w:rFonts w:ascii="Arial" w:eastAsia="Arial" w:hAnsi="Arial" w:cs="Arial"/>
                <w:color w:val="000000"/>
                <w:sz w:val="24"/>
                <w:szCs w:val="24"/>
                <w:lang w:val="es-CO"/>
              </w:rPr>
              <w:lastRenderedPageBreak/>
              <w:t>interventoría.</w:t>
            </w:r>
          </w:p>
          <w:p w14:paraId="7E9DC6F2" w14:textId="77777777" w:rsidR="00DD5F0C" w:rsidRPr="00E11C72" w:rsidRDefault="00DD5F0C" w:rsidP="00E11C72">
            <w:pPr>
              <w:pBdr>
                <w:top w:val="nil"/>
                <w:left w:val="nil"/>
                <w:bottom w:val="nil"/>
                <w:right w:val="nil"/>
                <w:between w:val="nil"/>
              </w:pBdr>
              <w:jc w:val="both"/>
              <w:rPr>
                <w:rFonts w:ascii="Arial" w:eastAsia="Arial" w:hAnsi="Arial" w:cs="Arial"/>
                <w:color w:val="000000"/>
                <w:sz w:val="24"/>
                <w:szCs w:val="24"/>
                <w:lang w:val="es-CO"/>
              </w:rPr>
            </w:pPr>
          </w:p>
          <w:p w14:paraId="126D7862" w14:textId="338F7CDA" w:rsidR="00E11C72" w:rsidRPr="00E11C72" w:rsidRDefault="00AE7F60" w:rsidP="00E11C72">
            <w:pPr>
              <w:pBdr>
                <w:top w:val="nil"/>
                <w:left w:val="nil"/>
                <w:bottom w:val="nil"/>
                <w:right w:val="nil"/>
                <w:between w:val="nil"/>
              </w:pBdr>
              <w:jc w:val="both"/>
              <w:rPr>
                <w:rFonts w:ascii="Arial" w:eastAsia="Arial" w:hAnsi="Arial" w:cs="Arial"/>
                <w:b/>
                <w:bCs/>
                <w:color w:val="000000"/>
                <w:sz w:val="24"/>
                <w:szCs w:val="24"/>
                <w:lang w:val="es-CO"/>
              </w:rPr>
            </w:pPr>
            <w:r w:rsidRPr="00E11C72">
              <w:rPr>
                <w:rFonts w:ascii="Arial" w:eastAsia="Arial" w:hAnsi="Arial" w:cs="Arial"/>
                <w:b/>
                <w:bCs/>
                <w:color w:val="000000"/>
                <w:sz w:val="24"/>
                <w:szCs w:val="24"/>
                <w:lang w:val="es-CO"/>
              </w:rPr>
              <w:t>CONSIDERACIONES MACROECONÓMICAS PARA EL PROCESO</w:t>
            </w:r>
          </w:p>
          <w:p w14:paraId="0CAFF610" w14:textId="77777777" w:rsidR="00E11C72" w:rsidRP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r w:rsidRPr="00E11C72">
              <w:rPr>
                <w:rFonts w:ascii="Arial" w:eastAsia="Arial" w:hAnsi="Arial" w:cs="Arial"/>
                <w:color w:val="000000"/>
                <w:sz w:val="24"/>
                <w:szCs w:val="24"/>
                <w:lang w:val="es-CO"/>
              </w:rPr>
              <w:t>En términos generales, las variables macroeconómicas analizadas permiten establecer que las condiciones económicas del país pueden incidir en el comportamiento de los costos asociados a la prestación del servicio de interventoría. No obstante, dada la naturaleza del objeto contractual, la incidencia no se presenta de manera homogénea.</w:t>
            </w:r>
          </w:p>
          <w:p w14:paraId="66EC5082" w14:textId="77777777" w:rsid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p>
          <w:p w14:paraId="557F7F9B" w14:textId="4FB4D215" w:rsid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r w:rsidRPr="00E11C72">
              <w:rPr>
                <w:rFonts w:ascii="Arial" w:eastAsia="Arial" w:hAnsi="Arial" w:cs="Arial"/>
                <w:color w:val="000000"/>
                <w:sz w:val="24"/>
                <w:szCs w:val="24"/>
                <w:lang w:val="es-CO"/>
              </w:rPr>
              <w:t xml:space="preserve">El </w:t>
            </w:r>
            <w:r w:rsidRPr="00E11C72">
              <w:rPr>
                <w:rFonts w:ascii="Arial" w:eastAsia="Arial" w:hAnsi="Arial" w:cs="Arial"/>
                <w:b/>
                <w:bCs/>
                <w:color w:val="000000"/>
                <w:sz w:val="24"/>
                <w:szCs w:val="24"/>
                <w:lang w:val="es-CO"/>
              </w:rPr>
              <w:t>IPC y el comportamiento de los costos laborales</w:t>
            </w:r>
            <w:r w:rsidRPr="00E11C72">
              <w:rPr>
                <w:rFonts w:ascii="Arial" w:eastAsia="Arial" w:hAnsi="Arial" w:cs="Arial"/>
                <w:color w:val="000000"/>
                <w:sz w:val="24"/>
                <w:szCs w:val="24"/>
                <w:lang w:val="es-CO"/>
              </w:rPr>
              <w:t xml:space="preserve"> constituyen las variables de mayor relevancia, debido a que el componente principal del servicio está representado por el equipo profesional y técnico requerido para desarrollar las actividades de interventoría. A su vez, el PIB y la dinámica de la construcción y las obras civiles permiten contextualizar el comportamiento de la inversión y de la demanda de estos servicios.</w:t>
            </w:r>
          </w:p>
          <w:p w14:paraId="3DFAB5D1" w14:textId="77777777" w:rsidR="00E11C72" w:rsidRP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p>
          <w:p w14:paraId="174F3534" w14:textId="77777777" w:rsid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r w:rsidRPr="00E11C72">
              <w:rPr>
                <w:rFonts w:ascii="Arial" w:eastAsia="Arial" w:hAnsi="Arial" w:cs="Arial"/>
                <w:color w:val="000000"/>
                <w:sz w:val="24"/>
                <w:szCs w:val="24"/>
                <w:lang w:val="es-CO"/>
              </w:rPr>
              <w:t>Por su parte, la tasa de interés y la tasa de cambio presentan una incidencia principalmente indirecta, asociada a los costos de financiación y a la adquisición de determinados bienes, equipos o herramientas que puedan ser requeridos para la ejecución del contrato.</w:t>
            </w:r>
          </w:p>
          <w:p w14:paraId="52DAA65A" w14:textId="77777777" w:rsidR="00E11C72" w:rsidRP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p>
          <w:p w14:paraId="54B8C1D7" w14:textId="77777777" w:rsidR="00E11C72" w:rsidRPr="00E11C72" w:rsidRDefault="00E11C72" w:rsidP="00E11C72">
            <w:pPr>
              <w:pBdr>
                <w:top w:val="nil"/>
                <w:left w:val="nil"/>
                <w:bottom w:val="nil"/>
                <w:right w:val="nil"/>
                <w:between w:val="nil"/>
              </w:pBdr>
              <w:jc w:val="both"/>
              <w:rPr>
                <w:rFonts w:ascii="Arial" w:eastAsia="Arial" w:hAnsi="Arial" w:cs="Arial"/>
                <w:color w:val="000000"/>
                <w:sz w:val="24"/>
                <w:szCs w:val="24"/>
                <w:lang w:val="es-CO"/>
              </w:rPr>
            </w:pPr>
            <w:r w:rsidRPr="00E11C72">
              <w:rPr>
                <w:rFonts w:ascii="Arial" w:eastAsia="Arial" w:hAnsi="Arial" w:cs="Arial"/>
                <w:color w:val="000000"/>
                <w:sz w:val="24"/>
                <w:szCs w:val="24"/>
                <w:lang w:val="es-CO"/>
              </w:rPr>
              <w:t>En consecuencia, para la estructuración económica del presente proceso deberán considerarse las condiciones vigentes del mercado, el plazo de ejecución, la dedicación del equipo de trabajo, los costos laborales y administrativos y las demás variables que puedan incidir en la adecuada prestación del servicio, procurando que el presupuesto oficial resulte suficiente y razonable frente a las condiciones reales del mercado de consultoría e interventoría de obra pública.</w:t>
            </w:r>
          </w:p>
          <w:p w14:paraId="0258ED4B" w14:textId="6D645328" w:rsidR="008A3B8E" w:rsidRPr="001610A2" w:rsidRDefault="008A3B8E">
            <w:pPr>
              <w:widowControl/>
              <w:pBdr>
                <w:top w:val="nil"/>
                <w:left w:val="nil"/>
                <w:bottom w:val="nil"/>
                <w:right w:val="nil"/>
                <w:between w:val="nil"/>
              </w:pBdr>
              <w:jc w:val="both"/>
              <w:rPr>
                <w:rFonts w:ascii="Arial" w:eastAsia="Arial" w:hAnsi="Arial" w:cs="Arial"/>
                <w:color w:val="000000"/>
                <w:sz w:val="24"/>
                <w:szCs w:val="24"/>
                <w:lang w:val="es-CO"/>
              </w:rPr>
            </w:pPr>
          </w:p>
        </w:tc>
      </w:tr>
      <w:tr w:rsidR="00D768A3" w14:paraId="3112FBEC"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3AA3FD8" w14:textId="77777777" w:rsidR="00D768A3" w:rsidRPr="00B43F6B" w:rsidRDefault="00D768A3">
            <w:pPr>
              <w:widowControl/>
              <w:pBdr>
                <w:top w:val="nil"/>
                <w:left w:val="nil"/>
                <w:bottom w:val="nil"/>
                <w:right w:val="nil"/>
                <w:between w:val="nil"/>
              </w:pBdr>
              <w:ind w:left="720"/>
              <w:jc w:val="both"/>
              <w:rPr>
                <w:rFonts w:ascii="Arial" w:eastAsia="Arial" w:hAnsi="Arial" w:cs="Arial"/>
                <w:color w:val="000000"/>
                <w:sz w:val="8"/>
                <w:szCs w:val="8"/>
                <w:lang w:val="es-CO"/>
              </w:rPr>
            </w:pPr>
          </w:p>
          <w:p w14:paraId="45602593" w14:textId="77777777" w:rsidR="00D768A3" w:rsidRDefault="00A0753E">
            <w:pPr>
              <w:widowControl/>
              <w:numPr>
                <w:ilvl w:val="1"/>
                <w:numId w:val="1"/>
              </w:numPr>
              <w:pBdr>
                <w:top w:val="nil"/>
                <w:left w:val="nil"/>
                <w:bottom w:val="nil"/>
                <w:right w:val="nil"/>
                <w:between w:val="nil"/>
              </w:pBdr>
              <w:ind w:left="0" w:firstLine="0"/>
              <w:rPr>
                <w:rFonts w:ascii="Arial" w:eastAsia="Arial" w:hAnsi="Arial" w:cs="Arial"/>
                <w:color w:val="000000"/>
                <w:sz w:val="24"/>
                <w:szCs w:val="24"/>
              </w:rPr>
            </w:pPr>
            <w:r>
              <w:rPr>
                <w:rFonts w:ascii="Arial" w:eastAsia="Arial" w:hAnsi="Arial" w:cs="Arial"/>
                <w:color w:val="000000"/>
                <w:sz w:val="24"/>
                <w:szCs w:val="24"/>
              </w:rPr>
              <w:t>ASPECTOS TÉCNICOS</w:t>
            </w:r>
          </w:p>
          <w:p w14:paraId="148E45A8" w14:textId="77777777" w:rsidR="00D768A3" w:rsidRDefault="00D768A3">
            <w:pPr>
              <w:widowControl/>
              <w:pBdr>
                <w:top w:val="nil"/>
                <w:left w:val="nil"/>
                <w:bottom w:val="nil"/>
                <w:right w:val="nil"/>
                <w:between w:val="nil"/>
              </w:pBdr>
              <w:ind w:left="720"/>
              <w:jc w:val="both"/>
              <w:rPr>
                <w:rFonts w:ascii="Arial" w:eastAsia="Arial" w:hAnsi="Arial" w:cs="Arial"/>
                <w:color w:val="000000"/>
                <w:sz w:val="8"/>
                <w:szCs w:val="8"/>
              </w:rPr>
            </w:pPr>
          </w:p>
        </w:tc>
      </w:tr>
      <w:tr w:rsidR="00D768A3" w14:paraId="7325F93D"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9F823E" w14:textId="56C1AEED"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El presente proceso de contratación tiene como objeto la </w:t>
            </w:r>
            <w:r w:rsidRPr="003642B8">
              <w:rPr>
                <w:rFonts w:ascii="Arial" w:eastAsia="Arial" w:hAnsi="Arial" w:cs="Arial"/>
                <w:b/>
                <w:bCs/>
                <w:sz w:val="24"/>
                <w:szCs w:val="24"/>
                <w:highlight w:val="white"/>
                <w:lang w:val="es-CO"/>
              </w:rPr>
              <w:t>interventoría técnica, administrativa, jurídica, financiera, ambiental y contable a los contratos de obra que resulten adjudicados en el proceso de Licitación Pública</w:t>
            </w:r>
            <w:r w:rsidRPr="003642B8">
              <w:rPr>
                <w:rFonts w:ascii="Arial" w:eastAsia="Arial" w:hAnsi="Arial" w:cs="Arial"/>
                <w:sz w:val="24"/>
                <w:szCs w:val="24"/>
                <w:highlight w:val="white"/>
                <w:lang w:val="es-CO"/>
              </w:rPr>
              <w:t>, cuyo objeto corresponde a la adecuación y mejoramiento de la infraestructura de los escenarios deportivos y recreativos del Distrito Especial, Deportivo, Cultural, Turístico, Empresarial y de Servicios de Santiago de Cali.</w:t>
            </w:r>
          </w:p>
          <w:p w14:paraId="7FCEC3F7"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0C5446FD"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Desde el punto de vista técnico, el mercado objeto del presente análisis corresponde a </w:t>
            </w:r>
            <w:r w:rsidRPr="003642B8">
              <w:rPr>
                <w:rFonts w:ascii="Arial" w:eastAsia="Arial" w:hAnsi="Arial" w:cs="Arial"/>
                <w:sz w:val="24"/>
                <w:szCs w:val="24"/>
                <w:highlight w:val="white"/>
                <w:lang w:val="es-CO"/>
              </w:rPr>
              <w:lastRenderedPageBreak/>
              <w:t xml:space="preserve">la prestación de </w:t>
            </w:r>
            <w:r w:rsidRPr="003642B8">
              <w:rPr>
                <w:rFonts w:ascii="Arial" w:eastAsia="Arial" w:hAnsi="Arial" w:cs="Arial"/>
                <w:b/>
                <w:bCs/>
                <w:sz w:val="24"/>
                <w:szCs w:val="24"/>
                <w:highlight w:val="white"/>
                <w:lang w:val="es-CO"/>
              </w:rPr>
              <w:t>servicios profesionales especializados de interventoría de obras civiles</w:t>
            </w:r>
            <w:r w:rsidRPr="003642B8">
              <w:rPr>
                <w:rFonts w:ascii="Arial" w:eastAsia="Arial" w:hAnsi="Arial" w:cs="Arial"/>
                <w:sz w:val="24"/>
                <w:szCs w:val="24"/>
                <w:highlight w:val="white"/>
                <w:lang w:val="es-CO"/>
              </w:rPr>
              <w:t>, los cuales requieren la aplicación de conocimientos y experiencia en ingeniería, arquitectura y demás disciplinas relacionadas con la ejecución, seguimiento y control de proyectos de infraestructura.</w:t>
            </w:r>
          </w:p>
          <w:p w14:paraId="473EEDA5"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18340FCF"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La naturaleza del servicio exige que el interventor cuente con la capacidad técnica y operativa necesaria para realizar el seguimiento integral de los contratos de obra, verificando que las actividades ejecutadas por los contratistas se desarrollen de conformidad con los estudios, diseños, especificaciones técnicas, presupuesto, cronograma, normas aplicables y demás documentos que integran los contratos.</w:t>
            </w:r>
          </w:p>
          <w:p w14:paraId="41D3BF8C"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204F3F02"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En este sentido, la interventoría deberá efectuar, entre otras, actividades de </w:t>
            </w:r>
            <w:r w:rsidRPr="003642B8">
              <w:rPr>
                <w:rFonts w:ascii="Arial" w:eastAsia="Arial" w:hAnsi="Arial" w:cs="Arial"/>
                <w:b/>
                <w:bCs/>
                <w:sz w:val="24"/>
                <w:szCs w:val="24"/>
                <w:highlight w:val="white"/>
                <w:lang w:val="es-CO"/>
              </w:rPr>
              <w:t>verificación de cantidades de obra, revisión de materiales y procedimientos constructivos, control de calidad, seguimiento al cronograma, verificación del avance físico y financiero, revisión de actas de obra, seguimiento a los costos y presupuesto, identificación de desviaciones y riesgos, y emisión de conceptos e informes técnicos</w:t>
            </w:r>
            <w:r w:rsidRPr="003642B8">
              <w:rPr>
                <w:rFonts w:ascii="Arial" w:eastAsia="Arial" w:hAnsi="Arial" w:cs="Arial"/>
                <w:sz w:val="24"/>
                <w:szCs w:val="24"/>
                <w:highlight w:val="white"/>
                <w:lang w:val="es-CO"/>
              </w:rPr>
              <w:t>.</w:t>
            </w:r>
          </w:p>
          <w:p w14:paraId="53F13EA3"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1B30FC28"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La prestación del servicio requiere igualmente la capacidad para realizar seguimiento a diferentes especialidades técnicas que pueden intervenir en los proyectos, entre ellas </w:t>
            </w:r>
            <w:r w:rsidRPr="003642B8">
              <w:rPr>
                <w:rFonts w:ascii="Arial" w:eastAsia="Arial" w:hAnsi="Arial" w:cs="Arial"/>
                <w:b/>
                <w:bCs/>
                <w:sz w:val="24"/>
                <w:szCs w:val="24"/>
                <w:highlight w:val="white"/>
                <w:lang w:val="es-CO"/>
              </w:rPr>
              <w:t>ingeniería civil, arquitectura, estructuras, ingeniería eléctrica, ingeniería sanitaria, seguridad y salud en el trabajo, gestión ambiental y topografía</w:t>
            </w:r>
            <w:r w:rsidRPr="003642B8">
              <w:rPr>
                <w:rFonts w:ascii="Arial" w:eastAsia="Arial" w:hAnsi="Arial" w:cs="Arial"/>
                <w:sz w:val="24"/>
                <w:szCs w:val="24"/>
                <w:highlight w:val="white"/>
                <w:lang w:val="es-CO"/>
              </w:rPr>
              <w:t>, de acuerdo con las necesidades particulares de las obras objeto de seguimiento.</w:t>
            </w:r>
          </w:p>
          <w:p w14:paraId="4103EDBC"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4146487F"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De acuerdo con el Anexo Técnico, la interventoría deberá realizar el control de aspectos relacionados con procedimientos constructivos, materiales, equipos, mano de obra, cantidades ejecutadas, calidad de los trabajos, programación, avance físico y financiero, así como la revisión de los soportes correspondientes a la ejecución de los contratos de obra. Asimismo, se contempla la realización de ensayos, muestreos y demás verificaciones necesarias para establecer el cumplimiento de las especificaciones técnicas.</w:t>
            </w:r>
          </w:p>
          <w:p w14:paraId="2B792B64"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4058124B"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Desde el punto de vista de la organización del servicio, el mercado de interventoría se caracteriza por requerir la conformación de </w:t>
            </w:r>
            <w:r w:rsidRPr="003642B8">
              <w:rPr>
                <w:rFonts w:ascii="Arial" w:eastAsia="Arial" w:hAnsi="Arial" w:cs="Arial"/>
                <w:b/>
                <w:bCs/>
                <w:sz w:val="24"/>
                <w:szCs w:val="24"/>
                <w:highlight w:val="white"/>
                <w:lang w:val="es-CO"/>
              </w:rPr>
              <w:t>equipos de trabajo interdisciplinarios</w:t>
            </w:r>
            <w:r w:rsidRPr="003642B8">
              <w:rPr>
                <w:rFonts w:ascii="Arial" w:eastAsia="Arial" w:hAnsi="Arial" w:cs="Arial"/>
                <w:sz w:val="24"/>
                <w:szCs w:val="24"/>
                <w:highlight w:val="white"/>
                <w:lang w:val="es-CO"/>
              </w:rPr>
              <w:t xml:space="preserve">, debido a que la vigilancia integral de los contratos de obra no puede ser desarrollada exclusivamente por un único perfil profesional. Por esta razón, los prestadores del servicio deben disponer de profesionales y personal técnico con diferentes </w:t>
            </w:r>
            <w:r w:rsidRPr="003642B8">
              <w:rPr>
                <w:rFonts w:ascii="Arial" w:eastAsia="Arial" w:hAnsi="Arial" w:cs="Arial"/>
                <w:sz w:val="24"/>
                <w:szCs w:val="24"/>
                <w:highlight w:val="white"/>
                <w:lang w:val="es-CO"/>
              </w:rPr>
              <w:lastRenderedPageBreak/>
              <w:t>competencias, cuya dedicación y participación dependerá de las características, complejidad y necesidades de los proyectos.</w:t>
            </w:r>
          </w:p>
          <w:p w14:paraId="7BE80A64"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0DC29F24"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Para el presente proceso, esta condición adquiere especial relevancia debido a que la interventoría deberá realizar seguimiento a </w:t>
            </w:r>
            <w:r w:rsidRPr="003642B8">
              <w:rPr>
                <w:rFonts w:ascii="Arial" w:eastAsia="Arial" w:hAnsi="Arial" w:cs="Arial"/>
                <w:b/>
                <w:bCs/>
                <w:sz w:val="24"/>
                <w:szCs w:val="24"/>
                <w:highlight w:val="white"/>
                <w:lang w:val="es-CO"/>
              </w:rPr>
              <w:t>diferentes escenarios deportivos y recreativos ubicados en distintas comunas y zonas del Distrito de Santiago de Cali</w:t>
            </w:r>
            <w:r w:rsidRPr="003642B8">
              <w:rPr>
                <w:rFonts w:ascii="Arial" w:eastAsia="Arial" w:hAnsi="Arial" w:cs="Arial"/>
                <w:sz w:val="24"/>
                <w:szCs w:val="24"/>
                <w:highlight w:val="white"/>
                <w:lang w:val="es-CO"/>
              </w:rPr>
              <w:t>, lo que demanda capacidad de coordinación, desplazamiento, programación de visitas y atención simultánea de diferentes frentes de obra.</w:t>
            </w:r>
          </w:p>
          <w:p w14:paraId="6C27C5EF"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7E5FDE06" w14:textId="55739F49" w:rsidR="003642B8" w:rsidRP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Los proyectos objeto de interventoría comprenden actividades de adecuación</w:t>
            </w:r>
            <w:r w:rsidR="00C77486">
              <w:rPr>
                <w:rFonts w:ascii="Arial" w:eastAsia="Arial" w:hAnsi="Arial" w:cs="Arial"/>
                <w:sz w:val="24"/>
                <w:szCs w:val="24"/>
                <w:highlight w:val="white"/>
                <w:lang w:val="es-CO"/>
              </w:rPr>
              <w:t xml:space="preserve"> </w:t>
            </w:r>
            <w:r w:rsidRPr="003642B8">
              <w:rPr>
                <w:rFonts w:ascii="Arial" w:eastAsia="Arial" w:hAnsi="Arial" w:cs="Arial"/>
                <w:sz w:val="24"/>
                <w:szCs w:val="24"/>
                <w:highlight w:val="white"/>
                <w:lang w:val="es-CO"/>
              </w:rPr>
              <w:t>y mejoramiento de infraestructura deportiva y recreativa, que pueden involucrar obras civiles, pisos, acabados, cubiertas, estructuras, instalaciones eléctricas e hidrosanitarias, drenajes, baterías sanitarias, zonas húmedas, accesibilidad, juegos infantiles, canchas y demás elementos asociados a la funcionalidad de los escenarios.</w:t>
            </w:r>
          </w:p>
          <w:p w14:paraId="3ED583FE"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En consecuencia, los potenciales proveedores deben contar con capacidad para realizar el seguimiento técnico de actividades constructivas de diversa naturaleza y para articular las diferentes especialidades requeridas durante la ejecución de los contratos de obra.</w:t>
            </w:r>
          </w:p>
          <w:p w14:paraId="3A8DE8BD"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20356BD6"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Adicionalmente, el componente técnico de la interventoría debe estar acompañado de mecanismos de control que permitan realizar una </w:t>
            </w:r>
            <w:r w:rsidRPr="003642B8">
              <w:rPr>
                <w:rFonts w:ascii="Arial" w:eastAsia="Arial" w:hAnsi="Arial" w:cs="Arial"/>
                <w:b/>
                <w:bCs/>
                <w:sz w:val="24"/>
                <w:szCs w:val="24"/>
                <w:highlight w:val="white"/>
                <w:lang w:val="es-CO"/>
              </w:rPr>
              <w:t>verificación permanente y documentada de la ejecución contractual</w:t>
            </w:r>
            <w:r w:rsidRPr="003642B8">
              <w:rPr>
                <w:rFonts w:ascii="Arial" w:eastAsia="Arial" w:hAnsi="Arial" w:cs="Arial"/>
                <w:sz w:val="24"/>
                <w:szCs w:val="24"/>
                <w:highlight w:val="white"/>
                <w:lang w:val="es-CO"/>
              </w:rPr>
              <w:t>, mediante visitas de campo, revisión de documentos, mediciones, controles de calidad, seguimiento de programación, elaboración de informes y registro de las situaciones que puedan afectar el cumplimiento de los contratos.</w:t>
            </w:r>
          </w:p>
          <w:p w14:paraId="052F3FB0"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3C76ABF0"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El mercado requiere igualmente que los prestadores del servicio cuenten con herramientas y recursos técnicos suficientes para realizar las actividades de inspección, medición, control y seguimiento. De acuerdo con el alcance establecido para el presente proceso, esto comprende, cuando resulte necesario, equipos de topografía, equipos para las actividades de control y medición, elementos para la toma de muestras y los ensayos de laboratorio requeridos para verificar la calidad de los materiales y actividades ejecutadas.</w:t>
            </w:r>
          </w:p>
          <w:p w14:paraId="764AA647"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2FAEDCB2"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En materia de seguridad y salud en el trabajo, la interventoría deberá verificar que el contratista de obra adopte las medidas y controles necesarios para el desarrollo seguro de las actividades, particularmente frente a riesgos derivados de trabajos en altura, </w:t>
            </w:r>
            <w:r w:rsidRPr="003642B8">
              <w:rPr>
                <w:rFonts w:ascii="Arial" w:eastAsia="Arial" w:hAnsi="Arial" w:cs="Arial"/>
                <w:sz w:val="24"/>
                <w:szCs w:val="24"/>
                <w:highlight w:val="white"/>
                <w:lang w:val="es-CO"/>
              </w:rPr>
              <w:lastRenderedPageBreak/>
              <w:t>excavaciones, instalaciones eléctricas, utilización de herramientas y equipos, operación de maquinaria y demás actividades propias de la ejecución de obras civiles.</w:t>
            </w:r>
          </w:p>
          <w:p w14:paraId="49655525"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62556F94"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En materia ambiental, el seguimiento técnico deberá articularse con la verificación de las medidas relacionadas con el manejo de residuos, residuos de construcción y demolición, control de emisiones de polvo y ruido, manejo de materiales, protección de los recursos naturales y demás obligaciones ambientales aplicables a la ejecución de las obras.</w:t>
            </w:r>
          </w:p>
          <w:p w14:paraId="10CE2697"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02A67595"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Por otra parte, la interventoría deberá contar con capacidad para identificar oportunamente las desviaciones que puedan presentarse respecto de la programación, las cantidades, los costos, las especificaciones técnicas y las condiciones de ejecución, así como para formular las recomendaciones y acciones de seguimiento correspondientes.</w:t>
            </w:r>
          </w:p>
          <w:p w14:paraId="70539411"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46F98F6C" w14:textId="77777777" w:rsidR="003642B8" w:rsidRP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El mercado de estos servicios se caracteriza, por tanto, por una </w:t>
            </w:r>
            <w:r w:rsidRPr="003642B8">
              <w:rPr>
                <w:rFonts w:ascii="Arial" w:eastAsia="Arial" w:hAnsi="Arial" w:cs="Arial"/>
                <w:b/>
                <w:bCs/>
                <w:sz w:val="24"/>
                <w:szCs w:val="24"/>
                <w:highlight w:val="white"/>
                <w:lang w:val="es-CO"/>
              </w:rPr>
              <w:t>alta dependencia del recurso humano especializado</w:t>
            </w:r>
            <w:r w:rsidRPr="003642B8">
              <w:rPr>
                <w:rFonts w:ascii="Arial" w:eastAsia="Arial" w:hAnsi="Arial" w:cs="Arial"/>
                <w:sz w:val="24"/>
                <w:szCs w:val="24"/>
                <w:highlight w:val="white"/>
                <w:lang w:val="es-CO"/>
              </w:rPr>
              <w:t>, dado que la principal estructura de costos está asociada a los profesionales, especialistas, personal técnico y administrativo necesarios para desarrollar las actividades de seguimiento y control. A estos costos se adicionan los correspondientes a desplazamientos, equipos, ensayos, elementos de apoyo, costos administrativos y demás recursos requeridos para la adecuada ejecución del contrato.</w:t>
            </w:r>
          </w:p>
          <w:p w14:paraId="6F000836"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En este contexto, la capacidad técnica del oferente constituye un factor determinante para la adecuada prestación del servicio, especialmente frente a procesos que involucran múltiples contratos, diferentes frentes de obra y diversas especialidades técnicas.</w:t>
            </w:r>
          </w:p>
          <w:p w14:paraId="6E1D780F"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6F47F8A0" w14:textId="77777777" w:rsid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Finalmente, desde la perspectiva técnica, el mercado de interventoría presenta una oferta especializada conformada por personas naturales y jurídicas, firmas de ingeniería y arquitectura, consultores, consorcios y uniones temporales que cuentan con experiencia y capacidad para desarrollar actividades de seguimiento y control de proyectos de infraestructura.</w:t>
            </w:r>
          </w:p>
          <w:p w14:paraId="16CF9723" w14:textId="77777777" w:rsidR="003642B8" w:rsidRPr="003642B8" w:rsidRDefault="003642B8" w:rsidP="003642B8">
            <w:pPr>
              <w:tabs>
                <w:tab w:val="left" w:pos="4111"/>
              </w:tabs>
              <w:jc w:val="both"/>
              <w:rPr>
                <w:rFonts w:ascii="Arial" w:eastAsia="Arial" w:hAnsi="Arial" w:cs="Arial"/>
                <w:sz w:val="24"/>
                <w:szCs w:val="24"/>
                <w:highlight w:val="white"/>
                <w:lang w:val="es-CO"/>
              </w:rPr>
            </w:pPr>
          </w:p>
          <w:p w14:paraId="3719F974" w14:textId="77777777" w:rsidR="003642B8" w:rsidRPr="003642B8" w:rsidRDefault="003642B8" w:rsidP="003642B8">
            <w:pPr>
              <w:tabs>
                <w:tab w:val="left" w:pos="4111"/>
              </w:tabs>
              <w:jc w:val="both"/>
              <w:rPr>
                <w:rFonts w:ascii="Arial" w:eastAsia="Arial" w:hAnsi="Arial" w:cs="Arial"/>
                <w:sz w:val="24"/>
                <w:szCs w:val="24"/>
                <w:highlight w:val="white"/>
                <w:lang w:val="es-CO"/>
              </w:rPr>
            </w:pPr>
            <w:r w:rsidRPr="003642B8">
              <w:rPr>
                <w:rFonts w:ascii="Arial" w:eastAsia="Arial" w:hAnsi="Arial" w:cs="Arial"/>
                <w:sz w:val="24"/>
                <w:szCs w:val="24"/>
                <w:highlight w:val="white"/>
                <w:lang w:val="es-CO"/>
              </w:rPr>
              <w:t xml:space="preserve">Por lo anterior, las condiciones técnicas del mercado permiten establecer que el servicio requerido corresponde a una </w:t>
            </w:r>
            <w:r w:rsidRPr="003642B8">
              <w:rPr>
                <w:rFonts w:ascii="Arial" w:eastAsia="Arial" w:hAnsi="Arial" w:cs="Arial"/>
                <w:b/>
                <w:bCs/>
                <w:sz w:val="24"/>
                <w:szCs w:val="24"/>
                <w:highlight w:val="white"/>
                <w:lang w:val="es-CO"/>
              </w:rPr>
              <w:t>actividad profesional especializada de consultoría e interventoría</w:t>
            </w:r>
            <w:r w:rsidRPr="003642B8">
              <w:rPr>
                <w:rFonts w:ascii="Arial" w:eastAsia="Arial" w:hAnsi="Arial" w:cs="Arial"/>
                <w:sz w:val="24"/>
                <w:szCs w:val="24"/>
                <w:highlight w:val="white"/>
                <w:lang w:val="es-CO"/>
              </w:rPr>
              <w:t xml:space="preserve">, que demanda experiencia específica, capacidad de conformación de equipos interdisciplinarios, disponibilidad de personal técnico y profesional, capacidad operativa y recursos suficientes para realizar el seguimiento integral de los contratos de </w:t>
            </w:r>
            <w:r w:rsidRPr="003642B8">
              <w:rPr>
                <w:rFonts w:ascii="Arial" w:eastAsia="Arial" w:hAnsi="Arial" w:cs="Arial"/>
                <w:sz w:val="24"/>
                <w:szCs w:val="24"/>
                <w:highlight w:val="white"/>
                <w:lang w:val="es-CO"/>
              </w:rPr>
              <w:lastRenderedPageBreak/>
              <w:t>obra objeto del presente proceso.</w:t>
            </w:r>
          </w:p>
          <w:p w14:paraId="4A9C8EFA" w14:textId="77777777" w:rsidR="00D768A3" w:rsidRPr="00D67D8A" w:rsidRDefault="00D768A3">
            <w:pPr>
              <w:tabs>
                <w:tab w:val="left" w:pos="4111"/>
              </w:tabs>
              <w:jc w:val="both"/>
              <w:rPr>
                <w:rFonts w:ascii="Arial" w:eastAsia="Arial" w:hAnsi="Arial" w:cs="Arial"/>
                <w:sz w:val="24"/>
                <w:szCs w:val="24"/>
                <w:highlight w:val="white"/>
                <w:lang w:val="es-CO"/>
              </w:rPr>
            </w:pPr>
          </w:p>
        </w:tc>
      </w:tr>
      <w:tr w:rsidR="00D768A3" w14:paraId="6D5D36ED"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2D792FF" w14:textId="77777777" w:rsidR="00D768A3"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ASPECTOS REGULATORIOS</w:t>
            </w:r>
          </w:p>
          <w:p w14:paraId="732F0199" w14:textId="77777777" w:rsidR="00D768A3" w:rsidRDefault="00D768A3">
            <w:pPr>
              <w:widowControl/>
              <w:pBdr>
                <w:top w:val="nil"/>
                <w:left w:val="nil"/>
                <w:bottom w:val="nil"/>
                <w:right w:val="nil"/>
                <w:between w:val="nil"/>
              </w:pBdr>
              <w:ind w:left="720"/>
              <w:jc w:val="both"/>
              <w:rPr>
                <w:rFonts w:ascii="Arial" w:eastAsia="Arial" w:hAnsi="Arial" w:cs="Arial"/>
                <w:color w:val="000000"/>
                <w:sz w:val="8"/>
                <w:szCs w:val="8"/>
              </w:rPr>
            </w:pPr>
          </w:p>
        </w:tc>
      </w:tr>
      <w:tr w:rsidR="00D768A3" w14:paraId="07238DFC"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C61A3E" w14:textId="77777777" w:rsidR="000E3ED4" w:rsidRPr="00846CC4" w:rsidRDefault="000E3ED4" w:rsidP="000E3ED4">
            <w:pPr>
              <w:spacing w:after="160" w:line="259" w:lineRule="auto"/>
              <w:jc w:val="both"/>
              <w:rPr>
                <w:rFonts w:ascii="Arial" w:hAnsi="Arial" w:cs="Arial"/>
                <w:b/>
                <w:bCs/>
                <w:sz w:val="24"/>
                <w:szCs w:val="24"/>
              </w:rPr>
            </w:pPr>
            <w:r w:rsidRPr="00846CC4">
              <w:rPr>
                <w:rFonts w:ascii="Arial" w:hAnsi="Arial" w:cs="Arial"/>
                <w:b/>
                <w:bCs/>
                <w:sz w:val="24"/>
                <w:szCs w:val="24"/>
              </w:rPr>
              <w:t>ASPECTOS REGULATORIOS</w:t>
            </w:r>
          </w:p>
          <w:p w14:paraId="69E993BD" w14:textId="77777777" w:rsidR="000E3ED4" w:rsidRPr="00846CC4" w:rsidRDefault="000E3ED4" w:rsidP="000E3ED4">
            <w:pPr>
              <w:spacing w:after="160" w:line="259" w:lineRule="auto"/>
              <w:jc w:val="both"/>
              <w:rPr>
                <w:rFonts w:ascii="Arial" w:hAnsi="Arial" w:cs="Arial"/>
                <w:sz w:val="24"/>
                <w:szCs w:val="24"/>
              </w:rPr>
            </w:pPr>
            <w:r w:rsidRPr="00846CC4">
              <w:rPr>
                <w:rFonts w:ascii="Arial" w:hAnsi="Arial" w:cs="Arial"/>
                <w:sz w:val="24"/>
                <w:szCs w:val="24"/>
              </w:rPr>
              <w:t>El mercado objeto del presente proceso se encuentra sujeto al marco jurídico que regula la contratación estatal, los contratos de consultoría e interventoría, la ejecución y vigilancia de los contratos de obra pública y las disposiciones aplicables a los procesos de selección mediante la modalidad de Concurso de Méritos.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35"/>
              <w:gridCol w:w="6511"/>
            </w:tblGrid>
            <w:tr w:rsidR="000E3ED4" w:rsidRPr="00846CC4" w14:paraId="3C6DDC52" w14:textId="77777777" w:rsidTr="00FD2958">
              <w:trPr>
                <w:tblHeader/>
                <w:tblCellSpacing w:w="15" w:type="dxa"/>
              </w:trPr>
              <w:tc>
                <w:tcPr>
                  <w:tcW w:w="0" w:type="auto"/>
                  <w:vAlign w:val="center"/>
                  <w:hideMark/>
                </w:tcPr>
                <w:p w14:paraId="40D5A3FC" w14:textId="77777777" w:rsidR="000E3ED4" w:rsidRPr="00846CC4" w:rsidRDefault="000E3ED4" w:rsidP="000E3ED4">
                  <w:pPr>
                    <w:spacing w:after="160" w:line="259" w:lineRule="auto"/>
                    <w:jc w:val="both"/>
                    <w:rPr>
                      <w:rFonts w:ascii="Arial" w:hAnsi="Arial" w:cs="Arial"/>
                      <w:b/>
                      <w:bCs/>
                    </w:rPr>
                  </w:pPr>
                  <w:r w:rsidRPr="00846CC4">
                    <w:rPr>
                      <w:rFonts w:ascii="Arial" w:hAnsi="Arial" w:cs="Arial"/>
                      <w:b/>
                      <w:bCs/>
                    </w:rPr>
                    <w:t>Norma / disposición</w:t>
                  </w:r>
                </w:p>
              </w:tc>
              <w:tc>
                <w:tcPr>
                  <w:tcW w:w="0" w:type="auto"/>
                  <w:vAlign w:val="center"/>
                  <w:hideMark/>
                </w:tcPr>
                <w:p w14:paraId="5F00CAB8" w14:textId="77777777" w:rsidR="000E3ED4" w:rsidRPr="00846CC4" w:rsidRDefault="000E3ED4" w:rsidP="000E3ED4">
                  <w:pPr>
                    <w:spacing w:after="160" w:line="259" w:lineRule="auto"/>
                    <w:jc w:val="both"/>
                    <w:rPr>
                      <w:rFonts w:ascii="Arial" w:hAnsi="Arial" w:cs="Arial"/>
                      <w:b/>
                      <w:bCs/>
                    </w:rPr>
                  </w:pPr>
                  <w:r w:rsidRPr="00846CC4">
                    <w:rPr>
                      <w:rFonts w:ascii="Arial" w:hAnsi="Arial" w:cs="Arial"/>
                      <w:b/>
                      <w:bCs/>
                    </w:rPr>
                    <w:t>Aspecto regulado y relación con el proceso</w:t>
                  </w:r>
                </w:p>
              </w:tc>
            </w:tr>
            <w:tr w:rsidR="000E3ED4" w:rsidRPr="00846CC4" w14:paraId="344901EC" w14:textId="77777777" w:rsidTr="00FD2958">
              <w:trPr>
                <w:tblCellSpacing w:w="15" w:type="dxa"/>
              </w:trPr>
              <w:tc>
                <w:tcPr>
                  <w:tcW w:w="0" w:type="auto"/>
                  <w:vAlign w:val="center"/>
                  <w:hideMark/>
                </w:tcPr>
                <w:p w14:paraId="5DAA09B5"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Constitución Política de Colombia</w:t>
                  </w:r>
                </w:p>
              </w:tc>
              <w:tc>
                <w:tcPr>
                  <w:tcW w:w="0" w:type="auto"/>
                  <w:vAlign w:val="center"/>
                  <w:hideMark/>
                </w:tcPr>
                <w:p w14:paraId="5F434F60" w14:textId="77777777" w:rsidR="000E3ED4" w:rsidRPr="00846CC4" w:rsidRDefault="000E3ED4" w:rsidP="000E3ED4">
                  <w:pPr>
                    <w:spacing w:after="160" w:line="259" w:lineRule="auto"/>
                    <w:jc w:val="both"/>
                    <w:rPr>
                      <w:rFonts w:ascii="Arial" w:hAnsi="Arial" w:cs="Arial"/>
                    </w:rPr>
                  </w:pPr>
                  <w:r w:rsidRPr="00846CC4">
                    <w:rPr>
                      <w:rFonts w:ascii="Arial" w:hAnsi="Arial" w:cs="Arial"/>
                    </w:rPr>
                    <w:t>Establece los principios que orientan la función administrativa y la contratación estatal, particularmente los principios de igualdad, moralidad, eficacia, economía, celeridad, imparcialidad y publicidad.</w:t>
                  </w:r>
                </w:p>
              </w:tc>
            </w:tr>
            <w:tr w:rsidR="000E3ED4" w:rsidRPr="00846CC4" w14:paraId="20260373" w14:textId="77777777" w:rsidTr="00FD2958">
              <w:trPr>
                <w:tblCellSpacing w:w="15" w:type="dxa"/>
              </w:trPr>
              <w:tc>
                <w:tcPr>
                  <w:tcW w:w="0" w:type="auto"/>
                  <w:vAlign w:val="center"/>
                  <w:hideMark/>
                </w:tcPr>
                <w:p w14:paraId="6FDB91B9"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Ley 80 de 1993 – Estatuto General de Contratación de la Administración Pública</w:t>
                  </w:r>
                </w:p>
              </w:tc>
              <w:tc>
                <w:tcPr>
                  <w:tcW w:w="0" w:type="auto"/>
                  <w:vAlign w:val="center"/>
                  <w:hideMark/>
                </w:tcPr>
                <w:p w14:paraId="557261FD" w14:textId="77777777" w:rsidR="000E3ED4" w:rsidRPr="00846CC4" w:rsidRDefault="000E3ED4" w:rsidP="000E3ED4">
                  <w:pPr>
                    <w:spacing w:after="160" w:line="259" w:lineRule="auto"/>
                    <w:jc w:val="both"/>
                    <w:rPr>
                      <w:rFonts w:ascii="Arial" w:hAnsi="Arial" w:cs="Arial"/>
                    </w:rPr>
                  </w:pPr>
                  <w:r w:rsidRPr="00846CC4">
                    <w:rPr>
                      <w:rFonts w:ascii="Arial" w:hAnsi="Arial" w:cs="Arial"/>
                    </w:rPr>
                    <w:t>Regula la contratación estatal y establece las disposiciones aplicables a los contratos de obra y consultoría. El artículo 32 incluye dentro de los contratos de consultoría las asesorías técnicas de coordinación, control y supervisión. Así mismo, establece que en los contratos de obra celebrados como resultado de licitación pública la interventoría debe ser contratada con una persona independiente de la entidad y del contratista.</w:t>
                  </w:r>
                </w:p>
              </w:tc>
            </w:tr>
            <w:tr w:rsidR="000E3ED4" w:rsidRPr="00846CC4" w14:paraId="3C7C86BA" w14:textId="77777777" w:rsidTr="00FD2958">
              <w:trPr>
                <w:tblCellSpacing w:w="15" w:type="dxa"/>
              </w:trPr>
              <w:tc>
                <w:tcPr>
                  <w:tcW w:w="0" w:type="auto"/>
                  <w:vAlign w:val="center"/>
                  <w:hideMark/>
                </w:tcPr>
                <w:p w14:paraId="6D5F12C3"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Ley 1150 de 2007</w:t>
                  </w:r>
                </w:p>
              </w:tc>
              <w:tc>
                <w:tcPr>
                  <w:tcW w:w="0" w:type="auto"/>
                  <w:vAlign w:val="center"/>
                  <w:hideMark/>
                </w:tcPr>
                <w:p w14:paraId="735FC7AF" w14:textId="77777777" w:rsidR="000E3ED4" w:rsidRPr="00846CC4" w:rsidRDefault="000E3ED4" w:rsidP="000E3ED4">
                  <w:pPr>
                    <w:spacing w:after="160" w:line="259" w:lineRule="auto"/>
                    <w:jc w:val="both"/>
                    <w:rPr>
                      <w:rFonts w:ascii="Arial" w:hAnsi="Arial" w:cs="Arial"/>
                    </w:rPr>
                  </w:pPr>
                  <w:r w:rsidRPr="00846CC4">
                    <w:rPr>
                      <w:rFonts w:ascii="Arial" w:hAnsi="Arial" w:cs="Arial"/>
                    </w:rPr>
                    <w:t>Modifica y adiciona disposiciones de la Ley 80 de 1993 y establece reglas para las modalidades de selección y criterios de selección objetiva. Constituye uno de los fundamentos legales del Concurso de Méritos.</w:t>
                  </w:r>
                </w:p>
              </w:tc>
            </w:tr>
            <w:tr w:rsidR="000E3ED4" w:rsidRPr="00846CC4" w14:paraId="5462DAA6" w14:textId="77777777" w:rsidTr="00FD2958">
              <w:trPr>
                <w:tblCellSpacing w:w="15" w:type="dxa"/>
              </w:trPr>
              <w:tc>
                <w:tcPr>
                  <w:tcW w:w="0" w:type="auto"/>
                  <w:vAlign w:val="center"/>
                  <w:hideMark/>
                </w:tcPr>
                <w:p w14:paraId="104954AE"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Ley 1474 de 2011 – Estatuto Anticorrupción</w:t>
                  </w:r>
                </w:p>
              </w:tc>
              <w:tc>
                <w:tcPr>
                  <w:tcW w:w="0" w:type="auto"/>
                  <w:vAlign w:val="center"/>
                  <w:hideMark/>
                </w:tcPr>
                <w:p w14:paraId="68425925" w14:textId="77777777" w:rsidR="000E3ED4" w:rsidRPr="00846CC4" w:rsidRDefault="000E3ED4" w:rsidP="000E3ED4">
                  <w:pPr>
                    <w:spacing w:after="160" w:line="259" w:lineRule="auto"/>
                    <w:jc w:val="both"/>
                    <w:rPr>
                      <w:rFonts w:ascii="Arial" w:hAnsi="Arial" w:cs="Arial"/>
                    </w:rPr>
                  </w:pPr>
                  <w:r w:rsidRPr="00846CC4">
                    <w:rPr>
                      <w:rFonts w:ascii="Arial" w:hAnsi="Arial" w:cs="Arial"/>
                    </w:rPr>
                    <w:t>Regula la supervisión e interventoría contractual. El artículo 83 establece el deber de las entidades de vigilar permanentemente la correcta ejecución contractual y define la interventoría como el seguimiento especializado que realiza una persona natural o jurídica contratada para tal fin. También permite que la interventoría comprenda, cuando resulte justificado, los componentes administrativo, técnico, financiero, contable y jurídico.</w:t>
                  </w:r>
                </w:p>
              </w:tc>
            </w:tr>
            <w:tr w:rsidR="000E3ED4" w:rsidRPr="00846CC4" w14:paraId="17C276AE" w14:textId="77777777" w:rsidTr="00FD2958">
              <w:trPr>
                <w:tblCellSpacing w:w="15" w:type="dxa"/>
              </w:trPr>
              <w:tc>
                <w:tcPr>
                  <w:tcW w:w="0" w:type="auto"/>
                  <w:vAlign w:val="center"/>
                  <w:hideMark/>
                </w:tcPr>
                <w:p w14:paraId="6F6AF5F5"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Ley 1474 de 2011 – artículo 84</w:t>
                  </w:r>
                </w:p>
              </w:tc>
              <w:tc>
                <w:tcPr>
                  <w:tcW w:w="0" w:type="auto"/>
                  <w:vAlign w:val="center"/>
                  <w:hideMark/>
                </w:tcPr>
                <w:p w14:paraId="756AA82B" w14:textId="77777777" w:rsidR="000E3ED4" w:rsidRPr="00846CC4" w:rsidRDefault="000E3ED4" w:rsidP="000E3ED4">
                  <w:pPr>
                    <w:spacing w:after="160" w:line="259" w:lineRule="auto"/>
                    <w:jc w:val="both"/>
                    <w:rPr>
                      <w:rFonts w:ascii="Arial" w:hAnsi="Arial" w:cs="Arial"/>
                    </w:rPr>
                  </w:pPr>
                  <w:r w:rsidRPr="00846CC4">
                    <w:rPr>
                      <w:rFonts w:ascii="Arial" w:hAnsi="Arial" w:cs="Arial"/>
                    </w:rPr>
                    <w:t>Establece las facultades y deberes de supervisores e interventores, incluyendo la posibilidad de solicitar informes, aclaraciones y explicaciones y el deber de informar situaciones que puedan afectar el cumplimiento contractual.</w:t>
                  </w:r>
                </w:p>
              </w:tc>
            </w:tr>
            <w:tr w:rsidR="000E3ED4" w:rsidRPr="00846CC4" w14:paraId="6CD0B618" w14:textId="77777777" w:rsidTr="00FD2958">
              <w:trPr>
                <w:tblCellSpacing w:w="15" w:type="dxa"/>
              </w:trPr>
              <w:tc>
                <w:tcPr>
                  <w:tcW w:w="0" w:type="auto"/>
                  <w:vAlign w:val="center"/>
                  <w:hideMark/>
                </w:tcPr>
                <w:p w14:paraId="1A4FAAD5"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lastRenderedPageBreak/>
                    <w:t>Ley 1882 de 2018</w:t>
                  </w:r>
                </w:p>
              </w:tc>
              <w:tc>
                <w:tcPr>
                  <w:tcW w:w="0" w:type="auto"/>
                  <w:vAlign w:val="center"/>
                  <w:hideMark/>
                </w:tcPr>
                <w:p w14:paraId="7D597B00" w14:textId="77777777" w:rsidR="000E3ED4" w:rsidRPr="00846CC4" w:rsidRDefault="000E3ED4" w:rsidP="000E3ED4">
                  <w:pPr>
                    <w:spacing w:after="160" w:line="259" w:lineRule="auto"/>
                    <w:jc w:val="both"/>
                    <w:rPr>
                      <w:rFonts w:ascii="Arial" w:hAnsi="Arial" w:cs="Arial"/>
                    </w:rPr>
                  </w:pPr>
                  <w:r w:rsidRPr="00846CC4">
                    <w:rPr>
                      <w:rFonts w:ascii="Arial" w:hAnsi="Arial" w:cs="Arial"/>
                    </w:rPr>
                    <w:t>Introduce disposiciones relacionadas con la contratación de infraestructura y modifica, entre otras, aspectos relacionados con la responsabilidad de consultores e interventores.</w:t>
                  </w:r>
                </w:p>
              </w:tc>
            </w:tr>
            <w:tr w:rsidR="000E3ED4" w:rsidRPr="00846CC4" w14:paraId="74B36407" w14:textId="77777777" w:rsidTr="00FD2958">
              <w:trPr>
                <w:tblCellSpacing w:w="15" w:type="dxa"/>
              </w:trPr>
              <w:tc>
                <w:tcPr>
                  <w:tcW w:w="0" w:type="auto"/>
                  <w:vAlign w:val="center"/>
                  <w:hideMark/>
                </w:tcPr>
                <w:p w14:paraId="1DE6A3BE"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Ley 2022 de 2020</w:t>
                  </w:r>
                </w:p>
              </w:tc>
              <w:tc>
                <w:tcPr>
                  <w:tcW w:w="0" w:type="auto"/>
                  <w:vAlign w:val="center"/>
                  <w:hideMark/>
                </w:tcPr>
                <w:p w14:paraId="34246E97" w14:textId="77777777" w:rsidR="000E3ED4" w:rsidRPr="00846CC4" w:rsidRDefault="000E3ED4" w:rsidP="000E3ED4">
                  <w:pPr>
                    <w:spacing w:after="160" w:line="259" w:lineRule="auto"/>
                    <w:jc w:val="both"/>
                    <w:rPr>
                      <w:rFonts w:ascii="Arial" w:hAnsi="Arial" w:cs="Arial"/>
                    </w:rPr>
                  </w:pPr>
                  <w:r w:rsidRPr="00846CC4">
                    <w:rPr>
                      <w:rFonts w:ascii="Arial" w:hAnsi="Arial" w:cs="Arial"/>
                    </w:rPr>
                    <w:t>Fortalece la aplicación de los Documentos Tipo adoptados por Colombia Compra Eficiente para los procesos de contratación estatal.</w:t>
                  </w:r>
                </w:p>
              </w:tc>
            </w:tr>
            <w:tr w:rsidR="000E3ED4" w:rsidRPr="00846CC4" w14:paraId="5B116CAE" w14:textId="77777777" w:rsidTr="00FD2958">
              <w:trPr>
                <w:tblCellSpacing w:w="15" w:type="dxa"/>
              </w:trPr>
              <w:tc>
                <w:tcPr>
                  <w:tcW w:w="0" w:type="auto"/>
                  <w:vAlign w:val="center"/>
                  <w:hideMark/>
                </w:tcPr>
                <w:p w14:paraId="21116432"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Decreto 1082 de 2015</w:t>
                  </w:r>
                </w:p>
              </w:tc>
              <w:tc>
                <w:tcPr>
                  <w:tcW w:w="0" w:type="auto"/>
                  <w:vAlign w:val="center"/>
                  <w:hideMark/>
                </w:tcPr>
                <w:p w14:paraId="333D8B30" w14:textId="77777777" w:rsidR="000E3ED4" w:rsidRPr="00846CC4" w:rsidRDefault="000E3ED4" w:rsidP="000E3ED4">
                  <w:pPr>
                    <w:spacing w:after="160" w:line="259" w:lineRule="auto"/>
                    <w:jc w:val="both"/>
                    <w:rPr>
                      <w:rFonts w:ascii="Arial" w:hAnsi="Arial" w:cs="Arial"/>
                    </w:rPr>
                  </w:pPr>
                  <w:r w:rsidRPr="00846CC4">
                    <w:rPr>
                      <w:rFonts w:ascii="Arial" w:hAnsi="Arial" w:cs="Arial"/>
                    </w:rPr>
                    <w:t xml:space="preserve">Reglamenta el sistema de compras y contratación pública. Para el presente proceso establece que el </w:t>
                  </w:r>
                  <w:r w:rsidRPr="00846CC4">
                    <w:rPr>
                      <w:rFonts w:ascii="Arial" w:hAnsi="Arial" w:cs="Arial"/>
                      <w:b/>
                      <w:bCs/>
                    </w:rPr>
                    <w:t>Concurso de Méritos procede para la contratación de servicios de consultoría</w:t>
                  </w:r>
                  <w:r w:rsidRPr="00846CC4">
                    <w:rPr>
                      <w:rFonts w:ascii="Arial" w:hAnsi="Arial" w:cs="Arial"/>
                    </w:rPr>
                    <w:t xml:space="preserve"> y regula aspectos del concurso abierto y con precalificación, incluyendo la evaluación de experiencia y equipo de trabajo.</w:t>
                  </w:r>
                </w:p>
              </w:tc>
            </w:tr>
            <w:tr w:rsidR="000E3ED4" w:rsidRPr="00846CC4" w14:paraId="0751A6E6" w14:textId="77777777" w:rsidTr="00FD2958">
              <w:trPr>
                <w:tblCellSpacing w:w="15" w:type="dxa"/>
              </w:trPr>
              <w:tc>
                <w:tcPr>
                  <w:tcW w:w="0" w:type="auto"/>
                  <w:vAlign w:val="center"/>
                  <w:hideMark/>
                </w:tcPr>
                <w:p w14:paraId="46832A8C"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Resolución 953 de 2025 de Colombia Compra Eficiente</w:t>
                  </w:r>
                </w:p>
              </w:tc>
              <w:tc>
                <w:tcPr>
                  <w:tcW w:w="0" w:type="auto"/>
                  <w:vAlign w:val="center"/>
                  <w:hideMark/>
                </w:tcPr>
                <w:p w14:paraId="310426CF" w14:textId="77777777" w:rsidR="000E3ED4" w:rsidRPr="00846CC4" w:rsidRDefault="000E3ED4" w:rsidP="000E3ED4">
                  <w:pPr>
                    <w:spacing w:after="160" w:line="259" w:lineRule="auto"/>
                    <w:jc w:val="both"/>
                    <w:rPr>
                      <w:rFonts w:ascii="Arial" w:hAnsi="Arial" w:cs="Arial"/>
                    </w:rPr>
                  </w:pPr>
                  <w:r w:rsidRPr="00846CC4">
                    <w:rPr>
                      <w:rFonts w:ascii="Arial" w:hAnsi="Arial" w:cs="Arial"/>
                    </w:rPr>
                    <w:t xml:space="preserve">Adopta la </w:t>
                  </w:r>
                  <w:r w:rsidRPr="00846CC4">
                    <w:rPr>
                      <w:rFonts w:ascii="Arial" w:hAnsi="Arial" w:cs="Arial"/>
                      <w:b/>
                      <w:bCs/>
                    </w:rPr>
                    <w:t>Versión 2 de los Documentos Tipo</w:t>
                  </w:r>
                  <w:r w:rsidRPr="00846CC4">
                    <w:rPr>
                      <w:rFonts w:ascii="Arial" w:hAnsi="Arial" w:cs="Arial"/>
                    </w:rPr>
                    <w:t xml:space="preserve"> para los procesos de Concurso de Méritos destinados a contratar la interventoría de obras públicas de infraestructura social, incluyendo los sectores de educación, salud, cultura, recreación y deporte, institucional y vivienda.</w:t>
                  </w:r>
                </w:p>
              </w:tc>
            </w:tr>
            <w:tr w:rsidR="000E3ED4" w:rsidRPr="00846CC4" w14:paraId="52C1BC2B" w14:textId="77777777" w:rsidTr="00FD2958">
              <w:trPr>
                <w:tblCellSpacing w:w="15" w:type="dxa"/>
              </w:trPr>
              <w:tc>
                <w:tcPr>
                  <w:tcW w:w="0" w:type="auto"/>
                  <w:vAlign w:val="center"/>
                  <w:hideMark/>
                </w:tcPr>
                <w:p w14:paraId="627C74E8"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Documentos Tipo de Concurso de Méritos – Interventoría de Infraestructura Social, Versión 2</w:t>
                  </w:r>
                </w:p>
              </w:tc>
              <w:tc>
                <w:tcPr>
                  <w:tcW w:w="0" w:type="auto"/>
                  <w:vAlign w:val="center"/>
                  <w:hideMark/>
                </w:tcPr>
                <w:p w14:paraId="5B9DE0B1" w14:textId="77777777" w:rsidR="000E3ED4" w:rsidRPr="00846CC4" w:rsidRDefault="000E3ED4" w:rsidP="000E3ED4">
                  <w:pPr>
                    <w:spacing w:after="160" w:line="259" w:lineRule="auto"/>
                    <w:jc w:val="both"/>
                    <w:rPr>
                      <w:rFonts w:ascii="Arial" w:hAnsi="Arial" w:cs="Arial"/>
                    </w:rPr>
                  </w:pPr>
                  <w:r w:rsidRPr="00846CC4">
                    <w:rPr>
                      <w:rFonts w:ascii="Arial" w:hAnsi="Arial" w:cs="Arial"/>
                    </w:rPr>
                    <w:t xml:space="preserve">Establecen las condiciones estandarizadas aplicables al proceso de selección de interventoría de obras públicas de infraestructura social. Para el presente caso resulta aplicable el componente correspondiente al sector de </w:t>
                  </w:r>
                  <w:r w:rsidRPr="00846CC4">
                    <w:rPr>
                      <w:rFonts w:ascii="Arial" w:hAnsi="Arial" w:cs="Arial"/>
                      <w:b/>
                      <w:bCs/>
                    </w:rPr>
                    <w:t>cultura, recreación y deporte</w:t>
                  </w:r>
                  <w:r w:rsidRPr="00846CC4">
                    <w:rPr>
                      <w:rFonts w:ascii="Arial" w:hAnsi="Arial" w:cs="Arial"/>
                    </w:rPr>
                    <w:t>, de acuerdo con la matriz de experiencia y demás documentos complementarios.</w:t>
                  </w:r>
                </w:p>
              </w:tc>
            </w:tr>
            <w:tr w:rsidR="000E3ED4" w:rsidRPr="00846CC4" w14:paraId="30F1818F" w14:textId="77777777" w:rsidTr="00FD2958">
              <w:trPr>
                <w:tblCellSpacing w:w="15" w:type="dxa"/>
              </w:trPr>
              <w:tc>
                <w:tcPr>
                  <w:tcW w:w="0" w:type="auto"/>
                  <w:vAlign w:val="center"/>
                  <w:hideMark/>
                </w:tcPr>
                <w:p w14:paraId="6D5C9D9A"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Decreto 1072 de 2015 y normativa del Sistema de Gestión de Seguridad y Salud en el Trabajo</w:t>
                  </w:r>
                </w:p>
              </w:tc>
              <w:tc>
                <w:tcPr>
                  <w:tcW w:w="0" w:type="auto"/>
                  <w:vAlign w:val="center"/>
                  <w:hideMark/>
                </w:tcPr>
                <w:p w14:paraId="151710F0" w14:textId="77777777" w:rsidR="000E3ED4" w:rsidRPr="00846CC4" w:rsidRDefault="000E3ED4" w:rsidP="000E3ED4">
                  <w:pPr>
                    <w:spacing w:after="160" w:line="259" w:lineRule="auto"/>
                    <w:jc w:val="both"/>
                    <w:rPr>
                      <w:rFonts w:ascii="Arial" w:hAnsi="Arial" w:cs="Arial"/>
                    </w:rPr>
                  </w:pPr>
                  <w:r w:rsidRPr="00846CC4">
                    <w:rPr>
                      <w:rFonts w:ascii="Arial" w:hAnsi="Arial" w:cs="Arial"/>
                    </w:rPr>
                    <w:t>Establece disposiciones aplicables en materia laboral y de seguridad y salud en el trabajo que deben ser observadas por el contratista y su equipo durante la ejecución de las actividades contractuales.</w:t>
                  </w:r>
                </w:p>
              </w:tc>
            </w:tr>
            <w:tr w:rsidR="000E3ED4" w:rsidRPr="00846CC4" w14:paraId="34444393" w14:textId="77777777" w:rsidTr="00FD2958">
              <w:trPr>
                <w:tblCellSpacing w:w="15" w:type="dxa"/>
              </w:trPr>
              <w:tc>
                <w:tcPr>
                  <w:tcW w:w="0" w:type="auto"/>
                  <w:vAlign w:val="center"/>
                  <w:hideMark/>
                </w:tcPr>
                <w:p w14:paraId="3C041188"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Ley 99 de 1993 y normativa ambiental aplicable</w:t>
                  </w:r>
                </w:p>
              </w:tc>
              <w:tc>
                <w:tcPr>
                  <w:tcW w:w="0" w:type="auto"/>
                  <w:vAlign w:val="center"/>
                  <w:hideMark/>
                </w:tcPr>
                <w:p w14:paraId="03216C4C" w14:textId="77777777" w:rsidR="000E3ED4" w:rsidRPr="00846CC4" w:rsidRDefault="000E3ED4" w:rsidP="000E3ED4">
                  <w:pPr>
                    <w:spacing w:after="160" w:line="259" w:lineRule="auto"/>
                    <w:jc w:val="both"/>
                    <w:rPr>
                      <w:rFonts w:ascii="Arial" w:hAnsi="Arial" w:cs="Arial"/>
                    </w:rPr>
                  </w:pPr>
                  <w:r w:rsidRPr="00846CC4">
                    <w:rPr>
                      <w:rFonts w:ascii="Arial" w:hAnsi="Arial" w:cs="Arial"/>
                    </w:rPr>
                    <w:t>Establece el marco general de protección ambiental y las obligaciones relacionadas con la prevención y manejo de impactos ambientales derivados de proyectos y actividades de infraestructura, cuando resulten aplicables.</w:t>
                  </w:r>
                </w:p>
              </w:tc>
            </w:tr>
            <w:tr w:rsidR="000E3ED4" w:rsidRPr="00846CC4" w14:paraId="184BA95B" w14:textId="77777777" w:rsidTr="00FD2958">
              <w:trPr>
                <w:tblCellSpacing w:w="15" w:type="dxa"/>
              </w:trPr>
              <w:tc>
                <w:tcPr>
                  <w:tcW w:w="0" w:type="auto"/>
                  <w:vAlign w:val="center"/>
                  <w:hideMark/>
                </w:tcPr>
                <w:p w14:paraId="39E13F70"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t>Decreto 1076 de 2015</w:t>
                  </w:r>
                </w:p>
              </w:tc>
              <w:tc>
                <w:tcPr>
                  <w:tcW w:w="0" w:type="auto"/>
                  <w:vAlign w:val="center"/>
                  <w:hideMark/>
                </w:tcPr>
                <w:p w14:paraId="114B7EC9" w14:textId="77777777" w:rsidR="000E3ED4" w:rsidRPr="00846CC4" w:rsidRDefault="000E3ED4" w:rsidP="000E3ED4">
                  <w:pPr>
                    <w:spacing w:after="160" w:line="259" w:lineRule="auto"/>
                    <w:jc w:val="both"/>
                    <w:rPr>
                      <w:rFonts w:ascii="Arial" w:hAnsi="Arial" w:cs="Arial"/>
                    </w:rPr>
                  </w:pPr>
                  <w:r w:rsidRPr="00846CC4">
                    <w:rPr>
                      <w:rFonts w:ascii="Arial" w:hAnsi="Arial" w:cs="Arial"/>
                    </w:rPr>
                    <w:t>Compila la reglamentación del sector ambiente y desarrollo sostenible y constituye un referente para las obligaciones ambientales que correspondan a la ejecución de las obras objeto de interventoría.</w:t>
                  </w:r>
                </w:p>
              </w:tc>
            </w:tr>
            <w:tr w:rsidR="000E3ED4" w:rsidRPr="00846CC4" w14:paraId="6989EBB3" w14:textId="77777777" w:rsidTr="00FD2958">
              <w:trPr>
                <w:tblCellSpacing w:w="15" w:type="dxa"/>
              </w:trPr>
              <w:tc>
                <w:tcPr>
                  <w:tcW w:w="0" w:type="auto"/>
                  <w:vAlign w:val="center"/>
                  <w:hideMark/>
                </w:tcPr>
                <w:p w14:paraId="29ACD4B6" w14:textId="77777777" w:rsidR="000E3ED4" w:rsidRPr="00846CC4" w:rsidRDefault="000E3ED4" w:rsidP="000E3ED4">
                  <w:pPr>
                    <w:spacing w:after="160" w:line="259" w:lineRule="auto"/>
                    <w:jc w:val="both"/>
                    <w:rPr>
                      <w:rFonts w:ascii="Arial" w:hAnsi="Arial" w:cs="Arial"/>
                    </w:rPr>
                  </w:pPr>
                  <w:r w:rsidRPr="00846CC4">
                    <w:rPr>
                      <w:rFonts w:ascii="Arial" w:hAnsi="Arial" w:cs="Arial"/>
                      <w:b/>
                      <w:bCs/>
                    </w:rPr>
                    <w:lastRenderedPageBreak/>
                    <w:t>Normas técnicas aplicables a la construcción y a la infraestructura</w:t>
                  </w:r>
                </w:p>
              </w:tc>
              <w:tc>
                <w:tcPr>
                  <w:tcW w:w="0" w:type="auto"/>
                  <w:vAlign w:val="center"/>
                  <w:hideMark/>
                </w:tcPr>
                <w:p w14:paraId="66691CFC" w14:textId="58AA3F8F" w:rsidR="000E3ED4" w:rsidRPr="00846CC4" w:rsidRDefault="000E3ED4" w:rsidP="000E3ED4">
                  <w:pPr>
                    <w:spacing w:after="160" w:line="259" w:lineRule="auto"/>
                    <w:jc w:val="both"/>
                    <w:rPr>
                      <w:rFonts w:ascii="Arial" w:hAnsi="Arial" w:cs="Arial"/>
                    </w:rPr>
                  </w:pPr>
                  <w:r w:rsidRPr="00846CC4">
                    <w:rPr>
                      <w:rFonts w:ascii="Arial" w:hAnsi="Arial" w:cs="Arial"/>
                    </w:rPr>
                    <w:t xml:space="preserve">Comprenden las disposiciones técnicas, reglamentos, especificaciones y normas que resulten aplicables a las actividades de </w:t>
                  </w:r>
                  <w:r w:rsidR="00C77486">
                    <w:rPr>
                      <w:rFonts w:ascii="Arial" w:hAnsi="Arial" w:cs="Arial"/>
                    </w:rPr>
                    <w:t>adecuacion</w:t>
                  </w:r>
                  <w:r w:rsidRPr="00846CC4">
                    <w:rPr>
                      <w:rFonts w:ascii="Arial" w:hAnsi="Arial" w:cs="Arial"/>
                    </w:rPr>
                    <w:t xml:space="preserve"> y mejoramiento de las unidades deportivas objeto de los contratos de obra y cuyo cumplimiento deberá ser verificado por la interventoría dentro del alcance contractual.</w:t>
                  </w:r>
                </w:p>
              </w:tc>
            </w:tr>
          </w:tbl>
          <w:p w14:paraId="6B243167" w14:textId="77777777" w:rsidR="000E3ED4" w:rsidRPr="00846CC4" w:rsidRDefault="000E3ED4" w:rsidP="000E3ED4">
            <w:pPr>
              <w:spacing w:after="160" w:line="259" w:lineRule="auto"/>
              <w:jc w:val="both"/>
              <w:rPr>
                <w:rFonts w:ascii="Arial" w:hAnsi="Arial" w:cs="Arial"/>
                <w:b/>
                <w:bCs/>
                <w:sz w:val="24"/>
                <w:szCs w:val="24"/>
              </w:rPr>
            </w:pPr>
            <w:r w:rsidRPr="00846CC4">
              <w:rPr>
                <w:rFonts w:ascii="Arial" w:hAnsi="Arial" w:cs="Arial"/>
                <w:b/>
                <w:bCs/>
                <w:sz w:val="24"/>
                <w:szCs w:val="24"/>
              </w:rPr>
              <w:t>Consideraciones regulatorias</w:t>
            </w:r>
          </w:p>
          <w:p w14:paraId="66883487" w14:textId="77777777" w:rsidR="000E3ED4" w:rsidRPr="00846CC4" w:rsidRDefault="000E3ED4" w:rsidP="000E3ED4">
            <w:pPr>
              <w:spacing w:after="160" w:line="259" w:lineRule="auto"/>
              <w:jc w:val="both"/>
              <w:rPr>
                <w:rFonts w:ascii="Arial" w:hAnsi="Arial" w:cs="Arial"/>
                <w:sz w:val="24"/>
                <w:szCs w:val="24"/>
              </w:rPr>
            </w:pPr>
            <w:r w:rsidRPr="00846CC4">
              <w:rPr>
                <w:rFonts w:ascii="Arial" w:hAnsi="Arial" w:cs="Arial"/>
                <w:sz w:val="24"/>
                <w:szCs w:val="24"/>
              </w:rPr>
              <w:t xml:space="preserve">En razón de la naturaleza del objeto contractual, el proceso corresponde a la contratación de un servicio de </w:t>
            </w:r>
            <w:r w:rsidRPr="00846CC4">
              <w:rPr>
                <w:rFonts w:ascii="Arial" w:hAnsi="Arial" w:cs="Arial"/>
                <w:b/>
                <w:bCs/>
                <w:sz w:val="24"/>
                <w:szCs w:val="24"/>
              </w:rPr>
              <w:t>consultoría especializada en interventoría de obra pública</w:t>
            </w:r>
            <w:r w:rsidRPr="00846CC4">
              <w:rPr>
                <w:rFonts w:ascii="Arial" w:hAnsi="Arial" w:cs="Arial"/>
                <w:sz w:val="24"/>
                <w:szCs w:val="24"/>
              </w:rPr>
              <w:t xml:space="preserve">, cuya selección debe adelantarse mediante la modalidad de </w:t>
            </w:r>
            <w:r w:rsidRPr="00846CC4">
              <w:rPr>
                <w:rFonts w:ascii="Arial" w:hAnsi="Arial" w:cs="Arial"/>
                <w:b/>
                <w:bCs/>
                <w:sz w:val="24"/>
                <w:szCs w:val="24"/>
              </w:rPr>
              <w:t>Concurso de Méritos</w:t>
            </w:r>
            <w:r w:rsidRPr="00846CC4">
              <w:rPr>
                <w:rFonts w:ascii="Arial" w:hAnsi="Arial" w:cs="Arial"/>
                <w:sz w:val="24"/>
                <w:szCs w:val="24"/>
              </w:rPr>
              <w:t>, de conformidad con las disposiciones que regulan dicha modalidad. El Decreto 1082 de 2015 establece expresamente la procedencia del Concurso de Méritos para la prestación de servicios de consultoría.</w:t>
            </w:r>
          </w:p>
          <w:p w14:paraId="1253FF7B" w14:textId="77777777" w:rsidR="000E3ED4" w:rsidRPr="00846CC4" w:rsidRDefault="000E3ED4" w:rsidP="000E3ED4">
            <w:pPr>
              <w:spacing w:after="160" w:line="259" w:lineRule="auto"/>
              <w:jc w:val="both"/>
              <w:rPr>
                <w:rFonts w:ascii="Arial" w:hAnsi="Arial" w:cs="Arial"/>
                <w:sz w:val="24"/>
                <w:szCs w:val="24"/>
              </w:rPr>
            </w:pPr>
            <w:r w:rsidRPr="00846CC4">
              <w:rPr>
                <w:rFonts w:ascii="Arial" w:hAnsi="Arial" w:cs="Arial"/>
                <w:sz w:val="24"/>
                <w:szCs w:val="24"/>
              </w:rPr>
              <w:t>De igual manera, la interventoría objeto del presente proceso deberá desarrollarse de conformidad con las obligaciones y responsabilidades establecidas en la Ley 1474 de 2011, teniendo en cuenta que la entidad debe garantizar la vigilancia permanente de la correcta ejecución de los contratos y que los interventores tienen responsabilidades frente a sus actuaciones y omisiones.</w:t>
            </w:r>
          </w:p>
          <w:p w14:paraId="3B7CBC65" w14:textId="77777777" w:rsidR="000E3ED4" w:rsidRPr="00846CC4" w:rsidRDefault="000E3ED4" w:rsidP="000E3ED4">
            <w:pPr>
              <w:spacing w:after="160" w:line="259" w:lineRule="auto"/>
              <w:jc w:val="both"/>
              <w:rPr>
                <w:rFonts w:ascii="Arial" w:hAnsi="Arial" w:cs="Arial"/>
                <w:sz w:val="24"/>
                <w:szCs w:val="24"/>
              </w:rPr>
            </w:pPr>
            <w:r w:rsidRPr="00846CC4">
              <w:rPr>
                <w:rFonts w:ascii="Arial" w:hAnsi="Arial" w:cs="Arial"/>
                <w:sz w:val="24"/>
                <w:szCs w:val="24"/>
              </w:rPr>
              <w:t xml:space="preserve">Por tratarse de un proceso de </w:t>
            </w:r>
            <w:r w:rsidRPr="00846CC4">
              <w:rPr>
                <w:rFonts w:ascii="Arial" w:hAnsi="Arial" w:cs="Arial"/>
                <w:b/>
                <w:bCs/>
                <w:sz w:val="24"/>
                <w:szCs w:val="24"/>
              </w:rPr>
              <w:t>interventoría de obras públicas de infraestructura social relacionado con recreación y deporte</w:t>
            </w:r>
            <w:r w:rsidRPr="00846CC4">
              <w:rPr>
                <w:rFonts w:ascii="Arial" w:hAnsi="Arial" w:cs="Arial"/>
                <w:sz w:val="24"/>
                <w:szCs w:val="24"/>
              </w:rPr>
              <w:t xml:space="preserve">, deberán aplicarse los Documentos Tipo vigentes expedidos por Colombia Compra Eficiente para esta categoría. Para los procesos cuyo aviso de convocatoria se publique a partir del 16 de febrero de 2026, se encuentra vigente la </w:t>
            </w:r>
            <w:r w:rsidRPr="00846CC4">
              <w:rPr>
                <w:rFonts w:ascii="Arial" w:hAnsi="Arial" w:cs="Arial"/>
                <w:b/>
                <w:bCs/>
                <w:sz w:val="24"/>
                <w:szCs w:val="24"/>
              </w:rPr>
              <w:t>Versión 2</w:t>
            </w:r>
            <w:r w:rsidRPr="00846CC4">
              <w:rPr>
                <w:rFonts w:ascii="Arial" w:hAnsi="Arial" w:cs="Arial"/>
                <w:sz w:val="24"/>
                <w:szCs w:val="24"/>
              </w:rPr>
              <w:t>, adoptada mediante la Resolución 953 de 2025, junto con los documentos y matrices correspondientes al sector de cultura, recreación y deporte.</w:t>
            </w:r>
          </w:p>
          <w:p w14:paraId="3B5436B3" w14:textId="77777777" w:rsidR="000E3ED4" w:rsidRPr="00846CC4" w:rsidRDefault="000E3ED4" w:rsidP="000E3ED4">
            <w:pPr>
              <w:spacing w:after="160" w:line="259" w:lineRule="auto"/>
              <w:jc w:val="both"/>
              <w:rPr>
                <w:rFonts w:ascii="Arial" w:hAnsi="Arial" w:cs="Arial"/>
                <w:sz w:val="24"/>
                <w:szCs w:val="24"/>
              </w:rPr>
            </w:pPr>
            <w:r w:rsidRPr="00846CC4">
              <w:rPr>
                <w:rFonts w:ascii="Arial" w:hAnsi="Arial" w:cs="Arial"/>
                <w:sz w:val="24"/>
                <w:szCs w:val="24"/>
              </w:rPr>
              <w:t>En consecuencia, la estructuración del proceso deberá observar tanto las disposiciones generales del Estatuto General de Contratación de la Administración Pública como las normas reglamentarias y los Documentos Tipo aplicables, garantizando que las condiciones de participación, evaluación, experiencia, equipo de trabajo, ejecución y demás aspectos del proceso se ajusten al marco regulatorio vigente.</w:t>
            </w:r>
          </w:p>
          <w:p w14:paraId="61BF68C7" w14:textId="77777777" w:rsidR="00D768A3" w:rsidRPr="000E3ED4" w:rsidRDefault="00D768A3">
            <w:pPr>
              <w:jc w:val="both"/>
              <w:rPr>
                <w:rFonts w:ascii="Arial" w:eastAsia="Arial" w:hAnsi="Arial" w:cs="Arial"/>
                <w:sz w:val="24"/>
                <w:szCs w:val="24"/>
              </w:rPr>
            </w:pPr>
          </w:p>
        </w:tc>
      </w:tr>
      <w:tr w:rsidR="00D768A3" w14:paraId="09AA89DA"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A0AC167" w14:textId="77777777" w:rsidR="00D768A3"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ACUERDOS COMERCIALES</w:t>
            </w:r>
          </w:p>
        </w:tc>
      </w:tr>
      <w:tr w:rsidR="00D768A3" w14:paraId="6B29E01C"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77265E" w14:textId="77777777" w:rsidR="00D768A3" w:rsidRDefault="00D768A3">
            <w:pPr>
              <w:jc w:val="both"/>
              <w:rPr>
                <w:rFonts w:ascii="Arial" w:eastAsia="Arial" w:hAnsi="Arial" w:cs="Arial"/>
                <w:sz w:val="24"/>
                <w:szCs w:val="24"/>
                <w:shd w:val="clear" w:color="auto" w:fill="B8CCE4"/>
              </w:rPr>
            </w:pPr>
          </w:p>
          <w:p w14:paraId="6C07CA80" w14:textId="77777777" w:rsidR="00D768A3" w:rsidRDefault="00A0753E">
            <w:pPr>
              <w:jc w:val="both"/>
              <w:rPr>
                <w:rFonts w:ascii="Arial" w:eastAsia="Arial" w:hAnsi="Arial" w:cs="Arial"/>
                <w:sz w:val="24"/>
                <w:szCs w:val="24"/>
                <w:lang w:val="es-CO"/>
              </w:rPr>
            </w:pPr>
            <w:r w:rsidRPr="00D67D8A">
              <w:rPr>
                <w:rFonts w:ascii="Arial" w:eastAsia="Arial" w:hAnsi="Arial" w:cs="Arial"/>
                <w:sz w:val="24"/>
                <w:szCs w:val="24"/>
                <w:lang w:val="es-CO"/>
              </w:rPr>
              <w:t>En virtud de lo señalado en el numeral 8, del Artículo 2.2.1.1.2.1.1. del Decreto 1082 de 2015, modificado por el Art. 1 del Decreto 399 de 2021, El Distrito de Santiago de Cali no solo está sujeta al Estatuto General de Contratación sino también a las obligaciones de carácter internacional derivadas de los Acuerdos Comerciales, cuyo objetivo es brindar a las empresas colombianas y las de nuestros socios comerciales, procedimientos transparentes y no discriminatorios en los procesos de contratación de las entidades públicas.</w:t>
            </w:r>
          </w:p>
          <w:p w14:paraId="5F88D77B" w14:textId="77777777" w:rsidR="00FE59AB" w:rsidRDefault="00FE59AB">
            <w:pPr>
              <w:jc w:val="both"/>
              <w:rPr>
                <w:rFonts w:ascii="Arial" w:eastAsia="Arial" w:hAnsi="Arial" w:cs="Arial"/>
                <w:sz w:val="24"/>
                <w:szCs w:val="24"/>
                <w:lang w:val="es-CO"/>
              </w:rPr>
            </w:pPr>
          </w:p>
          <w:p w14:paraId="26A8AF9B" w14:textId="77777777" w:rsidR="00E0326F" w:rsidRPr="00E0326F" w:rsidRDefault="00E0326F" w:rsidP="00E0326F">
            <w:pPr>
              <w:spacing w:after="40"/>
              <w:jc w:val="both"/>
              <w:rPr>
                <w:rFonts w:ascii="Arial" w:eastAsia="Arial Narrow" w:hAnsi="Arial" w:cs="Arial"/>
                <w:sz w:val="24"/>
                <w:szCs w:val="24"/>
              </w:rPr>
            </w:pPr>
            <w:r w:rsidRPr="00E0326F">
              <w:rPr>
                <w:rFonts w:ascii="Arial" w:eastAsia="Arial Narrow" w:hAnsi="Arial" w:cs="Arial"/>
                <w:sz w:val="24"/>
                <w:szCs w:val="24"/>
              </w:rPr>
              <w:t>Los municipios que integran el nivel Subcentral en los Acuerdos Comerciales están incluidos en la lista de Entidades de los Acuerdos Comerciales con la Alianza Pacífico (únicamente con Chile y Perú), Chile, Costa Rica, los Estados AELC, el Triángulo Norte (únicamente con Guatemala), la Unión Europea (aplicable al Reino Unido e Irlanda del Norte); y la Decisión 439 de 1998 de la Comisión de la CAN. Lo anterior implica que los procesos de contratación llevados a cabo por los municipios listados deberán otorgar Trato Nacional a los bienes y servicios y proveedores nacionales provenientes del socio comercial con el que se haya suscrito el respectivo Acuerdo Comercial.</w:t>
            </w:r>
          </w:p>
          <w:p w14:paraId="01F06F23" w14:textId="77777777" w:rsidR="00D768A3" w:rsidRPr="00D67D8A" w:rsidRDefault="00D768A3">
            <w:pPr>
              <w:jc w:val="both"/>
              <w:rPr>
                <w:rFonts w:ascii="Arial" w:eastAsia="Arial" w:hAnsi="Arial" w:cs="Arial"/>
                <w:sz w:val="24"/>
                <w:szCs w:val="24"/>
                <w:lang w:val="es-CO"/>
              </w:rPr>
            </w:pPr>
          </w:p>
          <w:p w14:paraId="7FE45512"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De acuerdo con el Manual para el manejo de los Acuerdos Comerciales en Procesos de Contratación de Colombia Compra Eficiente, Código: CCE-EICP-MA-07 V: 02 Fecha: 08/11/2024, la Entidad identifica los siguientes acuerdos comerciales aplicables al presente proceso de contratación, así:</w:t>
            </w:r>
          </w:p>
          <w:p w14:paraId="75A09F0E" w14:textId="77777777" w:rsidR="00D768A3" w:rsidRPr="00D67D8A" w:rsidRDefault="00D768A3">
            <w:pPr>
              <w:ind w:right="396"/>
              <w:rPr>
                <w:rFonts w:ascii="Arial" w:eastAsia="Arial" w:hAnsi="Arial" w:cs="Arial"/>
                <w:sz w:val="24"/>
                <w:szCs w:val="24"/>
                <w:lang w:val="es-CO"/>
              </w:rPr>
            </w:pPr>
          </w:p>
          <w:tbl>
            <w:tblPr>
              <w:tblW w:w="9356" w:type="dxa"/>
              <w:tblInd w:w="132" w:type="dxa"/>
              <w:tblLayout w:type="fixed"/>
              <w:tblLook w:val="0400" w:firstRow="0" w:lastRow="0" w:firstColumn="0" w:lastColumn="0" w:noHBand="0" w:noVBand="1"/>
            </w:tblPr>
            <w:tblGrid>
              <w:gridCol w:w="1929"/>
              <w:gridCol w:w="981"/>
              <w:gridCol w:w="871"/>
              <w:gridCol w:w="1081"/>
              <w:gridCol w:w="1367"/>
              <w:gridCol w:w="1075"/>
              <w:gridCol w:w="1026"/>
              <w:gridCol w:w="1026"/>
            </w:tblGrid>
            <w:tr w:rsidR="004A11A9" w14:paraId="4B221E7D" w14:textId="77777777" w:rsidTr="002933B9">
              <w:trPr>
                <w:trHeight w:val="1830"/>
              </w:trPr>
              <w:tc>
                <w:tcPr>
                  <w:tcW w:w="2950" w:type="dxa"/>
                  <w:gridSpan w:val="2"/>
                  <w:tcBorders>
                    <w:top w:val="single" w:sz="8" w:space="0" w:color="000000"/>
                    <w:left w:val="single" w:sz="8" w:space="0" w:color="000000"/>
                    <w:bottom w:val="single" w:sz="8" w:space="0" w:color="000000"/>
                    <w:right w:val="single" w:sz="8" w:space="0" w:color="000000"/>
                  </w:tcBorders>
                  <w:shd w:val="clear" w:color="auto" w:fill="BFBFBF"/>
                  <w:vAlign w:val="center"/>
                </w:tcPr>
                <w:p w14:paraId="5802E1AC"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Acuerdos comerciales</w:t>
                  </w:r>
                </w:p>
              </w:tc>
              <w:tc>
                <w:tcPr>
                  <w:tcW w:w="877" w:type="dxa"/>
                  <w:tcBorders>
                    <w:top w:val="single" w:sz="8" w:space="0" w:color="000000"/>
                    <w:left w:val="nil"/>
                    <w:bottom w:val="single" w:sz="8" w:space="0" w:color="000000"/>
                    <w:right w:val="single" w:sz="8" w:space="0" w:color="000000"/>
                  </w:tcBorders>
                  <w:shd w:val="clear" w:color="auto" w:fill="BFBFBF"/>
                  <w:vAlign w:val="center"/>
                </w:tcPr>
                <w:p w14:paraId="01986066"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Vigente</w:t>
                  </w:r>
                </w:p>
              </w:tc>
              <w:tc>
                <w:tcPr>
                  <w:tcW w:w="1090" w:type="dxa"/>
                  <w:tcBorders>
                    <w:top w:val="single" w:sz="8" w:space="0" w:color="000000"/>
                    <w:left w:val="nil"/>
                    <w:bottom w:val="single" w:sz="8" w:space="0" w:color="000000"/>
                    <w:right w:val="single" w:sz="8" w:space="0" w:color="000000"/>
                  </w:tcBorders>
                  <w:shd w:val="clear" w:color="auto" w:fill="BFBFBF"/>
                  <w:vAlign w:val="center"/>
                </w:tcPr>
                <w:p w14:paraId="4DB6E585"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Entidad Estatal nivel Municipal cubierta</w:t>
                  </w:r>
                </w:p>
              </w:tc>
              <w:tc>
                <w:tcPr>
                  <w:tcW w:w="1377" w:type="dxa"/>
                  <w:tcBorders>
                    <w:top w:val="single" w:sz="8" w:space="0" w:color="000000"/>
                    <w:left w:val="nil"/>
                    <w:bottom w:val="single" w:sz="8" w:space="0" w:color="000000"/>
                    <w:right w:val="single" w:sz="8" w:space="0" w:color="000000"/>
                  </w:tcBorders>
                  <w:shd w:val="clear" w:color="auto" w:fill="BFBFBF"/>
                  <w:vAlign w:val="center"/>
                </w:tcPr>
                <w:p w14:paraId="7C900F8F"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Valor del Proceso de Contratación Superior al umbral del Acuerdo Comercial</w:t>
                  </w:r>
                </w:p>
              </w:tc>
              <w:tc>
                <w:tcPr>
                  <w:tcW w:w="1077" w:type="dxa"/>
                  <w:tcBorders>
                    <w:top w:val="single" w:sz="8" w:space="0" w:color="000000"/>
                    <w:left w:val="nil"/>
                    <w:bottom w:val="single" w:sz="8" w:space="0" w:color="000000"/>
                    <w:right w:val="single" w:sz="8" w:space="0" w:color="000000"/>
                  </w:tcBorders>
                  <w:shd w:val="clear" w:color="auto" w:fill="BFBFBF"/>
                  <w:vAlign w:val="center"/>
                </w:tcPr>
                <w:p w14:paraId="3DB1CA00"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Valor aplicable al Proceso de Contratación</w:t>
                  </w:r>
                </w:p>
              </w:tc>
              <w:tc>
                <w:tcPr>
                  <w:tcW w:w="992" w:type="dxa"/>
                  <w:tcBorders>
                    <w:top w:val="single" w:sz="8" w:space="0" w:color="000000"/>
                    <w:left w:val="nil"/>
                    <w:bottom w:val="single" w:sz="8" w:space="0" w:color="000000"/>
                    <w:right w:val="single" w:sz="8" w:space="0" w:color="000000"/>
                  </w:tcBorders>
                  <w:shd w:val="clear" w:color="auto" w:fill="BFBFBF"/>
                  <w:vAlign w:val="center"/>
                </w:tcPr>
                <w:p w14:paraId="689F2EF3"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Excepción Aplicable al Proceso de Contratación</w:t>
                  </w:r>
                </w:p>
              </w:tc>
              <w:tc>
                <w:tcPr>
                  <w:tcW w:w="993" w:type="dxa"/>
                  <w:tcBorders>
                    <w:top w:val="single" w:sz="8" w:space="0" w:color="000000"/>
                    <w:left w:val="nil"/>
                    <w:bottom w:val="single" w:sz="8" w:space="0" w:color="000000"/>
                    <w:right w:val="single" w:sz="8" w:space="0" w:color="000000"/>
                  </w:tcBorders>
                  <w:shd w:val="clear" w:color="auto" w:fill="BFBFBF"/>
                  <w:vAlign w:val="center"/>
                </w:tcPr>
                <w:p w14:paraId="3DD90F06"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Proceso de Contratación Cubierto por el Acuerdo Comercial</w:t>
                  </w:r>
                </w:p>
              </w:tc>
            </w:tr>
            <w:tr w:rsidR="004A11A9" w14:paraId="4979D61A" w14:textId="77777777" w:rsidTr="002933B9">
              <w:trPr>
                <w:trHeight w:val="520"/>
              </w:trPr>
              <w:tc>
                <w:tcPr>
                  <w:tcW w:w="1966" w:type="dxa"/>
                  <w:vMerge w:val="restart"/>
                  <w:tcBorders>
                    <w:top w:val="nil"/>
                    <w:left w:val="single" w:sz="8" w:space="0" w:color="000000"/>
                    <w:bottom w:val="single" w:sz="8" w:space="0" w:color="000000"/>
                    <w:right w:val="single" w:sz="8" w:space="0" w:color="000000"/>
                  </w:tcBorders>
                  <w:vAlign w:val="center"/>
                </w:tcPr>
                <w:p w14:paraId="76F87BEC"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Alianza Pacífico</w:t>
                  </w:r>
                </w:p>
              </w:tc>
              <w:tc>
                <w:tcPr>
                  <w:tcW w:w="984" w:type="dxa"/>
                  <w:vMerge w:val="restart"/>
                  <w:tcBorders>
                    <w:top w:val="nil"/>
                    <w:left w:val="single" w:sz="8" w:space="0" w:color="000000"/>
                    <w:bottom w:val="single" w:sz="8" w:space="0" w:color="000000"/>
                    <w:right w:val="single" w:sz="8" w:space="0" w:color="000000"/>
                  </w:tcBorders>
                  <w:vAlign w:val="center"/>
                </w:tcPr>
                <w:p w14:paraId="35B6F6C2"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Chile</w:t>
                  </w:r>
                </w:p>
              </w:tc>
              <w:tc>
                <w:tcPr>
                  <w:tcW w:w="877" w:type="dxa"/>
                  <w:vMerge w:val="restart"/>
                  <w:tcBorders>
                    <w:top w:val="nil"/>
                    <w:left w:val="single" w:sz="8" w:space="0" w:color="000000"/>
                    <w:bottom w:val="single" w:sz="8" w:space="0" w:color="000000"/>
                    <w:right w:val="single" w:sz="8" w:space="0" w:color="000000"/>
                  </w:tcBorders>
                  <w:vAlign w:val="center"/>
                </w:tcPr>
                <w:p w14:paraId="47254B37"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090" w:type="dxa"/>
                  <w:vMerge w:val="restart"/>
                  <w:tcBorders>
                    <w:top w:val="nil"/>
                    <w:left w:val="single" w:sz="8" w:space="0" w:color="000000"/>
                    <w:bottom w:val="single" w:sz="8" w:space="0" w:color="000000"/>
                    <w:right w:val="single" w:sz="8" w:space="0" w:color="000000"/>
                  </w:tcBorders>
                  <w:vAlign w:val="center"/>
                </w:tcPr>
                <w:p w14:paraId="7CC3558B"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377" w:type="dxa"/>
                  <w:tcBorders>
                    <w:top w:val="nil"/>
                    <w:left w:val="nil"/>
                    <w:bottom w:val="nil"/>
                    <w:right w:val="single" w:sz="8" w:space="0" w:color="000000"/>
                  </w:tcBorders>
                  <w:vAlign w:val="center"/>
                </w:tcPr>
                <w:p w14:paraId="6CB5AA28"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Bienes y Servicios</w:t>
                  </w:r>
                </w:p>
              </w:tc>
              <w:tc>
                <w:tcPr>
                  <w:tcW w:w="1077" w:type="dxa"/>
                  <w:vMerge w:val="restart"/>
                  <w:tcBorders>
                    <w:top w:val="nil"/>
                    <w:left w:val="single" w:sz="8" w:space="0" w:color="000000"/>
                    <w:bottom w:val="single" w:sz="8" w:space="0" w:color="000000"/>
                    <w:right w:val="single" w:sz="8" w:space="0" w:color="000000"/>
                  </w:tcBorders>
                  <w:vAlign w:val="center"/>
                </w:tcPr>
                <w:p w14:paraId="104DB9B2"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2" w:type="dxa"/>
                  <w:vMerge w:val="restart"/>
                  <w:tcBorders>
                    <w:top w:val="nil"/>
                    <w:left w:val="single" w:sz="8" w:space="0" w:color="000000"/>
                    <w:bottom w:val="single" w:sz="8" w:space="0" w:color="000000"/>
                    <w:right w:val="single" w:sz="8" w:space="0" w:color="000000"/>
                  </w:tcBorders>
                  <w:vAlign w:val="center"/>
                </w:tcPr>
                <w:p w14:paraId="10D98A34"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3" w:type="dxa"/>
                  <w:vMerge w:val="restart"/>
                  <w:tcBorders>
                    <w:top w:val="nil"/>
                    <w:left w:val="single" w:sz="8" w:space="0" w:color="000000"/>
                    <w:bottom w:val="single" w:sz="8" w:space="0" w:color="000000"/>
                    <w:right w:val="single" w:sz="8" w:space="0" w:color="000000"/>
                  </w:tcBorders>
                  <w:vAlign w:val="center"/>
                </w:tcPr>
                <w:p w14:paraId="0497AAA3"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r>
            <w:tr w:rsidR="004A11A9" w14:paraId="16FBA47A" w14:textId="77777777" w:rsidTr="002933B9">
              <w:trPr>
                <w:trHeight w:val="300"/>
              </w:trPr>
              <w:tc>
                <w:tcPr>
                  <w:tcW w:w="1966" w:type="dxa"/>
                  <w:vMerge/>
                  <w:tcBorders>
                    <w:top w:val="nil"/>
                    <w:left w:val="single" w:sz="8" w:space="0" w:color="000000"/>
                    <w:bottom w:val="single" w:sz="8" w:space="0" w:color="000000"/>
                    <w:right w:val="single" w:sz="8" w:space="0" w:color="000000"/>
                  </w:tcBorders>
                  <w:vAlign w:val="center"/>
                </w:tcPr>
                <w:p w14:paraId="621787B3"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84" w:type="dxa"/>
                  <w:vMerge/>
                  <w:tcBorders>
                    <w:top w:val="nil"/>
                    <w:left w:val="single" w:sz="8" w:space="0" w:color="000000"/>
                    <w:bottom w:val="single" w:sz="8" w:space="0" w:color="000000"/>
                    <w:right w:val="single" w:sz="8" w:space="0" w:color="000000"/>
                  </w:tcBorders>
                  <w:vAlign w:val="center"/>
                </w:tcPr>
                <w:p w14:paraId="3BBDB937"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877" w:type="dxa"/>
                  <w:vMerge/>
                  <w:tcBorders>
                    <w:top w:val="nil"/>
                    <w:left w:val="single" w:sz="8" w:space="0" w:color="000000"/>
                    <w:bottom w:val="single" w:sz="8" w:space="0" w:color="000000"/>
                    <w:right w:val="single" w:sz="8" w:space="0" w:color="000000"/>
                  </w:tcBorders>
                  <w:vAlign w:val="center"/>
                </w:tcPr>
                <w:p w14:paraId="78774EFD"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090" w:type="dxa"/>
                  <w:vMerge/>
                  <w:tcBorders>
                    <w:top w:val="nil"/>
                    <w:left w:val="single" w:sz="8" w:space="0" w:color="000000"/>
                    <w:bottom w:val="single" w:sz="8" w:space="0" w:color="000000"/>
                    <w:right w:val="single" w:sz="8" w:space="0" w:color="000000"/>
                  </w:tcBorders>
                  <w:vAlign w:val="center"/>
                </w:tcPr>
                <w:p w14:paraId="141E4237"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377" w:type="dxa"/>
                  <w:tcBorders>
                    <w:top w:val="nil"/>
                    <w:left w:val="nil"/>
                    <w:bottom w:val="single" w:sz="8" w:space="0" w:color="000000"/>
                    <w:right w:val="single" w:sz="8" w:space="0" w:color="000000"/>
                  </w:tcBorders>
                  <w:vAlign w:val="center"/>
                </w:tcPr>
                <w:p w14:paraId="67DEE6A9"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$ 1.091.804.264</w:t>
                  </w:r>
                </w:p>
              </w:tc>
              <w:tc>
                <w:tcPr>
                  <w:tcW w:w="1077" w:type="dxa"/>
                  <w:vMerge/>
                  <w:tcBorders>
                    <w:top w:val="nil"/>
                    <w:left w:val="single" w:sz="8" w:space="0" w:color="000000"/>
                    <w:bottom w:val="single" w:sz="8" w:space="0" w:color="000000"/>
                    <w:right w:val="single" w:sz="8" w:space="0" w:color="000000"/>
                  </w:tcBorders>
                  <w:vAlign w:val="center"/>
                </w:tcPr>
                <w:p w14:paraId="6D43C173"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2" w:type="dxa"/>
                  <w:vMerge/>
                  <w:tcBorders>
                    <w:top w:val="nil"/>
                    <w:left w:val="single" w:sz="8" w:space="0" w:color="000000"/>
                    <w:bottom w:val="single" w:sz="8" w:space="0" w:color="000000"/>
                    <w:right w:val="single" w:sz="8" w:space="0" w:color="000000"/>
                  </w:tcBorders>
                  <w:vAlign w:val="center"/>
                </w:tcPr>
                <w:p w14:paraId="5B6153BC"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3" w:type="dxa"/>
                  <w:vMerge/>
                  <w:tcBorders>
                    <w:top w:val="nil"/>
                    <w:left w:val="single" w:sz="8" w:space="0" w:color="000000"/>
                    <w:bottom w:val="single" w:sz="8" w:space="0" w:color="000000"/>
                    <w:right w:val="single" w:sz="8" w:space="0" w:color="000000"/>
                  </w:tcBorders>
                  <w:vAlign w:val="center"/>
                </w:tcPr>
                <w:p w14:paraId="3FD62FFC"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4A11A9" w14:paraId="7BBE1D4B" w14:textId="77777777" w:rsidTr="002933B9">
              <w:trPr>
                <w:trHeight w:val="520"/>
              </w:trPr>
              <w:tc>
                <w:tcPr>
                  <w:tcW w:w="1966" w:type="dxa"/>
                  <w:vMerge/>
                  <w:tcBorders>
                    <w:top w:val="nil"/>
                    <w:left w:val="single" w:sz="8" w:space="0" w:color="000000"/>
                    <w:bottom w:val="single" w:sz="8" w:space="0" w:color="000000"/>
                    <w:right w:val="single" w:sz="8" w:space="0" w:color="000000"/>
                  </w:tcBorders>
                  <w:vAlign w:val="center"/>
                </w:tcPr>
                <w:p w14:paraId="4EE18C33"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84" w:type="dxa"/>
                  <w:vMerge w:val="restart"/>
                  <w:tcBorders>
                    <w:top w:val="nil"/>
                    <w:left w:val="single" w:sz="8" w:space="0" w:color="000000"/>
                    <w:bottom w:val="single" w:sz="8" w:space="0" w:color="000000"/>
                    <w:right w:val="single" w:sz="8" w:space="0" w:color="000000"/>
                  </w:tcBorders>
                  <w:vAlign w:val="center"/>
                </w:tcPr>
                <w:p w14:paraId="3DCC5CFD"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Perú</w:t>
                  </w:r>
                </w:p>
              </w:tc>
              <w:tc>
                <w:tcPr>
                  <w:tcW w:w="877" w:type="dxa"/>
                  <w:vMerge w:val="restart"/>
                  <w:tcBorders>
                    <w:top w:val="nil"/>
                    <w:left w:val="single" w:sz="8" w:space="0" w:color="000000"/>
                    <w:bottom w:val="single" w:sz="8" w:space="0" w:color="000000"/>
                    <w:right w:val="single" w:sz="8" w:space="0" w:color="000000"/>
                  </w:tcBorders>
                  <w:vAlign w:val="center"/>
                </w:tcPr>
                <w:p w14:paraId="6418354B"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090" w:type="dxa"/>
                  <w:vMerge w:val="restart"/>
                  <w:tcBorders>
                    <w:top w:val="nil"/>
                    <w:left w:val="single" w:sz="8" w:space="0" w:color="000000"/>
                    <w:bottom w:val="single" w:sz="8" w:space="0" w:color="000000"/>
                    <w:right w:val="single" w:sz="8" w:space="0" w:color="000000"/>
                  </w:tcBorders>
                  <w:vAlign w:val="center"/>
                </w:tcPr>
                <w:p w14:paraId="0FC160DB"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377" w:type="dxa"/>
                  <w:tcBorders>
                    <w:top w:val="nil"/>
                    <w:left w:val="nil"/>
                    <w:bottom w:val="nil"/>
                    <w:right w:val="single" w:sz="8" w:space="0" w:color="000000"/>
                  </w:tcBorders>
                  <w:vAlign w:val="center"/>
                </w:tcPr>
                <w:p w14:paraId="08AD6689"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Bienes y Servicios</w:t>
                  </w:r>
                </w:p>
              </w:tc>
              <w:tc>
                <w:tcPr>
                  <w:tcW w:w="1077" w:type="dxa"/>
                  <w:vMerge w:val="restart"/>
                  <w:tcBorders>
                    <w:top w:val="nil"/>
                    <w:left w:val="single" w:sz="8" w:space="0" w:color="000000"/>
                    <w:bottom w:val="single" w:sz="8" w:space="0" w:color="000000"/>
                    <w:right w:val="single" w:sz="8" w:space="0" w:color="000000"/>
                  </w:tcBorders>
                  <w:vAlign w:val="center"/>
                </w:tcPr>
                <w:p w14:paraId="7F43595A"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2" w:type="dxa"/>
                  <w:vMerge w:val="restart"/>
                  <w:tcBorders>
                    <w:top w:val="nil"/>
                    <w:left w:val="single" w:sz="8" w:space="0" w:color="000000"/>
                    <w:bottom w:val="single" w:sz="8" w:space="0" w:color="000000"/>
                    <w:right w:val="single" w:sz="8" w:space="0" w:color="000000"/>
                  </w:tcBorders>
                  <w:vAlign w:val="center"/>
                </w:tcPr>
                <w:p w14:paraId="55C7CBC1"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3" w:type="dxa"/>
                  <w:vMerge w:val="restart"/>
                  <w:tcBorders>
                    <w:top w:val="nil"/>
                    <w:left w:val="single" w:sz="8" w:space="0" w:color="000000"/>
                    <w:bottom w:val="single" w:sz="8" w:space="0" w:color="000000"/>
                    <w:right w:val="single" w:sz="8" w:space="0" w:color="000000"/>
                  </w:tcBorders>
                  <w:vAlign w:val="center"/>
                </w:tcPr>
                <w:p w14:paraId="6CE080E7"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r>
            <w:tr w:rsidR="004A11A9" w14:paraId="0CA92CE1" w14:textId="77777777" w:rsidTr="002933B9">
              <w:trPr>
                <w:trHeight w:val="300"/>
              </w:trPr>
              <w:tc>
                <w:tcPr>
                  <w:tcW w:w="1966" w:type="dxa"/>
                  <w:vMerge/>
                  <w:tcBorders>
                    <w:top w:val="nil"/>
                    <w:left w:val="single" w:sz="8" w:space="0" w:color="000000"/>
                    <w:bottom w:val="single" w:sz="8" w:space="0" w:color="000000"/>
                    <w:right w:val="single" w:sz="8" w:space="0" w:color="000000"/>
                  </w:tcBorders>
                  <w:vAlign w:val="center"/>
                </w:tcPr>
                <w:p w14:paraId="4776BE5B"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84" w:type="dxa"/>
                  <w:vMerge/>
                  <w:tcBorders>
                    <w:top w:val="nil"/>
                    <w:left w:val="single" w:sz="8" w:space="0" w:color="000000"/>
                    <w:bottom w:val="single" w:sz="8" w:space="0" w:color="000000"/>
                    <w:right w:val="single" w:sz="8" w:space="0" w:color="000000"/>
                  </w:tcBorders>
                  <w:vAlign w:val="center"/>
                </w:tcPr>
                <w:p w14:paraId="3171897E"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877" w:type="dxa"/>
                  <w:vMerge/>
                  <w:tcBorders>
                    <w:top w:val="nil"/>
                    <w:left w:val="single" w:sz="8" w:space="0" w:color="000000"/>
                    <w:bottom w:val="single" w:sz="8" w:space="0" w:color="000000"/>
                    <w:right w:val="single" w:sz="8" w:space="0" w:color="000000"/>
                  </w:tcBorders>
                  <w:vAlign w:val="center"/>
                </w:tcPr>
                <w:p w14:paraId="6BB477D8"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090" w:type="dxa"/>
                  <w:vMerge/>
                  <w:tcBorders>
                    <w:top w:val="nil"/>
                    <w:left w:val="single" w:sz="8" w:space="0" w:color="000000"/>
                    <w:bottom w:val="single" w:sz="8" w:space="0" w:color="000000"/>
                    <w:right w:val="single" w:sz="8" w:space="0" w:color="000000"/>
                  </w:tcBorders>
                  <w:vAlign w:val="center"/>
                </w:tcPr>
                <w:p w14:paraId="056687D8"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377" w:type="dxa"/>
                  <w:tcBorders>
                    <w:top w:val="nil"/>
                    <w:left w:val="nil"/>
                    <w:bottom w:val="single" w:sz="8" w:space="0" w:color="000000"/>
                    <w:right w:val="single" w:sz="8" w:space="0" w:color="000000"/>
                  </w:tcBorders>
                  <w:vAlign w:val="center"/>
                </w:tcPr>
                <w:p w14:paraId="49760C03"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$ 1.091.804.264</w:t>
                  </w:r>
                </w:p>
              </w:tc>
              <w:tc>
                <w:tcPr>
                  <w:tcW w:w="1077" w:type="dxa"/>
                  <w:vMerge/>
                  <w:tcBorders>
                    <w:top w:val="nil"/>
                    <w:left w:val="single" w:sz="8" w:space="0" w:color="000000"/>
                    <w:bottom w:val="single" w:sz="8" w:space="0" w:color="000000"/>
                    <w:right w:val="single" w:sz="8" w:space="0" w:color="000000"/>
                  </w:tcBorders>
                  <w:vAlign w:val="center"/>
                </w:tcPr>
                <w:p w14:paraId="50B79ED0"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2" w:type="dxa"/>
                  <w:vMerge/>
                  <w:tcBorders>
                    <w:top w:val="nil"/>
                    <w:left w:val="single" w:sz="8" w:space="0" w:color="000000"/>
                    <w:bottom w:val="single" w:sz="8" w:space="0" w:color="000000"/>
                    <w:right w:val="single" w:sz="8" w:space="0" w:color="000000"/>
                  </w:tcBorders>
                  <w:vAlign w:val="center"/>
                </w:tcPr>
                <w:p w14:paraId="2F547598"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3" w:type="dxa"/>
                  <w:vMerge/>
                  <w:tcBorders>
                    <w:top w:val="nil"/>
                    <w:left w:val="single" w:sz="8" w:space="0" w:color="000000"/>
                    <w:bottom w:val="single" w:sz="8" w:space="0" w:color="000000"/>
                    <w:right w:val="single" w:sz="8" w:space="0" w:color="000000"/>
                  </w:tcBorders>
                  <w:vAlign w:val="center"/>
                </w:tcPr>
                <w:p w14:paraId="56300E80"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4A11A9" w14:paraId="21A565EC" w14:textId="77777777" w:rsidTr="002933B9">
              <w:trPr>
                <w:trHeight w:val="520"/>
              </w:trPr>
              <w:tc>
                <w:tcPr>
                  <w:tcW w:w="2950" w:type="dxa"/>
                  <w:gridSpan w:val="2"/>
                  <w:vMerge w:val="restart"/>
                  <w:tcBorders>
                    <w:top w:val="single" w:sz="8" w:space="0" w:color="000000"/>
                    <w:left w:val="single" w:sz="8" w:space="0" w:color="000000"/>
                    <w:bottom w:val="single" w:sz="8" w:space="0" w:color="000000"/>
                    <w:right w:val="single" w:sz="8" w:space="0" w:color="000000"/>
                  </w:tcBorders>
                  <w:vAlign w:val="center"/>
                </w:tcPr>
                <w:p w14:paraId="512B6830"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lastRenderedPageBreak/>
                    <w:t>Chile</w:t>
                  </w:r>
                </w:p>
              </w:tc>
              <w:tc>
                <w:tcPr>
                  <w:tcW w:w="877" w:type="dxa"/>
                  <w:vMerge w:val="restart"/>
                  <w:tcBorders>
                    <w:top w:val="nil"/>
                    <w:left w:val="single" w:sz="8" w:space="0" w:color="000000"/>
                    <w:bottom w:val="single" w:sz="8" w:space="0" w:color="000000"/>
                    <w:right w:val="single" w:sz="8" w:space="0" w:color="000000"/>
                  </w:tcBorders>
                  <w:vAlign w:val="center"/>
                </w:tcPr>
                <w:p w14:paraId="0948D8FA"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090" w:type="dxa"/>
                  <w:vMerge w:val="restart"/>
                  <w:tcBorders>
                    <w:top w:val="nil"/>
                    <w:left w:val="single" w:sz="8" w:space="0" w:color="000000"/>
                    <w:bottom w:val="single" w:sz="8" w:space="0" w:color="000000"/>
                    <w:right w:val="single" w:sz="8" w:space="0" w:color="000000"/>
                  </w:tcBorders>
                  <w:vAlign w:val="center"/>
                </w:tcPr>
                <w:p w14:paraId="4AB892A3"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377" w:type="dxa"/>
                  <w:tcBorders>
                    <w:top w:val="nil"/>
                    <w:left w:val="nil"/>
                    <w:bottom w:val="nil"/>
                    <w:right w:val="single" w:sz="8" w:space="0" w:color="000000"/>
                  </w:tcBorders>
                  <w:vAlign w:val="center"/>
                </w:tcPr>
                <w:p w14:paraId="25DE4A50"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Bienes y Servicios</w:t>
                  </w:r>
                </w:p>
              </w:tc>
              <w:tc>
                <w:tcPr>
                  <w:tcW w:w="1077" w:type="dxa"/>
                  <w:vMerge w:val="restart"/>
                  <w:tcBorders>
                    <w:top w:val="nil"/>
                    <w:left w:val="single" w:sz="8" w:space="0" w:color="000000"/>
                    <w:bottom w:val="single" w:sz="8" w:space="0" w:color="000000"/>
                    <w:right w:val="single" w:sz="8" w:space="0" w:color="000000"/>
                  </w:tcBorders>
                  <w:vAlign w:val="center"/>
                </w:tcPr>
                <w:p w14:paraId="5BD5A365"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2" w:type="dxa"/>
                  <w:vMerge w:val="restart"/>
                  <w:tcBorders>
                    <w:top w:val="nil"/>
                    <w:left w:val="single" w:sz="8" w:space="0" w:color="000000"/>
                    <w:bottom w:val="single" w:sz="8" w:space="0" w:color="000000"/>
                    <w:right w:val="single" w:sz="8" w:space="0" w:color="000000"/>
                  </w:tcBorders>
                  <w:vAlign w:val="center"/>
                </w:tcPr>
                <w:p w14:paraId="2DEA4CB5"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3" w:type="dxa"/>
                  <w:vMerge w:val="restart"/>
                  <w:tcBorders>
                    <w:top w:val="nil"/>
                    <w:left w:val="single" w:sz="8" w:space="0" w:color="000000"/>
                    <w:bottom w:val="single" w:sz="8" w:space="0" w:color="000000"/>
                    <w:right w:val="single" w:sz="8" w:space="0" w:color="000000"/>
                  </w:tcBorders>
                  <w:vAlign w:val="center"/>
                </w:tcPr>
                <w:p w14:paraId="108D8EA1"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r>
            <w:tr w:rsidR="004A11A9" w14:paraId="5555165D" w14:textId="77777777" w:rsidTr="002933B9">
              <w:trPr>
                <w:trHeight w:val="300"/>
              </w:trPr>
              <w:tc>
                <w:tcPr>
                  <w:tcW w:w="2950" w:type="dxa"/>
                  <w:gridSpan w:val="2"/>
                  <w:vMerge/>
                  <w:tcBorders>
                    <w:top w:val="single" w:sz="8" w:space="0" w:color="000000"/>
                    <w:left w:val="single" w:sz="8" w:space="0" w:color="000000"/>
                    <w:bottom w:val="single" w:sz="8" w:space="0" w:color="000000"/>
                    <w:right w:val="single" w:sz="8" w:space="0" w:color="000000"/>
                  </w:tcBorders>
                  <w:vAlign w:val="center"/>
                </w:tcPr>
                <w:p w14:paraId="6143C162"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877" w:type="dxa"/>
                  <w:vMerge/>
                  <w:tcBorders>
                    <w:top w:val="nil"/>
                    <w:left w:val="single" w:sz="8" w:space="0" w:color="000000"/>
                    <w:bottom w:val="single" w:sz="8" w:space="0" w:color="000000"/>
                    <w:right w:val="single" w:sz="8" w:space="0" w:color="000000"/>
                  </w:tcBorders>
                  <w:vAlign w:val="center"/>
                </w:tcPr>
                <w:p w14:paraId="7F5EC4B5"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090" w:type="dxa"/>
                  <w:vMerge/>
                  <w:tcBorders>
                    <w:top w:val="nil"/>
                    <w:left w:val="single" w:sz="8" w:space="0" w:color="000000"/>
                    <w:bottom w:val="single" w:sz="8" w:space="0" w:color="000000"/>
                    <w:right w:val="single" w:sz="8" w:space="0" w:color="000000"/>
                  </w:tcBorders>
                  <w:vAlign w:val="center"/>
                </w:tcPr>
                <w:p w14:paraId="71AD5A79"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377" w:type="dxa"/>
                  <w:tcBorders>
                    <w:top w:val="nil"/>
                    <w:left w:val="nil"/>
                    <w:bottom w:val="single" w:sz="8" w:space="0" w:color="000000"/>
                    <w:right w:val="single" w:sz="8" w:space="0" w:color="000000"/>
                  </w:tcBorders>
                  <w:vAlign w:val="center"/>
                </w:tcPr>
                <w:p w14:paraId="2274C494"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w:t>
                  </w:r>
                  <w:r w:rsidRPr="007E2E42">
                    <w:rPr>
                      <w:rFonts w:ascii="Arial Narrow" w:eastAsia="Arial Narrow" w:hAnsi="Arial Narrow" w:cs="Arial Narrow"/>
                      <w:color w:val="000000"/>
                      <w:sz w:val="16"/>
                      <w:szCs w:val="16"/>
                    </w:rPr>
                    <w:t>1.091.804.264</w:t>
                  </w:r>
                </w:p>
              </w:tc>
              <w:tc>
                <w:tcPr>
                  <w:tcW w:w="1077" w:type="dxa"/>
                  <w:vMerge/>
                  <w:tcBorders>
                    <w:top w:val="nil"/>
                    <w:left w:val="single" w:sz="8" w:space="0" w:color="000000"/>
                    <w:bottom w:val="single" w:sz="8" w:space="0" w:color="000000"/>
                    <w:right w:val="single" w:sz="8" w:space="0" w:color="000000"/>
                  </w:tcBorders>
                  <w:vAlign w:val="center"/>
                </w:tcPr>
                <w:p w14:paraId="74A6158A"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2" w:type="dxa"/>
                  <w:vMerge/>
                  <w:tcBorders>
                    <w:top w:val="nil"/>
                    <w:left w:val="single" w:sz="8" w:space="0" w:color="000000"/>
                    <w:bottom w:val="single" w:sz="8" w:space="0" w:color="000000"/>
                    <w:right w:val="single" w:sz="8" w:space="0" w:color="000000"/>
                  </w:tcBorders>
                  <w:vAlign w:val="center"/>
                </w:tcPr>
                <w:p w14:paraId="22953CAE"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3" w:type="dxa"/>
                  <w:vMerge/>
                  <w:tcBorders>
                    <w:top w:val="nil"/>
                    <w:left w:val="single" w:sz="8" w:space="0" w:color="000000"/>
                    <w:bottom w:val="single" w:sz="8" w:space="0" w:color="000000"/>
                    <w:right w:val="single" w:sz="8" w:space="0" w:color="000000"/>
                  </w:tcBorders>
                  <w:vAlign w:val="center"/>
                </w:tcPr>
                <w:p w14:paraId="5245A844"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4A11A9" w14:paraId="76E487D3" w14:textId="77777777" w:rsidTr="002933B9">
              <w:trPr>
                <w:trHeight w:val="520"/>
              </w:trPr>
              <w:tc>
                <w:tcPr>
                  <w:tcW w:w="2950" w:type="dxa"/>
                  <w:gridSpan w:val="2"/>
                  <w:vMerge w:val="restart"/>
                  <w:tcBorders>
                    <w:top w:val="single" w:sz="8" w:space="0" w:color="000000"/>
                    <w:left w:val="single" w:sz="8" w:space="0" w:color="000000"/>
                    <w:bottom w:val="single" w:sz="8" w:space="0" w:color="000000"/>
                    <w:right w:val="single" w:sz="8" w:space="0" w:color="000000"/>
                  </w:tcBorders>
                  <w:vAlign w:val="center"/>
                </w:tcPr>
                <w:p w14:paraId="3C47C993"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Costa Rica</w:t>
                  </w:r>
                </w:p>
              </w:tc>
              <w:tc>
                <w:tcPr>
                  <w:tcW w:w="877" w:type="dxa"/>
                  <w:vMerge w:val="restart"/>
                  <w:tcBorders>
                    <w:top w:val="nil"/>
                    <w:left w:val="single" w:sz="8" w:space="0" w:color="000000"/>
                    <w:bottom w:val="single" w:sz="8" w:space="0" w:color="000000"/>
                    <w:right w:val="single" w:sz="8" w:space="0" w:color="000000"/>
                  </w:tcBorders>
                  <w:vAlign w:val="center"/>
                </w:tcPr>
                <w:p w14:paraId="290CD370"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090" w:type="dxa"/>
                  <w:vMerge w:val="restart"/>
                  <w:tcBorders>
                    <w:top w:val="nil"/>
                    <w:left w:val="single" w:sz="8" w:space="0" w:color="000000"/>
                    <w:bottom w:val="single" w:sz="8" w:space="0" w:color="000000"/>
                    <w:right w:val="single" w:sz="8" w:space="0" w:color="000000"/>
                  </w:tcBorders>
                  <w:vAlign w:val="center"/>
                </w:tcPr>
                <w:p w14:paraId="6C182AA7"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377" w:type="dxa"/>
                  <w:tcBorders>
                    <w:top w:val="nil"/>
                    <w:left w:val="nil"/>
                    <w:bottom w:val="nil"/>
                    <w:right w:val="single" w:sz="8" w:space="0" w:color="000000"/>
                  </w:tcBorders>
                  <w:vAlign w:val="center"/>
                </w:tcPr>
                <w:p w14:paraId="762946FE"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Bienes y Servicios</w:t>
                  </w:r>
                </w:p>
              </w:tc>
              <w:tc>
                <w:tcPr>
                  <w:tcW w:w="1077" w:type="dxa"/>
                  <w:vMerge w:val="restart"/>
                  <w:tcBorders>
                    <w:top w:val="nil"/>
                    <w:left w:val="single" w:sz="8" w:space="0" w:color="000000"/>
                    <w:bottom w:val="single" w:sz="8" w:space="0" w:color="000000"/>
                    <w:right w:val="single" w:sz="8" w:space="0" w:color="000000"/>
                  </w:tcBorders>
                  <w:vAlign w:val="center"/>
                </w:tcPr>
                <w:p w14:paraId="28958811"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2" w:type="dxa"/>
                  <w:vMerge w:val="restart"/>
                  <w:tcBorders>
                    <w:top w:val="nil"/>
                    <w:left w:val="single" w:sz="8" w:space="0" w:color="000000"/>
                    <w:bottom w:val="single" w:sz="8" w:space="0" w:color="000000"/>
                    <w:right w:val="single" w:sz="8" w:space="0" w:color="000000"/>
                  </w:tcBorders>
                  <w:vAlign w:val="center"/>
                </w:tcPr>
                <w:p w14:paraId="0B91CF84"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3" w:type="dxa"/>
                  <w:vMerge w:val="restart"/>
                  <w:tcBorders>
                    <w:top w:val="nil"/>
                    <w:left w:val="single" w:sz="8" w:space="0" w:color="000000"/>
                    <w:bottom w:val="single" w:sz="8" w:space="0" w:color="000000"/>
                    <w:right w:val="single" w:sz="8" w:space="0" w:color="000000"/>
                  </w:tcBorders>
                  <w:vAlign w:val="center"/>
                </w:tcPr>
                <w:p w14:paraId="73D2BE89"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r>
            <w:tr w:rsidR="004A11A9" w14:paraId="0685F7AE" w14:textId="77777777" w:rsidTr="002933B9">
              <w:trPr>
                <w:trHeight w:val="300"/>
              </w:trPr>
              <w:tc>
                <w:tcPr>
                  <w:tcW w:w="2950" w:type="dxa"/>
                  <w:gridSpan w:val="2"/>
                  <w:vMerge/>
                  <w:tcBorders>
                    <w:top w:val="single" w:sz="8" w:space="0" w:color="000000"/>
                    <w:left w:val="single" w:sz="8" w:space="0" w:color="000000"/>
                    <w:bottom w:val="single" w:sz="8" w:space="0" w:color="000000"/>
                    <w:right w:val="single" w:sz="8" w:space="0" w:color="000000"/>
                  </w:tcBorders>
                  <w:vAlign w:val="center"/>
                </w:tcPr>
                <w:p w14:paraId="383BA5CF"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877" w:type="dxa"/>
                  <w:vMerge/>
                  <w:tcBorders>
                    <w:top w:val="nil"/>
                    <w:left w:val="single" w:sz="8" w:space="0" w:color="000000"/>
                    <w:bottom w:val="single" w:sz="8" w:space="0" w:color="000000"/>
                    <w:right w:val="single" w:sz="8" w:space="0" w:color="000000"/>
                  </w:tcBorders>
                  <w:vAlign w:val="center"/>
                </w:tcPr>
                <w:p w14:paraId="6354CF4A"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090" w:type="dxa"/>
                  <w:vMerge/>
                  <w:tcBorders>
                    <w:top w:val="nil"/>
                    <w:left w:val="single" w:sz="8" w:space="0" w:color="000000"/>
                    <w:bottom w:val="single" w:sz="8" w:space="0" w:color="000000"/>
                    <w:right w:val="single" w:sz="8" w:space="0" w:color="000000"/>
                  </w:tcBorders>
                  <w:vAlign w:val="center"/>
                </w:tcPr>
                <w:p w14:paraId="47A12299"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377" w:type="dxa"/>
                  <w:tcBorders>
                    <w:top w:val="nil"/>
                    <w:left w:val="nil"/>
                    <w:bottom w:val="single" w:sz="8" w:space="0" w:color="000000"/>
                    <w:right w:val="single" w:sz="8" w:space="0" w:color="000000"/>
                  </w:tcBorders>
                  <w:vAlign w:val="center"/>
                </w:tcPr>
                <w:p w14:paraId="0BB923D3"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w:t>
                  </w:r>
                  <w:r w:rsidRPr="006F00FC">
                    <w:rPr>
                      <w:rFonts w:ascii="Arial Narrow" w:eastAsia="Arial Narrow" w:hAnsi="Arial Narrow" w:cs="Arial Narrow"/>
                      <w:color w:val="000000"/>
                      <w:sz w:val="16"/>
                      <w:szCs w:val="16"/>
                    </w:rPr>
                    <w:t>1.940.398.620</w:t>
                  </w:r>
                </w:p>
              </w:tc>
              <w:tc>
                <w:tcPr>
                  <w:tcW w:w="1077" w:type="dxa"/>
                  <w:vMerge/>
                  <w:tcBorders>
                    <w:top w:val="nil"/>
                    <w:left w:val="single" w:sz="8" w:space="0" w:color="000000"/>
                    <w:bottom w:val="single" w:sz="8" w:space="0" w:color="000000"/>
                    <w:right w:val="single" w:sz="8" w:space="0" w:color="000000"/>
                  </w:tcBorders>
                  <w:vAlign w:val="center"/>
                </w:tcPr>
                <w:p w14:paraId="589FF9C4"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2" w:type="dxa"/>
                  <w:vMerge/>
                  <w:tcBorders>
                    <w:top w:val="nil"/>
                    <w:left w:val="single" w:sz="8" w:space="0" w:color="000000"/>
                    <w:bottom w:val="single" w:sz="8" w:space="0" w:color="000000"/>
                    <w:right w:val="single" w:sz="8" w:space="0" w:color="000000"/>
                  </w:tcBorders>
                  <w:vAlign w:val="center"/>
                </w:tcPr>
                <w:p w14:paraId="0C3DC32D"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3" w:type="dxa"/>
                  <w:vMerge/>
                  <w:tcBorders>
                    <w:top w:val="nil"/>
                    <w:left w:val="single" w:sz="8" w:space="0" w:color="000000"/>
                    <w:bottom w:val="single" w:sz="8" w:space="0" w:color="000000"/>
                    <w:right w:val="single" w:sz="8" w:space="0" w:color="000000"/>
                  </w:tcBorders>
                  <w:vAlign w:val="center"/>
                </w:tcPr>
                <w:p w14:paraId="38754933"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4A11A9" w14:paraId="503C2A14" w14:textId="77777777" w:rsidTr="002933B9">
              <w:trPr>
                <w:trHeight w:val="520"/>
              </w:trPr>
              <w:tc>
                <w:tcPr>
                  <w:tcW w:w="2950" w:type="dxa"/>
                  <w:gridSpan w:val="2"/>
                  <w:vMerge w:val="restart"/>
                  <w:tcBorders>
                    <w:top w:val="single" w:sz="8" w:space="0" w:color="000000"/>
                    <w:left w:val="single" w:sz="8" w:space="0" w:color="000000"/>
                    <w:bottom w:val="single" w:sz="8" w:space="0" w:color="000000"/>
                    <w:right w:val="single" w:sz="8" w:space="0" w:color="000000"/>
                  </w:tcBorders>
                  <w:vAlign w:val="center"/>
                </w:tcPr>
                <w:p w14:paraId="5C7B92FE"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Estados AELC</w:t>
                  </w:r>
                </w:p>
              </w:tc>
              <w:tc>
                <w:tcPr>
                  <w:tcW w:w="877" w:type="dxa"/>
                  <w:vMerge w:val="restart"/>
                  <w:tcBorders>
                    <w:top w:val="nil"/>
                    <w:left w:val="single" w:sz="8" w:space="0" w:color="000000"/>
                    <w:bottom w:val="single" w:sz="8" w:space="0" w:color="000000"/>
                    <w:right w:val="single" w:sz="8" w:space="0" w:color="000000"/>
                  </w:tcBorders>
                  <w:vAlign w:val="center"/>
                </w:tcPr>
                <w:p w14:paraId="0BC310BD"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090" w:type="dxa"/>
                  <w:vMerge w:val="restart"/>
                  <w:tcBorders>
                    <w:top w:val="nil"/>
                    <w:left w:val="single" w:sz="8" w:space="0" w:color="000000"/>
                    <w:bottom w:val="single" w:sz="8" w:space="0" w:color="000000"/>
                    <w:right w:val="single" w:sz="8" w:space="0" w:color="000000"/>
                  </w:tcBorders>
                  <w:vAlign w:val="center"/>
                </w:tcPr>
                <w:p w14:paraId="5565DCCE"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377" w:type="dxa"/>
                  <w:tcBorders>
                    <w:top w:val="nil"/>
                    <w:left w:val="nil"/>
                    <w:bottom w:val="nil"/>
                    <w:right w:val="single" w:sz="8" w:space="0" w:color="000000"/>
                  </w:tcBorders>
                  <w:vAlign w:val="center"/>
                </w:tcPr>
                <w:p w14:paraId="3FD4A2E1"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Bienes y Servicios</w:t>
                  </w:r>
                </w:p>
              </w:tc>
              <w:tc>
                <w:tcPr>
                  <w:tcW w:w="1077" w:type="dxa"/>
                  <w:vMerge w:val="restart"/>
                  <w:tcBorders>
                    <w:top w:val="nil"/>
                    <w:left w:val="single" w:sz="8" w:space="0" w:color="000000"/>
                    <w:bottom w:val="single" w:sz="8" w:space="0" w:color="000000"/>
                    <w:right w:val="single" w:sz="8" w:space="0" w:color="000000"/>
                  </w:tcBorders>
                  <w:vAlign w:val="center"/>
                </w:tcPr>
                <w:p w14:paraId="5B79559F"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2" w:type="dxa"/>
                  <w:vMerge w:val="restart"/>
                  <w:tcBorders>
                    <w:top w:val="nil"/>
                    <w:left w:val="single" w:sz="8" w:space="0" w:color="000000"/>
                    <w:bottom w:val="single" w:sz="8" w:space="0" w:color="000000"/>
                    <w:right w:val="single" w:sz="8" w:space="0" w:color="000000"/>
                  </w:tcBorders>
                  <w:vAlign w:val="center"/>
                </w:tcPr>
                <w:p w14:paraId="58D6A454"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3" w:type="dxa"/>
                  <w:vMerge w:val="restart"/>
                  <w:tcBorders>
                    <w:top w:val="nil"/>
                    <w:left w:val="single" w:sz="8" w:space="0" w:color="000000"/>
                    <w:bottom w:val="single" w:sz="8" w:space="0" w:color="000000"/>
                    <w:right w:val="single" w:sz="8" w:space="0" w:color="000000"/>
                  </w:tcBorders>
                  <w:vAlign w:val="center"/>
                </w:tcPr>
                <w:p w14:paraId="3D6B161D"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r>
            <w:tr w:rsidR="004A11A9" w14:paraId="1F9AC9C9" w14:textId="77777777" w:rsidTr="002933B9">
              <w:trPr>
                <w:trHeight w:val="300"/>
              </w:trPr>
              <w:tc>
                <w:tcPr>
                  <w:tcW w:w="2950" w:type="dxa"/>
                  <w:gridSpan w:val="2"/>
                  <w:vMerge/>
                  <w:tcBorders>
                    <w:top w:val="single" w:sz="8" w:space="0" w:color="000000"/>
                    <w:left w:val="single" w:sz="8" w:space="0" w:color="000000"/>
                    <w:bottom w:val="single" w:sz="8" w:space="0" w:color="000000"/>
                    <w:right w:val="single" w:sz="8" w:space="0" w:color="000000"/>
                  </w:tcBorders>
                  <w:vAlign w:val="center"/>
                </w:tcPr>
                <w:p w14:paraId="2F272F69"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877" w:type="dxa"/>
                  <w:vMerge/>
                  <w:tcBorders>
                    <w:top w:val="nil"/>
                    <w:left w:val="single" w:sz="8" w:space="0" w:color="000000"/>
                    <w:bottom w:val="single" w:sz="8" w:space="0" w:color="000000"/>
                    <w:right w:val="single" w:sz="8" w:space="0" w:color="000000"/>
                  </w:tcBorders>
                  <w:vAlign w:val="center"/>
                </w:tcPr>
                <w:p w14:paraId="0D52A970"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090" w:type="dxa"/>
                  <w:vMerge/>
                  <w:tcBorders>
                    <w:top w:val="nil"/>
                    <w:left w:val="single" w:sz="8" w:space="0" w:color="000000"/>
                    <w:bottom w:val="single" w:sz="8" w:space="0" w:color="000000"/>
                    <w:right w:val="single" w:sz="8" w:space="0" w:color="000000"/>
                  </w:tcBorders>
                  <w:vAlign w:val="center"/>
                </w:tcPr>
                <w:p w14:paraId="373ADC72"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377" w:type="dxa"/>
                  <w:tcBorders>
                    <w:top w:val="nil"/>
                    <w:left w:val="nil"/>
                    <w:bottom w:val="single" w:sz="8" w:space="0" w:color="000000"/>
                    <w:right w:val="single" w:sz="8" w:space="0" w:color="000000"/>
                  </w:tcBorders>
                  <w:vAlign w:val="center"/>
                </w:tcPr>
                <w:p w14:paraId="6827C213"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w:t>
                  </w:r>
                  <w:r w:rsidRPr="002A6BED">
                    <w:rPr>
                      <w:rFonts w:ascii="Arial Narrow" w:eastAsia="Arial Narrow" w:hAnsi="Arial Narrow" w:cs="Arial Narrow"/>
                      <w:color w:val="000000"/>
                      <w:sz w:val="16"/>
                      <w:szCs w:val="16"/>
                    </w:rPr>
                    <w:t>1.131.227.573</w:t>
                  </w:r>
                </w:p>
              </w:tc>
              <w:tc>
                <w:tcPr>
                  <w:tcW w:w="1077" w:type="dxa"/>
                  <w:vMerge/>
                  <w:tcBorders>
                    <w:top w:val="nil"/>
                    <w:left w:val="single" w:sz="8" w:space="0" w:color="000000"/>
                    <w:bottom w:val="single" w:sz="8" w:space="0" w:color="000000"/>
                    <w:right w:val="single" w:sz="8" w:space="0" w:color="000000"/>
                  </w:tcBorders>
                  <w:vAlign w:val="center"/>
                </w:tcPr>
                <w:p w14:paraId="584D49BD"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2" w:type="dxa"/>
                  <w:vMerge/>
                  <w:tcBorders>
                    <w:top w:val="nil"/>
                    <w:left w:val="single" w:sz="8" w:space="0" w:color="000000"/>
                    <w:bottom w:val="single" w:sz="8" w:space="0" w:color="000000"/>
                    <w:right w:val="single" w:sz="8" w:space="0" w:color="000000"/>
                  </w:tcBorders>
                  <w:vAlign w:val="center"/>
                </w:tcPr>
                <w:p w14:paraId="2812B4A6"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3" w:type="dxa"/>
                  <w:vMerge/>
                  <w:tcBorders>
                    <w:top w:val="nil"/>
                    <w:left w:val="single" w:sz="8" w:space="0" w:color="000000"/>
                    <w:bottom w:val="single" w:sz="8" w:space="0" w:color="000000"/>
                    <w:right w:val="single" w:sz="8" w:space="0" w:color="000000"/>
                  </w:tcBorders>
                  <w:vAlign w:val="center"/>
                </w:tcPr>
                <w:p w14:paraId="70A907BD"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4A11A9" w14:paraId="1E868BE8" w14:textId="77777777" w:rsidTr="002933B9">
              <w:trPr>
                <w:trHeight w:val="790"/>
              </w:trPr>
              <w:tc>
                <w:tcPr>
                  <w:tcW w:w="1966" w:type="dxa"/>
                  <w:tcBorders>
                    <w:top w:val="nil"/>
                    <w:left w:val="single" w:sz="8" w:space="0" w:color="000000"/>
                    <w:bottom w:val="single" w:sz="8" w:space="0" w:color="000000"/>
                    <w:right w:val="single" w:sz="8" w:space="0" w:color="000000"/>
                  </w:tcBorders>
                  <w:vAlign w:val="center"/>
                </w:tcPr>
                <w:p w14:paraId="103BDBB2"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Triángulo Norte</w:t>
                  </w:r>
                </w:p>
              </w:tc>
              <w:tc>
                <w:tcPr>
                  <w:tcW w:w="984" w:type="dxa"/>
                  <w:tcBorders>
                    <w:top w:val="nil"/>
                    <w:left w:val="nil"/>
                    <w:bottom w:val="single" w:sz="8" w:space="0" w:color="000000"/>
                    <w:right w:val="single" w:sz="8" w:space="0" w:color="000000"/>
                  </w:tcBorders>
                  <w:vAlign w:val="center"/>
                </w:tcPr>
                <w:p w14:paraId="6367ED91"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Guatemala</w:t>
                  </w:r>
                </w:p>
              </w:tc>
              <w:tc>
                <w:tcPr>
                  <w:tcW w:w="877" w:type="dxa"/>
                  <w:tcBorders>
                    <w:top w:val="nil"/>
                    <w:left w:val="nil"/>
                    <w:bottom w:val="single" w:sz="8" w:space="0" w:color="000000"/>
                    <w:right w:val="single" w:sz="8" w:space="0" w:color="000000"/>
                  </w:tcBorders>
                  <w:vAlign w:val="center"/>
                </w:tcPr>
                <w:p w14:paraId="2511AC78"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090" w:type="dxa"/>
                  <w:tcBorders>
                    <w:top w:val="nil"/>
                    <w:left w:val="nil"/>
                    <w:bottom w:val="single" w:sz="8" w:space="0" w:color="000000"/>
                    <w:right w:val="single" w:sz="8" w:space="0" w:color="000000"/>
                  </w:tcBorders>
                  <w:vAlign w:val="center"/>
                </w:tcPr>
                <w:p w14:paraId="32123470"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1377" w:type="dxa"/>
                  <w:tcBorders>
                    <w:top w:val="nil"/>
                    <w:left w:val="nil"/>
                    <w:bottom w:val="single" w:sz="8" w:space="0" w:color="000000"/>
                    <w:right w:val="single" w:sz="8" w:space="0" w:color="000000"/>
                  </w:tcBorders>
                  <w:vAlign w:val="center"/>
                </w:tcPr>
                <w:p w14:paraId="7F72730B"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Límite Inferior a la menor cuantía</w:t>
                  </w:r>
                </w:p>
              </w:tc>
              <w:tc>
                <w:tcPr>
                  <w:tcW w:w="1077" w:type="dxa"/>
                  <w:tcBorders>
                    <w:top w:val="nil"/>
                    <w:left w:val="nil"/>
                    <w:bottom w:val="single" w:sz="8" w:space="0" w:color="000000"/>
                    <w:right w:val="single" w:sz="8" w:space="0" w:color="000000"/>
                  </w:tcBorders>
                  <w:vAlign w:val="center"/>
                </w:tcPr>
                <w:p w14:paraId="64B45C56"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992" w:type="dxa"/>
                  <w:tcBorders>
                    <w:top w:val="nil"/>
                    <w:left w:val="nil"/>
                    <w:bottom w:val="single" w:sz="8" w:space="0" w:color="000000"/>
                    <w:right w:val="single" w:sz="8" w:space="0" w:color="000000"/>
                  </w:tcBorders>
                  <w:vAlign w:val="center"/>
                </w:tcPr>
                <w:p w14:paraId="76474C72"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993" w:type="dxa"/>
                  <w:tcBorders>
                    <w:top w:val="nil"/>
                    <w:left w:val="nil"/>
                    <w:bottom w:val="single" w:sz="8" w:space="0" w:color="000000"/>
                    <w:right w:val="single" w:sz="8" w:space="0" w:color="000000"/>
                  </w:tcBorders>
                  <w:vAlign w:val="center"/>
                </w:tcPr>
                <w:p w14:paraId="284C9F43"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r>
            <w:tr w:rsidR="004A11A9" w14:paraId="4AAFF9F2" w14:textId="77777777" w:rsidTr="002933B9">
              <w:trPr>
                <w:trHeight w:val="520"/>
              </w:trPr>
              <w:tc>
                <w:tcPr>
                  <w:tcW w:w="2950" w:type="dxa"/>
                  <w:gridSpan w:val="2"/>
                  <w:vMerge w:val="restart"/>
                  <w:tcBorders>
                    <w:top w:val="single" w:sz="8" w:space="0" w:color="000000"/>
                    <w:left w:val="single" w:sz="8" w:space="0" w:color="000000"/>
                    <w:bottom w:val="single" w:sz="8" w:space="0" w:color="000000"/>
                    <w:right w:val="single" w:sz="8" w:space="0" w:color="000000"/>
                  </w:tcBorders>
                  <w:vAlign w:val="center"/>
                </w:tcPr>
                <w:p w14:paraId="2AB21076" w14:textId="77777777" w:rsidR="004A11A9" w:rsidRDefault="004A11A9" w:rsidP="004A11A9">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Unión Europea Aplicable al Reino Unido e Irlanda del Norte</w:t>
                  </w:r>
                </w:p>
              </w:tc>
              <w:tc>
                <w:tcPr>
                  <w:tcW w:w="877" w:type="dxa"/>
                  <w:vMerge w:val="restart"/>
                  <w:tcBorders>
                    <w:top w:val="nil"/>
                    <w:left w:val="single" w:sz="8" w:space="0" w:color="000000"/>
                    <w:bottom w:val="single" w:sz="8" w:space="0" w:color="000000"/>
                    <w:right w:val="single" w:sz="8" w:space="0" w:color="000000"/>
                  </w:tcBorders>
                  <w:vAlign w:val="center"/>
                </w:tcPr>
                <w:p w14:paraId="0C2E35CB"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090" w:type="dxa"/>
                  <w:vMerge w:val="restart"/>
                  <w:tcBorders>
                    <w:top w:val="nil"/>
                    <w:left w:val="single" w:sz="8" w:space="0" w:color="000000"/>
                    <w:bottom w:val="single" w:sz="8" w:space="0" w:color="000000"/>
                    <w:right w:val="single" w:sz="8" w:space="0" w:color="000000"/>
                  </w:tcBorders>
                  <w:vAlign w:val="center"/>
                </w:tcPr>
                <w:p w14:paraId="63D265B1"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w:t>
                  </w:r>
                </w:p>
              </w:tc>
              <w:tc>
                <w:tcPr>
                  <w:tcW w:w="1377" w:type="dxa"/>
                  <w:tcBorders>
                    <w:top w:val="nil"/>
                    <w:left w:val="nil"/>
                    <w:bottom w:val="nil"/>
                    <w:right w:val="single" w:sz="8" w:space="0" w:color="000000"/>
                  </w:tcBorders>
                  <w:vAlign w:val="center"/>
                </w:tcPr>
                <w:p w14:paraId="199412F1"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Bienes y Servicios</w:t>
                  </w:r>
                </w:p>
              </w:tc>
              <w:tc>
                <w:tcPr>
                  <w:tcW w:w="1077" w:type="dxa"/>
                  <w:vMerge w:val="restart"/>
                  <w:tcBorders>
                    <w:top w:val="nil"/>
                    <w:left w:val="single" w:sz="8" w:space="0" w:color="000000"/>
                    <w:bottom w:val="single" w:sz="8" w:space="0" w:color="000000"/>
                    <w:right w:val="single" w:sz="8" w:space="0" w:color="000000"/>
                  </w:tcBorders>
                  <w:vAlign w:val="center"/>
                </w:tcPr>
                <w:p w14:paraId="60A760A5"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2" w:type="dxa"/>
                  <w:vMerge w:val="restart"/>
                  <w:tcBorders>
                    <w:top w:val="nil"/>
                    <w:left w:val="single" w:sz="8" w:space="0" w:color="000000"/>
                    <w:bottom w:val="single" w:sz="8" w:space="0" w:color="000000"/>
                    <w:right w:val="single" w:sz="8" w:space="0" w:color="000000"/>
                  </w:tcBorders>
                  <w:vAlign w:val="center"/>
                </w:tcPr>
                <w:p w14:paraId="10338385"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c>
                <w:tcPr>
                  <w:tcW w:w="993" w:type="dxa"/>
                  <w:vMerge w:val="restart"/>
                  <w:tcBorders>
                    <w:top w:val="nil"/>
                    <w:left w:val="single" w:sz="8" w:space="0" w:color="000000"/>
                    <w:bottom w:val="single" w:sz="8" w:space="0" w:color="000000"/>
                    <w:right w:val="single" w:sz="8" w:space="0" w:color="000000"/>
                  </w:tcBorders>
                  <w:vAlign w:val="center"/>
                </w:tcPr>
                <w:p w14:paraId="2349362C" w14:textId="77777777" w:rsidR="004A11A9" w:rsidRDefault="004A11A9" w:rsidP="004A11A9">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w:t>
                  </w:r>
                </w:p>
              </w:tc>
            </w:tr>
            <w:tr w:rsidR="004A11A9" w14:paraId="3783A329" w14:textId="77777777" w:rsidTr="002933B9">
              <w:trPr>
                <w:trHeight w:val="300"/>
              </w:trPr>
              <w:tc>
                <w:tcPr>
                  <w:tcW w:w="2950" w:type="dxa"/>
                  <w:gridSpan w:val="2"/>
                  <w:vMerge/>
                  <w:tcBorders>
                    <w:top w:val="single" w:sz="8" w:space="0" w:color="000000"/>
                    <w:left w:val="single" w:sz="8" w:space="0" w:color="000000"/>
                    <w:bottom w:val="single" w:sz="8" w:space="0" w:color="000000"/>
                    <w:right w:val="single" w:sz="8" w:space="0" w:color="000000"/>
                  </w:tcBorders>
                  <w:vAlign w:val="center"/>
                </w:tcPr>
                <w:p w14:paraId="5C148916"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877" w:type="dxa"/>
                  <w:vMerge/>
                  <w:tcBorders>
                    <w:top w:val="nil"/>
                    <w:left w:val="single" w:sz="8" w:space="0" w:color="000000"/>
                    <w:bottom w:val="single" w:sz="8" w:space="0" w:color="000000"/>
                    <w:right w:val="single" w:sz="8" w:space="0" w:color="000000"/>
                  </w:tcBorders>
                  <w:vAlign w:val="center"/>
                </w:tcPr>
                <w:p w14:paraId="1ADBF879"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090" w:type="dxa"/>
                  <w:vMerge/>
                  <w:tcBorders>
                    <w:top w:val="nil"/>
                    <w:left w:val="single" w:sz="8" w:space="0" w:color="000000"/>
                    <w:bottom w:val="single" w:sz="8" w:space="0" w:color="000000"/>
                    <w:right w:val="single" w:sz="8" w:space="0" w:color="000000"/>
                  </w:tcBorders>
                  <w:vAlign w:val="center"/>
                </w:tcPr>
                <w:p w14:paraId="03D7E784"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377" w:type="dxa"/>
                  <w:tcBorders>
                    <w:top w:val="nil"/>
                    <w:left w:val="nil"/>
                    <w:bottom w:val="single" w:sz="8" w:space="0" w:color="000000"/>
                    <w:right w:val="single" w:sz="8" w:space="0" w:color="000000"/>
                  </w:tcBorders>
                  <w:vAlign w:val="center"/>
                </w:tcPr>
                <w:p w14:paraId="0CD97737" w14:textId="77777777" w:rsidR="004A11A9" w:rsidRDefault="004A11A9" w:rsidP="004A11A9">
                  <w:pPr>
                    <w:jc w:val="center"/>
                    <w:rPr>
                      <w:rFonts w:ascii="Arial Narrow" w:eastAsia="Arial Narrow" w:hAnsi="Arial Narrow" w:cs="Arial Narrow"/>
                      <w:color w:val="000000"/>
                      <w:sz w:val="16"/>
                      <w:szCs w:val="16"/>
                    </w:rPr>
                  </w:pPr>
                  <w:r w:rsidRPr="00E2270B">
                    <w:rPr>
                      <w:rFonts w:ascii="Arial Narrow" w:eastAsia="Arial Narrow" w:hAnsi="Arial Narrow" w:cs="Arial Narrow"/>
                      <w:color w:val="000000"/>
                      <w:sz w:val="16"/>
                      <w:szCs w:val="16"/>
                    </w:rPr>
                    <w:t xml:space="preserve">$ </w:t>
                  </w:r>
                  <w:r w:rsidRPr="00CF366B">
                    <w:rPr>
                      <w:rFonts w:ascii="Arial Narrow" w:eastAsia="Arial Narrow" w:hAnsi="Arial Narrow" w:cs="Arial Narrow"/>
                      <w:color w:val="000000"/>
                      <w:sz w:val="16"/>
                      <w:szCs w:val="16"/>
                    </w:rPr>
                    <w:t>1.091.059.175</w:t>
                  </w:r>
                </w:p>
              </w:tc>
              <w:tc>
                <w:tcPr>
                  <w:tcW w:w="1077" w:type="dxa"/>
                  <w:vMerge/>
                  <w:tcBorders>
                    <w:top w:val="nil"/>
                    <w:left w:val="single" w:sz="8" w:space="0" w:color="000000"/>
                    <w:bottom w:val="single" w:sz="8" w:space="0" w:color="000000"/>
                    <w:right w:val="single" w:sz="8" w:space="0" w:color="000000"/>
                  </w:tcBorders>
                  <w:vAlign w:val="center"/>
                </w:tcPr>
                <w:p w14:paraId="0DBF3EAB"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2" w:type="dxa"/>
                  <w:vMerge/>
                  <w:tcBorders>
                    <w:top w:val="nil"/>
                    <w:left w:val="single" w:sz="8" w:space="0" w:color="000000"/>
                    <w:bottom w:val="single" w:sz="8" w:space="0" w:color="000000"/>
                    <w:right w:val="single" w:sz="8" w:space="0" w:color="000000"/>
                  </w:tcBorders>
                  <w:vAlign w:val="center"/>
                </w:tcPr>
                <w:p w14:paraId="7CD3D6BF"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993" w:type="dxa"/>
                  <w:vMerge/>
                  <w:tcBorders>
                    <w:top w:val="nil"/>
                    <w:left w:val="single" w:sz="8" w:space="0" w:color="000000"/>
                    <w:bottom w:val="single" w:sz="8" w:space="0" w:color="000000"/>
                    <w:right w:val="single" w:sz="8" w:space="0" w:color="000000"/>
                  </w:tcBorders>
                  <w:vAlign w:val="center"/>
                </w:tcPr>
                <w:p w14:paraId="65E2592B" w14:textId="77777777" w:rsidR="004A11A9" w:rsidRDefault="004A11A9" w:rsidP="004A11A9">
                  <w:pPr>
                    <w:pBdr>
                      <w:top w:val="nil"/>
                      <w:left w:val="nil"/>
                      <w:bottom w:val="nil"/>
                      <w:right w:val="nil"/>
                      <w:between w:val="nil"/>
                    </w:pBdr>
                    <w:spacing w:line="276" w:lineRule="auto"/>
                    <w:rPr>
                      <w:rFonts w:ascii="Arial Narrow" w:eastAsia="Arial Narrow" w:hAnsi="Arial Narrow" w:cs="Arial Narrow"/>
                      <w:color w:val="000000"/>
                      <w:sz w:val="16"/>
                      <w:szCs w:val="16"/>
                    </w:rPr>
                  </w:pPr>
                </w:p>
              </w:tc>
            </w:tr>
          </w:tbl>
          <w:p w14:paraId="539A3718" w14:textId="77777777" w:rsidR="00D768A3" w:rsidRPr="004A11A9" w:rsidRDefault="00D768A3">
            <w:pPr>
              <w:ind w:right="396"/>
              <w:rPr>
                <w:rFonts w:ascii="Arial" w:eastAsia="Arial" w:hAnsi="Arial" w:cs="Arial"/>
                <w:sz w:val="24"/>
                <w:szCs w:val="24"/>
                <w:lang w:val="es"/>
              </w:rPr>
            </w:pPr>
          </w:p>
          <w:p w14:paraId="5E407A98"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En conclusión, el presente proceso de selección está cobijado por los siguientes acuerdos comerciales:</w:t>
            </w:r>
          </w:p>
          <w:p w14:paraId="63DA1E20" w14:textId="77777777" w:rsidR="00D768A3" w:rsidRDefault="00A0753E">
            <w:pPr>
              <w:numPr>
                <w:ilvl w:val="0"/>
                <w:numId w:val="3"/>
              </w:numPr>
              <w:jc w:val="both"/>
              <w:rPr>
                <w:rFonts w:ascii="Arial" w:eastAsia="Arial" w:hAnsi="Arial" w:cs="Arial"/>
                <w:sz w:val="24"/>
                <w:szCs w:val="24"/>
              </w:rPr>
            </w:pPr>
            <w:r>
              <w:rPr>
                <w:rFonts w:ascii="Arial" w:eastAsia="Arial" w:hAnsi="Arial" w:cs="Arial"/>
                <w:sz w:val="24"/>
                <w:szCs w:val="24"/>
              </w:rPr>
              <w:t>Triángulo del Norte – Guatemala</w:t>
            </w:r>
          </w:p>
          <w:p w14:paraId="41C29AAD" w14:textId="77777777" w:rsidR="00D768A3" w:rsidRDefault="00A0753E">
            <w:pPr>
              <w:numPr>
                <w:ilvl w:val="0"/>
                <w:numId w:val="3"/>
              </w:numPr>
              <w:jc w:val="both"/>
              <w:rPr>
                <w:rFonts w:ascii="Arial" w:eastAsia="Arial" w:hAnsi="Arial" w:cs="Arial"/>
                <w:sz w:val="24"/>
                <w:szCs w:val="24"/>
              </w:rPr>
            </w:pPr>
            <w:r>
              <w:rPr>
                <w:rFonts w:ascii="Arial" w:eastAsia="Arial" w:hAnsi="Arial" w:cs="Arial"/>
                <w:sz w:val="24"/>
                <w:szCs w:val="24"/>
              </w:rPr>
              <w:t>Comunidad Andina</w:t>
            </w:r>
          </w:p>
          <w:p w14:paraId="61B4ABA6" w14:textId="77777777" w:rsidR="00D768A3" w:rsidRDefault="00D768A3">
            <w:pPr>
              <w:jc w:val="both"/>
              <w:rPr>
                <w:rFonts w:ascii="Arial" w:eastAsia="Arial" w:hAnsi="Arial" w:cs="Arial"/>
                <w:sz w:val="24"/>
                <w:szCs w:val="24"/>
              </w:rPr>
            </w:pPr>
          </w:p>
        </w:tc>
      </w:tr>
      <w:tr w:rsidR="00D768A3" w14:paraId="2A2FD3D5"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0878616" w14:textId="77777777" w:rsidR="00D768A3"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DOCUMENTOS TIPO</w:t>
            </w:r>
          </w:p>
        </w:tc>
      </w:tr>
      <w:tr w:rsidR="00D768A3" w14:paraId="19CC5C34"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9D987A" w14:textId="77777777" w:rsidR="00D768A3" w:rsidRDefault="00D768A3" w:rsidP="007F099C">
            <w:pPr>
              <w:jc w:val="both"/>
              <w:rPr>
                <w:rFonts w:ascii="Arial" w:eastAsia="Arial" w:hAnsi="Arial" w:cs="Arial"/>
                <w:sz w:val="24"/>
                <w:szCs w:val="24"/>
                <w:lang w:val="es-CO"/>
              </w:rPr>
            </w:pPr>
          </w:p>
          <w:p w14:paraId="671E2AE9" w14:textId="77777777" w:rsidR="00722834" w:rsidRDefault="00722834" w:rsidP="00722834">
            <w:pPr>
              <w:jc w:val="both"/>
              <w:rPr>
                <w:rFonts w:ascii="Arial" w:eastAsia="Arial" w:hAnsi="Arial" w:cs="Arial"/>
                <w:sz w:val="24"/>
                <w:szCs w:val="24"/>
                <w:lang w:val="es-CO"/>
              </w:rPr>
            </w:pPr>
            <w:r w:rsidRPr="00722834">
              <w:rPr>
                <w:rFonts w:ascii="Arial" w:eastAsia="Arial" w:hAnsi="Arial" w:cs="Arial"/>
                <w:sz w:val="24"/>
                <w:szCs w:val="24"/>
                <w:lang w:val="es-CO"/>
              </w:rPr>
              <w:t>Los Documentos Tipo son instrumentos estandarizados adoptados por la Agencia Nacional de Contratación Pública – Colombia Compra Eficiente, de obligatorio cumplimiento para las entidades estatales sometidas al Estatuto General de Contratación de la Administración Pública, en los procesos de contratación que se encuentren dentro de su ámbito de aplicación.</w:t>
            </w:r>
          </w:p>
          <w:p w14:paraId="0D806B3A" w14:textId="77777777" w:rsidR="00722834" w:rsidRPr="00722834" w:rsidRDefault="00722834" w:rsidP="00722834">
            <w:pPr>
              <w:jc w:val="both"/>
              <w:rPr>
                <w:rFonts w:ascii="Arial" w:eastAsia="Arial" w:hAnsi="Arial" w:cs="Arial"/>
                <w:sz w:val="24"/>
                <w:szCs w:val="24"/>
                <w:lang w:val="es-CO"/>
              </w:rPr>
            </w:pPr>
          </w:p>
          <w:p w14:paraId="0B611926" w14:textId="77777777" w:rsidR="00722834" w:rsidRDefault="00722834" w:rsidP="00722834">
            <w:pPr>
              <w:jc w:val="both"/>
              <w:rPr>
                <w:rFonts w:ascii="Arial" w:eastAsia="Arial" w:hAnsi="Arial" w:cs="Arial"/>
                <w:sz w:val="24"/>
                <w:szCs w:val="24"/>
                <w:lang w:val="es-CO"/>
              </w:rPr>
            </w:pPr>
            <w:r w:rsidRPr="00722834">
              <w:rPr>
                <w:rFonts w:ascii="Arial" w:eastAsia="Arial" w:hAnsi="Arial" w:cs="Arial"/>
                <w:sz w:val="24"/>
                <w:szCs w:val="24"/>
                <w:lang w:val="es-CO"/>
              </w:rPr>
              <w:t xml:space="preserve">Para el presente proceso, por tratarse de un </w:t>
            </w:r>
            <w:r w:rsidRPr="00722834">
              <w:rPr>
                <w:rFonts w:ascii="Arial" w:eastAsia="Arial" w:hAnsi="Arial" w:cs="Arial"/>
                <w:b/>
                <w:bCs/>
                <w:sz w:val="24"/>
                <w:szCs w:val="24"/>
                <w:lang w:val="es-CO"/>
              </w:rPr>
              <w:t>Concurso de Méritos cuyo objeto corresponde a la contratación de la interventoría de obras públicas de infraestructura social relacionada con el sector de recreación y deporte</w:t>
            </w:r>
            <w:r w:rsidRPr="00722834">
              <w:rPr>
                <w:rFonts w:ascii="Arial" w:eastAsia="Arial" w:hAnsi="Arial" w:cs="Arial"/>
                <w:sz w:val="24"/>
                <w:szCs w:val="24"/>
                <w:lang w:val="es-CO"/>
              </w:rPr>
              <w:t xml:space="preserve">, resultan aplicables los </w:t>
            </w:r>
            <w:r w:rsidRPr="00722834">
              <w:rPr>
                <w:rFonts w:ascii="Arial" w:eastAsia="Arial" w:hAnsi="Arial" w:cs="Arial"/>
                <w:b/>
                <w:bCs/>
                <w:sz w:val="24"/>
                <w:szCs w:val="24"/>
                <w:lang w:val="es-CO"/>
              </w:rPr>
              <w:t>Documentos Tipo de concurso de méritos para contratar la interventoría de obras públicas de infraestructura social – Versión 2</w:t>
            </w:r>
            <w:r w:rsidRPr="00722834">
              <w:rPr>
                <w:rFonts w:ascii="Arial" w:eastAsia="Arial" w:hAnsi="Arial" w:cs="Arial"/>
                <w:sz w:val="24"/>
                <w:szCs w:val="24"/>
                <w:lang w:val="es-CO"/>
              </w:rPr>
              <w:t xml:space="preserve">, adoptados mediante la </w:t>
            </w:r>
            <w:r w:rsidRPr="00722834">
              <w:rPr>
                <w:rFonts w:ascii="Arial" w:eastAsia="Arial" w:hAnsi="Arial" w:cs="Arial"/>
                <w:b/>
                <w:bCs/>
                <w:sz w:val="24"/>
                <w:szCs w:val="24"/>
                <w:lang w:val="es-CO"/>
              </w:rPr>
              <w:t>Resolución 953 del 15 de diciembre de 2025</w:t>
            </w:r>
            <w:r w:rsidRPr="00722834">
              <w:rPr>
                <w:rFonts w:ascii="Arial" w:eastAsia="Arial" w:hAnsi="Arial" w:cs="Arial"/>
                <w:sz w:val="24"/>
                <w:szCs w:val="24"/>
                <w:lang w:val="es-CO"/>
              </w:rPr>
              <w:t xml:space="preserve"> por la Agencia Nacional de Contratación Pública – Colombia Compra Eficiente.</w:t>
            </w:r>
          </w:p>
          <w:p w14:paraId="1ABEF01F" w14:textId="77777777" w:rsidR="00722834" w:rsidRPr="00722834" w:rsidRDefault="00722834" w:rsidP="00722834">
            <w:pPr>
              <w:jc w:val="both"/>
              <w:rPr>
                <w:rFonts w:ascii="Arial" w:eastAsia="Arial" w:hAnsi="Arial" w:cs="Arial"/>
                <w:sz w:val="24"/>
                <w:szCs w:val="24"/>
                <w:lang w:val="es-CO"/>
              </w:rPr>
            </w:pPr>
          </w:p>
          <w:p w14:paraId="270E6B85" w14:textId="77777777" w:rsidR="00722834" w:rsidRDefault="00722834" w:rsidP="00722834">
            <w:pPr>
              <w:jc w:val="both"/>
              <w:rPr>
                <w:rFonts w:ascii="Arial" w:eastAsia="Arial" w:hAnsi="Arial" w:cs="Arial"/>
                <w:sz w:val="24"/>
                <w:szCs w:val="24"/>
                <w:lang w:val="es-CO"/>
              </w:rPr>
            </w:pPr>
            <w:r w:rsidRPr="00722834">
              <w:rPr>
                <w:rFonts w:ascii="Arial" w:eastAsia="Arial" w:hAnsi="Arial" w:cs="Arial"/>
                <w:sz w:val="24"/>
                <w:szCs w:val="24"/>
                <w:lang w:val="es-CO"/>
              </w:rPr>
              <w:t xml:space="preserve">Esta versión comprende los documentos tipo transversales aplicables a la interventoría de obras públicas de infraestructura social y los documentos complementarios correspondientes, entre otros, a los sectores de educación, salud, cultura, </w:t>
            </w:r>
            <w:r w:rsidRPr="00722834">
              <w:rPr>
                <w:rFonts w:ascii="Arial" w:eastAsia="Arial" w:hAnsi="Arial" w:cs="Arial"/>
                <w:b/>
                <w:bCs/>
                <w:sz w:val="24"/>
                <w:szCs w:val="24"/>
                <w:lang w:val="es-CO"/>
              </w:rPr>
              <w:t>recreación y deporte</w:t>
            </w:r>
            <w:r w:rsidRPr="00722834">
              <w:rPr>
                <w:rFonts w:ascii="Arial" w:eastAsia="Arial" w:hAnsi="Arial" w:cs="Arial"/>
                <w:sz w:val="24"/>
                <w:szCs w:val="24"/>
                <w:lang w:val="es-CO"/>
              </w:rPr>
              <w:t xml:space="preserve">, infraestructura institucional y vivienda. Para el presente proceso resulta aplicable específicamente el componente correspondiente a </w:t>
            </w:r>
            <w:r w:rsidRPr="00722834">
              <w:rPr>
                <w:rFonts w:ascii="Arial" w:eastAsia="Arial" w:hAnsi="Arial" w:cs="Arial"/>
                <w:b/>
                <w:bCs/>
                <w:sz w:val="24"/>
                <w:szCs w:val="24"/>
                <w:lang w:val="es-CO"/>
              </w:rPr>
              <w:t>cultura, recreación y deporte</w:t>
            </w:r>
            <w:r w:rsidRPr="00722834">
              <w:rPr>
                <w:rFonts w:ascii="Arial" w:eastAsia="Arial" w:hAnsi="Arial" w:cs="Arial"/>
                <w:sz w:val="24"/>
                <w:szCs w:val="24"/>
                <w:lang w:val="es-CO"/>
              </w:rPr>
              <w:t>, de acuerdo con la naturaleza del proyecto objeto de interventoría.</w:t>
            </w:r>
          </w:p>
          <w:p w14:paraId="14662D22" w14:textId="77777777" w:rsidR="00722834" w:rsidRPr="00722834" w:rsidRDefault="00722834" w:rsidP="00722834">
            <w:pPr>
              <w:jc w:val="both"/>
              <w:rPr>
                <w:rFonts w:ascii="Arial" w:eastAsia="Arial" w:hAnsi="Arial" w:cs="Arial"/>
                <w:sz w:val="24"/>
                <w:szCs w:val="24"/>
                <w:lang w:val="es-CO"/>
              </w:rPr>
            </w:pPr>
          </w:p>
          <w:p w14:paraId="6F3FA74D" w14:textId="77777777" w:rsidR="00722834" w:rsidRPr="00722834" w:rsidRDefault="00722834" w:rsidP="00722834">
            <w:pPr>
              <w:jc w:val="both"/>
              <w:rPr>
                <w:rFonts w:ascii="Arial" w:eastAsia="Arial" w:hAnsi="Arial" w:cs="Arial"/>
                <w:sz w:val="24"/>
                <w:szCs w:val="24"/>
                <w:lang w:val="es-CO"/>
              </w:rPr>
            </w:pPr>
            <w:r w:rsidRPr="00722834">
              <w:rPr>
                <w:rFonts w:ascii="Arial" w:eastAsia="Arial" w:hAnsi="Arial" w:cs="Arial"/>
                <w:sz w:val="24"/>
                <w:szCs w:val="24"/>
                <w:lang w:val="es-CO"/>
              </w:rPr>
              <w:t>Los Documentos Tipo contienen parámetros obligatorios para la estructuración y desarrollo del proceso de selección, por lo que la Entidad deberá aplicar las condiciones establecidas en el documento base, así como los anexos, formatos, matrices y demás documentos que hagan parte de la versión vigente y que resulten aplicables al proceso.</w:t>
            </w:r>
          </w:p>
          <w:p w14:paraId="78023AF1" w14:textId="77777777" w:rsidR="00722834" w:rsidRPr="00722834" w:rsidRDefault="00722834" w:rsidP="00722834">
            <w:pPr>
              <w:jc w:val="both"/>
              <w:rPr>
                <w:rFonts w:ascii="Arial" w:eastAsia="Arial" w:hAnsi="Arial" w:cs="Arial"/>
                <w:sz w:val="24"/>
                <w:szCs w:val="24"/>
                <w:lang w:val="es-CO"/>
              </w:rPr>
            </w:pPr>
            <w:r w:rsidRPr="00722834">
              <w:rPr>
                <w:rFonts w:ascii="Arial" w:eastAsia="Arial" w:hAnsi="Arial" w:cs="Arial"/>
                <w:sz w:val="24"/>
                <w:szCs w:val="24"/>
                <w:lang w:val="es-CO"/>
              </w:rPr>
              <w:t>En consecuencia, la estructuración del presente Concurso de Méritos deberá garantizar la aplicación de los Documentos Tipo vigentes, sin perjuicio de las condiciones particulares que correspondan al proyecto, siempre dentro de los límites y parámetros establecidos en dichos documentos y en las normas que regulan la contratación estatal.</w:t>
            </w:r>
          </w:p>
          <w:p w14:paraId="089C2711" w14:textId="77777777" w:rsidR="00722834" w:rsidRPr="00722834" w:rsidRDefault="00722834" w:rsidP="00722834">
            <w:pPr>
              <w:jc w:val="both"/>
              <w:rPr>
                <w:rFonts w:ascii="Arial" w:eastAsia="Arial" w:hAnsi="Arial" w:cs="Arial"/>
                <w:sz w:val="24"/>
                <w:szCs w:val="24"/>
                <w:lang w:val="es-CO"/>
              </w:rPr>
            </w:pPr>
            <w:r w:rsidRPr="00722834">
              <w:rPr>
                <w:rFonts w:ascii="Arial" w:eastAsia="Arial" w:hAnsi="Arial" w:cs="Arial"/>
                <w:sz w:val="24"/>
                <w:szCs w:val="24"/>
                <w:lang w:val="es-CO"/>
              </w:rPr>
              <w:t xml:space="preserve">De acuerdo con la información publicada por Colombia Compra Eficiente, la </w:t>
            </w:r>
            <w:r w:rsidRPr="00722834">
              <w:rPr>
                <w:rFonts w:ascii="Arial" w:eastAsia="Arial" w:hAnsi="Arial" w:cs="Arial"/>
                <w:b/>
                <w:bCs/>
                <w:sz w:val="24"/>
                <w:szCs w:val="24"/>
                <w:lang w:val="es-CO"/>
              </w:rPr>
              <w:t>Versión 2</w:t>
            </w:r>
            <w:r w:rsidRPr="00722834">
              <w:rPr>
                <w:rFonts w:ascii="Arial" w:eastAsia="Arial" w:hAnsi="Arial" w:cs="Arial"/>
                <w:sz w:val="24"/>
                <w:szCs w:val="24"/>
                <w:lang w:val="es-CO"/>
              </w:rPr>
              <w:t xml:space="preserve"> de los Documentos Tipo para interventoría de infraestructura social fue publicada el </w:t>
            </w:r>
            <w:r w:rsidRPr="00722834">
              <w:rPr>
                <w:rFonts w:ascii="Arial" w:eastAsia="Arial" w:hAnsi="Arial" w:cs="Arial"/>
                <w:b/>
                <w:bCs/>
                <w:sz w:val="24"/>
                <w:szCs w:val="24"/>
                <w:lang w:val="es-CO"/>
              </w:rPr>
              <w:t>2 de febrero de 2026</w:t>
            </w:r>
            <w:r w:rsidRPr="00722834">
              <w:rPr>
                <w:rFonts w:ascii="Arial" w:eastAsia="Arial" w:hAnsi="Arial" w:cs="Arial"/>
                <w:sz w:val="24"/>
                <w:szCs w:val="24"/>
                <w:lang w:val="es-CO"/>
              </w:rPr>
              <w:t xml:space="preserve"> y contempla, entre sus documentos complementarios, la </w:t>
            </w:r>
            <w:r w:rsidRPr="00722834">
              <w:rPr>
                <w:rFonts w:ascii="Arial" w:eastAsia="Arial" w:hAnsi="Arial" w:cs="Arial"/>
                <w:b/>
                <w:bCs/>
                <w:sz w:val="24"/>
                <w:szCs w:val="24"/>
                <w:lang w:val="es-CO"/>
              </w:rPr>
              <w:t>Matriz 1 de Experiencia para el sector Cultura, Recreación y Deporte</w:t>
            </w:r>
            <w:r w:rsidRPr="00722834">
              <w:rPr>
                <w:rFonts w:ascii="Arial" w:eastAsia="Arial" w:hAnsi="Arial" w:cs="Arial"/>
                <w:sz w:val="24"/>
                <w:szCs w:val="24"/>
                <w:lang w:val="es-CO"/>
              </w:rPr>
              <w:t>, instrumento que deberá ser considerado en la estructuración de los requisitos de experiencia del presente proceso.</w:t>
            </w:r>
          </w:p>
          <w:p w14:paraId="14263BAF" w14:textId="77777777" w:rsidR="00722834" w:rsidRPr="00D67D8A" w:rsidRDefault="00722834" w:rsidP="007F099C">
            <w:pPr>
              <w:jc w:val="both"/>
              <w:rPr>
                <w:rFonts w:ascii="Arial" w:eastAsia="Arial" w:hAnsi="Arial" w:cs="Arial"/>
                <w:sz w:val="24"/>
                <w:szCs w:val="24"/>
                <w:lang w:val="es-CO"/>
              </w:rPr>
            </w:pPr>
          </w:p>
        </w:tc>
      </w:tr>
      <w:tr w:rsidR="00D768A3" w14:paraId="427E3FDD"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FF9F023" w14:textId="77777777" w:rsidR="00D768A3" w:rsidRPr="00D67D8A"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lang w:val="es-CO"/>
              </w:rPr>
            </w:pPr>
            <w:r w:rsidRPr="00D67D8A">
              <w:rPr>
                <w:rFonts w:ascii="Arial" w:eastAsia="Arial" w:hAnsi="Arial" w:cs="Arial"/>
                <w:color w:val="000000"/>
                <w:sz w:val="24"/>
                <w:szCs w:val="24"/>
                <w:lang w:val="es-CO"/>
              </w:rPr>
              <w:lastRenderedPageBreak/>
              <w:t>INSTRUMENTOS DE AGREGACIÓN DE DEMANDA</w:t>
            </w:r>
          </w:p>
        </w:tc>
      </w:tr>
      <w:tr w:rsidR="00D768A3" w14:paraId="607D2435"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64D044" w14:textId="77777777" w:rsidR="00D768A3" w:rsidRPr="00D67D8A" w:rsidRDefault="00D768A3">
            <w:pPr>
              <w:jc w:val="both"/>
              <w:rPr>
                <w:rFonts w:ascii="Arial" w:eastAsia="Arial" w:hAnsi="Arial" w:cs="Arial"/>
                <w:sz w:val="24"/>
                <w:szCs w:val="24"/>
                <w:lang w:val="es-CO"/>
              </w:rPr>
            </w:pPr>
          </w:p>
          <w:p w14:paraId="2FCEAA59" w14:textId="77777777" w:rsidR="00BC5DAC" w:rsidRPr="00BC5DAC" w:rsidRDefault="00BC5DAC" w:rsidP="00BC5DAC">
            <w:pPr>
              <w:jc w:val="both"/>
              <w:rPr>
                <w:rFonts w:ascii="Arial" w:eastAsia="Arial" w:hAnsi="Arial" w:cs="Arial"/>
                <w:sz w:val="24"/>
                <w:szCs w:val="24"/>
                <w:lang w:val="es-CO"/>
              </w:rPr>
            </w:pPr>
            <w:r w:rsidRPr="00BC5DAC">
              <w:rPr>
                <w:rFonts w:ascii="Arial" w:eastAsia="Arial" w:hAnsi="Arial" w:cs="Arial"/>
                <w:sz w:val="24"/>
                <w:szCs w:val="24"/>
                <w:lang w:val="es-CO"/>
              </w:rPr>
              <w:t>Los Instrumentos de Agregación de Demanda constituyen mecanismos mediante los cuales las Entidades Estatales pueden sumar sus necesidades y actuar de manera coordinada en el mercado, con el propósito de obtener eficiencia en el gasto, aprovechar economías de escala y mejorar las condiciones de adquisición de bienes y servicios. Los Acuerdos Marco de Precios constituyen una de las modalidades de estos instrumentos.</w:t>
            </w:r>
          </w:p>
          <w:p w14:paraId="2669E429" w14:textId="77777777" w:rsidR="00BC5DAC" w:rsidRPr="00BC5DAC" w:rsidRDefault="00BC5DAC" w:rsidP="00BC5DAC">
            <w:pPr>
              <w:jc w:val="both"/>
              <w:rPr>
                <w:rFonts w:ascii="Arial" w:eastAsia="Arial" w:hAnsi="Arial" w:cs="Arial"/>
                <w:sz w:val="24"/>
                <w:szCs w:val="24"/>
                <w:lang w:val="es-CO"/>
              </w:rPr>
            </w:pPr>
          </w:p>
          <w:p w14:paraId="4762CBD7" w14:textId="77777777" w:rsidR="00BC5DAC" w:rsidRPr="00BC5DAC" w:rsidRDefault="00BC5DAC" w:rsidP="00BC5DAC">
            <w:pPr>
              <w:jc w:val="both"/>
              <w:rPr>
                <w:rFonts w:ascii="Arial" w:eastAsia="Arial" w:hAnsi="Arial" w:cs="Arial"/>
                <w:sz w:val="24"/>
                <w:szCs w:val="24"/>
                <w:lang w:val="es-CO"/>
              </w:rPr>
            </w:pPr>
            <w:r w:rsidRPr="00BC5DAC">
              <w:rPr>
                <w:rFonts w:ascii="Arial" w:eastAsia="Arial" w:hAnsi="Arial" w:cs="Arial"/>
                <w:sz w:val="24"/>
                <w:szCs w:val="24"/>
                <w:lang w:val="es-CO"/>
              </w:rPr>
              <w:t>En atención a lo anterior, para la estructuración del presente proceso se realizó la verificación de los Instrumentos de Agregación de Demanda y Acuerdos Marco de Precios disponibles en la Tienda Virtual del Estado Colombiano, con el fin de establecer si el servicio requerido se encuentra incluido en alguno de los instrumentos vigentes.</w:t>
            </w:r>
          </w:p>
          <w:p w14:paraId="3432D3DE" w14:textId="77777777" w:rsidR="00BC5DAC" w:rsidRPr="00BC5DAC" w:rsidRDefault="00BC5DAC" w:rsidP="00BC5DAC">
            <w:pPr>
              <w:jc w:val="both"/>
              <w:rPr>
                <w:rFonts w:ascii="Arial" w:eastAsia="Arial" w:hAnsi="Arial" w:cs="Arial"/>
                <w:sz w:val="24"/>
                <w:szCs w:val="24"/>
                <w:lang w:val="es-CO"/>
              </w:rPr>
            </w:pPr>
          </w:p>
          <w:p w14:paraId="1CF6C08B" w14:textId="77777777" w:rsidR="00BC5DAC" w:rsidRPr="00BC5DAC" w:rsidRDefault="00BC5DAC" w:rsidP="00BC5DAC">
            <w:pPr>
              <w:jc w:val="both"/>
              <w:rPr>
                <w:rFonts w:ascii="Arial" w:eastAsia="Arial" w:hAnsi="Arial" w:cs="Arial"/>
                <w:sz w:val="24"/>
                <w:szCs w:val="24"/>
                <w:lang w:val="es-CO"/>
              </w:rPr>
            </w:pPr>
            <w:r w:rsidRPr="00BC5DAC">
              <w:rPr>
                <w:rFonts w:ascii="Arial" w:eastAsia="Arial" w:hAnsi="Arial" w:cs="Arial"/>
                <w:sz w:val="24"/>
                <w:szCs w:val="24"/>
                <w:lang w:val="es-CO"/>
              </w:rPr>
              <w:lastRenderedPageBreak/>
              <w:t>De acuerdo con la naturaleza y características del objeto contractual, correspondiente a la interventoría técnica, administrativa, jurídica, financiera, ambiental y contable de contratos de obra pública de infraestructura deportiva, no se identifica un Instrumento de Agregación de Demanda vigente que permita adquirir directamente el servicio requerido bajo las condiciones particulares del presente proceso.</w:t>
            </w:r>
          </w:p>
          <w:p w14:paraId="4145669E" w14:textId="77777777" w:rsidR="00BC5DAC" w:rsidRPr="00BC5DAC" w:rsidRDefault="00BC5DAC" w:rsidP="00BC5DAC">
            <w:pPr>
              <w:jc w:val="both"/>
              <w:rPr>
                <w:rFonts w:ascii="Arial" w:eastAsia="Arial" w:hAnsi="Arial" w:cs="Arial"/>
                <w:sz w:val="24"/>
                <w:szCs w:val="24"/>
                <w:lang w:val="es-CO"/>
              </w:rPr>
            </w:pPr>
          </w:p>
          <w:p w14:paraId="1E7E983D" w14:textId="77777777" w:rsidR="00BC5DAC" w:rsidRPr="00BC5DAC" w:rsidRDefault="00BC5DAC" w:rsidP="00BC5DAC">
            <w:pPr>
              <w:jc w:val="both"/>
              <w:rPr>
                <w:rFonts w:ascii="Arial" w:eastAsia="Arial" w:hAnsi="Arial" w:cs="Arial"/>
                <w:sz w:val="24"/>
                <w:szCs w:val="24"/>
                <w:lang w:val="es-CO"/>
              </w:rPr>
            </w:pPr>
            <w:r w:rsidRPr="00BC5DAC">
              <w:rPr>
                <w:rFonts w:ascii="Arial" w:eastAsia="Arial" w:hAnsi="Arial" w:cs="Arial"/>
                <w:sz w:val="24"/>
                <w:szCs w:val="24"/>
                <w:lang w:val="es-CO"/>
              </w:rPr>
              <w:t>En consecuencia, la necesidad identificada no puede ser atendida mediante una Orden de Compra a través de la Tienda Virtual del Estado Colombiano, por lo cual la Entidad deberá adelantar el proceso de selección correspondiente, de conformidad con las disposiciones del Estatuto General de Contratación de la Administración Pública y los Documentos Tipo aplicables al Concurso de Méritos para la contratación de interventoría de obras públicas de infraestructura social – sector recreación y deporte.</w:t>
            </w:r>
          </w:p>
          <w:p w14:paraId="79A311A8" w14:textId="77777777" w:rsidR="00BC5DAC" w:rsidRPr="00BC5DAC" w:rsidRDefault="00BC5DAC" w:rsidP="00BC5DAC">
            <w:pPr>
              <w:jc w:val="both"/>
              <w:rPr>
                <w:rFonts w:ascii="Arial" w:eastAsia="Arial" w:hAnsi="Arial" w:cs="Arial"/>
                <w:sz w:val="24"/>
                <w:szCs w:val="24"/>
                <w:lang w:val="es-CO"/>
              </w:rPr>
            </w:pPr>
          </w:p>
          <w:p w14:paraId="56D0847F" w14:textId="77777777" w:rsidR="00B567F2" w:rsidRDefault="00BC5DAC" w:rsidP="00BC5DAC">
            <w:pPr>
              <w:jc w:val="both"/>
              <w:rPr>
                <w:rFonts w:ascii="Arial" w:eastAsia="Arial" w:hAnsi="Arial" w:cs="Arial"/>
                <w:sz w:val="24"/>
                <w:szCs w:val="24"/>
                <w:lang w:val="es-CO"/>
              </w:rPr>
            </w:pPr>
            <w:r w:rsidRPr="00BC5DAC">
              <w:rPr>
                <w:rFonts w:ascii="Arial" w:eastAsia="Arial" w:hAnsi="Arial" w:cs="Arial"/>
                <w:sz w:val="24"/>
                <w:szCs w:val="24"/>
                <w:lang w:val="es-CO"/>
              </w:rPr>
              <w:t>Por lo anterior, se concluye que los Instrumentos de Agregación de Demanda no constituyen un mecanismo aplicable para satisfacer la necesidad objeto del presente proceso.</w:t>
            </w:r>
          </w:p>
          <w:p w14:paraId="41C93EDB" w14:textId="7FE94E64" w:rsidR="00BC5DAC" w:rsidRDefault="00BC5DAC" w:rsidP="00BC5DAC">
            <w:pPr>
              <w:jc w:val="both"/>
              <w:rPr>
                <w:rFonts w:ascii="Arial" w:eastAsia="Arial" w:hAnsi="Arial" w:cs="Arial"/>
                <w:sz w:val="24"/>
                <w:szCs w:val="24"/>
              </w:rPr>
            </w:pPr>
          </w:p>
        </w:tc>
      </w:tr>
      <w:tr w:rsidR="00D768A3" w14:paraId="0E49D735"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BE2FE7D" w14:textId="77777777" w:rsidR="00D768A3"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CRITERIOS AMBIENTALMENTE SOSTENIBLES</w:t>
            </w:r>
          </w:p>
        </w:tc>
      </w:tr>
      <w:tr w:rsidR="00D768A3" w14:paraId="23E9A006"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D1BEE8" w14:textId="77777777" w:rsidR="00D768A3" w:rsidRDefault="00D768A3">
            <w:pPr>
              <w:jc w:val="both"/>
              <w:rPr>
                <w:rFonts w:ascii="Arial" w:eastAsia="Arial" w:hAnsi="Arial" w:cs="Arial"/>
                <w:sz w:val="24"/>
                <w:szCs w:val="24"/>
              </w:rPr>
            </w:pPr>
          </w:p>
          <w:p w14:paraId="79DDC4C4" w14:textId="77777777" w:rsidR="00662997" w:rsidRPr="00662997" w:rsidRDefault="00662997" w:rsidP="00662997">
            <w:pPr>
              <w:jc w:val="both"/>
              <w:rPr>
                <w:rFonts w:ascii="Arial" w:eastAsia="Arial" w:hAnsi="Arial" w:cs="Arial"/>
                <w:sz w:val="24"/>
                <w:szCs w:val="24"/>
                <w:lang w:val="es-CO"/>
              </w:rPr>
            </w:pPr>
            <w:r w:rsidRPr="00662997">
              <w:rPr>
                <w:rFonts w:ascii="Arial" w:eastAsia="Arial" w:hAnsi="Arial" w:cs="Arial"/>
                <w:sz w:val="24"/>
                <w:szCs w:val="24"/>
                <w:lang w:val="es-CO"/>
              </w:rPr>
              <w:t>De conformidad con la Guía de Compras Públicas con Enfoque de Criterios Ambientalmente Sostenibles (MAJA01.04.01.P001.G001), se analizó la procedencia de incorporar criterios ambientales al presente proceso contractual.</w:t>
            </w:r>
          </w:p>
          <w:p w14:paraId="4BD294AE" w14:textId="77777777" w:rsidR="00662997" w:rsidRPr="00662997" w:rsidRDefault="00662997" w:rsidP="00662997">
            <w:pPr>
              <w:jc w:val="both"/>
              <w:rPr>
                <w:rFonts w:ascii="Arial" w:eastAsia="Arial" w:hAnsi="Arial" w:cs="Arial"/>
                <w:sz w:val="24"/>
                <w:szCs w:val="24"/>
                <w:lang w:val="es-CO"/>
              </w:rPr>
            </w:pPr>
          </w:p>
          <w:p w14:paraId="0786F49D" w14:textId="77777777" w:rsidR="001E2723" w:rsidRPr="001E2723" w:rsidRDefault="001E2723" w:rsidP="001E2723">
            <w:pPr>
              <w:jc w:val="both"/>
              <w:rPr>
                <w:rFonts w:ascii="Arial" w:eastAsia="Arial" w:hAnsi="Arial" w:cs="Arial"/>
                <w:sz w:val="24"/>
                <w:szCs w:val="24"/>
                <w:lang w:val="es-CO"/>
              </w:rPr>
            </w:pPr>
            <w:r w:rsidRPr="001E2723">
              <w:rPr>
                <w:rFonts w:ascii="Arial" w:eastAsia="Arial" w:hAnsi="Arial" w:cs="Arial"/>
                <w:sz w:val="24"/>
                <w:szCs w:val="24"/>
                <w:lang w:val="es-CO"/>
              </w:rPr>
              <w:t>En el marco del presente proceso, los criterios ambientalmente sostenibles se orientan a garantizar que la prestación del servicio de interventoría contribuya al adecuado seguimiento y verificación del cumplimiento de las obligaciones ambientales establecidas para los contratos de obra objeto de interventoría.</w:t>
            </w:r>
          </w:p>
          <w:p w14:paraId="5F62EE2B" w14:textId="77777777" w:rsidR="001E2723" w:rsidRPr="001E2723" w:rsidRDefault="001E2723" w:rsidP="001E2723">
            <w:pPr>
              <w:jc w:val="both"/>
              <w:rPr>
                <w:rFonts w:ascii="Arial" w:eastAsia="Arial" w:hAnsi="Arial" w:cs="Arial"/>
                <w:sz w:val="24"/>
                <w:szCs w:val="24"/>
                <w:lang w:val="es-CO"/>
              </w:rPr>
            </w:pPr>
          </w:p>
          <w:p w14:paraId="7157DE3B" w14:textId="16554072" w:rsidR="001E2723" w:rsidRPr="001E2723" w:rsidRDefault="001E2723" w:rsidP="001E2723">
            <w:pPr>
              <w:jc w:val="both"/>
              <w:rPr>
                <w:rFonts w:ascii="Arial" w:eastAsia="Arial" w:hAnsi="Arial" w:cs="Arial"/>
                <w:sz w:val="24"/>
                <w:szCs w:val="24"/>
                <w:lang w:val="es-CO"/>
              </w:rPr>
            </w:pPr>
            <w:r w:rsidRPr="001E2723">
              <w:rPr>
                <w:rFonts w:ascii="Arial" w:eastAsia="Arial" w:hAnsi="Arial" w:cs="Arial"/>
                <w:sz w:val="24"/>
                <w:szCs w:val="24"/>
                <w:lang w:val="es-CO"/>
              </w:rPr>
              <w:t xml:space="preserve">Teniendo en cuenta que el objeto contractual comprende la interventoría técnica, administrativa, jurídica, financiera, ambiental y contable </w:t>
            </w:r>
            <w:r w:rsidR="00D92835">
              <w:rPr>
                <w:rFonts w:ascii="Arial" w:eastAsia="Arial" w:hAnsi="Arial" w:cs="Arial"/>
                <w:sz w:val="24"/>
                <w:szCs w:val="24"/>
                <w:lang w:val="es-CO"/>
              </w:rPr>
              <w:t xml:space="preserve">a los </w:t>
            </w:r>
            <w:r w:rsidR="00D92835" w:rsidRPr="000339E8">
              <w:rPr>
                <w:rFonts w:ascii="Arial" w:eastAsia="Arial" w:hAnsi="Arial" w:cs="Arial"/>
                <w:sz w:val="24"/>
                <w:szCs w:val="24"/>
                <w:lang w:val="es-CO"/>
              </w:rPr>
              <w:t>contratos de obra que resulten adjudicados en el proceso de licitación pública, cuyo objeto es: "realizar la adecuación y mejoramiento de la infraestructura de los escenarios deportivos y recreativos del distrito especial, deportivo, cultural, turístico, empresarial y de servicios de Santiago de Cali</w:t>
            </w:r>
            <w:r w:rsidR="00D92835" w:rsidRPr="001E2723">
              <w:rPr>
                <w:rFonts w:ascii="Arial" w:eastAsia="Arial" w:hAnsi="Arial" w:cs="Arial"/>
                <w:sz w:val="24"/>
                <w:szCs w:val="24"/>
                <w:lang w:val="es-CO"/>
              </w:rPr>
              <w:t xml:space="preserve">, </w:t>
            </w:r>
            <w:r w:rsidRPr="001E2723">
              <w:rPr>
                <w:rFonts w:ascii="Arial" w:eastAsia="Arial" w:hAnsi="Arial" w:cs="Arial"/>
                <w:sz w:val="24"/>
                <w:szCs w:val="24"/>
                <w:lang w:val="es-CO"/>
              </w:rPr>
              <w:t>el componente ambiental deberá ser considerado durante las diferentes etapas de ejecución de los contratos.</w:t>
            </w:r>
          </w:p>
          <w:p w14:paraId="52F56BE1" w14:textId="77777777" w:rsidR="001E2723" w:rsidRPr="001E2723" w:rsidRDefault="001E2723" w:rsidP="001E2723">
            <w:pPr>
              <w:jc w:val="both"/>
              <w:rPr>
                <w:rFonts w:ascii="Arial" w:eastAsia="Arial" w:hAnsi="Arial" w:cs="Arial"/>
                <w:sz w:val="24"/>
                <w:szCs w:val="24"/>
                <w:lang w:val="es-CO"/>
              </w:rPr>
            </w:pPr>
          </w:p>
          <w:p w14:paraId="2C3866B0" w14:textId="77777777" w:rsidR="001E2723" w:rsidRPr="001E2723" w:rsidRDefault="001E2723" w:rsidP="001E2723">
            <w:pPr>
              <w:jc w:val="both"/>
              <w:rPr>
                <w:rFonts w:ascii="Arial" w:eastAsia="Arial" w:hAnsi="Arial" w:cs="Arial"/>
                <w:sz w:val="24"/>
                <w:szCs w:val="24"/>
                <w:lang w:val="es-CO"/>
              </w:rPr>
            </w:pPr>
            <w:r w:rsidRPr="001E2723">
              <w:rPr>
                <w:rFonts w:ascii="Arial" w:eastAsia="Arial" w:hAnsi="Arial" w:cs="Arial"/>
                <w:sz w:val="24"/>
                <w:szCs w:val="24"/>
                <w:lang w:val="es-CO"/>
              </w:rPr>
              <w:t xml:space="preserve">En este sentido, la interventoría deberá realizar el seguimiento al cumplimiento de las </w:t>
            </w:r>
            <w:r w:rsidRPr="001E2723">
              <w:rPr>
                <w:rFonts w:ascii="Arial" w:eastAsia="Arial" w:hAnsi="Arial" w:cs="Arial"/>
                <w:sz w:val="24"/>
                <w:szCs w:val="24"/>
                <w:lang w:val="es-CO"/>
              </w:rPr>
              <w:lastRenderedPageBreak/>
              <w:t>obligaciones ambientales previstas en los estudios, diseños, documentos contractuales, permisos, autorizaciones y demás instrumentos que resulten aplicables a las obras, verificando que el contratista adopte las medidas necesarias para prevenir, mitigar, controlar y, cuando corresponda, compensar los impactos ambientales derivados de las actividades constructivas.</w:t>
            </w:r>
          </w:p>
          <w:p w14:paraId="0AC84083" w14:textId="77777777" w:rsidR="001E2723" w:rsidRPr="001E2723" w:rsidRDefault="001E2723" w:rsidP="001E2723">
            <w:pPr>
              <w:jc w:val="both"/>
              <w:rPr>
                <w:rFonts w:ascii="Arial" w:eastAsia="Arial" w:hAnsi="Arial" w:cs="Arial"/>
                <w:sz w:val="24"/>
                <w:szCs w:val="24"/>
                <w:lang w:val="es-CO"/>
              </w:rPr>
            </w:pPr>
          </w:p>
          <w:p w14:paraId="3F5F9B83" w14:textId="77777777" w:rsidR="001E2723" w:rsidRPr="001E2723" w:rsidRDefault="001E2723" w:rsidP="001E2723">
            <w:pPr>
              <w:jc w:val="both"/>
              <w:rPr>
                <w:rFonts w:ascii="Arial" w:eastAsia="Arial" w:hAnsi="Arial" w:cs="Arial"/>
                <w:sz w:val="24"/>
                <w:szCs w:val="24"/>
                <w:lang w:val="es-CO"/>
              </w:rPr>
            </w:pPr>
            <w:r w:rsidRPr="001E2723">
              <w:rPr>
                <w:rFonts w:ascii="Arial" w:eastAsia="Arial" w:hAnsi="Arial" w:cs="Arial"/>
                <w:sz w:val="24"/>
                <w:szCs w:val="24"/>
                <w:lang w:val="es-CO"/>
              </w:rPr>
              <w:t>Dentro de los aspectos objeto de seguimiento podrán considerarse, de acuerdo con las características particulares de cada obra, la adecuada gestión y disposición de residuos de construcción y demolición, el manejo de materiales, el uso eficiente de agua y energía, el control de emisiones de material particulado, ruido y demás impactos asociados a las actividades constructivas, así como la protección de las zonas y recursos naturales que puedan verse afectados por la ejecución de las obras.</w:t>
            </w:r>
          </w:p>
          <w:p w14:paraId="51DDB3BA" w14:textId="77777777" w:rsidR="001E2723" w:rsidRPr="001E2723" w:rsidRDefault="001E2723" w:rsidP="001E2723">
            <w:pPr>
              <w:jc w:val="both"/>
              <w:rPr>
                <w:rFonts w:ascii="Arial" w:eastAsia="Arial" w:hAnsi="Arial" w:cs="Arial"/>
                <w:sz w:val="24"/>
                <w:szCs w:val="24"/>
                <w:lang w:val="es-CO"/>
              </w:rPr>
            </w:pPr>
          </w:p>
          <w:p w14:paraId="4144B6D2" w14:textId="77777777" w:rsidR="001E2723" w:rsidRPr="001E2723" w:rsidRDefault="001E2723" w:rsidP="001E2723">
            <w:pPr>
              <w:jc w:val="both"/>
              <w:rPr>
                <w:rFonts w:ascii="Arial" w:eastAsia="Arial" w:hAnsi="Arial" w:cs="Arial"/>
                <w:sz w:val="24"/>
                <w:szCs w:val="24"/>
                <w:lang w:val="es-CO"/>
              </w:rPr>
            </w:pPr>
            <w:r w:rsidRPr="001E2723">
              <w:rPr>
                <w:rFonts w:ascii="Arial" w:eastAsia="Arial" w:hAnsi="Arial" w:cs="Arial"/>
                <w:sz w:val="24"/>
                <w:szCs w:val="24"/>
                <w:lang w:val="es-CO"/>
              </w:rPr>
              <w:t>Así mismo, la interventoría deberá verificar que el contratista de obra cumpla con la normativa ambiental aplicable y con las obligaciones ambientales establecidas por la Entidad, dejando constancia de los resultados del seguimiento en los informes correspondientes y formulando las recomendaciones o requerimientos que resulten necesarios frente a eventuales incumplimientos.</w:t>
            </w:r>
          </w:p>
          <w:p w14:paraId="04265E60" w14:textId="77777777" w:rsidR="001E2723" w:rsidRPr="001E2723" w:rsidRDefault="001E2723" w:rsidP="001E2723">
            <w:pPr>
              <w:jc w:val="both"/>
              <w:rPr>
                <w:rFonts w:ascii="Arial" w:eastAsia="Arial" w:hAnsi="Arial" w:cs="Arial"/>
                <w:sz w:val="24"/>
                <w:szCs w:val="24"/>
                <w:lang w:val="es-CO"/>
              </w:rPr>
            </w:pPr>
          </w:p>
          <w:p w14:paraId="4EFF324F" w14:textId="72EF60C6" w:rsidR="001E2723" w:rsidRPr="001E2723" w:rsidRDefault="001E2723" w:rsidP="001E2723">
            <w:pPr>
              <w:jc w:val="both"/>
              <w:rPr>
                <w:rFonts w:ascii="Arial" w:eastAsia="Arial" w:hAnsi="Arial" w:cs="Arial"/>
                <w:sz w:val="24"/>
                <w:szCs w:val="24"/>
                <w:lang w:val="es-CO"/>
              </w:rPr>
            </w:pPr>
            <w:r w:rsidRPr="001E2723">
              <w:rPr>
                <w:rFonts w:ascii="Arial" w:eastAsia="Arial" w:hAnsi="Arial" w:cs="Arial"/>
                <w:sz w:val="24"/>
                <w:szCs w:val="24"/>
                <w:lang w:val="es-CO"/>
              </w:rPr>
              <w:t xml:space="preserve">Desde la perspectiva de sostenibilidad, se promoverá el uso eficiente de los recursos, la prevención de impactos ambientales y la adopción de buenas prácticas durante la ejecución de las obras, procurando que las actividades de </w:t>
            </w:r>
            <w:r w:rsidR="00C77486">
              <w:rPr>
                <w:rFonts w:ascii="Arial" w:eastAsia="Arial" w:hAnsi="Arial" w:cs="Arial"/>
                <w:sz w:val="24"/>
                <w:szCs w:val="24"/>
                <w:lang w:val="es-CO"/>
              </w:rPr>
              <w:t>adecuación</w:t>
            </w:r>
            <w:r w:rsidRPr="001E2723">
              <w:rPr>
                <w:rFonts w:ascii="Arial" w:eastAsia="Arial" w:hAnsi="Arial" w:cs="Arial"/>
                <w:sz w:val="24"/>
                <w:szCs w:val="24"/>
                <w:lang w:val="es-CO"/>
              </w:rPr>
              <w:t xml:space="preserve"> y mejoramiento de la infraestructura deportiva se desarrollen bajo criterios de responsabilidad ambiental.</w:t>
            </w:r>
          </w:p>
          <w:p w14:paraId="2F39EBB3" w14:textId="77777777" w:rsidR="001E2723" w:rsidRPr="001E2723" w:rsidRDefault="001E2723" w:rsidP="001E2723">
            <w:pPr>
              <w:jc w:val="both"/>
              <w:rPr>
                <w:rFonts w:ascii="Arial" w:eastAsia="Arial" w:hAnsi="Arial" w:cs="Arial"/>
                <w:sz w:val="24"/>
                <w:szCs w:val="24"/>
                <w:lang w:val="es-CO"/>
              </w:rPr>
            </w:pPr>
          </w:p>
          <w:p w14:paraId="2338EC63" w14:textId="77777777" w:rsidR="00AD6C47" w:rsidRDefault="001E2723" w:rsidP="001E2723">
            <w:pPr>
              <w:jc w:val="both"/>
              <w:rPr>
                <w:rFonts w:ascii="Arial" w:eastAsia="Arial" w:hAnsi="Arial" w:cs="Arial"/>
                <w:sz w:val="24"/>
                <w:szCs w:val="24"/>
                <w:lang w:val="es-CO"/>
              </w:rPr>
            </w:pPr>
            <w:r w:rsidRPr="001E2723">
              <w:rPr>
                <w:rFonts w:ascii="Arial" w:eastAsia="Arial" w:hAnsi="Arial" w:cs="Arial"/>
                <w:sz w:val="24"/>
                <w:szCs w:val="24"/>
                <w:lang w:val="es-CO"/>
              </w:rPr>
              <w:t>En consecuencia, los criterios ambientalmente sostenibles del presente proceso se incorporan principalmente mediante el seguimiento, control y verificación de las obligaciones ambientales de los contratos de obra, de acuerdo con las condiciones particulares de cada proyecto y la normativa ambiental vigente.</w:t>
            </w:r>
          </w:p>
          <w:p w14:paraId="548F98E6" w14:textId="5C13F430" w:rsidR="00D92835" w:rsidRPr="00D67D8A" w:rsidRDefault="00D92835" w:rsidP="001E2723">
            <w:pPr>
              <w:jc w:val="both"/>
              <w:rPr>
                <w:rFonts w:ascii="Arial" w:eastAsia="Arial" w:hAnsi="Arial" w:cs="Arial"/>
                <w:sz w:val="24"/>
                <w:szCs w:val="24"/>
                <w:lang w:val="es-CO"/>
              </w:rPr>
            </w:pPr>
          </w:p>
        </w:tc>
      </w:tr>
      <w:tr w:rsidR="00D768A3" w14:paraId="050CE929"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4ACD24E" w14:textId="77777777" w:rsidR="00D768A3"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CRITERIOS DE INCLUSIÓN SOCIAL</w:t>
            </w:r>
          </w:p>
        </w:tc>
      </w:tr>
      <w:tr w:rsidR="00D768A3" w14:paraId="7D3731C0"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B596FCF" w14:textId="77777777" w:rsidR="00D768A3" w:rsidRDefault="00D768A3">
            <w:pPr>
              <w:jc w:val="both"/>
              <w:rPr>
                <w:rFonts w:ascii="Arial" w:eastAsia="Arial" w:hAnsi="Arial" w:cs="Arial"/>
                <w:sz w:val="24"/>
                <w:szCs w:val="24"/>
              </w:rPr>
            </w:pPr>
          </w:p>
          <w:p w14:paraId="6F06BE39" w14:textId="77777777" w:rsidR="00C71235" w:rsidRPr="00C71235" w:rsidRDefault="00C71235" w:rsidP="00C71235">
            <w:pPr>
              <w:jc w:val="both"/>
              <w:rPr>
                <w:rFonts w:ascii="Arial" w:eastAsia="Arial" w:hAnsi="Arial" w:cs="Arial"/>
                <w:sz w:val="24"/>
                <w:szCs w:val="24"/>
                <w:lang w:val="es-CO"/>
              </w:rPr>
            </w:pPr>
            <w:r w:rsidRPr="00C71235">
              <w:rPr>
                <w:rFonts w:ascii="Arial" w:eastAsia="Arial" w:hAnsi="Arial" w:cs="Arial"/>
                <w:sz w:val="24"/>
                <w:szCs w:val="24"/>
                <w:lang w:val="es-CO"/>
              </w:rPr>
              <w:t>De conformidad con la revisión de la Guía de Compras Públicas con Enfoque de Criterios de Inclusión Social (MAJA01.04.01.P001.G002), se identifica que el presente proceso es susceptible de incorporar criterios de inclusión social, atendiendo a la naturaleza del servicio de interventoría y a las condiciones establecidas en los Documentos Tipo aplicables al Concurso de Méritos.</w:t>
            </w:r>
          </w:p>
          <w:p w14:paraId="0ABA274B" w14:textId="77777777" w:rsidR="00C71235" w:rsidRPr="00C71235" w:rsidRDefault="00C71235" w:rsidP="00C71235">
            <w:pPr>
              <w:jc w:val="both"/>
              <w:rPr>
                <w:rFonts w:ascii="Arial" w:eastAsia="Arial" w:hAnsi="Arial" w:cs="Arial"/>
                <w:sz w:val="24"/>
                <w:szCs w:val="24"/>
                <w:lang w:val="es-CO"/>
              </w:rPr>
            </w:pPr>
            <w:r w:rsidRPr="00C71235">
              <w:rPr>
                <w:rFonts w:ascii="Arial" w:eastAsia="Arial" w:hAnsi="Arial" w:cs="Arial"/>
                <w:sz w:val="24"/>
                <w:szCs w:val="24"/>
                <w:lang w:val="es-CO"/>
              </w:rPr>
              <w:lastRenderedPageBreak/>
              <w:t>En este sentido, se contempla la aplicación del factor de evaluación relacionado con la vinculación de personas con discapacidad, de conformidad con la normativa vigente y los Documentos Tipo aplicables al proceso, como mecanismo orientado a promover la inclusión laboral y la participación de personas con discapacidad en la ejecución de contratos públicos.</w:t>
            </w:r>
          </w:p>
          <w:p w14:paraId="22822F81" w14:textId="77777777" w:rsidR="00C71235" w:rsidRPr="00C71235" w:rsidRDefault="00C71235" w:rsidP="00C71235">
            <w:pPr>
              <w:jc w:val="both"/>
              <w:rPr>
                <w:rFonts w:ascii="Arial" w:eastAsia="Arial" w:hAnsi="Arial" w:cs="Arial"/>
                <w:sz w:val="24"/>
                <w:szCs w:val="24"/>
                <w:lang w:val="es-CO"/>
              </w:rPr>
            </w:pPr>
          </w:p>
          <w:p w14:paraId="776537BC" w14:textId="77777777" w:rsidR="00C71235" w:rsidRPr="00C71235" w:rsidRDefault="00C71235" w:rsidP="00C71235">
            <w:pPr>
              <w:jc w:val="both"/>
              <w:rPr>
                <w:rFonts w:ascii="Arial" w:eastAsia="Arial" w:hAnsi="Arial" w:cs="Arial"/>
                <w:sz w:val="24"/>
                <w:szCs w:val="24"/>
                <w:lang w:val="es-CO"/>
              </w:rPr>
            </w:pPr>
            <w:r w:rsidRPr="00C71235">
              <w:rPr>
                <w:rFonts w:ascii="Arial" w:eastAsia="Arial" w:hAnsi="Arial" w:cs="Arial"/>
                <w:sz w:val="24"/>
                <w:szCs w:val="24"/>
                <w:lang w:val="es-CO"/>
              </w:rPr>
              <w:t>La incorporación de este criterio contribuye al fortalecimiento de la contratación pública con enfoque social, procurando que el desarrollo del proceso de selección y la ejecución contractual consideren, además de los aspectos técnicos y económicos, medidas que favorezcan la generación de oportunidades de inclusión laboral.</w:t>
            </w:r>
          </w:p>
          <w:p w14:paraId="01181944" w14:textId="77777777" w:rsidR="00C71235" w:rsidRPr="00C71235" w:rsidRDefault="00C71235" w:rsidP="00C71235">
            <w:pPr>
              <w:jc w:val="both"/>
              <w:rPr>
                <w:rFonts w:ascii="Arial" w:eastAsia="Arial" w:hAnsi="Arial" w:cs="Arial"/>
                <w:sz w:val="24"/>
                <w:szCs w:val="24"/>
                <w:lang w:val="es-CO"/>
              </w:rPr>
            </w:pPr>
          </w:p>
          <w:p w14:paraId="4434C42C" w14:textId="77777777" w:rsidR="0009698E" w:rsidRDefault="00C71235" w:rsidP="00C71235">
            <w:pPr>
              <w:jc w:val="both"/>
              <w:rPr>
                <w:rFonts w:ascii="Arial" w:eastAsia="Arial" w:hAnsi="Arial" w:cs="Arial"/>
                <w:sz w:val="24"/>
                <w:szCs w:val="24"/>
                <w:lang w:val="es-CO"/>
              </w:rPr>
            </w:pPr>
            <w:r w:rsidRPr="00C71235">
              <w:rPr>
                <w:rFonts w:ascii="Arial" w:eastAsia="Arial" w:hAnsi="Arial" w:cs="Arial"/>
                <w:sz w:val="24"/>
                <w:szCs w:val="24"/>
                <w:lang w:val="es-CO"/>
              </w:rPr>
              <w:t>En consecuencia, el presente proceso incorpora el criterio de inclusión social relacionado con la vinculación de personas con discapacidad, en los términos y condiciones establecidos en los Documentos Tipo y demás disposiciones aplicables.</w:t>
            </w:r>
          </w:p>
          <w:p w14:paraId="0DBF4142" w14:textId="148E03D2" w:rsidR="00783B64" w:rsidRPr="00D67D8A" w:rsidRDefault="00783B64" w:rsidP="00C71235">
            <w:pPr>
              <w:jc w:val="both"/>
              <w:rPr>
                <w:rFonts w:ascii="Arial" w:eastAsia="Arial" w:hAnsi="Arial" w:cs="Arial"/>
                <w:sz w:val="24"/>
                <w:szCs w:val="24"/>
                <w:highlight w:val="yellow"/>
                <w:lang w:val="es-CO"/>
              </w:rPr>
            </w:pPr>
          </w:p>
        </w:tc>
      </w:tr>
      <w:tr w:rsidR="00D768A3" w14:paraId="4C8B7C0A"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97C9C78" w14:textId="77777777" w:rsidR="00D768A3"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CRITERIOS DE INNOVACIÓN</w:t>
            </w:r>
          </w:p>
        </w:tc>
      </w:tr>
      <w:tr w:rsidR="00D768A3" w:rsidRPr="009C0513" w14:paraId="2F7010C1"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4F239A" w14:textId="77777777" w:rsidR="006F0FAB" w:rsidRDefault="006F0FAB" w:rsidP="009C0513">
            <w:pPr>
              <w:jc w:val="both"/>
              <w:rPr>
                <w:rFonts w:ascii="Arial" w:eastAsia="Arial" w:hAnsi="Arial" w:cs="Arial"/>
                <w:sz w:val="24"/>
                <w:szCs w:val="24"/>
                <w:lang w:val="es-CO"/>
              </w:rPr>
            </w:pPr>
          </w:p>
          <w:p w14:paraId="268A5934" w14:textId="42F14775" w:rsidR="009C0513" w:rsidRPr="009C0513" w:rsidRDefault="009C0513" w:rsidP="009C0513">
            <w:pPr>
              <w:jc w:val="both"/>
              <w:rPr>
                <w:rFonts w:ascii="Arial" w:eastAsia="Arial" w:hAnsi="Arial" w:cs="Arial"/>
                <w:sz w:val="24"/>
                <w:szCs w:val="24"/>
                <w:lang w:val="es-CO"/>
              </w:rPr>
            </w:pPr>
            <w:r w:rsidRPr="009C0513">
              <w:rPr>
                <w:rFonts w:ascii="Arial" w:eastAsia="Arial" w:hAnsi="Arial" w:cs="Arial"/>
                <w:sz w:val="24"/>
                <w:szCs w:val="24"/>
                <w:lang w:val="es-CO"/>
              </w:rPr>
              <w:t>De conformidad con la Guía de Compras Públicas con Enfoque de Criterios de Innovación (MAJA01.04.01.P001.G003), se analizó la procedencia de incorporar criterios de innovación en el presente proceso contractual.</w:t>
            </w:r>
          </w:p>
          <w:p w14:paraId="248CD5C4" w14:textId="77777777" w:rsidR="009C0513" w:rsidRPr="009C0513" w:rsidRDefault="009C0513" w:rsidP="009C0513">
            <w:pPr>
              <w:jc w:val="both"/>
              <w:rPr>
                <w:rFonts w:ascii="Arial" w:eastAsia="Arial" w:hAnsi="Arial" w:cs="Arial"/>
                <w:sz w:val="24"/>
                <w:szCs w:val="24"/>
                <w:lang w:val="es-CO"/>
              </w:rPr>
            </w:pPr>
          </w:p>
          <w:p w14:paraId="49F18AAE" w14:textId="29010436" w:rsidR="009C0513" w:rsidRPr="009C0513" w:rsidRDefault="009C0513" w:rsidP="009C0513">
            <w:pPr>
              <w:jc w:val="both"/>
              <w:rPr>
                <w:rFonts w:ascii="Arial" w:eastAsia="Arial" w:hAnsi="Arial" w:cs="Arial"/>
                <w:sz w:val="24"/>
                <w:szCs w:val="24"/>
                <w:lang w:val="es-CO"/>
              </w:rPr>
            </w:pPr>
            <w:r w:rsidRPr="009C0513">
              <w:rPr>
                <w:rFonts w:ascii="Arial" w:eastAsia="Arial" w:hAnsi="Arial" w:cs="Arial"/>
                <w:sz w:val="24"/>
                <w:szCs w:val="24"/>
                <w:lang w:val="es-CO"/>
              </w:rPr>
              <w:t>Como resultado del análisis, se concluye que el presente proceso no es susceptible de incorporar criterios de innovación, teniendo en cuenta que el objeto contractual corresponde a la prestación de servicios de interventoría integral para el seguimiento técnico, administrativo, financiero, jurídico, ambiental y contable</w:t>
            </w:r>
            <w:r w:rsidR="00D92835">
              <w:rPr>
                <w:rFonts w:ascii="Arial" w:eastAsia="Arial" w:hAnsi="Arial" w:cs="Arial"/>
                <w:sz w:val="24"/>
                <w:szCs w:val="24"/>
                <w:lang w:val="es-CO"/>
              </w:rPr>
              <w:t xml:space="preserve"> a los</w:t>
            </w:r>
            <w:r w:rsidR="00D92835" w:rsidRPr="009C0513">
              <w:rPr>
                <w:rFonts w:ascii="Arial" w:eastAsia="Arial" w:hAnsi="Arial" w:cs="Arial"/>
                <w:sz w:val="24"/>
                <w:szCs w:val="24"/>
                <w:lang w:val="es-CO"/>
              </w:rPr>
              <w:t xml:space="preserve"> </w:t>
            </w:r>
            <w:r w:rsidR="00D92835" w:rsidRPr="00D92835">
              <w:rPr>
                <w:rFonts w:ascii="Arial" w:eastAsia="Arial" w:hAnsi="Arial" w:cs="Arial"/>
                <w:sz w:val="24"/>
                <w:szCs w:val="24"/>
                <w:lang w:val="es-CO"/>
              </w:rPr>
              <w:t>contratos de obra que resulten adjudicados en el proceso de licitación pública, cuyo objeto es: "realizar la adecuació</w:t>
            </w:r>
            <w:r w:rsidR="00C77486">
              <w:rPr>
                <w:rFonts w:ascii="Arial" w:eastAsia="Arial" w:hAnsi="Arial" w:cs="Arial"/>
                <w:sz w:val="24"/>
                <w:szCs w:val="24"/>
                <w:lang w:val="es-CO"/>
              </w:rPr>
              <w:t>n</w:t>
            </w:r>
            <w:r w:rsidR="00D92835" w:rsidRPr="00D92835">
              <w:rPr>
                <w:rFonts w:ascii="Arial" w:eastAsia="Arial" w:hAnsi="Arial" w:cs="Arial"/>
                <w:sz w:val="24"/>
                <w:szCs w:val="24"/>
                <w:lang w:val="es-CO"/>
              </w:rPr>
              <w:t xml:space="preserve"> y mejoramiento de la infraestructura de los escenarios deportivos y recreativos del distrito especial, deportivo, cultural, turístico, empresarial y de servicios de Santiago de Cali</w:t>
            </w:r>
            <w:r w:rsidRPr="009C0513">
              <w:rPr>
                <w:rFonts w:ascii="Arial" w:eastAsia="Arial" w:hAnsi="Arial" w:cs="Arial"/>
                <w:sz w:val="24"/>
                <w:szCs w:val="24"/>
                <w:lang w:val="es-CO"/>
              </w:rPr>
              <w:t>, cuyas actividades, alcance y obligaciones se encuentran determinados por la normativa aplicable y por las condiciones técnicas establecidas para el proyecto.</w:t>
            </w:r>
          </w:p>
          <w:p w14:paraId="5262242E" w14:textId="77777777" w:rsidR="009C0513" w:rsidRPr="009C0513" w:rsidRDefault="009C0513" w:rsidP="009C0513">
            <w:pPr>
              <w:jc w:val="both"/>
              <w:rPr>
                <w:rFonts w:ascii="Arial" w:eastAsia="Arial" w:hAnsi="Arial" w:cs="Arial"/>
                <w:sz w:val="24"/>
                <w:szCs w:val="24"/>
                <w:lang w:val="es-CO"/>
              </w:rPr>
            </w:pPr>
          </w:p>
          <w:p w14:paraId="1A12D2ED" w14:textId="77777777" w:rsidR="009C0513" w:rsidRPr="009C0513" w:rsidRDefault="009C0513" w:rsidP="009C0513">
            <w:pPr>
              <w:jc w:val="both"/>
              <w:rPr>
                <w:rFonts w:ascii="Arial" w:eastAsia="Arial" w:hAnsi="Arial" w:cs="Arial"/>
                <w:sz w:val="24"/>
                <w:szCs w:val="24"/>
                <w:lang w:val="es-CO"/>
              </w:rPr>
            </w:pPr>
            <w:r w:rsidRPr="009C0513">
              <w:rPr>
                <w:rFonts w:ascii="Arial" w:eastAsia="Arial" w:hAnsi="Arial" w:cs="Arial"/>
                <w:sz w:val="24"/>
                <w:szCs w:val="24"/>
                <w:lang w:val="es-CO"/>
              </w:rPr>
              <w:t>En consecuencia, no se identifican dentro del objeto contractual necesidades relacionadas con el desarrollo o implementación de soluciones innovadoras, nuevos procesos, tecnologías o modelos de prestación del servicio que justifiquen la incorporación de criterios de innovación en la estructuración del presente proceso.</w:t>
            </w:r>
          </w:p>
          <w:p w14:paraId="5F329C3F" w14:textId="77777777" w:rsidR="009C0513" w:rsidRPr="009C0513" w:rsidRDefault="009C0513" w:rsidP="009C0513">
            <w:pPr>
              <w:jc w:val="both"/>
              <w:rPr>
                <w:rFonts w:ascii="Arial" w:eastAsia="Arial" w:hAnsi="Arial" w:cs="Arial"/>
                <w:sz w:val="24"/>
                <w:szCs w:val="24"/>
                <w:lang w:val="es-CO"/>
              </w:rPr>
            </w:pPr>
          </w:p>
          <w:p w14:paraId="4CF826AF" w14:textId="77777777" w:rsidR="00EF59D1" w:rsidRDefault="009C0513" w:rsidP="009C0513">
            <w:pPr>
              <w:jc w:val="both"/>
              <w:rPr>
                <w:rFonts w:ascii="Arial" w:eastAsia="Arial" w:hAnsi="Arial" w:cs="Arial"/>
                <w:sz w:val="24"/>
                <w:szCs w:val="24"/>
                <w:lang w:val="es-CO"/>
              </w:rPr>
            </w:pPr>
            <w:r w:rsidRPr="009C0513">
              <w:rPr>
                <w:rFonts w:ascii="Arial" w:eastAsia="Arial" w:hAnsi="Arial" w:cs="Arial"/>
                <w:sz w:val="24"/>
                <w:szCs w:val="24"/>
                <w:lang w:val="es-CO"/>
              </w:rPr>
              <w:lastRenderedPageBreak/>
              <w:t>Por lo anterior, no se incorporan criterios de innovación dentro del presente proceso de selección.</w:t>
            </w:r>
          </w:p>
          <w:p w14:paraId="470BEC2B" w14:textId="33A10809" w:rsidR="00D92835" w:rsidRPr="009C0513" w:rsidRDefault="00D92835" w:rsidP="009C0513">
            <w:pPr>
              <w:jc w:val="both"/>
              <w:rPr>
                <w:rFonts w:ascii="Arial" w:eastAsia="Arial" w:hAnsi="Arial" w:cs="Arial"/>
                <w:sz w:val="24"/>
                <w:szCs w:val="24"/>
                <w:lang w:val="es-CO"/>
              </w:rPr>
            </w:pPr>
          </w:p>
        </w:tc>
      </w:tr>
      <w:tr w:rsidR="00D768A3" w14:paraId="1371D0F8"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93F7B80" w14:textId="77777777" w:rsidR="00D768A3" w:rsidRPr="00D67D8A" w:rsidRDefault="00A0753E">
            <w:pPr>
              <w:widowControl/>
              <w:numPr>
                <w:ilvl w:val="1"/>
                <w:numId w:val="1"/>
              </w:numPr>
              <w:pBdr>
                <w:top w:val="nil"/>
                <w:left w:val="nil"/>
                <w:bottom w:val="nil"/>
                <w:right w:val="nil"/>
                <w:between w:val="nil"/>
              </w:pBdr>
              <w:spacing w:before="60" w:after="60"/>
              <w:ind w:left="567" w:hanging="567"/>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lastRenderedPageBreak/>
              <w:t>INCENTIVOS PARA LA PROMOCIÓN DEL DESARROLLO EN LA CONTRATACIÓN PÚBLICA</w:t>
            </w:r>
          </w:p>
        </w:tc>
      </w:tr>
      <w:tr w:rsidR="00D768A3" w14:paraId="5D7B061F"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6A6A20" w14:textId="77777777" w:rsidR="00D768A3" w:rsidRPr="00D67D8A" w:rsidRDefault="00D768A3">
            <w:pPr>
              <w:jc w:val="both"/>
              <w:rPr>
                <w:rFonts w:ascii="Arial" w:eastAsia="Arial" w:hAnsi="Arial" w:cs="Arial"/>
                <w:sz w:val="24"/>
                <w:szCs w:val="24"/>
                <w:lang w:val="es-CO"/>
              </w:rPr>
            </w:pPr>
          </w:p>
          <w:p w14:paraId="60559031" w14:textId="77777777" w:rsidR="00313F38" w:rsidRPr="00313F38" w:rsidRDefault="00313F38" w:rsidP="00313F38">
            <w:pPr>
              <w:jc w:val="both"/>
              <w:rPr>
                <w:rFonts w:ascii="Arial" w:eastAsia="Arial" w:hAnsi="Arial" w:cs="Arial"/>
                <w:sz w:val="24"/>
                <w:szCs w:val="24"/>
                <w:lang w:val="es-CO"/>
              </w:rPr>
            </w:pPr>
            <w:r w:rsidRPr="00313F38">
              <w:rPr>
                <w:rFonts w:ascii="Arial" w:eastAsia="Arial" w:hAnsi="Arial" w:cs="Arial"/>
                <w:sz w:val="24"/>
                <w:szCs w:val="24"/>
                <w:lang w:val="es-CO"/>
              </w:rPr>
              <w:t>En el marco del presente proceso se analizó la procedencia de incorporar incentivos y criterios diferenciales orientados a promover la participación de MIPYMES, emprendimientos y empresas de mujeres, de conformidad con la normativa vigente, los resultados del análisis del sector y los Documentos Tipo aplicables al Concurso de Méritos.</w:t>
            </w:r>
          </w:p>
          <w:p w14:paraId="4D8993FF" w14:textId="77777777" w:rsidR="00313F38" w:rsidRPr="00313F38" w:rsidRDefault="00313F38" w:rsidP="00313F38">
            <w:pPr>
              <w:jc w:val="both"/>
              <w:rPr>
                <w:rFonts w:ascii="Arial" w:eastAsia="Arial" w:hAnsi="Arial" w:cs="Arial"/>
                <w:sz w:val="24"/>
                <w:szCs w:val="24"/>
                <w:lang w:val="es-CO"/>
              </w:rPr>
            </w:pPr>
          </w:p>
          <w:p w14:paraId="31FF8291" w14:textId="14ECFC4D" w:rsidR="00313F38" w:rsidRPr="00313F38" w:rsidRDefault="00313F38" w:rsidP="00313F38">
            <w:pPr>
              <w:jc w:val="both"/>
              <w:rPr>
                <w:rFonts w:ascii="Arial" w:eastAsia="Arial" w:hAnsi="Arial" w:cs="Arial"/>
                <w:sz w:val="24"/>
                <w:szCs w:val="24"/>
                <w:lang w:val="es-CO"/>
              </w:rPr>
            </w:pPr>
            <w:r w:rsidRPr="00313F38">
              <w:rPr>
                <w:rFonts w:ascii="Arial" w:eastAsia="Arial" w:hAnsi="Arial" w:cs="Arial"/>
                <w:sz w:val="24"/>
                <w:szCs w:val="24"/>
                <w:lang w:val="es-CO"/>
              </w:rPr>
              <w:t xml:space="preserve">El presente proceso tiene un presupuesto oficial de </w:t>
            </w:r>
            <w:r w:rsidR="00864735" w:rsidRPr="00ED1E4E">
              <w:rPr>
                <w:rFonts w:ascii="Arial" w:eastAsia="Arial" w:hAnsi="Arial" w:cs="Arial"/>
                <w:b/>
                <w:bCs/>
                <w:sz w:val="24"/>
                <w:szCs w:val="24"/>
                <w:lang w:val="es-CO"/>
              </w:rPr>
              <w:t xml:space="preserve">CUATROCIENTOS CUARENTA Y DOS MILLONES CIENTO SESENTA MIL </w:t>
            </w:r>
            <w:r w:rsidR="00ED1E4E" w:rsidRPr="00ED1E4E">
              <w:rPr>
                <w:rFonts w:ascii="Arial" w:eastAsia="Arial" w:hAnsi="Arial" w:cs="Arial"/>
                <w:b/>
                <w:bCs/>
                <w:sz w:val="24"/>
                <w:szCs w:val="24"/>
                <w:lang w:val="es-CO"/>
              </w:rPr>
              <w:t>SETECIENTOS SETENTA Y UN</w:t>
            </w:r>
            <w:r w:rsidRPr="00ED1E4E">
              <w:rPr>
                <w:rFonts w:ascii="Arial" w:eastAsia="Arial" w:hAnsi="Arial" w:cs="Arial"/>
                <w:b/>
                <w:bCs/>
                <w:sz w:val="24"/>
                <w:szCs w:val="24"/>
                <w:lang w:val="es-CO"/>
              </w:rPr>
              <w:t xml:space="preserve"> PESOS</w:t>
            </w:r>
            <w:r w:rsidR="00864735" w:rsidRPr="00ED1E4E">
              <w:rPr>
                <w:rFonts w:ascii="Arial" w:eastAsia="Arial" w:hAnsi="Arial" w:cs="Arial"/>
                <w:b/>
                <w:bCs/>
                <w:sz w:val="24"/>
                <w:szCs w:val="24"/>
                <w:lang w:val="es-CO"/>
              </w:rPr>
              <w:t xml:space="preserve"> M/CTE</w:t>
            </w:r>
            <w:r w:rsidRPr="00ED1E4E">
              <w:rPr>
                <w:rFonts w:ascii="Arial" w:eastAsia="Arial" w:hAnsi="Arial" w:cs="Arial"/>
                <w:b/>
                <w:bCs/>
                <w:sz w:val="24"/>
                <w:szCs w:val="24"/>
                <w:lang w:val="es-CO"/>
              </w:rPr>
              <w:t xml:space="preserve"> ($</w:t>
            </w:r>
            <w:r w:rsidR="00864735" w:rsidRPr="00ED1E4E">
              <w:rPr>
                <w:rFonts w:ascii="Arial" w:eastAsia="Arial" w:hAnsi="Arial" w:cs="Arial"/>
                <w:b/>
                <w:bCs/>
                <w:sz w:val="24"/>
                <w:szCs w:val="24"/>
                <w:lang w:val="es-CO"/>
              </w:rPr>
              <w:t>442.16</w:t>
            </w:r>
            <w:r w:rsidR="00DA460F">
              <w:rPr>
                <w:rFonts w:ascii="Arial" w:eastAsia="Arial" w:hAnsi="Arial" w:cs="Arial"/>
                <w:b/>
                <w:bCs/>
                <w:sz w:val="24"/>
                <w:szCs w:val="24"/>
                <w:lang w:val="es-CO"/>
              </w:rPr>
              <w:t>1</w:t>
            </w:r>
            <w:r w:rsidR="00864735" w:rsidRPr="00ED1E4E">
              <w:rPr>
                <w:rFonts w:ascii="Arial" w:eastAsia="Arial" w:hAnsi="Arial" w:cs="Arial"/>
                <w:b/>
                <w:bCs/>
                <w:sz w:val="24"/>
                <w:szCs w:val="24"/>
                <w:lang w:val="es-CO"/>
              </w:rPr>
              <w:t>.</w:t>
            </w:r>
            <w:r w:rsidR="00DA460F">
              <w:rPr>
                <w:rFonts w:ascii="Arial" w:eastAsia="Arial" w:hAnsi="Arial" w:cs="Arial"/>
                <w:b/>
                <w:bCs/>
                <w:sz w:val="24"/>
                <w:szCs w:val="24"/>
                <w:lang w:val="es-CO"/>
              </w:rPr>
              <w:t>093</w:t>
            </w:r>
            <w:r w:rsidR="00864735" w:rsidRPr="00ED1E4E">
              <w:rPr>
                <w:rFonts w:ascii="Arial" w:eastAsia="Arial" w:hAnsi="Arial" w:cs="Arial"/>
                <w:b/>
                <w:bCs/>
                <w:sz w:val="24"/>
                <w:szCs w:val="24"/>
                <w:lang w:val="es-CO"/>
              </w:rPr>
              <w:t>,00</w:t>
            </w:r>
            <w:r w:rsidRPr="00ED1E4E">
              <w:rPr>
                <w:rFonts w:ascii="Arial" w:eastAsia="Arial" w:hAnsi="Arial" w:cs="Arial"/>
                <w:b/>
                <w:bCs/>
                <w:sz w:val="24"/>
                <w:szCs w:val="24"/>
                <w:lang w:val="es-CO"/>
              </w:rPr>
              <w:t>),</w:t>
            </w:r>
            <w:r w:rsidRPr="00313F38">
              <w:rPr>
                <w:rFonts w:ascii="Arial" w:eastAsia="Arial" w:hAnsi="Arial" w:cs="Arial"/>
                <w:sz w:val="24"/>
                <w:szCs w:val="24"/>
                <w:lang w:val="es-CO"/>
              </w:rPr>
              <w:t xml:space="preserve"> y corresponde a la contratación de servicios profesionales especializados de interventoría técnica, administrativa, jurídica, financiera, ambiental y contable de contratos de obra pública.</w:t>
            </w:r>
          </w:p>
          <w:p w14:paraId="3240C1DA" w14:textId="77777777" w:rsidR="00313F38" w:rsidRPr="00313F38" w:rsidRDefault="00313F38" w:rsidP="00313F38">
            <w:pPr>
              <w:jc w:val="both"/>
              <w:rPr>
                <w:rFonts w:ascii="Arial" w:eastAsia="Arial" w:hAnsi="Arial" w:cs="Arial"/>
                <w:sz w:val="24"/>
                <w:szCs w:val="24"/>
                <w:lang w:val="es-CO"/>
              </w:rPr>
            </w:pPr>
          </w:p>
          <w:p w14:paraId="7959A57A" w14:textId="77777777" w:rsidR="00313F38" w:rsidRPr="00313F38" w:rsidRDefault="00313F38" w:rsidP="00313F38">
            <w:pPr>
              <w:jc w:val="both"/>
              <w:rPr>
                <w:rFonts w:ascii="Arial" w:eastAsia="Arial" w:hAnsi="Arial" w:cs="Arial"/>
                <w:sz w:val="24"/>
                <w:szCs w:val="24"/>
                <w:lang w:val="es-CO"/>
              </w:rPr>
            </w:pPr>
            <w:r w:rsidRPr="00313F38">
              <w:rPr>
                <w:rFonts w:ascii="Arial" w:eastAsia="Arial" w:hAnsi="Arial" w:cs="Arial"/>
                <w:sz w:val="24"/>
                <w:szCs w:val="24"/>
                <w:lang w:val="es-CO"/>
              </w:rPr>
              <w:t>De acuerdo con la normativa vigente, en los procesos de Concurso de Méritos las Entidades Estatales deben incorporar condiciones habilitantes diferenciales para incentivar la participación de emprendimientos y empresas de mujeres, y, de acuerdo con los resultados del análisis del sector, establecer condiciones diferenciales que promuevan la participación de MIPYMES. Estos criterios pueden estar relacionados, entre otros aspectos, con el tiempo o número de contratos de experiencia, capacidad financiera, capacidad organizacional y garantía de seriedad de la oferta, siempre que no se afecte la capacidad necesaria para la adecuada ejecución del contrato.</w:t>
            </w:r>
          </w:p>
          <w:p w14:paraId="7F2E3EFD" w14:textId="77777777" w:rsidR="00313F38" w:rsidRPr="00313F38" w:rsidRDefault="00313F38" w:rsidP="00313F38">
            <w:pPr>
              <w:jc w:val="both"/>
              <w:rPr>
                <w:rFonts w:ascii="Arial" w:eastAsia="Arial" w:hAnsi="Arial" w:cs="Arial"/>
                <w:sz w:val="24"/>
                <w:szCs w:val="24"/>
                <w:lang w:val="es-CO"/>
              </w:rPr>
            </w:pPr>
          </w:p>
          <w:p w14:paraId="2C3371EA" w14:textId="77777777" w:rsidR="00313F38" w:rsidRPr="00313F38" w:rsidRDefault="00313F38" w:rsidP="00313F38">
            <w:pPr>
              <w:jc w:val="both"/>
              <w:rPr>
                <w:rFonts w:ascii="Arial" w:eastAsia="Arial" w:hAnsi="Arial" w:cs="Arial"/>
                <w:sz w:val="24"/>
                <w:szCs w:val="24"/>
                <w:lang w:val="es-CO"/>
              </w:rPr>
            </w:pPr>
            <w:r w:rsidRPr="00313F38">
              <w:rPr>
                <w:rFonts w:ascii="Arial" w:eastAsia="Arial" w:hAnsi="Arial" w:cs="Arial"/>
                <w:sz w:val="24"/>
                <w:szCs w:val="24"/>
                <w:lang w:val="es-CO"/>
              </w:rPr>
              <w:t>Así mismo, la normativa contempla la posibilidad de otorgar puntaje adicional de hasta el 0,25 % del total de los puntos establecidos en el proceso a los proponentes que acrediten la condición de emprendimiento o empresa de mujeres, así como puntaje adicional de hasta el 0,25 % para MIPYMES, en los términos establecidos en la regulación aplicable.</w:t>
            </w:r>
          </w:p>
          <w:p w14:paraId="4CA5D72D" w14:textId="77777777" w:rsidR="00313F38" w:rsidRPr="00313F38" w:rsidRDefault="00313F38" w:rsidP="00313F38">
            <w:pPr>
              <w:jc w:val="both"/>
              <w:rPr>
                <w:rFonts w:ascii="Arial" w:eastAsia="Arial" w:hAnsi="Arial" w:cs="Arial"/>
                <w:sz w:val="24"/>
                <w:szCs w:val="24"/>
                <w:lang w:val="es-CO"/>
              </w:rPr>
            </w:pPr>
          </w:p>
          <w:p w14:paraId="113CC9E5" w14:textId="38BC0015" w:rsidR="00313F38" w:rsidRPr="00313F38" w:rsidRDefault="00313F38" w:rsidP="00313F38">
            <w:pPr>
              <w:jc w:val="both"/>
              <w:rPr>
                <w:rFonts w:ascii="Arial" w:eastAsia="Arial" w:hAnsi="Arial" w:cs="Arial"/>
                <w:sz w:val="24"/>
                <w:szCs w:val="24"/>
                <w:lang w:val="es-CO"/>
              </w:rPr>
            </w:pPr>
            <w:r w:rsidRPr="00313F38">
              <w:rPr>
                <w:rFonts w:ascii="Arial" w:eastAsia="Arial" w:hAnsi="Arial" w:cs="Arial"/>
                <w:sz w:val="24"/>
                <w:szCs w:val="24"/>
                <w:lang w:val="es-CO"/>
              </w:rPr>
              <w:t xml:space="preserve">En consecuencia, teniendo en cuenta la naturaleza especializada del servicio, el presupuesto oficial de </w:t>
            </w:r>
            <w:r w:rsidR="00ED1E4E" w:rsidRPr="00ED1E4E">
              <w:rPr>
                <w:rFonts w:ascii="Arial" w:eastAsia="Arial" w:hAnsi="Arial" w:cs="Arial"/>
                <w:b/>
                <w:bCs/>
                <w:sz w:val="24"/>
                <w:szCs w:val="24"/>
                <w:lang w:val="es-CO"/>
              </w:rPr>
              <w:t>$442.16</w:t>
            </w:r>
            <w:r w:rsidR="00DA460F">
              <w:rPr>
                <w:rFonts w:ascii="Arial" w:eastAsia="Arial" w:hAnsi="Arial" w:cs="Arial"/>
                <w:b/>
                <w:bCs/>
                <w:sz w:val="24"/>
                <w:szCs w:val="24"/>
                <w:lang w:val="es-CO"/>
              </w:rPr>
              <w:t>1</w:t>
            </w:r>
            <w:r w:rsidR="00ED1E4E" w:rsidRPr="00ED1E4E">
              <w:rPr>
                <w:rFonts w:ascii="Arial" w:eastAsia="Arial" w:hAnsi="Arial" w:cs="Arial"/>
                <w:b/>
                <w:bCs/>
                <w:sz w:val="24"/>
                <w:szCs w:val="24"/>
                <w:lang w:val="es-CO"/>
              </w:rPr>
              <w:t>.</w:t>
            </w:r>
            <w:r w:rsidR="00DA460F">
              <w:rPr>
                <w:rFonts w:ascii="Arial" w:eastAsia="Arial" w:hAnsi="Arial" w:cs="Arial"/>
                <w:b/>
                <w:bCs/>
                <w:sz w:val="24"/>
                <w:szCs w:val="24"/>
                <w:lang w:val="es-CO"/>
              </w:rPr>
              <w:t>093</w:t>
            </w:r>
            <w:r w:rsidR="00ED1E4E" w:rsidRPr="00ED1E4E">
              <w:rPr>
                <w:rFonts w:ascii="Arial" w:eastAsia="Arial" w:hAnsi="Arial" w:cs="Arial"/>
                <w:b/>
                <w:bCs/>
                <w:sz w:val="24"/>
                <w:szCs w:val="24"/>
                <w:lang w:val="es-CO"/>
              </w:rPr>
              <w:t>,00</w:t>
            </w:r>
            <w:r w:rsidR="00ED1E4E">
              <w:rPr>
                <w:rFonts w:ascii="Arial" w:eastAsia="Arial" w:hAnsi="Arial" w:cs="Arial"/>
                <w:sz w:val="24"/>
                <w:szCs w:val="24"/>
                <w:lang w:val="es-CO"/>
              </w:rPr>
              <w:t xml:space="preserve"> </w:t>
            </w:r>
            <w:r w:rsidRPr="00313F38">
              <w:rPr>
                <w:rFonts w:ascii="Arial" w:eastAsia="Arial" w:hAnsi="Arial" w:cs="Arial"/>
                <w:sz w:val="24"/>
                <w:szCs w:val="24"/>
                <w:lang w:val="es-CO"/>
              </w:rPr>
              <w:t xml:space="preserve">y las condiciones identificadas en el mercado de servicios de consultoría e interventoría, la Entidad deberá incorporar en los documentos del proceso los criterios diferenciales e incentivos que resulten aplicables, </w:t>
            </w:r>
            <w:r w:rsidRPr="00313F38">
              <w:rPr>
                <w:rFonts w:ascii="Arial" w:eastAsia="Arial" w:hAnsi="Arial" w:cs="Arial"/>
                <w:sz w:val="24"/>
                <w:szCs w:val="24"/>
                <w:lang w:val="es-CO"/>
              </w:rPr>
              <w:lastRenderedPageBreak/>
              <w:t>garantizando que estos sean proporcionales al alcance, complejidad y obligaciones del contrato y que no comprometan la capacidad técnica, financiera y organizacional requerida para su adecuada ejecución.</w:t>
            </w:r>
          </w:p>
          <w:p w14:paraId="641A02EC" w14:textId="77777777" w:rsidR="00313F38" w:rsidRPr="00313F38" w:rsidRDefault="00313F38" w:rsidP="00313F38">
            <w:pPr>
              <w:jc w:val="both"/>
              <w:rPr>
                <w:rFonts w:ascii="Arial" w:eastAsia="Arial" w:hAnsi="Arial" w:cs="Arial"/>
                <w:sz w:val="24"/>
                <w:szCs w:val="24"/>
                <w:lang w:val="es-CO"/>
              </w:rPr>
            </w:pPr>
          </w:p>
          <w:p w14:paraId="5665EAC5" w14:textId="77777777" w:rsidR="00D768A3" w:rsidRDefault="00313F38" w:rsidP="00313F38">
            <w:pPr>
              <w:jc w:val="both"/>
              <w:rPr>
                <w:rFonts w:ascii="Arial" w:eastAsia="Arial" w:hAnsi="Arial" w:cs="Arial"/>
                <w:sz w:val="24"/>
                <w:szCs w:val="24"/>
                <w:lang w:val="es-CO"/>
              </w:rPr>
            </w:pPr>
            <w:r w:rsidRPr="00313F38">
              <w:rPr>
                <w:rFonts w:ascii="Arial" w:eastAsia="Arial" w:hAnsi="Arial" w:cs="Arial"/>
                <w:sz w:val="24"/>
                <w:szCs w:val="24"/>
                <w:lang w:val="es-CO"/>
              </w:rPr>
              <w:t>De igual manera, para los proponentes plurales deberán observarse las condiciones establecidas en la normativa aplicable respecto de la participación mínima del integrante que acredite la condición de MIPYME o de emprendimiento o empresa de mujeres.</w:t>
            </w:r>
          </w:p>
          <w:p w14:paraId="1590578A" w14:textId="54EF026E" w:rsidR="00313F38" w:rsidRPr="00D67D8A" w:rsidRDefault="00313F38" w:rsidP="00313F38">
            <w:pPr>
              <w:jc w:val="both"/>
              <w:rPr>
                <w:rFonts w:ascii="Arial" w:eastAsia="Arial" w:hAnsi="Arial" w:cs="Arial"/>
                <w:sz w:val="24"/>
                <w:szCs w:val="24"/>
                <w:shd w:val="clear" w:color="auto" w:fill="B8CCE4"/>
                <w:lang w:val="es-CO"/>
              </w:rPr>
            </w:pPr>
          </w:p>
        </w:tc>
      </w:tr>
      <w:tr w:rsidR="00D768A3" w14:paraId="41369779"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3A6CDEB" w14:textId="77777777" w:rsidR="00D768A3" w:rsidRPr="00D67D8A"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lang w:val="es-CO"/>
              </w:rPr>
            </w:pPr>
            <w:r w:rsidRPr="00D67D8A">
              <w:rPr>
                <w:rFonts w:ascii="Arial" w:eastAsia="Arial" w:hAnsi="Arial" w:cs="Arial"/>
                <w:color w:val="000000"/>
                <w:sz w:val="24"/>
                <w:szCs w:val="24"/>
                <w:lang w:val="es-CO"/>
              </w:rPr>
              <w:lastRenderedPageBreak/>
              <w:t>OTROS ASPECTOS RELEVANTES DEL MERCADO</w:t>
            </w:r>
          </w:p>
        </w:tc>
      </w:tr>
      <w:tr w:rsidR="00D768A3" w:rsidRPr="00D16876" w14:paraId="566BC718"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E6B116" w14:textId="77777777" w:rsidR="00D16876" w:rsidRDefault="00D16876" w:rsidP="00D16876">
            <w:pPr>
              <w:jc w:val="both"/>
              <w:rPr>
                <w:rFonts w:ascii="Arial" w:eastAsia="Arial" w:hAnsi="Arial" w:cs="Arial"/>
                <w:sz w:val="24"/>
                <w:szCs w:val="24"/>
                <w:lang w:val="es-CO"/>
              </w:rPr>
            </w:pPr>
          </w:p>
          <w:p w14:paraId="16891430" w14:textId="0AADBADF" w:rsidR="00D16876" w:rsidRDefault="00D16876" w:rsidP="00D16876">
            <w:pPr>
              <w:jc w:val="both"/>
              <w:rPr>
                <w:rFonts w:ascii="Arial" w:eastAsia="Arial" w:hAnsi="Arial" w:cs="Arial"/>
                <w:sz w:val="24"/>
                <w:szCs w:val="24"/>
                <w:lang w:val="es-CO"/>
              </w:rPr>
            </w:pPr>
            <w:r w:rsidRPr="00D16876">
              <w:rPr>
                <w:rFonts w:ascii="Arial" w:eastAsia="Arial" w:hAnsi="Arial" w:cs="Arial"/>
                <w:sz w:val="24"/>
                <w:szCs w:val="24"/>
                <w:lang w:val="es-CO"/>
              </w:rPr>
              <w:t>Dentro de los aspectos relevantes del mercado para el presente proceso se considera la naturaleza especializada del servicio de interventoría, cuya prestación requiere la participación de un equipo multidisciplinario con experiencia en el seguimiento y control de contratos de obra pública.</w:t>
            </w:r>
          </w:p>
          <w:p w14:paraId="558C83EB" w14:textId="77777777" w:rsidR="00D16876" w:rsidRPr="00D16876" w:rsidRDefault="00D16876" w:rsidP="00D16876">
            <w:pPr>
              <w:jc w:val="both"/>
              <w:rPr>
                <w:rFonts w:ascii="Arial" w:eastAsia="Arial" w:hAnsi="Arial" w:cs="Arial"/>
                <w:sz w:val="24"/>
                <w:szCs w:val="24"/>
                <w:lang w:val="es-CO"/>
              </w:rPr>
            </w:pPr>
          </w:p>
          <w:p w14:paraId="23D83AC0" w14:textId="77777777" w:rsidR="00D16876" w:rsidRDefault="00D16876" w:rsidP="00D16876">
            <w:pPr>
              <w:jc w:val="both"/>
              <w:rPr>
                <w:rFonts w:ascii="Arial" w:eastAsia="Arial" w:hAnsi="Arial" w:cs="Arial"/>
                <w:sz w:val="24"/>
                <w:szCs w:val="24"/>
                <w:lang w:val="es-CO"/>
              </w:rPr>
            </w:pPr>
            <w:r w:rsidRPr="00D16876">
              <w:rPr>
                <w:rFonts w:ascii="Arial" w:eastAsia="Arial" w:hAnsi="Arial" w:cs="Arial"/>
                <w:sz w:val="24"/>
                <w:szCs w:val="24"/>
                <w:lang w:val="es-CO"/>
              </w:rPr>
              <w:t>La ejecución del contrato estará determinada por las características, alcance, plazo y complejidad de los contratos de obra objeto de interventoría, así como por la necesidad de realizar un seguimiento integral a sus componentes técnico, administrativo, jurídico, financiero, ambiental y contable.</w:t>
            </w:r>
          </w:p>
          <w:p w14:paraId="73C135DB" w14:textId="77777777" w:rsidR="00D16876" w:rsidRPr="00D16876" w:rsidRDefault="00D16876" w:rsidP="00D16876">
            <w:pPr>
              <w:jc w:val="both"/>
              <w:rPr>
                <w:rFonts w:ascii="Arial" w:eastAsia="Arial" w:hAnsi="Arial" w:cs="Arial"/>
                <w:sz w:val="24"/>
                <w:szCs w:val="24"/>
                <w:lang w:val="es-CO"/>
              </w:rPr>
            </w:pPr>
          </w:p>
          <w:p w14:paraId="39528BE7" w14:textId="77777777" w:rsidR="00D16876" w:rsidRDefault="00D16876" w:rsidP="00D16876">
            <w:pPr>
              <w:jc w:val="both"/>
              <w:rPr>
                <w:rFonts w:ascii="Arial" w:eastAsia="Arial" w:hAnsi="Arial" w:cs="Arial"/>
                <w:sz w:val="24"/>
                <w:szCs w:val="24"/>
                <w:lang w:val="es-CO"/>
              </w:rPr>
            </w:pPr>
            <w:r w:rsidRPr="00D16876">
              <w:rPr>
                <w:rFonts w:ascii="Arial" w:eastAsia="Arial" w:hAnsi="Arial" w:cs="Arial"/>
                <w:sz w:val="24"/>
                <w:szCs w:val="24"/>
                <w:lang w:val="es-CO"/>
              </w:rPr>
              <w:t>Así mismo, la disponibilidad de profesionales con experiencia específica en interventoría de infraestructura y la capacidad de los potenciales oferentes para conformar equipos de trabajo con las diferentes especialidades requeridas constituyen factores relevantes dentro del mercado, toda vez que inciden directamente en la capacidad para atender las obligaciones contractuales.</w:t>
            </w:r>
          </w:p>
          <w:p w14:paraId="442E96A8" w14:textId="77777777" w:rsidR="00D16876" w:rsidRPr="00D16876" w:rsidRDefault="00D16876" w:rsidP="00D16876">
            <w:pPr>
              <w:jc w:val="both"/>
              <w:rPr>
                <w:rFonts w:ascii="Arial" w:eastAsia="Arial" w:hAnsi="Arial" w:cs="Arial"/>
                <w:sz w:val="24"/>
                <w:szCs w:val="24"/>
                <w:lang w:val="es-CO"/>
              </w:rPr>
            </w:pPr>
          </w:p>
          <w:p w14:paraId="2ECDE094" w14:textId="77777777" w:rsidR="00D16876" w:rsidRDefault="00D16876" w:rsidP="00D16876">
            <w:pPr>
              <w:jc w:val="both"/>
              <w:rPr>
                <w:rFonts w:ascii="Arial" w:eastAsia="Arial" w:hAnsi="Arial" w:cs="Arial"/>
                <w:sz w:val="24"/>
                <w:szCs w:val="24"/>
                <w:lang w:val="es-CO"/>
              </w:rPr>
            </w:pPr>
            <w:r w:rsidRPr="00D16876">
              <w:rPr>
                <w:rFonts w:ascii="Arial" w:eastAsia="Arial" w:hAnsi="Arial" w:cs="Arial"/>
                <w:sz w:val="24"/>
                <w:szCs w:val="24"/>
                <w:lang w:val="es-CO"/>
              </w:rPr>
              <w:t xml:space="preserve">Otro aspecto relevante corresponde a la </w:t>
            </w:r>
            <w:r w:rsidRPr="00D16876">
              <w:rPr>
                <w:rFonts w:ascii="Arial" w:eastAsia="Arial" w:hAnsi="Arial" w:cs="Arial"/>
                <w:b/>
                <w:bCs/>
                <w:sz w:val="24"/>
                <w:szCs w:val="24"/>
                <w:lang w:val="es-CO"/>
              </w:rPr>
              <w:t>pluralidad de oferentes</w:t>
            </w:r>
            <w:r w:rsidRPr="00D16876">
              <w:rPr>
                <w:rFonts w:ascii="Arial" w:eastAsia="Arial" w:hAnsi="Arial" w:cs="Arial"/>
                <w:sz w:val="24"/>
                <w:szCs w:val="24"/>
                <w:lang w:val="es-CO"/>
              </w:rPr>
              <w:t xml:space="preserve"> que potencialmente pueden participar en el proceso, incluyendo firmas de ingeniería, arquitectura, consultoría, interventoría y estructuras plurales, siempre que cumplan las condiciones establecidas en los Documentos Tipo aplicables.</w:t>
            </w:r>
          </w:p>
          <w:p w14:paraId="149B8BA6" w14:textId="77777777" w:rsidR="00D16876" w:rsidRPr="00D16876" w:rsidRDefault="00D16876" w:rsidP="00D16876">
            <w:pPr>
              <w:jc w:val="both"/>
              <w:rPr>
                <w:rFonts w:ascii="Arial" w:eastAsia="Arial" w:hAnsi="Arial" w:cs="Arial"/>
                <w:sz w:val="24"/>
                <w:szCs w:val="24"/>
                <w:lang w:val="es-CO"/>
              </w:rPr>
            </w:pPr>
          </w:p>
          <w:p w14:paraId="2B2D686E" w14:textId="77777777" w:rsidR="00D16876" w:rsidRDefault="00D16876" w:rsidP="00D16876">
            <w:pPr>
              <w:jc w:val="both"/>
              <w:rPr>
                <w:rFonts w:ascii="Arial" w:eastAsia="Arial" w:hAnsi="Arial" w:cs="Arial"/>
                <w:sz w:val="24"/>
                <w:szCs w:val="24"/>
                <w:lang w:val="es-CO"/>
              </w:rPr>
            </w:pPr>
            <w:r w:rsidRPr="00D16876">
              <w:rPr>
                <w:rFonts w:ascii="Arial" w:eastAsia="Arial" w:hAnsi="Arial" w:cs="Arial"/>
                <w:sz w:val="24"/>
                <w:szCs w:val="24"/>
                <w:lang w:val="es-CO"/>
              </w:rPr>
              <w:t xml:space="preserve">Finalmente, teniendo en cuenta que el proceso corresponde a un </w:t>
            </w:r>
            <w:r w:rsidRPr="00D16876">
              <w:rPr>
                <w:rFonts w:ascii="Arial" w:eastAsia="Arial" w:hAnsi="Arial" w:cs="Arial"/>
                <w:b/>
                <w:bCs/>
                <w:sz w:val="24"/>
                <w:szCs w:val="24"/>
                <w:lang w:val="es-CO"/>
              </w:rPr>
              <w:t>Concurso de Méritos para la interventoría de obras públicas de infraestructura social</w:t>
            </w:r>
            <w:r w:rsidRPr="00D16876">
              <w:rPr>
                <w:rFonts w:ascii="Arial" w:eastAsia="Arial" w:hAnsi="Arial" w:cs="Arial"/>
                <w:sz w:val="24"/>
                <w:szCs w:val="24"/>
                <w:lang w:val="es-CO"/>
              </w:rPr>
              <w:t xml:space="preserve">, resulta aplicable la </w:t>
            </w:r>
            <w:r w:rsidRPr="00D16876">
              <w:rPr>
                <w:rFonts w:ascii="Arial" w:eastAsia="Arial" w:hAnsi="Arial" w:cs="Arial"/>
                <w:b/>
                <w:bCs/>
                <w:sz w:val="24"/>
                <w:szCs w:val="24"/>
                <w:lang w:val="es-CO"/>
              </w:rPr>
              <w:t>Versión 2 de los Documentos Tipo</w:t>
            </w:r>
            <w:r w:rsidRPr="00D16876">
              <w:rPr>
                <w:rFonts w:ascii="Arial" w:eastAsia="Arial" w:hAnsi="Arial" w:cs="Arial"/>
                <w:sz w:val="24"/>
                <w:szCs w:val="24"/>
                <w:lang w:val="es-CO"/>
              </w:rPr>
              <w:t xml:space="preserve">, junto con los documentos complementarios correspondientes al sector de </w:t>
            </w:r>
            <w:r w:rsidRPr="00D16876">
              <w:rPr>
                <w:rFonts w:ascii="Arial" w:eastAsia="Arial" w:hAnsi="Arial" w:cs="Arial"/>
                <w:b/>
                <w:bCs/>
                <w:sz w:val="24"/>
                <w:szCs w:val="24"/>
                <w:lang w:val="es-CO"/>
              </w:rPr>
              <w:t>cultura, recreación y deporte</w:t>
            </w:r>
            <w:r w:rsidRPr="00D16876">
              <w:rPr>
                <w:rFonts w:ascii="Arial" w:eastAsia="Arial" w:hAnsi="Arial" w:cs="Arial"/>
                <w:sz w:val="24"/>
                <w:szCs w:val="24"/>
                <w:lang w:val="es-CO"/>
              </w:rPr>
              <w:t xml:space="preserve">, los cuales establecen condiciones estandarizadas para la estructuración y desarrollo del proceso. </w:t>
            </w:r>
          </w:p>
          <w:p w14:paraId="16D12DEE" w14:textId="77777777" w:rsidR="00D16876" w:rsidRPr="00D16876" w:rsidRDefault="00D16876" w:rsidP="00D16876">
            <w:pPr>
              <w:jc w:val="both"/>
              <w:rPr>
                <w:rFonts w:ascii="Arial" w:eastAsia="Arial" w:hAnsi="Arial" w:cs="Arial"/>
                <w:sz w:val="24"/>
                <w:szCs w:val="24"/>
                <w:lang w:val="es-CO"/>
              </w:rPr>
            </w:pPr>
          </w:p>
          <w:p w14:paraId="080C1590" w14:textId="77777777" w:rsidR="00D16876" w:rsidRPr="00D16876" w:rsidRDefault="00D16876" w:rsidP="00D16876">
            <w:pPr>
              <w:jc w:val="both"/>
              <w:rPr>
                <w:rFonts w:ascii="Arial" w:eastAsia="Arial" w:hAnsi="Arial" w:cs="Arial"/>
                <w:sz w:val="24"/>
                <w:szCs w:val="24"/>
                <w:lang w:val="es-CO"/>
              </w:rPr>
            </w:pPr>
            <w:r w:rsidRPr="00D16876">
              <w:rPr>
                <w:rFonts w:ascii="Arial" w:eastAsia="Arial" w:hAnsi="Arial" w:cs="Arial"/>
                <w:sz w:val="24"/>
                <w:szCs w:val="24"/>
                <w:lang w:val="es-CO"/>
              </w:rPr>
              <w:lastRenderedPageBreak/>
              <w:t xml:space="preserve">En consecuencia, los aspectos relevantes del mercado identificados se encuentran principalmente asociados a la </w:t>
            </w:r>
            <w:r w:rsidRPr="00D16876">
              <w:rPr>
                <w:rFonts w:ascii="Arial" w:eastAsia="Arial" w:hAnsi="Arial" w:cs="Arial"/>
                <w:b/>
                <w:bCs/>
                <w:sz w:val="24"/>
                <w:szCs w:val="24"/>
                <w:lang w:val="es-CO"/>
              </w:rPr>
              <w:t>especialización del servicio, disponibilidad de personal calificado, capacidad de los oferentes, complejidad de los contratos objeto de seguimiento y condiciones estandarizadas establecidas para este tipo de contratación</w:t>
            </w:r>
            <w:r w:rsidRPr="00D16876">
              <w:rPr>
                <w:rFonts w:ascii="Arial" w:eastAsia="Arial" w:hAnsi="Arial" w:cs="Arial"/>
                <w:sz w:val="24"/>
                <w:szCs w:val="24"/>
                <w:lang w:val="es-CO"/>
              </w:rPr>
              <w:t>, elementos que deberán ser considerados en la estructuración del proceso y en la determinación de las condiciones de participación.</w:t>
            </w:r>
          </w:p>
          <w:p w14:paraId="727D928B" w14:textId="77777777" w:rsidR="00D768A3" w:rsidRPr="00D16876" w:rsidRDefault="00D768A3">
            <w:pPr>
              <w:jc w:val="both"/>
              <w:rPr>
                <w:rFonts w:ascii="Arial" w:eastAsia="Arial" w:hAnsi="Arial" w:cs="Arial"/>
                <w:sz w:val="24"/>
                <w:szCs w:val="24"/>
                <w:lang w:val="es-CO"/>
              </w:rPr>
            </w:pPr>
          </w:p>
        </w:tc>
      </w:tr>
      <w:tr w:rsidR="00D768A3" w14:paraId="64FBE257"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FC1D36F" w14:textId="77777777" w:rsidR="00D768A3" w:rsidRDefault="00D768A3">
            <w:pPr>
              <w:widowControl/>
              <w:pBdr>
                <w:top w:val="nil"/>
                <w:left w:val="nil"/>
                <w:bottom w:val="nil"/>
                <w:right w:val="nil"/>
                <w:between w:val="nil"/>
              </w:pBdr>
              <w:ind w:left="720"/>
              <w:jc w:val="both"/>
              <w:rPr>
                <w:rFonts w:ascii="Arial" w:eastAsia="Arial" w:hAnsi="Arial" w:cs="Arial"/>
                <w:color w:val="000000"/>
                <w:sz w:val="8"/>
                <w:szCs w:val="8"/>
              </w:rPr>
            </w:pPr>
          </w:p>
          <w:p w14:paraId="49D942DC" w14:textId="77777777" w:rsidR="00D768A3" w:rsidRDefault="00A0753E">
            <w:pPr>
              <w:widowControl/>
              <w:numPr>
                <w:ilvl w:val="0"/>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t>COMPORTAMIENTO DEL GASTO HISTORICO</w:t>
            </w:r>
          </w:p>
          <w:p w14:paraId="2EE6BD60" w14:textId="77777777" w:rsidR="00D768A3" w:rsidRDefault="00D768A3">
            <w:pPr>
              <w:widowControl/>
              <w:pBdr>
                <w:top w:val="nil"/>
                <w:left w:val="nil"/>
                <w:bottom w:val="nil"/>
                <w:right w:val="nil"/>
                <w:between w:val="nil"/>
              </w:pBdr>
              <w:ind w:left="720"/>
              <w:jc w:val="both"/>
              <w:rPr>
                <w:rFonts w:ascii="Arial" w:eastAsia="Arial" w:hAnsi="Arial" w:cs="Arial"/>
                <w:color w:val="000000"/>
                <w:sz w:val="8"/>
                <w:szCs w:val="8"/>
              </w:rPr>
            </w:pPr>
          </w:p>
        </w:tc>
      </w:tr>
      <w:tr w:rsidR="00D768A3" w14:paraId="378A3494"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8CF2E4" w14:textId="77777777" w:rsidR="000E1145" w:rsidRDefault="000E1145" w:rsidP="007A7E29">
            <w:pPr>
              <w:jc w:val="both"/>
              <w:rPr>
                <w:rFonts w:ascii="Arial" w:eastAsia="Arial" w:hAnsi="Arial" w:cs="Arial"/>
                <w:sz w:val="24"/>
                <w:szCs w:val="24"/>
                <w:lang w:val="es-CO"/>
              </w:rPr>
            </w:pPr>
          </w:p>
          <w:p w14:paraId="59FEF05F" w14:textId="45909ABC" w:rsidR="007A7E29" w:rsidRDefault="007A7E29" w:rsidP="007A7E29">
            <w:pPr>
              <w:jc w:val="both"/>
              <w:rPr>
                <w:rFonts w:ascii="Arial" w:eastAsia="Arial" w:hAnsi="Arial" w:cs="Arial"/>
                <w:sz w:val="24"/>
                <w:szCs w:val="24"/>
                <w:lang w:val="es-CO"/>
              </w:rPr>
            </w:pPr>
            <w:r w:rsidRPr="007A7E29">
              <w:rPr>
                <w:rFonts w:ascii="Arial" w:eastAsia="Arial" w:hAnsi="Arial" w:cs="Arial"/>
                <w:sz w:val="24"/>
                <w:szCs w:val="24"/>
                <w:lang w:val="es-CO"/>
              </w:rPr>
              <w:t>El análisis del comportamiento histórico de la contratación constituye una herramienta fundamental dentro del estudio del sector, ya que permite conocer la dinámica de adquisición de bienes, obras o servicios relacionados con el objeto del presente proceso contractual. A partir de este análisis es posible identificar las características de los procesos adelantados previamente, las modalidades de selección utilizadas, los valores contratados, las condiciones de ejecución, los proveedores participantes y las principales prácticas implementadas por las entidades contratantes.</w:t>
            </w:r>
          </w:p>
          <w:p w14:paraId="33ECAE50" w14:textId="77777777" w:rsidR="007A7E29" w:rsidRPr="007A7E29" w:rsidRDefault="007A7E29" w:rsidP="007A7E29">
            <w:pPr>
              <w:jc w:val="both"/>
              <w:rPr>
                <w:rFonts w:ascii="Arial" w:eastAsia="Arial" w:hAnsi="Arial" w:cs="Arial"/>
                <w:sz w:val="24"/>
                <w:szCs w:val="24"/>
                <w:lang w:val="es-CO"/>
              </w:rPr>
            </w:pPr>
          </w:p>
          <w:p w14:paraId="24583F9C" w14:textId="77777777" w:rsidR="007A7E29" w:rsidRDefault="007A7E29" w:rsidP="007A7E29">
            <w:pPr>
              <w:jc w:val="both"/>
              <w:rPr>
                <w:rFonts w:ascii="Arial" w:eastAsia="Arial" w:hAnsi="Arial" w:cs="Arial"/>
                <w:sz w:val="24"/>
                <w:szCs w:val="24"/>
                <w:lang w:val="es-CO"/>
              </w:rPr>
            </w:pPr>
            <w:r w:rsidRPr="007A7E29">
              <w:rPr>
                <w:rFonts w:ascii="Arial" w:eastAsia="Arial" w:hAnsi="Arial" w:cs="Arial"/>
                <w:sz w:val="24"/>
                <w:szCs w:val="24"/>
                <w:lang w:val="es-CO"/>
              </w:rPr>
              <w:t>En este sentido, la revisión del comportamiento histórico de la contratación permite evaluar las condiciones del mercado, identificar tendencias en la demanda de servicios similares y obtener referentes objetivos para la estructuración del presente proceso, contribuyendo a la definición de aspectos como el presupuesto oficial, los requisitos habilitantes, las especificaciones técnicas, los criterios de evaluación, las condiciones de ejecución y la asignación de riesgos.</w:t>
            </w:r>
          </w:p>
          <w:p w14:paraId="56FF1693" w14:textId="77777777" w:rsidR="007A7E29" w:rsidRPr="007A7E29" w:rsidRDefault="007A7E29" w:rsidP="007A7E29">
            <w:pPr>
              <w:jc w:val="both"/>
              <w:rPr>
                <w:rFonts w:ascii="Arial" w:eastAsia="Arial" w:hAnsi="Arial" w:cs="Arial"/>
                <w:sz w:val="24"/>
                <w:szCs w:val="24"/>
                <w:lang w:val="es-CO"/>
              </w:rPr>
            </w:pPr>
          </w:p>
          <w:p w14:paraId="688D0801" w14:textId="3565E96E" w:rsidR="007A7E29" w:rsidRDefault="007A7E29" w:rsidP="007A7E29">
            <w:pPr>
              <w:jc w:val="both"/>
              <w:rPr>
                <w:rFonts w:ascii="Arial" w:eastAsia="Arial" w:hAnsi="Arial" w:cs="Arial"/>
                <w:sz w:val="24"/>
                <w:szCs w:val="24"/>
                <w:lang w:val="es-CO"/>
              </w:rPr>
            </w:pPr>
            <w:r w:rsidRPr="007A7E29">
              <w:rPr>
                <w:rFonts w:ascii="Arial" w:eastAsia="Arial" w:hAnsi="Arial" w:cs="Arial"/>
                <w:sz w:val="24"/>
                <w:szCs w:val="24"/>
                <w:lang w:val="es-CO"/>
              </w:rPr>
              <w:t xml:space="preserve">Para el presente estudio se recopiló y analizó información correspondiente a procesos de contratación relacionados con </w:t>
            </w:r>
            <w:r w:rsidR="004573DB" w:rsidRPr="004573DB">
              <w:rPr>
                <w:rFonts w:ascii="Arial" w:eastAsia="Arial" w:hAnsi="Arial" w:cs="Arial"/>
                <w:sz w:val="24"/>
                <w:szCs w:val="24"/>
                <w:lang w:val="es-CO"/>
              </w:rPr>
              <w:t>REALIZAR LA INTERVENTORÍA TECNICA, ADMINISTRATIVA, JURIDICA, FINANCIERA, AMBIENTAL Y CONTABLE A LOS CONTRATOS DE OBRA QUE RESULTEN ADJUDICADOS EN EL PROCESO DE LICITACIÓN PÚBLICA, CUYO OBJETO ES: "REALIZAR LA ADECUACIÓN</w:t>
            </w:r>
            <w:r w:rsidR="00C77486">
              <w:rPr>
                <w:rFonts w:ascii="Arial" w:eastAsia="Arial" w:hAnsi="Arial" w:cs="Arial"/>
                <w:sz w:val="24"/>
                <w:szCs w:val="24"/>
                <w:lang w:val="es-CO"/>
              </w:rPr>
              <w:t xml:space="preserve"> </w:t>
            </w:r>
            <w:r w:rsidR="004573DB" w:rsidRPr="004573DB">
              <w:rPr>
                <w:rFonts w:ascii="Arial" w:eastAsia="Arial" w:hAnsi="Arial" w:cs="Arial"/>
                <w:sz w:val="24"/>
                <w:szCs w:val="24"/>
                <w:lang w:val="es-CO"/>
              </w:rPr>
              <w:t>Y MEJORAMIENTO DE LA INFRAESTRUCTURA DE LOS ESCENARIOS DEPORTIVOS Y RECREATIVOS DEL DISTRITO ESPECIAL, DEPORTIVO, CULTURAL, TURÍSTICO, EMPRESARIAL Y DE SERVICIOS DE SANTIAGO DE CALI</w:t>
            </w:r>
            <w:r w:rsidR="004573DB">
              <w:rPr>
                <w:rFonts w:ascii="Arial" w:eastAsia="Arial" w:hAnsi="Arial" w:cs="Arial"/>
                <w:sz w:val="24"/>
                <w:szCs w:val="24"/>
                <w:lang w:val="es-CO"/>
              </w:rPr>
              <w:t xml:space="preserve">, </w:t>
            </w:r>
            <w:r w:rsidRPr="007A7E29">
              <w:rPr>
                <w:rFonts w:ascii="Arial" w:eastAsia="Arial" w:hAnsi="Arial" w:cs="Arial"/>
                <w:sz w:val="24"/>
                <w:szCs w:val="24"/>
                <w:lang w:val="es-CO"/>
              </w:rPr>
              <w:t>adelantados tanto por el Distrito Especial de Santiago de Cali como por otras entidades estatales, utilizando como fuentes de información el Sistema Electrónico para la Contratación Pública (SECOP), el Modelo de Abastecimiento Estratégico (MAE) de Colombia Compra Eficiente y demás herramientas oficiales disponibles.</w:t>
            </w:r>
          </w:p>
          <w:p w14:paraId="2C7FA0C7" w14:textId="77777777" w:rsidR="007A7E29" w:rsidRPr="007A7E29" w:rsidRDefault="007A7E29" w:rsidP="007A7E29">
            <w:pPr>
              <w:jc w:val="both"/>
              <w:rPr>
                <w:rFonts w:ascii="Arial" w:eastAsia="Arial" w:hAnsi="Arial" w:cs="Arial"/>
                <w:sz w:val="24"/>
                <w:szCs w:val="24"/>
                <w:lang w:val="es-CO"/>
              </w:rPr>
            </w:pPr>
          </w:p>
          <w:p w14:paraId="05790162" w14:textId="77777777" w:rsidR="007A7E29" w:rsidRPr="007A7E29" w:rsidRDefault="007A7E29" w:rsidP="007A7E29">
            <w:pPr>
              <w:jc w:val="both"/>
              <w:rPr>
                <w:rFonts w:ascii="Arial" w:eastAsia="Arial" w:hAnsi="Arial" w:cs="Arial"/>
                <w:sz w:val="24"/>
                <w:szCs w:val="24"/>
                <w:lang w:val="es-CO"/>
              </w:rPr>
            </w:pPr>
            <w:r w:rsidRPr="007A7E29">
              <w:rPr>
                <w:rFonts w:ascii="Arial" w:eastAsia="Arial" w:hAnsi="Arial" w:cs="Arial"/>
                <w:sz w:val="24"/>
                <w:szCs w:val="24"/>
                <w:lang w:val="es-CO"/>
              </w:rPr>
              <w:t>El análisis de esta información permite identificar buenas prácticas, reconocer las condiciones predominantes del mercado y establecer referentes técnicos, jurídicos, financieros y económicos que fortalecen la planeación del presente proceso contractual, favoreciendo la adopción de decisiones objetivas y la estructuración de un proceso acorde con las necesidades de la Entidad y con las condiciones reales del mercado.</w:t>
            </w:r>
          </w:p>
          <w:p w14:paraId="2C7249E9" w14:textId="77777777" w:rsidR="00D768A3" w:rsidRPr="00D67D8A" w:rsidRDefault="00D768A3">
            <w:pPr>
              <w:widowControl/>
              <w:pBdr>
                <w:top w:val="nil"/>
                <w:left w:val="nil"/>
                <w:bottom w:val="nil"/>
                <w:right w:val="nil"/>
                <w:between w:val="nil"/>
              </w:pBdr>
              <w:jc w:val="both"/>
              <w:rPr>
                <w:rFonts w:ascii="Arial" w:eastAsia="Arial" w:hAnsi="Arial" w:cs="Arial"/>
                <w:color w:val="000000"/>
                <w:sz w:val="24"/>
                <w:szCs w:val="24"/>
                <w:lang w:val="es-CO"/>
              </w:rPr>
            </w:pPr>
          </w:p>
        </w:tc>
      </w:tr>
      <w:tr w:rsidR="00D768A3" w14:paraId="1A6F63BE"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C0FEFCD" w14:textId="77777777" w:rsidR="00D768A3" w:rsidRPr="00D67D8A" w:rsidRDefault="00A0753E">
            <w:pPr>
              <w:widowControl/>
              <w:numPr>
                <w:ilvl w:val="1"/>
                <w:numId w:val="1"/>
              </w:numPr>
              <w:pBdr>
                <w:top w:val="nil"/>
                <w:left w:val="nil"/>
                <w:bottom w:val="nil"/>
                <w:right w:val="nil"/>
                <w:between w:val="nil"/>
              </w:pBdr>
              <w:spacing w:before="60" w:after="60"/>
              <w:ind w:left="425" w:hanging="425"/>
              <w:jc w:val="both"/>
              <w:rPr>
                <w:rFonts w:ascii="Arial" w:eastAsia="Arial" w:hAnsi="Arial" w:cs="Arial"/>
                <w:color w:val="000000"/>
                <w:sz w:val="8"/>
                <w:szCs w:val="8"/>
                <w:lang w:val="es-CO"/>
              </w:rPr>
            </w:pPr>
            <w:r w:rsidRPr="00D67D8A">
              <w:rPr>
                <w:rFonts w:ascii="Arial" w:eastAsia="Arial" w:hAnsi="Arial" w:cs="Arial"/>
                <w:color w:val="000000"/>
                <w:sz w:val="24"/>
                <w:szCs w:val="24"/>
                <w:lang w:val="es-CO"/>
              </w:rPr>
              <w:lastRenderedPageBreak/>
              <w:t>PROCESOS DE CONTRATACIÓN ADELANTADOS POR EL DISTRITO DE SANTIAGO DE CALI</w:t>
            </w:r>
          </w:p>
        </w:tc>
      </w:tr>
      <w:tr w:rsidR="00D768A3" w14:paraId="02792F62"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522273" w14:textId="77777777" w:rsidR="00D768A3" w:rsidRPr="00D67D8A" w:rsidRDefault="00D768A3">
            <w:pPr>
              <w:jc w:val="both"/>
              <w:rPr>
                <w:rFonts w:ascii="Arial" w:eastAsia="Arial" w:hAnsi="Arial" w:cs="Arial"/>
                <w:sz w:val="24"/>
                <w:szCs w:val="24"/>
                <w:lang w:val="es-CO"/>
              </w:rPr>
            </w:pPr>
          </w:p>
          <w:p w14:paraId="700078FB"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 xml:space="preserve">La Entidad Estatal debe analizar el comportamiento de sus adquisiciones anteriores del bien, obra o servicio a contratar del Distrito de Santiago de Cali:  </w:t>
            </w:r>
          </w:p>
          <w:p w14:paraId="5D2E21E7" w14:textId="77777777" w:rsidR="00D768A3" w:rsidRPr="00D67D8A" w:rsidRDefault="00D768A3">
            <w:pPr>
              <w:jc w:val="both"/>
              <w:rPr>
                <w:rFonts w:ascii="Arial" w:eastAsia="Arial" w:hAnsi="Arial" w:cs="Arial"/>
                <w:sz w:val="24"/>
                <w:szCs w:val="24"/>
                <w:shd w:val="clear" w:color="auto" w:fill="B8CCE4"/>
                <w:lang w:val="es-CO"/>
              </w:rPr>
            </w:pPr>
          </w:p>
          <w:p w14:paraId="4DD78A56" w14:textId="19486700" w:rsidR="00D768A3" w:rsidRPr="00D67D8A" w:rsidRDefault="00A0753E">
            <w:pPr>
              <w:jc w:val="both"/>
              <w:rPr>
                <w:rFonts w:ascii="Arial" w:eastAsia="Arial" w:hAnsi="Arial" w:cs="Arial"/>
                <w:i/>
                <w:sz w:val="24"/>
                <w:szCs w:val="24"/>
                <w:lang w:val="es-CO"/>
              </w:rPr>
            </w:pPr>
            <w:r w:rsidRPr="00D67D8A">
              <w:rPr>
                <w:rFonts w:ascii="Arial" w:eastAsia="Arial" w:hAnsi="Arial" w:cs="Arial"/>
                <w:sz w:val="24"/>
                <w:szCs w:val="24"/>
                <w:lang w:val="es-CO"/>
              </w:rPr>
              <w:t xml:space="preserve">Se describe a continuación los contratos adelantados por el Distrito de Santiago de Cali, relacionados con </w:t>
            </w:r>
            <w:r w:rsidR="007962D9">
              <w:rPr>
                <w:rFonts w:ascii="Arial" w:eastAsia="Arial" w:hAnsi="Arial" w:cs="Arial"/>
                <w:sz w:val="24"/>
                <w:szCs w:val="24"/>
                <w:lang w:val="es-CO"/>
              </w:rPr>
              <w:t>“</w:t>
            </w:r>
            <w:r w:rsidR="007962D9" w:rsidRPr="007962D9">
              <w:rPr>
                <w:rFonts w:ascii="Arial" w:eastAsia="Arial" w:hAnsi="Arial" w:cs="Arial"/>
                <w:sz w:val="24"/>
                <w:szCs w:val="24"/>
                <w:lang w:val="es-CO"/>
              </w:rPr>
              <w:t>REALIZAR LA INTERVENTORÍA INTEGRAL: TÉCNICA, ADMINISTRATIVA, FINANCIERA, JURÍDICA, SOCIAL Y AMBIENTAL A LOS CONTRATO DE OBRA DERIVADO DE PROCESOS DE LICITACIÓN PÚBLICA.</w:t>
            </w:r>
            <w:r w:rsidRPr="00D67D8A">
              <w:rPr>
                <w:rFonts w:ascii="Arial" w:eastAsia="Arial" w:hAnsi="Arial" w:cs="Arial"/>
                <w:sz w:val="24"/>
                <w:szCs w:val="24"/>
                <w:lang w:val="es-CO"/>
              </w:rPr>
              <w:t>”.</w:t>
            </w:r>
          </w:p>
          <w:p w14:paraId="60E2E2E7" w14:textId="77777777" w:rsidR="00D768A3" w:rsidRDefault="00D768A3">
            <w:pPr>
              <w:jc w:val="both"/>
              <w:rPr>
                <w:rFonts w:ascii="Arial" w:eastAsia="Arial" w:hAnsi="Arial" w:cs="Arial"/>
                <w:sz w:val="24"/>
                <w:szCs w:val="24"/>
                <w:shd w:val="clear" w:color="auto" w:fill="B8CCE4"/>
                <w:lang w:val="es-CO"/>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4"/>
              <w:gridCol w:w="2551"/>
              <w:gridCol w:w="2503"/>
              <w:gridCol w:w="2438"/>
            </w:tblGrid>
            <w:tr w:rsidR="005F6346" w14:paraId="78116878" w14:textId="77777777" w:rsidTr="00E0239A">
              <w:trPr>
                <w:jc w:val="center"/>
              </w:trPr>
              <w:tc>
                <w:tcPr>
                  <w:tcW w:w="944" w:type="pct"/>
                  <w:tcMar>
                    <w:top w:w="100" w:type="dxa"/>
                    <w:left w:w="100" w:type="dxa"/>
                    <w:bottom w:w="100" w:type="dxa"/>
                    <w:right w:w="100" w:type="dxa"/>
                  </w:tcMar>
                </w:tcPr>
                <w:p w14:paraId="4EF2597A"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Variable</w:t>
                  </w:r>
                </w:p>
              </w:tc>
              <w:tc>
                <w:tcPr>
                  <w:tcW w:w="1381" w:type="pct"/>
                  <w:tcMar>
                    <w:top w:w="100" w:type="dxa"/>
                    <w:left w:w="100" w:type="dxa"/>
                    <w:bottom w:w="100" w:type="dxa"/>
                    <w:right w:w="100" w:type="dxa"/>
                  </w:tcMar>
                </w:tcPr>
                <w:p w14:paraId="425F894B"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AD1E22">
                    <w:rPr>
                      <w:rFonts w:ascii="Arial" w:eastAsia="Arial" w:hAnsi="Arial" w:cs="Arial"/>
                      <w:sz w:val="14"/>
                      <w:szCs w:val="14"/>
                    </w:rPr>
                    <w:t>SANTIAGO DE CALI DISTRITO ESPECIAL - SECRETARIA DE CULTURA</w:t>
                  </w:r>
                </w:p>
              </w:tc>
              <w:tc>
                <w:tcPr>
                  <w:tcW w:w="1355" w:type="pct"/>
                  <w:tcMar>
                    <w:top w:w="100" w:type="dxa"/>
                    <w:left w:w="100" w:type="dxa"/>
                    <w:bottom w:w="100" w:type="dxa"/>
                    <w:right w:w="100" w:type="dxa"/>
                  </w:tcMar>
                </w:tcPr>
                <w:p w14:paraId="6622D244" w14:textId="77777777" w:rsidR="005F6346" w:rsidRDefault="005F6346" w:rsidP="005F6346">
                  <w:pPr>
                    <w:widowControl w:val="0"/>
                    <w:pBdr>
                      <w:top w:val="nil"/>
                      <w:left w:val="nil"/>
                      <w:bottom w:val="nil"/>
                      <w:right w:val="nil"/>
                      <w:between w:val="nil"/>
                    </w:pBdr>
                    <w:jc w:val="both"/>
                    <w:rPr>
                      <w:rFonts w:ascii="Arial" w:eastAsia="Arial" w:hAnsi="Arial" w:cs="Arial"/>
                      <w:sz w:val="14"/>
                      <w:szCs w:val="14"/>
                    </w:rPr>
                  </w:pPr>
                  <w:r w:rsidRPr="00627116">
                    <w:rPr>
                      <w:rFonts w:ascii="Arial" w:eastAsia="Arial" w:hAnsi="Arial" w:cs="Arial"/>
                      <w:sz w:val="14"/>
                      <w:szCs w:val="14"/>
                    </w:rPr>
                    <w:t>SANTIAGO DE CALI DISTRITO ESPECIAL - SECRETARIA DE DESARROLLO TERRITORIAL Y PARTICIPACION CIUDADANA</w:t>
                  </w:r>
                </w:p>
              </w:tc>
              <w:tc>
                <w:tcPr>
                  <w:tcW w:w="1320" w:type="pct"/>
                  <w:tcMar>
                    <w:top w:w="100" w:type="dxa"/>
                    <w:left w:w="100" w:type="dxa"/>
                    <w:bottom w:w="100" w:type="dxa"/>
                    <w:right w:w="100" w:type="dxa"/>
                  </w:tcMar>
                </w:tcPr>
                <w:p w14:paraId="60E97A9B"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262D8D">
                    <w:rPr>
                      <w:rFonts w:ascii="Arial" w:eastAsia="Arial" w:hAnsi="Arial" w:cs="Arial"/>
                      <w:sz w:val="14"/>
                      <w:szCs w:val="14"/>
                    </w:rPr>
                    <w:t>SANTIAGO DE CALI DISTRITO ESPECIAL - DEPARTAMENTO ADMINISTRATIVO DE TECNOLOGIAS DE LA INFORMACION Y LAS COMUNICACIONES</w:t>
                  </w:r>
                </w:p>
              </w:tc>
            </w:tr>
            <w:tr w:rsidR="005F6346" w14:paraId="27FDD87D" w14:textId="77777777" w:rsidTr="00E0239A">
              <w:trPr>
                <w:jc w:val="center"/>
              </w:trPr>
              <w:tc>
                <w:tcPr>
                  <w:tcW w:w="944" w:type="pct"/>
                  <w:tcMar>
                    <w:top w:w="100" w:type="dxa"/>
                    <w:left w:w="100" w:type="dxa"/>
                    <w:bottom w:w="100" w:type="dxa"/>
                    <w:right w:w="100" w:type="dxa"/>
                  </w:tcMar>
                </w:tcPr>
                <w:p w14:paraId="4EE1AD78"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Vigencia</w:t>
                  </w:r>
                </w:p>
              </w:tc>
              <w:tc>
                <w:tcPr>
                  <w:tcW w:w="1381" w:type="pct"/>
                  <w:tcMar>
                    <w:top w:w="100" w:type="dxa"/>
                    <w:left w:w="100" w:type="dxa"/>
                    <w:bottom w:w="100" w:type="dxa"/>
                    <w:right w:w="100" w:type="dxa"/>
                  </w:tcMar>
                </w:tcPr>
                <w:p w14:paraId="42C8A165"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2025</w:t>
                  </w:r>
                </w:p>
              </w:tc>
              <w:tc>
                <w:tcPr>
                  <w:tcW w:w="1355" w:type="pct"/>
                  <w:tcMar>
                    <w:top w:w="100" w:type="dxa"/>
                    <w:left w:w="100" w:type="dxa"/>
                    <w:bottom w:w="100" w:type="dxa"/>
                    <w:right w:w="100" w:type="dxa"/>
                  </w:tcMar>
                </w:tcPr>
                <w:p w14:paraId="25E48080"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2025</w:t>
                  </w:r>
                </w:p>
              </w:tc>
              <w:tc>
                <w:tcPr>
                  <w:tcW w:w="1320" w:type="pct"/>
                  <w:tcMar>
                    <w:top w:w="100" w:type="dxa"/>
                    <w:left w:w="100" w:type="dxa"/>
                    <w:bottom w:w="100" w:type="dxa"/>
                    <w:right w:w="100" w:type="dxa"/>
                  </w:tcMar>
                </w:tcPr>
                <w:p w14:paraId="4A227C0D"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2025</w:t>
                  </w:r>
                </w:p>
              </w:tc>
            </w:tr>
            <w:tr w:rsidR="005F6346" w14:paraId="47E0EF69" w14:textId="77777777" w:rsidTr="00E0239A">
              <w:trPr>
                <w:jc w:val="center"/>
              </w:trPr>
              <w:tc>
                <w:tcPr>
                  <w:tcW w:w="944" w:type="pct"/>
                  <w:tcMar>
                    <w:top w:w="100" w:type="dxa"/>
                    <w:left w:w="100" w:type="dxa"/>
                    <w:bottom w:w="100" w:type="dxa"/>
                    <w:right w:w="100" w:type="dxa"/>
                  </w:tcMar>
                </w:tcPr>
                <w:p w14:paraId="5066FE1D"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Número de proceso</w:t>
                  </w:r>
                </w:p>
              </w:tc>
              <w:tc>
                <w:tcPr>
                  <w:tcW w:w="1381" w:type="pct"/>
                  <w:tcMar>
                    <w:top w:w="100" w:type="dxa"/>
                    <w:left w:w="100" w:type="dxa"/>
                    <w:bottom w:w="100" w:type="dxa"/>
                    <w:right w:w="100" w:type="dxa"/>
                  </w:tcMar>
                </w:tcPr>
                <w:p w14:paraId="1A2F7C0C"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4</w:t>
                  </w:r>
                  <w:r w:rsidRPr="00AD1E22">
                    <w:rPr>
                      <w:rFonts w:ascii="Arial" w:eastAsia="Arial" w:hAnsi="Arial" w:cs="Arial"/>
                      <w:sz w:val="14"/>
                      <w:szCs w:val="14"/>
                    </w:rPr>
                    <w:t>148.010.32.1.1064-2025</w:t>
                  </w:r>
                </w:p>
              </w:tc>
              <w:tc>
                <w:tcPr>
                  <w:tcW w:w="1355" w:type="pct"/>
                  <w:tcMar>
                    <w:top w:w="100" w:type="dxa"/>
                    <w:left w:w="100" w:type="dxa"/>
                    <w:bottom w:w="100" w:type="dxa"/>
                    <w:right w:w="100" w:type="dxa"/>
                  </w:tcMar>
                </w:tcPr>
                <w:p w14:paraId="2AB6A636"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627116">
                    <w:rPr>
                      <w:rFonts w:ascii="Arial" w:eastAsia="Arial" w:hAnsi="Arial" w:cs="Arial"/>
                      <w:sz w:val="14"/>
                      <w:szCs w:val="14"/>
                    </w:rPr>
                    <w:t>4173.010.32.1.1279-2025</w:t>
                  </w:r>
                </w:p>
              </w:tc>
              <w:tc>
                <w:tcPr>
                  <w:tcW w:w="1320" w:type="pct"/>
                  <w:tcMar>
                    <w:top w:w="100" w:type="dxa"/>
                    <w:left w:w="100" w:type="dxa"/>
                    <w:bottom w:w="100" w:type="dxa"/>
                    <w:right w:w="100" w:type="dxa"/>
                  </w:tcMar>
                </w:tcPr>
                <w:p w14:paraId="3C1334E4"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262D8D">
                    <w:rPr>
                      <w:rFonts w:ascii="Arial" w:eastAsia="Arial" w:hAnsi="Arial" w:cs="Arial"/>
                      <w:sz w:val="14"/>
                      <w:szCs w:val="14"/>
                    </w:rPr>
                    <w:t>4134.010.32.1.0206-2025</w:t>
                  </w:r>
                </w:p>
              </w:tc>
            </w:tr>
            <w:tr w:rsidR="005F6346" w14:paraId="169E74E5" w14:textId="77777777" w:rsidTr="00E0239A">
              <w:trPr>
                <w:jc w:val="center"/>
              </w:trPr>
              <w:tc>
                <w:tcPr>
                  <w:tcW w:w="944" w:type="pct"/>
                  <w:tcMar>
                    <w:top w:w="100" w:type="dxa"/>
                    <w:left w:w="100" w:type="dxa"/>
                    <w:bottom w:w="100" w:type="dxa"/>
                    <w:right w:w="100" w:type="dxa"/>
                  </w:tcMar>
                </w:tcPr>
                <w:p w14:paraId="1B4D6E28" w14:textId="77777777" w:rsidR="005F6346" w:rsidRDefault="005F6346" w:rsidP="005F6346">
                  <w:pPr>
                    <w:widowControl w:val="0"/>
                    <w:rPr>
                      <w:rFonts w:ascii="Arial" w:eastAsia="Arial" w:hAnsi="Arial" w:cs="Arial"/>
                      <w:sz w:val="14"/>
                      <w:szCs w:val="14"/>
                    </w:rPr>
                  </w:pPr>
                  <w:proofErr w:type="gramStart"/>
                  <w:r>
                    <w:rPr>
                      <w:rFonts w:ascii="Arial" w:eastAsia="Arial" w:hAnsi="Arial" w:cs="Arial"/>
                      <w:sz w:val="14"/>
                      <w:szCs w:val="14"/>
                    </w:rPr>
                    <w:t>Link</w:t>
                  </w:r>
                  <w:proofErr w:type="gramEnd"/>
                  <w:r>
                    <w:rPr>
                      <w:rFonts w:ascii="Arial" w:eastAsia="Arial" w:hAnsi="Arial" w:cs="Arial"/>
                      <w:sz w:val="14"/>
                      <w:szCs w:val="14"/>
                    </w:rPr>
                    <w:t xml:space="preserve"> del proceso</w:t>
                  </w:r>
                </w:p>
              </w:tc>
              <w:tc>
                <w:tcPr>
                  <w:tcW w:w="1381" w:type="pct"/>
                  <w:tcMar>
                    <w:top w:w="100" w:type="dxa"/>
                    <w:left w:w="100" w:type="dxa"/>
                    <w:bottom w:w="100" w:type="dxa"/>
                    <w:right w:w="100" w:type="dxa"/>
                  </w:tcMar>
                </w:tcPr>
                <w:p w14:paraId="0487B44D" w14:textId="77777777" w:rsidR="005F6346" w:rsidRPr="0044597A" w:rsidRDefault="005F6346" w:rsidP="005F6346">
                  <w:pPr>
                    <w:widowControl w:val="0"/>
                    <w:pBdr>
                      <w:top w:val="nil"/>
                      <w:left w:val="nil"/>
                      <w:bottom w:val="nil"/>
                      <w:right w:val="nil"/>
                      <w:between w:val="nil"/>
                    </w:pBdr>
                    <w:rPr>
                      <w:rFonts w:ascii="Arial" w:eastAsia="Arial" w:hAnsi="Arial" w:cs="Arial"/>
                      <w:sz w:val="14"/>
                      <w:szCs w:val="14"/>
                    </w:rPr>
                  </w:pPr>
                  <w:hyperlink r:id="rId20" w:history="1">
                    <w:r w:rsidRPr="0093643F">
                      <w:rPr>
                        <w:rStyle w:val="Hipervnculo"/>
                        <w:rFonts w:ascii="Arial" w:hAnsi="Arial" w:cs="Arial"/>
                        <w:sz w:val="14"/>
                        <w:szCs w:val="14"/>
                      </w:rPr>
                      <w:t>https://n9.cl/rsf79</w:t>
                    </w:r>
                  </w:hyperlink>
                  <w:r>
                    <w:rPr>
                      <w:rFonts w:ascii="Arial" w:hAnsi="Arial" w:cs="Arial"/>
                      <w:sz w:val="14"/>
                      <w:szCs w:val="14"/>
                    </w:rPr>
                    <w:t xml:space="preserve"> </w:t>
                  </w:r>
                </w:p>
              </w:tc>
              <w:tc>
                <w:tcPr>
                  <w:tcW w:w="1355" w:type="pct"/>
                  <w:tcMar>
                    <w:top w:w="100" w:type="dxa"/>
                    <w:left w:w="100" w:type="dxa"/>
                    <w:bottom w:w="100" w:type="dxa"/>
                    <w:right w:w="100" w:type="dxa"/>
                  </w:tcMar>
                </w:tcPr>
                <w:p w14:paraId="651C9130" w14:textId="77777777" w:rsidR="005F6346" w:rsidRPr="006B7FC9" w:rsidRDefault="005F6346" w:rsidP="005F6346">
                  <w:pPr>
                    <w:widowControl w:val="0"/>
                    <w:pBdr>
                      <w:top w:val="nil"/>
                      <w:left w:val="nil"/>
                      <w:bottom w:val="nil"/>
                      <w:right w:val="nil"/>
                      <w:between w:val="nil"/>
                    </w:pBdr>
                    <w:rPr>
                      <w:rFonts w:ascii="Arial" w:eastAsia="Arial" w:hAnsi="Arial" w:cs="Arial"/>
                      <w:sz w:val="14"/>
                      <w:szCs w:val="14"/>
                    </w:rPr>
                  </w:pPr>
                  <w:hyperlink r:id="rId21" w:history="1">
                    <w:r w:rsidRPr="0093643F">
                      <w:rPr>
                        <w:rStyle w:val="Hipervnculo"/>
                        <w:rFonts w:ascii="Arial" w:hAnsi="Arial" w:cs="Arial"/>
                        <w:sz w:val="14"/>
                        <w:szCs w:val="14"/>
                      </w:rPr>
                      <w:t>https://n9.cl/cd9wz</w:t>
                    </w:r>
                  </w:hyperlink>
                  <w:r>
                    <w:rPr>
                      <w:rFonts w:ascii="Arial" w:hAnsi="Arial" w:cs="Arial"/>
                      <w:sz w:val="14"/>
                      <w:szCs w:val="14"/>
                    </w:rPr>
                    <w:t xml:space="preserve"> </w:t>
                  </w:r>
                </w:p>
              </w:tc>
              <w:tc>
                <w:tcPr>
                  <w:tcW w:w="1320" w:type="pct"/>
                  <w:tcMar>
                    <w:top w:w="100" w:type="dxa"/>
                    <w:left w:w="100" w:type="dxa"/>
                    <w:bottom w:w="100" w:type="dxa"/>
                    <w:right w:w="100" w:type="dxa"/>
                  </w:tcMar>
                </w:tcPr>
                <w:p w14:paraId="13FAC684" w14:textId="77777777" w:rsidR="005F6346" w:rsidRDefault="005F6346" w:rsidP="005F6346">
                  <w:pPr>
                    <w:widowControl w:val="0"/>
                    <w:pBdr>
                      <w:top w:val="nil"/>
                      <w:left w:val="nil"/>
                      <w:bottom w:val="nil"/>
                      <w:right w:val="nil"/>
                      <w:between w:val="nil"/>
                    </w:pBdr>
                    <w:rPr>
                      <w:rFonts w:ascii="Arial" w:eastAsia="Arial" w:hAnsi="Arial" w:cs="Arial"/>
                      <w:sz w:val="14"/>
                      <w:szCs w:val="14"/>
                    </w:rPr>
                  </w:pPr>
                  <w:hyperlink r:id="rId22" w:history="1">
                    <w:r w:rsidRPr="0093643F">
                      <w:rPr>
                        <w:rStyle w:val="Hipervnculo"/>
                        <w:rFonts w:ascii="Arial" w:eastAsia="Arial" w:hAnsi="Arial" w:cs="Arial"/>
                        <w:sz w:val="14"/>
                        <w:szCs w:val="14"/>
                      </w:rPr>
                      <w:t>https://n9.cl/84zgx</w:t>
                    </w:r>
                  </w:hyperlink>
                  <w:r>
                    <w:rPr>
                      <w:rFonts w:ascii="Arial" w:eastAsia="Arial" w:hAnsi="Arial" w:cs="Arial"/>
                      <w:sz w:val="14"/>
                      <w:szCs w:val="14"/>
                    </w:rPr>
                    <w:t xml:space="preserve"> </w:t>
                  </w:r>
                </w:p>
              </w:tc>
            </w:tr>
            <w:tr w:rsidR="005F6346" w14:paraId="7F525486" w14:textId="77777777" w:rsidTr="00E0239A">
              <w:trPr>
                <w:jc w:val="center"/>
              </w:trPr>
              <w:tc>
                <w:tcPr>
                  <w:tcW w:w="944" w:type="pct"/>
                  <w:tcMar>
                    <w:top w:w="100" w:type="dxa"/>
                    <w:left w:w="100" w:type="dxa"/>
                    <w:bottom w:w="100" w:type="dxa"/>
                    <w:right w:w="100" w:type="dxa"/>
                  </w:tcMar>
                </w:tcPr>
                <w:p w14:paraId="57F73ED8"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Modalidad de contratación</w:t>
                  </w:r>
                </w:p>
              </w:tc>
              <w:tc>
                <w:tcPr>
                  <w:tcW w:w="1381" w:type="pct"/>
                  <w:tcMar>
                    <w:top w:w="100" w:type="dxa"/>
                    <w:left w:w="100" w:type="dxa"/>
                    <w:bottom w:w="100" w:type="dxa"/>
                    <w:right w:w="100" w:type="dxa"/>
                  </w:tcMar>
                </w:tcPr>
                <w:p w14:paraId="4332D383"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44597A">
                    <w:rPr>
                      <w:rFonts w:ascii="Arial" w:eastAsia="Arial" w:hAnsi="Arial" w:cs="Arial"/>
                      <w:sz w:val="14"/>
                      <w:szCs w:val="14"/>
                    </w:rPr>
                    <w:t>Concurso de méritos abierto</w:t>
                  </w:r>
                </w:p>
              </w:tc>
              <w:tc>
                <w:tcPr>
                  <w:tcW w:w="1355" w:type="pct"/>
                  <w:tcMar>
                    <w:top w:w="100" w:type="dxa"/>
                    <w:left w:w="100" w:type="dxa"/>
                    <w:bottom w:w="100" w:type="dxa"/>
                    <w:right w:w="100" w:type="dxa"/>
                  </w:tcMar>
                </w:tcPr>
                <w:p w14:paraId="0FE929C6" w14:textId="77777777" w:rsidR="005F6346" w:rsidRDefault="005F6346" w:rsidP="005F6346">
                  <w:pPr>
                    <w:widowControl w:val="0"/>
                    <w:rPr>
                      <w:rFonts w:ascii="Arial" w:eastAsia="Arial" w:hAnsi="Arial" w:cs="Arial"/>
                      <w:sz w:val="14"/>
                      <w:szCs w:val="14"/>
                    </w:rPr>
                  </w:pPr>
                  <w:r w:rsidRPr="00137BA5">
                    <w:rPr>
                      <w:rFonts w:ascii="Arial" w:eastAsia="Arial" w:hAnsi="Arial" w:cs="Arial"/>
                      <w:sz w:val="14"/>
                      <w:szCs w:val="14"/>
                    </w:rPr>
                    <w:t>Concurso de méritos abierto</w:t>
                  </w:r>
                </w:p>
              </w:tc>
              <w:tc>
                <w:tcPr>
                  <w:tcW w:w="1320" w:type="pct"/>
                  <w:tcMar>
                    <w:top w:w="100" w:type="dxa"/>
                    <w:left w:w="100" w:type="dxa"/>
                    <w:bottom w:w="100" w:type="dxa"/>
                    <w:right w:w="100" w:type="dxa"/>
                  </w:tcMar>
                </w:tcPr>
                <w:p w14:paraId="7EF45AF5" w14:textId="77777777" w:rsidR="005F6346" w:rsidRDefault="005F6346" w:rsidP="005F6346">
                  <w:pPr>
                    <w:widowControl w:val="0"/>
                    <w:rPr>
                      <w:rFonts w:ascii="Arial" w:eastAsia="Arial" w:hAnsi="Arial" w:cs="Arial"/>
                      <w:sz w:val="14"/>
                      <w:szCs w:val="14"/>
                    </w:rPr>
                  </w:pPr>
                  <w:r w:rsidRPr="00137BA5">
                    <w:rPr>
                      <w:rFonts w:ascii="Arial" w:eastAsia="Arial" w:hAnsi="Arial" w:cs="Arial"/>
                      <w:sz w:val="14"/>
                      <w:szCs w:val="14"/>
                    </w:rPr>
                    <w:t>Concurso de méritos abierto</w:t>
                  </w:r>
                </w:p>
              </w:tc>
            </w:tr>
            <w:tr w:rsidR="005F6346" w14:paraId="349D4C77" w14:textId="77777777" w:rsidTr="00E0239A">
              <w:trPr>
                <w:jc w:val="center"/>
              </w:trPr>
              <w:tc>
                <w:tcPr>
                  <w:tcW w:w="944" w:type="pct"/>
                  <w:tcMar>
                    <w:top w:w="100" w:type="dxa"/>
                    <w:left w:w="100" w:type="dxa"/>
                    <w:bottom w:w="100" w:type="dxa"/>
                    <w:right w:w="100" w:type="dxa"/>
                  </w:tcMar>
                </w:tcPr>
                <w:p w14:paraId="14818BB3"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Cantidad de proveedores</w:t>
                  </w:r>
                </w:p>
              </w:tc>
              <w:tc>
                <w:tcPr>
                  <w:tcW w:w="1381" w:type="pct"/>
                  <w:tcMar>
                    <w:top w:w="100" w:type="dxa"/>
                    <w:left w:w="100" w:type="dxa"/>
                    <w:bottom w:w="100" w:type="dxa"/>
                    <w:right w:w="100" w:type="dxa"/>
                  </w:tcMar>
                </w:tcPr>
                <w:p w14:paraId="48D8FE9C"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12</w:t>
                  </w:r>
                </w:p>
              </w:tc>
              <w:tc>
                <w:tcPr>
                  <w:tcW w:w="1355" w:type="pct"/>
                  <w:tcMar>
                    <w:top w:w="100" w:type="dxa"/>
                    <w:left w:w="100" w:type="dxa"/>
                    <w:bottom w:w="100" w:type="dxa"/>
                    <w:right w:w="100" w:type="dxa"/>
                  </w:tcMar>
                </w:tcPr>
                <w:p w14:paraId="47AC836F"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3</w:t>
                  </w:r>
                </w:p>
              </w:tc>
              <w:tc>
                <w:tcPr>
                  <w:tcW w:w="1320" w:type="pct"/>
                  <w:tcMar>
                    <w:top w:w="100" w:type="dxa"/>
                    <w:left w:w="100" w:type="dxa"/>
                    <w:bottom w:w="100" w:type="dxa"/>
                    <w:right w:w="100" w:type="dxa"/>
                  </w:tcMar>
                </w:tcPr>
                <w:p w14:paraId="403B0E38"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1</w:t>
                  </w:r>
                </w:p>
              </w:tc>
            </w:tr>
            <w:tr w:rsidR="005F6346" w14:paraId="22A27D28" w14:textId="77777777" w:rsidTr="00E0239A">
              <w:trPr>
                <w:trHeight w:val="3231"/>
                <w:jc w:val="center"/>
              </w:trPr>
              <w:tc>
                <w:tcPr>
                  <w:tcW w:w="944" w:type="pct"/>
                  <w:tcMar>
                    <w:top w:w="100" w:type="dxa"/>
                    <w:left w:w="100" w:type="dxa"/>
                    <w:bottom w:w="100" w:type="dxa"/>
                    <w:right w:w="100" w:type="dxa"/>
                  </w:tcMar>
                </w:tcPr>
                <w:p w14:paraId="118B4E12"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lastRenderedPageBreak/>
                    <w:t>Objeto contractual</w:t>
                  </w:r>
                </w:p>
              </w:tc>
              <w:tc>
                <w:tcPr>
                  <w:tcW w:w="1381" w:type="pct"/>
                  <w:tcMar>
                    <w:top w:w="100" w:type="dxa"/>
                    <w:left w:w="100" w:type="dxa"/>
                    <w:bottom w:w="100" w:type="dxa"/>
                    <w:right w:w="100" w:type="dxa"/>
                  </w:tcMar>
                </w:tcPr>
                <w:p w14:paraId="283EBE0A" w14:textId="1120AFA2"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I</w:t>
                  </w:r>
                  <w:r w:rsidRPr="00AD1E22">
                    <w:rPr>
                      <w:rFonts w:ascii="Arial" w:eastAsia="Arial" w:hAnsi="Arial" w:cs="Arial"/>
                      <w:sz w:val="14"/>
                      <w:szCs w:val="14"/>
                    </w:rPr>
                    <w:t xml:space="preserve">NTERVENTORÍA TÉCNICA, ADMINISTRATIVA, FINANCIERA Y JURÍDICA DE LAS OBRAS CIVILES PARA LA INTERVENCIÓN DE REPARACIONES LOCATIVAS, MODIFICACIÓN, ADECUACIÓN Y DEMÁS ACTIVIDADES COMPLEMENTARIAS PARA LA CONSERVACIÓN Y MEJORAMIENTO DE LOS </w:t>
                  </w:r>
                  <w:r w:rsidR="00ED1E4E" w:rsidRPr="00AD1E22">
                    <w:rPr>
                      <w:rFonts w:ascii="Arial" w:eastAsia="Arial" w:hAnsi="Arial" w:cs="Arial"/>
                      <w:sz w:val="14"/>
                      <w:szCs w:val="14"/>
                    </w:rPr>
                    <w:t>EQUIPAMIENTOS Y CENTROS CULTURALES</w:t>
                  </w:r>
                  <w:r w:rsidRPr="00AD1E22">
                    <w:rPr>
                      <w:rFonts w:ascii="Arial" w:eastAsia="Arial" w:hAnsi="Arial" w:cs="Arial"/>
                      <w:sz w:val="14"/>
                      <w:szCs w:val="14"/>
                    </w:rPr>
                    <w:t xml:space="preserve"> DEL DISTRITO DE SANTIAGO DE CALI"</w:t>
                  </w:r>
                </w:p>
              </w:tc>
              <w:tc>
                <w:tcPr>
                  <w:tcW w:w="1355" w:type="pct"/>
                  <w:tcMar>
                    <w:top w:w="100" w:type="dxa"/>
                    <w:left w:w="100" w:type="dxa"/>
                    <w:bottom w:w="100" w:type="dxa"/>
                    <w:right w:w="100" w:type="dxa"/>
                  </w:tcMar>
                </w:tcPr>
                <w:p w14:paraId="0A0D53A3"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627116">
                    <w:rPr>
                      <w:rFonts w:ascii="Arial" w:eastAsia="Arial" w:hAnsi="Arial" w:cs="Arial"/>
                      <w:sz w:val="14"/>
                      <w:szCs w:val="14"/>
                    </w:rPr>
                    <w:t>REALIZAR LA INTERVENTORÍA TÉCNICA, ADMINISTRATIVA, FINANCIERA, JURÍDICA Y AMBIENTAL AL MANTENIMIENTO PREVENTIVO Y CORRECTIVO DE LOS EQUIPAMIENTOS INSTITUCIONALES DEL DISTRITO ESPECIAL DE SANTIAGO DE CALI: CENTRO DE ADMINISTRACIÓN LOCAL INTEGRADA EN LA COMUNA 19</w:t>
                  </w:r>
                </w:p>
              </w:tc>
              <w:tc>
                <w:tcPr>
                  <w:tcW w:w="1320" w:type="pct"/>
                  <w:tcMar>
                    <w:top w:w="100" w:type="dxa"/>
                    <w:left w:w="100" w:type="dxa"/>
                    <w:bottom w:w="100" w:type="dxa"/>
                    <w:right w:w="100" w:type="dxa"/>
                  </w:tcMar>
                </w:tcPr>
                <w:p w14:paraId="3C4E4B10"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262D8D">
                    <w:rPr>
                      <w:rFonts w:ascii="Arial" w:eastAsia="Arial" w:hAnsi="Arial" w:cs="Arial"/>
                      <w:sz w:val="14"/>
                      <w:szCs w:val="14"/>
                    </w:rPr>
                    <w:t>EMPRESTITO- REALIZAR LA INTERVENTORÍA TÉCNICA, JURÍDICA, ADMINISTRATIVA, FINANCIERA, CONTABLE Y DE CONTROL PRESUPUESTAL AL CONTRATO QUE TENDRÁ POR OBJETO: IMPLEMENTAR SOLUCIONES TECNOLÓGICAS PARA MODERNIZAR LA INFRAESTRUCTURA DE LA ENTIDAD, OPTIMIZAR LA GESTIÓN DE BASES DE DATOS Y SISTEMAS DE INFORMACIÓN, GARANTIZAR LA SEGURIDAD INFORMÁTICA, FORTALECER LOS SISTEMAS DE RECUPERACIÓN ANTE DESASTRES Y RESPALDO DE INFORMACIÓN ON-PREMISE PARA LA ALCALDÍA DEL DISTRITO ESPECIAL DE SANTIAGO DE CALI.</w:t>
                  </w:r>
                </w:p>
              </w:tc>
            </w:tr>
            <w:tr w:rsidR="005F6346" w14:paraId="17529F8F" w14:textId="77777777" w:rsidTr="00E0239A">
              <w:trPr>
                <w:jc w:val="center"/>
              </w:trPr>
              <w:tc>
                <w:tcPr>
                  <w:tcW w:w="944" w:type="pct"/>
                  <w:tcMar>
                    <w:top w:w="100" w:type="dxa"/>
                    <w:left w:w="100" w:type="dxa"/>
                    <w:bottom w:w="100" w:type="dxa"/>
                    <w:right w:w="100" w:type="dxa"/>
                  </w:tcMar>
                </w:tcPr>
                <w:p w14:paraId="4EA820ED"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Valor del contrato</w:t>
                  </w:r>
                </w:p>
              </w:tc>
              <w:tc>
                <w:tcPr>
                  <w:tcW w:w="1381" w:type="pct"/>
                  <w:tcMar>
                    <w:top w:w="100" w:type="dxa"/>
                    <w:left w:w="100" w:type="dxa"/>
                    <w:bottom w:w="100" w:type="dxa"/>
                    <w:right w:w="100" w:type="dxa"/>
                  </w:tcMar>
                </w:tcPr>
                <w:p w14:paraId="2304032F"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 xml:space="preserve">$ </w:t>
                  </w:r>
                  <w:r w:rsidRPr="00AD1E22">
                    <w:rPr>
                      <w:rFonts w:ascii="Arial" w:eastAsia="Arial" w:hAnsi="Arial" w:cs="Arial"/>
                      <w:sz w:val="14"/>
                      <w:szCs w:val="14"/>
                    </w:rPr>
                    <w:t>599.955.458</w:t>
                  </w:r>
                </w:p>
              </w:tc>
              <w:tc>
                <w:tcPr>
                  <w:tcW w:w="1355" w:type="pct"/>
                  <w:tcMar>
                    <w:top w:w="100" w:type="dxa"/>
                    <w:left w:w="100" w:type="dxa"/>
                    <w:bottom w:w="100" w:type="dxa"/>
                    <w:right w:w="100" w:type="dxa"/>
                  </w:tcMar>
                </w:tcPr>
                <w:p w14:paraId="6BFAE8CE"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 xml:space="preserve">$ </w:t>
                  </w:r>
                  <w:r w:rsidRPr="00F81680">
                    <w:rPr>
                      <w:rFonts w:ascii="Arial" w:eastAsia="Arial" w:hAnsi="Arial" w:cs="Arial"/>
                      <w:sz w:val="14"/>
                      <w:szCs w:val="14"/>
                    </w:rPr>
                    <w:t>592.999.584</w:t>
                  </w:r>
                </w:p>
              </w:tc>
              <w:tc>
                <w:tcPr>
                  <w:tcW w:w="1320" w:type="pct"/>
                  <w:tcMar>
                    <w:top w:w="100" w:type="dxa"/>
                    <w:left w:w="100" w:type="dxa"/>
                    <w:bottom w:w="100" w:type="dxa"/>
                    <w:right w:w="100" w:type="dxa"/>
                  </w:tcMar>
                </w:tcPr>
                <w:p w14:paraId="13C212A9"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Pr>
                      <w:rFonts w:ascii="Arial" w:eastAsia="Arial" w:hAnsi="Arial" w:cs="Arial"/>
                      <w:sz w:val="14"/>
                      <w:szCs w:val="14"/>
                    </w:rPr>
                    <w:t xml:space="preserve">$ </w:t>
                  </w:r>
                  <w:r w:rsidRPr="00262D8D">
                    <w:rPr>
                      <w:rFonts w:ascii="Arial" w:eastAsia="Arial" w:hAnsi="Arial" w:cs="Arial"/>
                      <w:sz w:val="14"/>
                      <w:szCs w:val="14"/>
                    </w:rPr>
                    <w:t>824.287.971</w:t>
                  </w:r>
                </w:p>
              </w:tc>
            </w:tr>
            <w:tr w:rsidR="005F6346" w14:paraId="1C0D111E" w14:textId="77777777" w:rsidTr="00E0239A">
              <w:trPr>
                <w:jc w:val="center"/>
              </w:trPr>
              <w:tc>
                <w:tcPr>
                  <w:tcW w:w="944" w:type="pct"/>
                  <w:tcMar>
                    <w:top w:w="100" w:type="dxa"/>
                    <w:left w:w="100" w:type="dxa"/>
                    <w:bottom w:w="100" w:type="dxa"/>
                    <w:right w:w="100" w:type="dxa"/>
                  </w:tcMar>
                </w:tcPr>
                <w:p w14:paraId="57BFF356"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Proveedor</w:t>
                  </w:r>
                </w:p>
              </w:tc>
              <w:tc>
                <w:tcPr>
                  <w:tcW w:w="1381" w:type="pct"/>
                  <w:tcMar>
                    <w:top w:w="100" w:type="dxa"/>
                    <w:left w:w="100" w:type="dxa"/>
                    <w:bottom w:w="100" w:type="dxa"/>
                    <w:right w:w="100" w:type="dxa"/>
                  </w:tcMar>
                </w:tcPr>
                <w:p w14:paraId="79E70188" w14:textId="77777777" w:rsidR="005F6346" w:rsidRPr="003278AF" w:rsidRDefault="005F6346" w:rsidP="005F6346">
                  <w:pPr>
                    <w:widowControl w:val="0"/>
                    <w:pBdr>
                      <w:top w:val="nil"/>
                      <w:left w:val="nil"/>
                      <w:bottom w:val="nil"/>
                      <w:right w:val="nil"/>
                      <w:between w:val="nil"/>
                    </w:pBdr>
                    <w:rPr>
                      <w:rFonts w:ascii="Arial" w:eastAsia="Arial" w:hAnsi="Arial" w:cs="Arial"/>
                      <w:sz w:val="14"/>
                      <w:szCs w:val="14"/>
                      <w:lang w:val="pt-PT"/>
                    </w:rPr>
                  </w:pPr>
                  <w:r w:rsidRPr="00AD1E22">
                    <w:rPr>
                      <w:rFonts w:ascii="Arial" w:eastAsia="Arial" w:hAnsi="Arial" w:cs="Arial"/>
                      <w:sz w:val="14"/>
                      <w:szCs w:val="14"/>
                      <w:lang w:val="pt-PT"/>
                    </w:rPr>
                    <w:t>LITORAL CONSULTING SAS</w:t>
                  </w:r>
                </w:p>
              </w:tc>
              <w:tc>
                <w:tcPr>
                  <w:tcW w:w="1355" w:type="pct"/>
                  <w:tcMar>
                    <w:top w:w="100" w:type="dxa"/>
                    <w:left w:w="100" w:type="dxa"/>
                    <w:bottom w:w="100" w:type="dxa"/>
                    <w:right w:w="100" w:type="dxa"/>
                  </w:tcMar>
                </w:tcPr>
                <w:p w14:paraId="2E32AFB3"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F81680">
                    <w:rPr>
                      <w:rFonts w:ascii="Arial" w:eastAsia="Arial" w:hAnsi="Arial" w:cs="Arial"/>
                      <w:sz w:val="14"/>
                      <w:szCs w:val="14"/>
                    </w:rPr>
                    <w:t>UT INTERVENTORIA C19</w:t>
                  </w:r>
                </w:p>
              </w:tc>
              <w:tc>
                <w:tcPr>
                  <w:tcW w:w="1320" w:type="pct"/>
                  <w:tcMar>
                    <w:top w:w="100" w:type="dxa"/>
                    <w:left w:w="100" w:type="dxa"/>
                    <w:bottom w:w="100" w:type="dxa"/>
                    <w:right w:w="100" w:type="dxa"/>
                  </w:tcMar>
                </w:tcPr>
                <w:p w14:paraId="698B3214"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262D8D">
                    <w:rPr>
                      <w:rFonts w:ascii="Arial" w:eastAsia="Arial" w:hAnsi="Arial" w:cs="Arial"/>
                      <w:sz w:val="14"/>
                      <w:szCs w:val="14"/>
                    </w:rPr>
                    <w:t>VISION GANADORA BY VALDES GALEANO S.A.S.</w:t>
                  </w:r>
                </w:p>
              </w:tc>
            </w:tr>
            <w:tr w:rsidR="005F6346" w14:paraId="3DBC8881" w14:textId="77777777" w:rsidTr="00E0239A">
              <w:trPr>
                <w:jc w:val="center"/>
              </w:trPr>
              <w:tc>
                <w:tcPr>
                  <w:tcW w:w="944" w:type="pct"/>
                  <w:tcMar>
                    <w:top w:w="100" w:type="dxa"/>
                    <w:left w:w="100" w:type="dxa"/>
                    <w:bottom w:w="100" w:type="dxa"/>
                    <w:right w:w="100" w:type="dxa"/>
                  </w:tcMar>
                </w:tcPr>
                <w:p w14:paraId="3C567C4C"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Tiempo de ejecución</w:t>
                  </w:r>
                </w:p>
              </w:tc>
              <w:tc>
                <w:tcPr>
                  <w:tcW w:w="1381" w:type="pct"/>
                  <w:tcMar>
                    <w:top w:w="100" w:type="dxa"/>
                    <w:left w:w="100" w:type="dxa"/>
                    <w:bottom w:w="100" w:type="dxa"/>
                    <w:right w:w="100" w:type="dxa"/>
                  </w:tcMar>
                </w:tcPr>
                <w:p w14:paraId="5CEB45A0"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F81680">
                    <w:rPr>
                      <w:rFonts w:ascii="Arial" w:eastAsia="Arial" w:hAnsi="Arial" w:cs="Arial"/>
                      <w:sz w:val="14"/>
                      <w:szCs w:val="14"/>
                    </w:rPr>
                    <w:t>7 (Meses)</w:t>
                  </w:r>
                </w:p>
              </w:tc>
              <w:tc>
                <w:tcPr>
                  <w:tcW w:w="1355" w:type="pct"/>
                  <w:tcMar>
                    <w:top w:w="100" w:type="dxa"/>
                    <w:left w:w="100" w:type="dxa"/>
                    <w:bottom w:w="100" w:type="dxa"/>
                    <w:right w:w="100" w:type="dxa"/>
                  </w:tcMar>
                </w:tcPr>
                <w:p w14:paraId="48DAF90B"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F81680">
                    <w:rPr>
                      <w:rFonts w:ascii="Arial" w:eastAsia="Arial" w:hAnsi="Arial" w:cs="Arial"/>
                      <w:sz w:val="14"/>
                      <w:szCs w:val="14"/>
                    </w:rPr>
                    <w:t>10 (Meses)</w:t>
                  </w:r>
                </w:p>
              </w:tc>
              <w:tc>
                <w:tcPr>
                  <w:tcW w:w="1320" w:type="pct"/>
                  <w:tcMar>
                    <w:top w:w="100" w:type="dxa"/>
                    <w:left w:w="100" w:type="dxa"/>
                    <w:bottom w:w="100" w:type="dxa"/>
                    <w:right w:w="100" w:type="dxa"/>
                  </w:tcMar>
                </w:tcPr>
                <w:p w14:paraId="139106BF"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262D8D">
                    <w:rPr>
                      <w:rFonts w:ascii="Arial" w:eastAsia="Arial" w:hAnsi="Arial" w:cs="Arial"/>
                      <w:sz w:val="14"/>
                      <w:szCs w:val="14"/>
                    </w:rPr>
                    <w:t>3 (Meses)</w:t>
                  </w:r>
                </w:p>
              </w:tc>
            </w:tr>
            <w:tr w:rsidR="005F6346" w14:paraId="5BC83AD6" w14:textId="77777777" w:rsidTr="00E0239A">
              <w:trPr>
                <w:jc w:val="center"/>
              </w:trPr>
              <w:tc>
                <w:tcPr>
                  <w:tcW w:w="944" w:type="pct"/>
                  <w:tcMar>
                    <w:top w:w="100" w:type="dxa"/>
                    <w:left w:w="100" w:type="dxa"/>
                    <w:bottom w:w="100" w:type="dxa"/>
                    <w:right w:w="100" w:type="dxa"/>
                  </w:tcMar>
                </w:tcPr>
                <w:p w14:paraId="04CDA2C5"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Forma de pago</w:t>
                  </w:r>
                </w:p>
              </w:tc>
              <w:tc>
                <w:tcPr>
                  <w:tcW w:w="1381" w:type="pct"/>
                  <w:tcMar>
                    <w:top w:w="100" w:type="dxa"/>
                    <w:left w:w="100" w:type="dxa"/>
                    <w:bottom w:w="100" w:type="dxa"/>
                    <w:right w:w="100" w:type="dxa"/>
                  </w:tcMar>
                </w:tcPr>
                <w:p w14:paraId="5FEA143D" w14:textId="58A014CA" w:rsidR="005F6346" w:rsidRPr="00266FF9" w:rsidRDefault="005F6346" w:rsidP="005F6346">
                  <w:pPr>
                    <w:widowControl w:val="0"/>
                    <w:pBdr>
                      <w:top w:val="nil"/>
                      <w:left w:val="nil"/>
                      <w:bottom w:val="nil"/>
                      <w:right w:val="nil"/>
                      <w:between w:val="nil"/>
                    </w:pBdr>
                    <w:jc w:val="both"/>
                    <w:rPr>
                      <w:rFonts w:ascii="Arial" w:eastAsia="Arial" w:hAnsi="Arial" w:cs="Arial"/>
                      <w:sz w:val="14"/>
                      <w:szCs w:val="14"/>
                    </w:rPr>
                  </w:pPr>
                  <w:r w:rsidRPr="00AD1E22">
                    <w:rPr>
                      <w:rFonts w:ascii="Arial" w:eastAsia="Arial" w:hAnsi="Arial" w:cs="Arial"/>
                      <w:sz w:val="14"/>
                      <w:szCs w:val="14"/>
                    </w:rPr>
                    <w:t xml:space="preserve">El valor del contrato se cancelará por Precio Global y de acuerdo con el valor del Contrato base en pagos parciales mensuales en </w:t>
                  </w:r>
                  <w:r w:rsidR="00ED1E4E" w:rsidRPr="00AD1E22">
                    <w:rPr>
                      <w:rFonts w:ascii="Arial" w:eastAsia="Arial" w:hAnsi="Arial" w:cs="Arial"/>
                      <w:sz w:val="14"/>
                      <w:szCs w:val="14"/>
                    </w:rPr>
                    <w:t>pesos colombianos</w:t>
                  </w:r>
                  <w:r w:rsidRPr="00AD1E22">
                    <w:rPr>
                      <w:rFonts w:ascii="Arial" w:eastAsia="Arial" w:hAnsi="Arial" w:cs="Arial"/>
                      <w:sz w:val="14"/>
                      <w:szCs w:val="14"/>
                    </w:rPr>
                    <w:t xml:space="preserve"> por avance de obra, de acuerdo con las cantidades de obra realmente ejecutadas, revisadas, aceptadas y recibidas a satisfacción por la interventoría en el mes inmediatamente anterior hasta el 90% del valor del Contrato. El 10% restante se pagará contra el acta final de recibo a satisfacción de la obra y la liquidación del contrato de interventoría.”</w:t>
                  </w:r>
                </w:p>
              </w:tc>
              <w:tc>
                <w:tcPr>
                  <w:tcW w:w="1355" w:type="pct"/>
                  <w:tcMar>
                    <w:top w:w="100" w:type="dxa"/>
                    <w:left w:w="100" w:type="dxa"/>
                    <w:bottom w:w="100" w:type="dxa"/>
                    <w:right w:w="100" w:type="dxa"/>
                  </w:tcMar>
                </w:tcPr>
                <w:p w14:paraId="32175C9A" w14:textId="77777777" w:rsidR="005F6346" w:rsidRPr="00F81680" w:rsidRDefault="005F6346" w:rsidP="005F6346">
                  <w:pPr>
                    <w:widowControl w:val="0"/>
                    <w:pBdr>
                      <w:top w:val="nil"/>
                      <w:left w:val="nil"/>
                      <w:bottom w:val="nil"/>
                      <w:right w:val="nil"/>
                      <w:between w:val="nil"/>
                    </w:pBdr>
                    <w:jc w:val="both"/>
                    <w:rPr>
                      <w:rFonts w:ascii="Arial" w:eastAsia="Arial" w:hAnsi="Arial" w:cs="Arial"/>
                      <w:sz w:val="14"/>
                      <w:szCs w:val="14"/>
                    </w:rPr>
                  </w:pPr>
                  <w:r w:rsidRPr="00F81680">
                    <w:rPr>
                      <w:rFonts w:ascii="Arial" w:eastAsia="Arial" w:hAnsi="Arial" w:cs="Arial"/>
                      <w:sz w:val="14"/>
                      <w:szCs w:val="14"/>
                    </w:rPr>
                    <w:t>CUOTAS FIJAS MENSUALES: Correspondientes al NOVENTA POR CIENTO (90%) del valor total del proyecto de interventoría. Se pagarán 9 cuotas mensuales de máximo $59.399.105.</w:t>
                  </w:r>
                </w:p>
                <w:p w14:paraId="45483DC3" w14:textId="77777777" w:rsidR="005F6346" w:rsidRDefault="005F6346" w:rsidP="005F6346">
                  <w:pPr>
                    <w:widowControl w:val="0"/>
                    <w:pBdr>
                      <w:top w:val="nil"/>
                      <w:left w:val="nil"/>
                      <w:bottom w:val="nil"/>
                      <w:right w:val="nil"/>
                      <w:between w:val="nil"/>
                    </w:pBdr>
                    <w:jc w:val="both"/>
                    <w:rPr>
                      <w:rFonts w:ascii="Arial" w:eastAsia="Arial" w:hAnsi="Arial" w:cs="Arial"/>
                      <w:sz w:val="14"/>
                      <w:szCs w:val="14"/>
                    </w:rPr>
                  </w:pPr>
                  <w:r w:rsidRPr="00F81680">
                    <w:rPr>
                      <w:rFonts w:ascii="Arial" w:eastAsia="Arial" w:hAnsi="Arial" w:cs="Arial"/>
                      <w:sz w:val="14"/>
                      <w:szCs w:val="14"/>
                    </w:rPr>
                    <w:t>PAGO FINAL: Un pago final correspondiente al DIEZ POR CIENTO (10%) restante, una vez se suscriba el acta de terminación del proyecto de interventoría y el recibo a satisfacción, así como que la interventoría haga entrega del proyecto de acta de liquidación del contrato de obra acordado por todas las partes.</w:t>
                  </w:r>
                </w:p>
              </w:tc>
              <w:tc>
                <w:tcPr>
                  <w:tcW w:w="1320" w:type="pct"/>
                  <w:tcMar>
                    <w:top w:w="100" w:type="dxa"/>
                    <w:left w:w="100" w:type="dxa"/>
                    <w:bottom w:w="100" w:type="dxa"/>
                    <w:right w:w="100" w:type="dxa"/>
                  </w:tcMar>
                </w:tcPr>
                <w:p w14:paraId="7F76360E" w14:textId="77777777" w:rsidR="005F6346" w:rsidRPr="00262D8D" w:rsidRDefault="005F6346" w:rsidP="005F6346">
                  <w:pPr>
                    <w:widowControl w:val="0"/>
                    <w:pBdr>
                      <w:top w:val="nil"/>
                      <w:left w:val="nil"/>
                      <w:bottom w:val="nil"/>
                      <w:right w:val="nil"/>
                      <w:between w:val="nil"/>
                    </w:pBdr>
                    <w:jc w:val="both"/>
                    <w:rPr>
                      <w:rFonts w:ascii="Arial" w:eastAsia="Arial" w:hAnsi="Arial" w:cs="Arial"/>
                      <w:sz w:val="14"/>
                      <w:szCs w:val="14"/>
                    </w:rPr>
                  </w:pPr>
                  <w:r w:rsidRPr="00262D8D">
                    <w:rPr>
                      <w:rFonts w:ascii="Arial" w:eastAsia="Arial" w:hAnsi="Arial" w:cs="Arial"/>
                      <w:sz w:val="14"/>
                      <w:szCs w:val="14"/>
                    </w:rPr>
                    <w:t>La entidad realizará el pago hasta el noventa (90%) por ciento mediante pagos y actas parciales según avance del contrato de interventoría; el diez por ciento (10%) restante se cancelará al cumplimiento del 100% de actividades - previa firma de acta final y entrega final - incluyendo la liquidación del propio contrato de interventoría y del contrato principal sujeto de vigilancia y control.”</w:t>
                  </w:r>
                </w:p>
                <w:p w14:paraId="7504BD94" w14:textId="77777777" w:rsidR="005F6346" w:rsidRPr="00262D8D" w:rsidRDefault="005F6346" w:rsidP="005F6346">
                  <w:pPr>
                    <w:widowControl w:val="0"/>
                    <w:pBdr>
                      <w:top w:val="nil"/>
                      <w:left w:val="nil"/>
                      <w:bottom w:val="nil"/>
                      <w:right w:val="nil"/>
                      <w:between w:val="nil"/>
                    </w:pBdr>
                    <w:jc w:val="both"/>
                    <w:rPr>
                      <w:rFonts w:ascii="Arial" w:eastAsia="Arial" w:hAnsi="Arial" w:cs="Arial"/>
                      <w:sz w:val="14"/>
                      <w:szCs w:val="14"/>
                    </w:rPr>
                  </w:pPr>
                </w:p>
                <w:p w14:paraId="51E9D8C4" w14:textId="77777777" w:rsidR="005F6346" w:rsidRPr="00642EE5" w:rsidRDefault="005F6346" w:rsidP="005F6346">
                  <w:pPr>
                    <w:widowControl w:val="0"/>
                    <w:pBdr>
                      <w:top w:val="nil"/>
                      <w:left w:val="nil"/>
                      <w:bottom w:val="nil"/>
                      <w:right w:val="nil"/>
                      <w:between w:val="nil"/>
                    </w:pBdr>
                    <w:jc w:val="both"/>
                    <w:rPr>
                      <w:rFonts w:ascii="Arial" w:eastAsia="Arial" w:hAnsi="Arial" w:cs="Arial"/>
                      <w:sz w:val="14"/>
                      <w:szCs w:val="14"/>
                    </w:rPr>
                  </w:pPr>
                  <w:r w:rsidRPr="00262D8D">
                    <w:rPr>
                      <w:rFonts w:ascii="Arial" w:eastAsia="Arial" w:hAnsi="Arial" w:cs="Arial"/>
                      <w:sz w:val="14"/>
                      <w:szCs w:val="14"/>
                    </w:rPr>
                    <w:t>Los pagos se soportan mediante los informes parciales de interventoría previstos en las especificaciones técnicas, los cuales deben ser entregados y aceptados por la entidad, previa suscripción del acta de aprobación por parte del supervisor.</w:t>
                  </w:r>
                </w:p>
                <w:p w14:paraId="132DB6BD" w14:textId="77777777" w:rsidR="005F6346" w:rsidRDefault="005F6346" w:rsidP="005F6346">
                  <w:pPr>
                    <w:widowControl w:val="0"/>
                    <w:pBdr>
                      <w:top w:val="nil"/>
                      <w:left w:val="nil"/>
                      <w:bottom w:val="nil"/>
                      <w:right w:val="nil"/>
                      <w:between w:val="nil"/>
                    </w:pBdr>
                    <w:jc w:val="both"/>
                    <w:rPr>
                      <w:rFonts w:ascii="Arial" w:eastAsia="Arial" w:hAnsi="Arial" w:cs="Arial"/>
                      <w:sz w:val="14"/>
                      <w:szCs w:val="14"/>
                    </w:rPr>
                  </w:pPr>
                  <w:r w:rsidRPr="00642EE5">
                    <w:rPr>
                      <w:rFonts w:ascii="Arial" w:eastAsia="Arial" w:hAnsi="Arial" w:cs="Arial"/>
                      <w:sz w:val="14"/>
                      <w:szCs w:val="14"/>
                    </w:rPr>
                    <w:t>b) Un pago final del 10% del valor total del contrato, una vez se complete el 100% de la ejecución de las obras, contra entrega del acta de recibo final y liquidación de la obra</w:t>
                  </w:r>
                </w:p>
              </w:tc>
            </w:tr>
            <w:tr w:rsidR="005F6346" w14:paraId="304488B5" w14:textId="77777777" w:rsidTr="00E0239A">
              <w:trPr>
                <w:jc w:val="center"/>
              </w:trPr>
              <w:tc>
                <w:tcPr>
                  <w:tcW w:w="944" w:type="pct"/>
                  <w:tcMar>
                    <w:top w:w="100" w:type="dxa"/>
                    <w:left w:w="100" w:type="dxa"/>
                    <w:bottom w:w="100" w:type="dxa"/>
                    <w:right w:w="100" w:type="dxa"/>
                  </w:tcMar>
                </w:tcPr>
                <w:p w14:paraId="2B861D34"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Experiencia exigida</w:t>
                  </w:r>
                </w:p>
              </w:tc>
              <w:tc>
                <w:tcPr>
                  <w:tcW w:w="1381" w:type="pct"/>
                  <w:tcMar>
                    <w:top w:w="100" w:type="dxa"/>
                    <w:left w:w="100" w:type="dxa"/>
                    <w:bottom w:w="100" w:type="dxa"/>
                    <w:right w:w="100" w:type="dxa"/>
                  </w:tcMar>
                </w:tcPr>
                <w:p w14:paraId="531B1839" w14:textId="77777777" w:rsidR="005F6346" w:rsidRPr="00AD1E22" w:rsidRDefault="005F6346" w:rsidP="005F6346">
                  <w:pPr>
                    <w:widowControl w:val="0"/>
                    <w:pBdr>
                      <w:top w:val="nil"/>
                      <w:left w:val="nil"/>
                      <w:bottom w:val="nil"/>
                      <w:right w:val="nil"/>
                      <w:between w:val="nil"/>
                    </w:pBdr>
                    <w:jc w:val="both"/>
                    <w:rPr>
                      <w:rFonts w:ascii="Arial" w:eastAsia="Arial" w:hAnsi="Arial" w:cs="Arial"/>
                      <w:sz w:val="14"/>
                      <w:szCs w:val="14"/>
                    </w:rPr>
                  </w:pPr>
                  <w:r w:rsidRPr="00AD1E22">
                    <w:rPr>
                      <w:rFonts w:ascii="Arial" w:eastAsia="Arial" w:hAnsi="Arial" w:cs="Arial"/>
                      <w:sz w:val="14"/>
                      <w:szCs w:val="14"/>
                    </w:rPr>
                    <w:t>Valor de la experiencia: la sumatoria de los contratos aportados debe ser mayor o igual al 100% del Presupuesto Oficial, expresado en SMMLV.</w:t>
                  </w:r>
                </w:p>
                <w:p w14:paraId="517D35B9" w14:textId="77777777" w:rsidR="005F6346" w:rsidRPr="00AD1E22" w:rsidRDefault="005F6346" w:rsidP="005F6346">
                  <w:pPr>
                    <w:widowControl w:val="0"/>
                    <w:pBdr>
                      <w:top w:val="nil"/>
                      <w:left w:val="nil"/>
                      <w:bottom w:val="nil"/>
                      <w:right w:val="nil"/>
                      <w:between w:val="nil"/>
                    </w:pBdr>
                    <w:jc w:val="both"/>
                    <w:rPr>
                      <w:rFonts w:ascii="Arial" w:eastAsia="Arial" w:hAnsi="Arial" w:cs="Arial"/>
                      <w:sz w:val="14"/>
                      <w:szCs w:val="14"/>
                    </w:rPr>
                  </w:pPr>
                </w:p>
                <w:p w14:paraId="4B82CD14" w14:textId="77777777" w:rsidR="005F6346" w:rsidRPr="00AD1E22" w:rsidRDefault="005F6346" w:rsidP="005F6346">
                  <w:pPr>
                    <w:widowControl w:val="0"/>
                    <w:pBdr>
                      <w:top w:val="nil"/>
                      <w:left w:val="nil"/>
                      <w:bottom w:val="nil"/>
                      <w:right w:val="nil"/>
                      <w:between w:val="nil"/>
                    </w:pBdr>
                    <w:jc w:val="both"/>
                    <w:rPr>
                      <w:rFonts w:ascii="Arial" w:eastAsia="Arial" w:hAnsi="Arial" w:cs="Arial"/>
                      <w:sz w:val="14"/>
                      <w:szCs w:val="14"/>
                    </w:rPr>
                  </w:pPr>
                  <w:r w:rsidRPr="00AD1E22">
                    <w:rPr>
                      <w:rFonts w:ascii="Arial" w:eastAsia="Arial" w:hAnsi="Arial" w:cs="Arial"/>
                      <w:sz w:val="14"/>
                      <w:szCs w:val="14"/>
                    </w:rPr>
                    <w:t>Actividad específica:</w:t>
                  </w:r>
                </w:p>
                <w:p w14:paraId="74024E0E" w14:textId="77777777" w:rsidR="005F6346" w:rsidRPr="00AD1E22" w:rsidRDefault="005F6346" w:rsidP="005F6346">
                  <w:pPr>
                    <w:widowControl w:val="0"/>
                    <w:pBdr>
                      <w:top w:val="nil"/>
                      <w:left w:val="nil"/>
                      <w:bottom w:val="nil"/>
                      <w:right w:val="nil"/>
                      <w:between w:val="nil"/>
                    </w:pBdr>
                    <w:jc w:val="both"/>
                    <w:rPr>
                      <w:rFonts w:ascii="Arial" w:eastAsia="Arial" w:hAnsi="Arial" w:cs="Arial"/>
                      <w:sz w:val="14"/>
                      <w:szCs w:val="14"/>
                    </w:rPr>
                  </w:pPr>
                  <w:r w:rsidRPr="00AD1E22">
                    <w:rPr>
                      <w:rFonts w:ascii="Arial" w:eastAsia="Arial" w:hAnsi="Arial" w:cs="Arial"/>
                      <w:sz w:val="14"/>
                      <w:szCs w:val="14"/>
                    </w:rPr>
                    <w:t>INTERVENTORÍA A PROYECTOS DE MANTENIMIENTO Y/O ADECUACIONES Y/O REPARACIONES LOCATIVAS DE INFRAESTRUCTURA CULTURAL.</w:t>
                  </w:r>
                </w:p>
                <w:p w14:paraId="17796E78" w14:textId="77777777" w:rsidR="005F6346" w:rsidRDefault="005F6346" w:rsidP="005F6346">
                  <w:pPr>
                    <w:widowControl w:val="0"/>
                    <w:pBdr>
                      <w:top w:val="nil"/>
                      <w:left w:val="nil"/>
                      <w:bottom w:val="nil"/>
                      <w:right w:val="nil"/>
                      <w:between w:val="nil"/>
                    </w:pBdr>
                    <w:jc w:val="both"/>
                    <w:rPr>
                      <w:rFonts w:ascii="Arial" w:eastAsia="Arial" w:hAnsi="Arial" w:cs="Arial"/>
                      <w:sz w:val="14"/>
                      <w:szCs w:val="14"/>
                    </w:rPr>
                  </w:pPr>
                </w:p>
                <w:p w14:paraId="288F9CFB" w14:textId="77777777" w:rsidR="005F6346" w:rsidRPr="00AD1E22" w:rsidRDefault="005F6346" w:rsidP="005F6346">
                  <w:pPr>
                    <w:widowControl w:val="0"/>
                    <w:pBdr>
                      <w:top w:val="nil"/>
                      <w:left w:val="nil"/>
                      <w:bottom w:val="nil"/>
                      <w:right w:val="nil"/>
                      <w:between w:val="nil"/>
                    </w:pBdr>
                    <w:jc w:val="both"/>
                    <w:rPr>
                      <w:rFonts w:ascii="Arial" w:eastAsia="Arial" w:hAnsi="Arial" w:cs="Arial"/>
                      <w:sz w:val="14"/>
                      <w:szCs w:val="14"/>
                    </w:rPr>
                  </w:pPr>
                  <w:r w:rsidRPr="00AD1E22">
                    <w:rPr>
                      <w:rFonts w:ascii="Arial" w:eastAsia="Arial" w:hAnsi="Arial" w:cs="Arial"/>
                      <w:sz w:val="14"/>
                      <w:szCs w:val="14"/>
                    </w:rPr>
                    <w:t>Experiencia general:</w:t>
                  </w:r>
                </w:p>
                <w:p w14:paraId="2886032E" w14:textId="77777777" w:rsidR="005F6346" w:rsidRPr="00AD1E22" w:rsidRDefault="005F6346" w:rsidP="005F6346">
                  <w:pPr>
                    <w:widowControl w:val="0"/>
                    <w:pBdr>
                      <w:top w:val="nil"/>
                      <w:left w:val="nil"/>
                      <w:bottom w:val="nil"/>
                      <w:right w:val="nil"/>
                      <w:between w:val="nil"/>
                    </w:pBdr>
                    <w:jc w:val="both"/>
                    <w:rPr>
                      <w:rFonts w:ascii="Arial" w:eastAsia="Arial" w:hAnsi="Arial" w:cs="Arial"/>
                      <w:sz w:val="14"/>
                      <w:szCs w:val="14"/>
                    </w:rPr>
                  </w:pPr>
                  <w:r w:rsidRPr="00AD1E22">
                    <w:rPr>
                      <w:rFonts w:ascii="Arial" w:eastAsia="Arial" w:hAnsi="Arial" w:cs="Arial"/>
                      <w:sz w:val="14"/>
                      <w:szCs w:val="14"/>
                    </w:rPr>
                    <w:t>INTERVENTORÍA A CONSTRUCCIÓN Y/O TERMINACIÓN Y/O AMPLIACIÓN Y/O RECONSTRUCCIÓN Y/O REMODELACIÓN Y/O REFORZAMIENTO Y/O ADECUACIÓN Y/O REPARACIÓN Y/O MANTENIMIENTO Y/O MEJORAMIENTO Y/O MODIFICACIÓN DE EDIFICACIONES.</w:t>
                  </w:r>
                </w:p>
                <w:p w14:paraId="3834C5D1" w14:textId="77777777" w:rsidR="005F6346" w:rsidRPr="00AD1E22" w:rsidRDefault="005F6346" w:rsidP="005F6346">
                  <w:pPr>
                    <w:widowControl w:val="0"/>
                    <w:pBdr>
                      <w:top w:val="nil"/>
                      <w:left w:val="nil"/>
                      <w:bottom w:val="nil"/>
                      <w:right w:val="nil"/>
                      <w:between w:val="nil"/>
                    </w:pBdr>
                    <w:jc w:val="both"/>
                    <w:rPr>
                      <w:rFonts w:ascii="Arial" w:eastAsia="Arial" w:hAnsi="Arial" w:cs="Arial"/>
                      <w:sz w:val="14"/>
                      <w:szCs w:val="14"/>
                    </w:rPr>
                  </w:pPr>
                </w:p>
                <w:p w14:paraId="5B95AF0D" w14:textId="77777777" w:rsidR="005F6346" w:rsidRDefault="005F6346" w:rsidP="005F6346">
                  <w:pPr>
                    <w:widowControl w:val="0"/>
                    <w:pBdr>
                      <w:top w:val="nil"/>
                      <w:left w:val="nil"/>
                      <w:bottom w:val="nil"/>
                      <w:right w:val="nil"/>
                      <w:between w:val="nil"/>
                    </w:pBdr>
                    <w:jc w:val="both"/>
                    <w:rPr>
                      <w:rFonts w:ascii="Arial" w:eastAsia="Arial" w:hAnsi="Arial" w:cs="Arial"/>
                      <w:sz w:val="14"/>
                      <w:szCs w:val="14"/>
                    </w:rPr>
                  </w:pPr>
                  <w:r w:rsidRPr="00AD1E22">
                    <w:rPr>
                      <w:rFonts w:ascii="Arial" w:eastAsia="Arial" w:hAnsi="Arial" w:cs="Arial"/>
                      <w:sz w:val="14"/>
                      <w:szCs w:val="14"/>
                    </w:rPr>
                    <w:t>Experiencia específica: por lo menos uno (1) de los contratos válidos aportados como experiencia general debe corresponder mínimo al 50% del presupuesto oficial del proceso.</w:t>
                  </w:r>
                </w:p>
              </w:tc>
              <w:tc>
                <w:tcPr>
                  <w:tcW w:w="1355" w:type="pct"/>
                  <w:tcMar>
                    <w:top w:w="100" w:type="dxa"/>
                    <w:left w:w="100" w:type="dxa"/>
                    <w:bottom w:w="100" w:type="dxa"/>
                    <w:right w:w="100" w:type="dxa"/>
                  </w:tcMar>
                </w:tcPr>
                <w:p w14:paraId="1869748B" w14:textId="77777777" w:rsidR="005F6346" w:rsidRPr="00F81680" w:rsidRDefault="005F6346" w:rsidP="005F6346">
                  <w:pPr>
                    <w:widowControl w:val="0"/>
                    <w:jc w:val="both"/>
                    <w:rPr>
                      <w:rFonts w:ascii="Arial" w:eastAsia="Arial" w:hAnsi="Arial" w:cs="Arial"/>
                      <w:sz w:val="14"/>
                      <w:szCs w:val="14"/>
                    </w:rPr>
                  </w:pPr>
                  <w:r w:rsidRPr="00F81680">
                    <w:rPr>
                      <w:rFonts w:ascii="Arial" w:eastAsia="Arial" w:hAnsi="Arial" w:cs="Arial"/>
                      <w:sz w:val="14"/>
                      <w:szCs w:val="14"/>
                    </w:rPr>
                    <w:lastRenderedPageBreak/>
                    <w:t>EXPERIENCIA GENERAL</w:t>
                  </w:r>
                  <w:r>
                    <w:rPr>
                      <w:rFonts w:ascii="Arial" w:eastAsia="Arial" w:hAnsi="Arial" w:cs="Arial"/>
                      <w:sz w:val="14"/>
                      <w:szCs w:val="14"/>
                    </w:rPr>
                    <w:t>:</w:t>
                  </w:r>
                </w:p>
                <w:p w14:paraId="20A8C4C6" w14:textId="77777777" w:rsidR="005F6346" w:rsidRDefault="005F6346" w:rsidP="005F6346">
                  <w:pPr>
                    <w:widowControl w:val="0"/>
                    <w:jc w:val="both"/>
                    <w:rPr>
                      <w:rFonts w:ascii="Arial" w:eastAsia="Arial" w:hAnsi="Arial" w:cs="Arial"/>
                      <w:sz w:val="14"/>
                      <w:szCs w:val="14"/>
                    </w:rPr>
                  </w:pPr>
                  <w:r w:rsidRPr="00F81680">
                    <w:rPr>
                      <w:rFonts w:ascii="Arial" w:eastAsia="Arial" w:hAnsi="Arial" w:cs="Arial"/>
                      <w:sz w:val="14"/>
                      <w:szCs w:val="14"/>
                    </w:rPr>
                    <w:t xml:space="preserve">El proponente deberá aportar como máximo dos (2) contratos, que tengan por objeto la interventoría de CONSTRUCCIÓN, Y/O </w:t>
                  </w:r>
                  <w:r w:rsidRPr="00F81680">
                    <w:rPr>
                      <w:rFonts w:ascii="Arial" w:eastAsia="Arial" w:hAnsi="Arial" w:cs="Arial"/>
                      <w:sz w:val="14"/>
                      <w:szCs w:val="14"/>
                    </w:rPr>
                    <w:lastRenderedPageBreak/>
                    <w:t>REMODELACIÓN Y/O REFORZAMIENTO Y/O MANTENIMIENTO Y/O ADECUACIÓN de edificaciones públicas y cuya sumatoria sea igual o superior al 100% del presupuesto oficial, expresado en SMMLV</w:t>
                  </w:r>
                  <w:r>
                    <w:rPr>
                      <w:rFonts w:ascii="Arial" w:eastAsia="Arial" w:hAnsi="Arial" w:cs="Arial"/>
                      <w:sz w:val="14"/>
                      <w:szCs w:val="14"/>
                    </w:rPr>
                    <w:t>.</w:t>
                  </w:r>
                </w:p>
                <w:p w14:paraId="0591B653" w14:textId="77777777" w:rsidR="005F6346" w:rsidRDefault="005F6346" w:rsidP="005F6346">
                  <w:pPr>
                    <w:widowControl w:val="0"/>
                    <w:jc w:val="both"/>
                    <w:rPr>
                      <w:rFonts w:ascii="Arial" w:eastAsia="Arial" w:hAnsi="Arial" w:cs="Arial"/>
                      <w:sz w:val="14"/>
                      <w:szCs w:val="14"/>
                    </w:rPr>
                  </w:pPr>
                </w:p>
                <w:p w14:paraId="420C5230" w14:textId="77777777" w:rsidR="005F6346" w:rsidRPr="00F81680" w:rsidRDefault="005F6346" w:rsidP="005F6346">
                  <w:pPr>
                    <w:widowControl w:val="0"/>
                    <w:jc w:val="both"/>
                    <w:rPr>
                      <w:rFonts w:ascii="Arial" w:eastAsia="Arial" w:hAnsi="Arial" w:cs="Arial"/>
                      <w:sz w:val="14"/>
                      <w:szCs w:val="14"/>
                    </w:rPr>
                  </w:pPr>
                  <w:r w:rsidRPr="00F81680">
                    <w:rPr>
                      <w:rFonts w:ascii="Arial" w:eastAsia="Arial" w:hAnsi="Arial" w:cs="Arial"/>
                      <w:sz w:val="14"/>
                      <w:szCs w:val="14"/>
                    </w:rPr>
                    <w:t>Experiencia específica</w:t>
                  </w:r>
                  <w:r>
                    <w:rPr>
                      <w:rFonts w:ascii="Arial" w:eastAsia="Arial" w:hAnsi="Arial" w:cs="Arial"/>
                      <w:sz w:val="14"/>
                      <w:szCs w:val="14"/>
                    </w:rPr>
                    <w:t>:</w:t>
                  </w:r>
                </w:p>
                <w:p w14:paraId="6DB9D294" w14:textId="77777777" w:rsidR="005F6346" w:rsidRDefault="005F6346" w:rsidP="005F6346">
                  <w:pPr>
                    <w:widowControl w:val="0"/>
                    <w:jc w:val="both"/>
                    <w:rPr>
                      <w:rFonts w:ascii="Arial" w:eastAsia="Arial" w:hAnsi="Arial" w:cs="Arial"/>
                      <w:sz w:val="14"/>
                      <w:szCs w:val="14"/>
                    </w:rPr>
                  </w:pPr>
                  <w:r w:rsidRPr="00F81680">
                    <w:rPr>
                      <w:rFonts w:ascii="Arial" w:eastAsia="Arial" w:hAnsi="Arial" w:cs="Arial"/>
                      <w:sz w:val="14"/>
                      <w:szCs w:val="14"/>
                    </w:rPr>
                    <w:t>“Por lo menos UNO (1) de los contratos acreditados como experiencia general, deberá corresponder a INTERVENTORÍAS que contemplen actividades relacionadas con ESTUDIOS Y DISEÑOS de edificaciones públicas, relacionadas con REFORZAMIENTO ESTRUCTURAL.”</w:t>
                  </w:r>
                </w:p>
              </w:tc>
              <w:tc>
                <w:tcPr>
                  <w:tcW w:w="1320" w:type="pct"/>
                  <w:tcMar>
                    <w:top w:w="100" w:type="dxa"/>
                    <w:left w:w="100" w:type="dxa"/>
                    <w:bottom w:w="100" w:type="dxa"/>
                    <w:right w:w="100" w:type="dxa"/>
                  </w:tcMar>
                </w:tcPr>
                <w:p w14:paraId="0CD05B20" w14:textId="77777777" w:rsidR="005F6346" w:rsidRDefault="005F6346" w:rsidP="005F6346">
                  <w:pPr>
                    <w:widowControl w:val="0"/>
                    <w:jc w:val="both"/>
                    <w:rPr>
                      <w:rFonts w:ascii="Arial" w:eastAsia="Arial" w:hAnsi="Arial" w:cs="Arial"/>
                      <w:sz w:val="14"/>
                      <w:szCs w:val="14"/>
                    </w:rPr>
                  </w:pPr>
                  <w:r w:rsidRPr="00262D8D">
                    <w:rPr>
                      <w:rFonts w:ascii="Arial" w:eastAsia="Arial" w:hAnsi="Arial" w:cs="Arial"/>
                      <w:sz w:val="14"/>
                      <w:szCs w:val="14"/>
                    </w:rPr>
                    <w:lastRenderedPageBreak/>
                    <w:t xml:space="preserve">Experiencia: mínimo 1 y máximo 2 contratos de interventoría a proyectos públicos con alcance integral y/o técnico y/o administrativo y/o financiero y/o </w:t>
                  </w:r>
                  <w:r w:rsidRPr="00262D8D">
                    <w:rPr>
                      <w:rFonts w:ascii="Arial" w:eastAsia="Arial" w:hAnsi="Arial" w:cs="Arial"/>
                      <w:sz w:val="14"/>
                      <w:szCs w:val="14"/>
                    </w:rPr>
                    <w:lastRenderedPageBreak/>
                    <w:t>jurídico y/o ambiental, que incluyan componentes tecnológicos y/o cableado estructurado y/o cableado eléctrico y/o redes de telecomunicaciones y/o fibra óptica. La sumatoria debe ser ≥100% del presupuesto oficial expresado en SMMLV.</w:t>
                  </w:r>
                </w:p>
              </w:tc>
            </w:tr>
            <w:tr w:rsidR="005F6346" w14:paraId="4D42D38F" w14:textId="77777777" w:rsidTr="00E0239A">
              <w:trPr>
                <w:jc w:val="center"/>
              </w:trPr>
              <w:tc>
                <w:tcPr>
                  <w:tcW w:w="944" w:type="pct"/>
                  <w:tcMar>
                    <w:top w:w="100" w:type="dxa"/>
                    <w:left w:w="100" w:type="dxa"/>
                    <w:bottom w:w="100" w:type="dxa"/>
                    <w:right w:w="100" w:type="dxa"/>
                  </w:tcMar>
                </w:tcPr>
                <w:p w14:paraId="503D566E"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lastRenderedPageBreak/>
                    <w:t>Códigos UNSPSC</w:t>
                  </w:r>
                </w:p>
              </w:tc>
              <w:tc>
                <w:tcPr>
                  <w:tcW w:w="1381" w:type="pct"/>
                  <w:tcMar>
                    <w:top w:w="100" w:type="dxa"/>
                    <w:left w:w="100" w:type="dxa"/>
                    <w:bottom w:w="100" w:type="dxa"/>
                    <w:right w:w="100" w:type="dxa"/>
                  </w:tcMar>
                </w:tcPr>
                <w:p w14:paraId="5C298929" w14:textId="77777777" w:rsidR="005F6346" w:rsidRPr="00AD1E22" w:rsidRDefault="005F6346" w:rsidP="005F6346">
                  <w:pPr>
                    <w:widowControl w:val="0"/>
                    <w:pBdr>
                      <w:top w:val="nil"/>
                      <w:left w:val="nil"/>
                      <w:bottom w:val="nil"/>
                      <w:right w:val="nil"/>
                      <w:between w:val="nil"/>
                    </w:pBdr>
                    <w:rPr>
                      <w:rFonts w:ascii="Arial" w:eastAsia="Arial" w:hAnsi="Arial" w:cs="Arial"/>
                      <w:sz w:val="14"/>
                      <w:szCs w:val="14"/>
                    </w:rPr>
                  </w:pPr>
                  <w:r w:rsidRPr="00AD1E22">
                    <w:rPr>
                      <w:rFonts w:ascii="Arial" w:eastAsia="Arial" w:hAnsi="Arial" w:cs="Arial"/>
                      <w:sz w:val="14"/>
                      <w:szCs w:val="14"/>
                    </w:rPr>
                    <w:t>80101600</w:t>
                  </w:r>
                  <w:r w:rsidRPr="00AD1E22">
                    <w:rPr>
                      <w:rFonts w:ascii="Arial" w:eastAsia="Arial" w:hAnsi="Arial" w:cs="Arial"/>
                      <w:sz w:val="14"/>
                      <w:szCs w:val="14"/>
                    </w:rPr>
                    <w:tab/>
                  </w:r>
                  <w:proofErr w:type="gramStart"/>
                  <w:r w:rsidRPr="00AD1E22">
                    <w:rPr>
                      <w:rFonts w:ascii="Arial" w:eastAsia="Arial" w:hAnsi="Arial" w:cs="Arial"/>
                      <w:sz w:val="14"/>
                      <w:szCs w:val="14"/>
                    </w:rPr>
                    <w:t>Gerencia</w:t>
                  </w:r>
                  <w:proofErr w:type="gramEnd"/>
                  <w:r w:rsidRPr="00AD1E22">
                    <w:rPr>
                      <w:rFonts w:ascii="Arial" w:eastAsia="Arial" w:hAnsi="Arial" w:cs="Arial"/>
                      <w:sz w:val="14"/>
                      <w:szCs w:val="14"/>
                    </w:rPr>
                    <w:t xml:space="preserve"> de proyectos</w:t>
                  </w:r>
                </w:p>
                <w:p w14:paraId="407FC382" w14:textId="77777777" w:rsidR="005F6346" w:rsidRPr="00AD1E22" w:rsidRDefault="005F6346" w:rsidP="005F6346">
                  <w:pPr>
                    <w:widowControl w:val="0"/>
                    <w:pBdr>
                      <w:top w:val="nil"/>
                      <w:left w:val="nil"/>
                      <w:bottom w:val="nil"/>
                      <w:right w:val="nil"/>
                      <w:between w:val="nil"/>
                    </w:pBdr>
                    <w:rPr>
                      <w:rFonts w:ascii="Arial" w:eastAsia="Arial" w:hAnsi="Arial" w:cs="Arial"/>
                      <w:sz w:val="14"/>
                      <w:szCs w:val="14"/>
                    </w:rPr>
                  </w:pPr>
                  <w:r w:rsidRPr="00AD1E22">
                    <w:rPr>
                      <w:rFonts w:ascii="Arial" w:eastAsia="Arial" w:hAnsi="Arial" w:cs="Arial"/>
                      <w:sz w:val="14"/>
                      <w:szCs w:val="14"/>
                    </w:rPr>
                    <w:t>80101500</w:t>
                  </w:r>
                  <w:r w:rsidRPr="00AD1E22">
                    <w:rPr>
                      <w:rFonts w:ascii="Arial" w:eastAsia="Arial" w:hAnsi="Arial" w:cs="Arial"/>
                      <w:sz w:val="14"/>
                      <w:szCs w:val="14"/>
                    </w:rPr>
                    <w:tab/>
                  </w:r>
                  <w:proofErr w:type="gramStart"/>
                  <w:r w:rsidRPr="00AD1E22">
                    <w:rPr>
                      <w:rFonts w:ascii="Arial" w:eastAsia="Arial" w:hAnsi="Arial" w:cs="Arial"/>
                      <w:sz w:val="14"/>
                      <w:szCs w:val="14"/>
                    </w:rPr>
                    <w:t>Servicios</w:t>
                  </w:r>
                  <w:proofErr w:type="gramEnd"/>
                  <w:r w:rsidRPr="00AD1E22">
                    <w:rPr>
                      <w:rFonts w:ascii="Arial" w:eastAsia="Arial" w:hAnsi="Arial" w:cs="Arial"/>
                      <w:sz w:val="14"/>
                      <w:szCs w:val="14"/>
                    </w:rPr>
                    <w:t xml:space="preserve"> de consultoría de negocios y administración corporativa</w:t>
                  </w:r>
                </w:p>
                <w:p w14:paraId="007C355C" w14:textId="77777777" w:rsidR="005F6346" w:rsidRPr="00AD1E22" w:rsidRDefault="005F6346" w:rsidP="005F6346">
                  <w:pPr>
                    <w:widowControl w:val="0"/>
                    <w:pBdr>
                      <w:top w:val="nil"/>
                      <w:left w:val="nil"/>
                      <w:bottom w:val="nil"/>
                      <w:right w:val="nil"/>
                      <w:between w:val="nil"/>
                    </w:pBdr>
                    <w:rPr>
                      <w:rFonts w:ascii="Arial" w:eastAsia="Arial" w:hAnsi="Arial" w:cs="Arial"/>
                      <w:sz w:val="14"/>
                      <w:szCs w:val="14"/>
                    </w:rPr>
                  </w:pPr>
                  <w:r w:rsidRPr="00AD1E22">
                    <w:rPr>
                      <w:rFonts w:ascii="Arial" w:eastAsia="Arial" w:hAnsi="Arial" w:cs="Arial"/>
                      <w:sz w:val="14"/>
                      <w:szCs w:val="14"/>
                    </w:rPr>
                    <w:t>81141500</w:t>
                  </w:r>
                  <w:r w:rsidRPr="00AD1E22">
                    <w:rPr>
                      <w:rFonts w:ascii="Arial" w:eastAsia="Arial" w:hAnsi="Arial" w:cs="Arial"/>
                      <w:sz w:val="14"/>
                      <w:szCs w:val="14"/>
                    </w:rPr>
                    <w:tab/>
                  </w:r>
                  <w:proofErr w:type="gramStart"/>
                  <w:r w:rsidRPr="00AD1E22">
                    <w:rPr>
                      <w:rFonts w:ascii="Arial" w:eastAsia="Arial" w:hAnsi="Arial" w:cs="Arial"/>
                      <w:sz w:val="14"/>
                      <w:szCs w:val="14"/>
                    </w:rPr>
                    <w:t>Control</w:t>
                  </w:r>
                  <w:proofErr w:type="gramEnd"/>
                  <w:r w:rsidRPr="00AD1E22">
                    <w:rPr>
                      <w:rFonts w:ascii="Arial" w:eastAsia="Arial" w:hAnsi="Arial" w:cs="Arial"/>
                      <w:sz w:val="14"/>
                      <w:szCs w:val="14"/>
                    </w:rPr>
                    <w:t xml:space="preserve"> de calidad</w:t>
                  </w:r>
                </w:p>
                <w:p w14:paraId="3817C9D0"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AD1E22">
                    <w:rPr>
                      <w:rFonts w:ascii="Arial" w:eastAsia="Arial" w:hAnsi="Arial" w:cs="Arial"/>
                      <w:sz w:val="14"/>
                      <w:szCs w:val="14"/>
                    </w:rPr>
                    <w:t>81101500</w:t>
                  </w:r>
                  <w:r w:rsidRPr="00AD1E22">
                    <w:rPr>
                      <w:rFonts w:ascii="Arial" w:eastAsia="Arial" w:hAnsi="Arial" w:cs="Arial"/>
                      <w:sz w:val="14"/>
                      <w:szCs w:val="14"/>
                    </w:rPr>
                    <w:tab/>
                  </w:r>
                  <w:proofErr w:type="gramStart"/>
                  <w:r w:rsidRPr="00AD1E22">
                    <w:rPr>
                      <w:rFonts w:ascii="Arial" w:eastAsia="Arial" w:hAnsi="Arial" w:cs="Arial"/>
                      <w:sz w:val="14"/>
                      <w:szCs w:val="14"/>
                    </w:rPr>
                    <w:t>Ingeniería</w:t>
                  </w:r>
                  <w:proofErr w:type="gramEnd"/>
                  <w:r w:rsidRPr="00AD1E22">
                    <w:rPr>
                      <w:rFonts w:ascii="Arial" w:eastAsia="Arial" w:hAnsi="Arial" w:cs="Arial"/>
                      <w:sz w:val="14"/>
                      <w:szCs w:val="14"/>
                    </w:rPr>
                    <w:t xml:space="preserve"> civil y arquitectura</w:t>
                  </w:r>
                </w:p>
              </w:tc>
              <w:tc>
                <w:tcPr>
                  <w:tcW w:w="1355" w:type="pct"/>
                  <w:tcMar>
                    <w:top w:w="100" w:type="dxa"/>
                    <w:left w:w="100" w:type="dxa"/>
                    <w:bottom w:w="100" w:type="dxa"/>
                    <w:right w:w="100" w:type="dxa"/>
                  </w:tcMar>
                </w:tcPr>
                <w:p w14:paraId="03A5FDAB" w14:textId="77777777" w:rsidR="005F6346" w:rsidRPr="00F81680" w:rsidRDefault="005F6346" w:rsidP="005F6346">
                  <w:pPr>
                    <w:widowControl w:val="0"/>
                    <w:rPr>
                      <w:rFonts w:ascii="Arial" w:eastAsia="Arial" w:hAnsi="Arial" w:cs="Arial"/>
                      <w:sz w:val="14"/>
                      <w:szCs w:val="14"/>
                    </w:rPr>
                  </w:pPr>
                  <w:r w:rsidRPr="00F81680">
                    <w:rPr>
                      <w:rFonts w:ascii="Arial" w:eastAsia="Arial" w:hAnsi="Arial" w:cs="Arial"/>
                      <w:sz w:val="14"/>
                      <w:szCs w:val="14"/>
                    </w:rPr>
                    <w:t>81101500</w:t>
                  </w:r>
                  <w:r w:rsidRPr="00F81680">
                    <w:rPr>
                      <w:rFonts w:ascii="Arial" w:eastAsia="Arial" w:hAnsi="Arial" w:cs="Arial"/>
                      <w:sz w:val="14"/>
                      <w:szCs w:val="14"/>
                    </w:rPr>
                    <w:tab/>
                  </w:r>
                  <w:proofErr w:type="gramStart"/>
                  <w:r w:rsidRPr="00F81680">
                    <w:rPr>
                      <w:rFonts w:ascii="Arial" w:eastAsia="Arial" w:hAnsi="Arial" w:cs="Arial"/>
                      <w:sz w:val="14"/>
                      <w:szCs w:val="14"/>
                    </w:rPr>
                    <w:t>Ingeniería</w:t>
                  </w:r>
                  <w:proofErr w:type="gramEnd"/>
                  <w:r w:rsidRPr="00F81680">
                    <w:rPr>
                      <w:rFonts w:ascii="Arial" w:eastAsia="Arial" w:hAnsi="Arial" w:cs="Arial"/>
                      <w:sz w:val="14"/>
                      <w:szCs w:val="14"/>
                    </w:rPr>
                    <w:t xml:space="preserve"> civil y arquitectura</w:t>
                  </w:r>
                </w:p>
                <w:p w14:paraId="1201448B" w14:textId="77777777" w:rsidR="005F6346" w:rsidRDefault="005F6346" w:rsidP="005F6346">
                  <w:pPr>
                    <w:widowControl w:val="0"/>
                    <w:rPr>
                      <w:rFonts w:ascii="Arial" w:eastAsia="Arial" w:hAnsi="Arial" w:cs="Arial"/>
                      <w:sz w:val="14"/>
                      <w:szCs w:val="14"/>
                    </w:rPr>
                  </w:pPr>
                  <w:r w:rsidRPr="00F81680">
                    <w:rPr>
                      <w:rFonts w:ascii="Arial" w:eastAsia="Arial" w:hAnsi="Arial" w:cs="Arial"/>
                      <w:sz w:val="14"/>
                      <w:szCs w:val="14"/>
                    </w:rPr>
                    <w:t>80101600</w:t>
                  </w:r>
                  <w:r w:rsidRPr="00F81680">
                    <w:rPr>
                      <w:rFonts w:ascii="Arial" w:eastAsia="Arial" w:hAnsi="Arial" w:cs="Arial"/>
                      <w:sz w:val="14"/>
                      <w:szCs w:val="14"/>
                    </w:rPr>
                    <w:tab/>
                  </w:r>
                  <w:proofErr w:type="gramStart"/>
                  <w:r w:rsidRPr="00F81680">
                    <w:rPr>
                      <w:rFonts w:ascii="Arial" w:eastAsia="Arial" w:hAnsi="Arial" w:cs="Arial"/>
                      <w:sz w:val="14"/>
                      <w:szCs w:val="14"/>
                    </w:rPr>
                    <w:t>Gerencia</w:t>
                  </w:r>
                  <w:proofErr w:type="gramEnd"/>
                  <w:r w:rsidRPr="00F81680">
                    <w:rPr>
                      <w:rFonts w:ascii="Arial" w:eastAsia="Arial" w:hAnsi="Arial" w:cs="Arial"/>
                      <w:sz w:val="14"/>
                      <w:szCs w:val="14"/>
                    </w:rPr>
                    <w:t xml:space="preserve"> de proyectos</w:t>
                  </w:r>
                </w:p>
              </w:tc>
              <w:tc>
                <w:tcPr>
                  <w:tcW w:w="1320" w:type="pct"/>
                  <w:tcMar>
                    <w:top w:w="100" w:type="dxa"/>
                    <w:left w:w="100" w:type="dxa"/>
                    <w:bottom w:w="100" w:type="dxa"/>
                    <w:right w:w="100" w:type="dxa"/>
                  </w:tcMar>
                </w:tcPr>
                <w:p w14:paraId="55AF3D8B"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80101500</w:t>
                  </w:r>
                  <w:r w:rsidRPr="00262D8D">
                    <w:rPr>
                      <w:rFonts w:ascii="Arial" w:eastAsia="Arial" w:hAnsi="Arial" w:cs="Arial"/>
                      <w:sz w:val="14"/>
                      <w:szCs w:val="14"/>
                    </w:rPr>
                    <w:tab/>
                  </w:r>
                  <w:proofErr w:type="gramStart"/>
                  <w:r w:rsidRPr="00262D8D">
                    <w:rPr>
                      <w:rFonts w:ascii="Arial" w:eastAsia="Arial" w:hAnsi="Arial" w:cs="Arial"/>
                      <w:sz w:val="14"/>
                      <w:szCs w:val="14"/>
                    </w:rPr>
                    <w:t>Servicios</w:t>
                  </w:r>
                  <w:proofErr w:type="gramEnd"/>
                  <w:r w:rsidRPr="00262D8D">
                    <w:rPr>
                      <w:rFonts w:ascii="Arial" w:eastAsia="Arial" w:hAnsi="Arial" w:cs="Arial"/>
                      <w:sz w:val="14"/>
                      <w:szCs w:val="14"/>
                    </w:rPr>
                    <w:t xml:space="preserve"> de consultoría de negocios y administración corporativa</w:t>
                  </w:r>
                </w:p>
                <w:p w14:paraId="3ED8EE6A"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80101600</w:t>
                  </w:r>
                  <w:r w:rsidRPr="00262D8D">
                    <w:rPr>
                      <w:rFonts w:ascii="Arial" w:eastAsia="Arial" w:hAnsi="Arial" w:cs="Arial"/>
                      <w:sz w:val="14"/>
                      <w:szCs w:val="14"/>
                    </w:rPr>
                    <w:tab/>
                  </w:r>
                  <w:proofErr w:type="gramStart"/>
                  <w:r w:rsidRPr="00262D8D">
                    <w:rPr>
                      <w:rFonts w:ascii="Arial" w:eastAsia="Arial" w:hAnsi="Arial" w:cs="Arial"/>
                      <w:sz w:val="14"/>
                      <w:szCs w:val="14"/>
                    </w:rPr>
                    <w:t>Gerencia</w:t>
                  </w:r>
                  <w:proofErr w:type="gramEnd"/>
                  <w:r w:rsidRPr="00262D8D">
                    <w:rPr>
                      <w:rFonts w:ascii="Arial" w:eastAsia="Arial" w:hAnsi="Arial" w:cs="Arial"/>
                      <w:sz w:val="14"/>
                      <w:szCs w:val="14"/>
                    </w:rPr>
                    <w:t xml:space="preserve"> de proyectos</w:t>
                  </w:r>
                </w:p>
                <w:p w14:paraId="233F2815"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81101700</w:t>
                  </w:r>
                  <w:r w:rsidRPr="00262D8D">
                    <w:rPr>
                      <w:rFonts w:ascii="Arial" w:eastAsia="Arial" w:hAnsi="Arial" w:cs="Arial"/>
                      <w:sz w:val="14"/>
                      <w:szCs w:val="14"/>
                    </w:rPr>
                    <w:tab/>
                  </w:r>
                  <w:proofErr w:type="gramStart"/>
                  <w:r w:rsidRPr="00262D8D">
                    <w:rPr>
                      <w:rFonts w:ascii="Arial" w:eastAsia="Arial" w:hAnsi="Arial" w:cs="Arial"/>
                      <w:sz w:val="14"/>
                      <w:szCs w:val="14"/>
                    </w:rPr>
                    <w:t>Ingeniería</w:t>
                  </w:r>
                  <w:proofErr w:type="gramEnd"/>
                  <w:r w:rsidRPr="00262D8D">
                    <w:rPr>
                      <w:rFonts w:ascii="Arial" w:eastAsia="Arial" w:hAnsi="Arial" w:cs="Arial"/>
                      <w:sz w:val="14"/>
                      <w:szCs w:val="14"/>
                    </w:rPr>
                    <w:t xml:space="preserve"> eléctrica y electrónica</w:t>
                  </w:r>
                </w:p>
                <w:p w14:paraId="48F183B9"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81102400</w:t>
                  </w:r>
                  <w:r w:rsidRPr="00262D8D">
                    <w:rPr>
                      <w:rFonts w:ascii="Arial" w:eastAsia="Arial" w:hAnsi="Arial" w:cs="Arial"/>
                      <w:sz w:val="14"/>
                      <w:szCs w:val="14"/>
                    </w:rPr>
                    <w:tab/>
                  </w:r>
                  <w:proofErr w:type="gramStart"/>
                  <w:r w:rsidRPr="00262D8D">
                    <w:rPr>
                      <w:rFonts w:ascii="Arial" w:eastAsia="Arial" w:hAnsi="Arial" w:cs="Arial"/>
                      <w:sz w:val="14"/>
                      <w:szCs w:val="14"/>
                    </w:rPr>
                    <w:t>Ingeniería</w:t>
                  </w:r>
                  <w:proofErr w:type="gramEnd"/>
                  <w:r w:rsidRPr="00262D8D">
                    <w:rPr>
                      <w:rFonts w:ascii="Arial" w:eastAsia="Arial" w:hAnsi="Arial" w:cs="Arial"/>
                      <w:sz w:val="14"/>
                      <w:szCs w:val="14"/>
                    </w:rPr>
                    <w:t xml:space="preserve"> de transmisión de energía eléctrica</w:t>
                  </w:r>
                </w:p>
                <w:p w14:paraId="74571EBB" w14:textId="77777777" w:rsidR="005F6346" w:rsidRDefault="005F6346" w:rsidP="005F6346">
                  <w:pPr>
                    <w:widowControl w:val="0"/>
                    <w:rPr>
                      <w:rFonts w:ascii="Arial" w:eastAsia="Arial" w:hAnsi="Arial" w:cs="Arial"/>
                      <w:sz w:val="14"/>
                      <w:szCs w:val="14"/>
                    </w:rPr>
                  </w:pPr>
                  <w:r w:rsidRPr="00262D8D">
                    <w:rPr>
                      <w:rFonts w:ascii="Arial" w:eastAsia="Arial" w:hAnsi="Arial" w:cs="Arial"/>
                      <w:sz w:val="14"/>
                      <w:szCs w:val="14"/>
                    </w:rPr>
                    <w:t>84111600</w:t>
                  </w:r>
                  <w:r w:rsidRPr="00262D8D">
                    <w:rPr>
                      <w:rFonts w:ascii="Arial" w:eastAsia="Arial" w:hAnsi="Arial" w:cs="Arial"/>
                      <w:sz w:val="14"/>
                      <w:szCs w:val="14"/>
                    </w:rPr>
                    <w:tab/>
                  </w:r>
                  <w:proofErr w:type="gramStart"/>
                  <w:r w:rsidRPr="00262D8D">
                    <w:rPr>
                      <w:rFonts w:ascii="Arial" w:eastAsia="Arial" w:hAnsi="Arial" w:cs="Arial"/>
                      <w:sz w:val="14"/>
                      <w:szCs w:val="14"/>
                    </w:rPr>
                    <w:t>Servicios</w:t>
                  </w:r>
                  <w:proofErr w:type="gramEnd"/>
                  <w:r w:rsidRPr="00262D8D">
                    <w:rPr>
                      <w:rFonts w:ascii="Arial" w:eastAsia="Arial" w:hAnsi="Arial" w:cs="Arial"/>
                      <w:sz w:val="14"/>
                      <w:szCs w:val="14"/>
                    </w:rPr>
                    <w:t xml:space="preserve"> de auditoría</w:t>
                  </w:r>
                </w:p>
              </w:tc>
            </w:tr>
            <w:tr w:rsidR="005F6346" w14:paraId="6895E89B" w14:textId="77777777" w:rsidTr="00E0239A">
              <w:trPr>
                <w:jc w:val="center"/>
              </w:trPr>
              <w:tc>
                <w:tcPr>
                  <w:tcW w:w="944" w:type="pct"/>
                  <w:tcMar>
                    <w:top w:w="100" w:type="dxa"/>
                    <w:left w:w="100" w:type="dxa"/>
                    <w:bottom w:w="100" w:type="dxa"/>
                    <w:right w:w="100" w:type="dxa"/>
                  </w:tcMar>
                </w:tcPr>
                <w:p w14:paraId="17BAF6E2"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Garantías exigidas</w:t>
                  </w:r>
                </w:p>
              </w:tc>
              <w:tc>
                <w:tcPr>
                  <w:tcW w:w="1381" w:type="pct"/>
                  <w:tcMar>
                    <w:top w:w="100" w:type="dxa"/>
                    <w:left w:w="100" w:type="dxa"/>
                    <w:bottom w:w="100" w:type="dxa"/>
                    <w:right w:w="100" w:type="dxa"/>
                  </w:tcMar>
                </w:tcPr>
                <w:p w14:paraId="7A9DFF16" w14:textId="77777777" w:rsidR="005F6346" w:rsidRPr="00AD1E22" w:rsidRDefault="005F6346" w:rsidP="005F6346">
                  <w:pPr>
                    <w:widowControl w:val="0"/>
                    <w:pBdr>
                      <w:top w:val="nil"/>
                      <w:left w:val="nil"/>
                      <w:bottom w:val="nil"/>
                      <w:right w:val="nil"/>
                      <w:between w:val="nil"/>
                    </w:pBdr>
                    <w:jc w:val="both"/>
                    <w:rPr>
                      <w:rFonts w:ascii="Arial" w:eastAsia="Arial" w:hAnsi="Arial" w:cs="Arial"/>
                      <w:sz w:val="16"/>
                      <w:szCs w:val="16"/>
                    </w:rPr>
                  </w:pPr>
                  <w:r w:rsidRPr="00AD1E22">
                    <w:rPr>
                      <w:rFonts w:ascii="Arial" w:eastAsia="Arial" w:hAnsi="Arial" w:cs="Arial"/>
                      <w:sz w:val="16"/>
                      <w:szCs w:val="16"/>
                    </w:rPr>
                    <w:t>Cumplimiento general, multas y cláusula penal</w:t>
                  </w:r>
                  <w:r>
                    <w:rPr>
                      <w:rFonts w:ascii="Arial" w:eastAsia="Arial" w:hAnsi="Arial" w:cs="Arial"/>
                      <w:sz w:val="16"/>
                      <w:szCs w:val="16"/>
                    </w:rPr>
                    <w:t xml:space="preserve">: </w:t>
                  </w:r>
                  <w:r w:rsidRPr="00AD1E22">
                    <w:rPr>
                      <w:rFonts w:ascii="Arial" w:eastAsia="Arial" w:hAnsi="Arial" w:cs="Arial"/>
                      <w:sz w:val="16"/>
                      <w:szCs w:val="16"/>
                    </w:rPr>
                    <w:t>10% del valor del contrato</w:t>
                  </w:r>
                  <w:r>
                    <w:rPr>
                      <w:rFonts w:ascii="Arial" w:eastAsia="Arial" w:hAnsi="Arial" w:cs="Arial"/>
                      <w:sz w:val="16"/>
                      <w:szCs w:val="16"/>
                    </w:rPr>
                    <w:t xml:space="preserve"> </w:t>
                  </w:r>
                  <w:r w:rsidRPr="00AD1E22">
                    <w:rPr>
                      <w:rFonts w:ascii="Arial" w:eastAsia="Arial" w:hAnsi="Arial" w:cs="Arial"/>
                      <w:sz w:val="16"/>
                      <w:szCs w:val="16"/>
                    </w:rPr>
                    <w:t>Hasta la liquidación</w:t>
                  </w:r>
                  <w:r>
                    <w:rPr>
                      <w:rFonts w:ascii="Arial" w:eastAsia="Arial" w:hAnsi="Arial" w:cs="Arial"/>
                      <w:sz w:val="16"/>
                      <w:szCs w:val="16"/>
                    </w:rPr>
                    <w:t>.</w:t>
                  </w:r>
                </w:p>
                <w:p w14:paraId="1A4FD7AB" w14:textId="77777777" w:rsidR="005F6346" w:rsidRPr="00AD1E22" w:rsidRDefault="005F6346" w:rsidP="005F6346">
                  <w:pPr>
                    <w:widowControl w:val="0"/>
                    <w:pBdr>
                      <w:top w:val="nil"/>
                      <w:left w:val="nil"/>
                      <w:bottom w:val="nil"/>
                      <w:right w:val="nil"/>
                      <w:between w:val="nil"/>
                    </w:pBdr>
                    <w:jc w:val="both"/>
                    <w:rPr>
                      <w:rFonts w:ascii="Arial" w:eastAsia="Arial" w:hAnsi="Arial" w:cs="Arial"/>
                      <w:sz w:val="16"/>
                      <w:szCs w:val="16"/>
                    </w:rPr>
                  </w:pPr>
                  <w:r w:rsidRPr="00AD1E22">
                    <w:rPr>
                      <w:rFonts w:ascii="Arial" w:eastAsia="Arial" w:hAnsi="Arial" w:cs="Arial"/>
                      <w:sz w:val="16"/>
                      <w:szCs w:val="16"/>
                    </w:rPr>
                    <w:t>Pago de salarios, prestaciones sociales e indemnizaciones laborales</w:t>
                  </w:r>
                  <w:r>
                    <w:rPr>
                      <w:rFonts w:ascii="Arial" w:eastAsia="Arial" w:hAnsi="Arial" w:cs="Arial"/>
                      <w:sz w:val="16"/>
                      <w:szCs w:val="16"/>
                    </w:rPr>
                    <w:t>: 1</w:t>
                  </w:r>
                  <w:r w:rsidRPr="00AD1E22">
                    <w:rPr>
                      <w:rFonts w:ascii="Arial" w:eastAsia="Arial" w:hAnsi="Arial" w:cs="Arial"/>
                      <w:sz w:val="16"/>
                      <w:szCs w:val="16"/>
                    </w:rPr>
                    <w:t>0% del valor del contrato</w:t>
                  </w:r>
                  <w:r>
                    <w:rPr>
                      <w:rFonts w:ascii="Arial" w:eastAsia="Arial" w:hAnsi="Arial" w:cs="Arial"/>
                      <w:sz w:val="16"/>
                      <w:szCs w:val="16"/>
                    </w:rPr>
                    <w:t xml:space="preserve"> </w:t>
                  </w:r>
                  <w:r w:rsidRPr="00AD1E22">
                    <w:rPr>
                      <w:rFonts w:ascii="Arial" w:eastAsia="Arial" w:hAnsi="Arial" w:cs="Arial"/>
                      <w:sz w:val="16"/>
                      <w:szCs w:val="16"/>
                    </w:rPr>
                    <w:t>Plazo del contrato + 3 años</w:t>
                  </w:r>
                  <w:r>
                    <w:rPr>
                      <w:rFonts w:ascii="Arial" w:eastAsia="Arial" w:hAnsi="Arial" w:cs="Arial"/>
                      <w:sz w:val="16"/>
                      <w:szCs w:val="16"/>
                    </w:rPr>
                    <w:t>.</w:t>
                  </w:r>
                </w:p>
                <w:p w14:paraId="04118B86" w14:textId="77777777" w:rsidR="005F6346" w:rsidRPr="00F92E9B" w:rsidRDefault="005F6346" w:rsidP="005F6346">
                  <w:pPr>
                    <w:widowControl w:val="0"/>
                    <w:pBdr>
                      <w:top w:val="nil"/>
                      <w:left w:val="nil"/>
                      <w:bottom w:val="nil"/>
                      <w:right w:val="nil"/>
                      <w:between w:val="nil"/>
                    </w:pBdr>
                    <w:rPr>
                      <w:rFonts w:ascii="Arial" w:eastAsia="Arial" w:hAnsi="Arial" w:cs="Arial"/>
                      <w:sz w:val="16"/>
                      <w:szCs w:val="16"/>
                    </w:rPr>
                  </w:pPr>
                  <w:r w:rsidRPr="00AD1E22">
                    <w:rPr>
                      <w:rFonts w:ascii="Arial" w:eastAsia="Arial" w:hAnsi="Arial" w:cs="Arial"/>
                      <w:sz w:val="16"/>
                      <w:szCs w:val="16"/>
                    </w:rPr>
                    <w:t>Calidad del servicio</w:t>
                  </w:r>
                  <w:r>
                    <w:rPr>
                      <w:rFonts w:ascii="Arial" w:eastAsia="Arial" w:hAnsi="Arial" w:cs="Arial"/>
                      <w:sz w:val="16"/>
                      <w:szCs w:val="16"/>
                    </w:rPr>
                    <w:t>:</w:t>
                  </w:r>
                  <w:r w:rsidRPr="00AD1E22">
                    <w:rPr>
                      <w:rFonts w:ascii="Arial" w:eastAsia="Arial" w:hAnsi="Arial" w:cs="Arial"/>
                      <w:sz w:val="16"/>
                      <w:szCs w:val="16"/>
                    </w:rPr>
                    <w:t>20% del valor total del contrato</w:t>
                  </w:r>
                  <w:r>
                    <w:rPr>
                      <w:rFonts w:ascii="Arial" w:eastAsia="Arial" w:hAnsi="Arial" w:cs="Arial"/>
                      <w:sz w:val="16"/>
                      <w:szCs w:val="16"/>
                    </w:rPr>
                    <w:t xml:space="preserve"> </w:t>
                  </w:r>
                  <w:r w:rsidRPr="00AD1E22">
                    <w:rPr>
                      <w:rFonts w:ascii="Arial" w:eastAsia="Arial" w:hAnsi="Arial" w:cs="Arial"/>
                      <w:sz w:val="16"/>
                      <w:szCs w:val="16"/>
                    </w:rPr>
                    <w:t>Igual al plazo de la garantía de estabilidad del contrato principal</w:t>
                  </w:r>
                </w:p>
              </w:tc>
              <w:tc>
                <w:tcPr>
                  <w:tcW w:w="1355" w:type="pct"/>
                  <w:tcMar>
                    <w:top w:w="100" w:type="dxa"/>
                    <w:left w:w="100" w:type="dxa"/>
                    <w:bottom w:w="100" w:type="dxa"/>
                    <w:right w:w="100" w:type="dxa"/>
                  </w:tcMar>
                </w:tcPr>
                <w:p w14:paraId="30224356" w14:textId="77777777" w:rsidR="005F6346" w:rsidRPr="00F81680" w:rsidRDefault="005F6346" w:rsidP="005F6346">
                  <w:pPr>
                    <w:widowControl w:val="0"/>
                    <w:pBdr>
                      <w:top w:val="nil"/>
                      <w:left w:val="nil"/>
                      <w:bottom w:val="nil"/>
                      <w:right w:val="nil"/>
                      <w:between w:val="nil"/>
                    </w:pBdr>
                    <w:jc w:val="both"/>
                    <w:rPr>
                      <w:rFonts w:ascii="Arial" w:eastAsia="Arial" w:hAnsi="Arial" w:cs="Arial"/>
                      <w:sz w:val="16"/>
                      <w:szCs w:val="16"/>
                    </w:rPr>
                  </w:pPr>
                  <w:r w:rsidRPr="00F81680">
                    <w:rPr>
                      <w:rFonts w:ascii="Arial" w:eastAsia="Arial" w:hAnsi="Arial" w:cs="Arial"/>
                      <w:sz w:val="16"/>
                      <w:szCs w:val="16"/>
                    </w:rPr>
                    <w:t>Cumplimiento del contrato</w:t>
                  </w:r>
                  <w:r>
                    <w:rPr>
                      <w:rFonts w:ascii="Arial" w:eastAsia="Arial" w:hAnsi="Arial" w:cs="Arial"/>
                      <w:sz w:val="16"/>
                      <w:szCs w:val="16"/>
                    </w:rPr>
                    <w:t xml:space="preserve">: </w:t>
                  </w:r>
                  <w:r w:rsidRPr="00F81680">
                    <w:rPr>
                      <w:rFonts w:ascii="Arial" w:eastAsia="Arial" w:hAnsi="Arial" w:cs="Arial"/>
                      <w:sz w:val="16"/>
                      <w:szCs w:val="16"/>
                    </w:rPr>
                    <w:t>20%</w:t>
                  </w:r>
                  <w:r>
                    <w:rPr>
                      <w:rFonts w:ascii="Arial" w:eastAsia="Arial" w:hAnsi="Arial" w:cs="Arial"/>
                      <w:sz w:val="16"/>
                      <w:szCs w:val="16"/>
                    </w:rPr>
                    <w:t xml:space="preserve">, </w:t>
                  </w:r>
                  <w:r w:rsidRPr="00F81680">
                    <w:rPr>
                      <w:rFonts w:ascii="Arial" w:eastAsia="Arial" w:hAnsi="Arial" w:cs="Arial"/>
                      <w:sz w:val="16"/>
                      <w:szCs w:val="16"/>
                    </w:rPr>
                    <w:t>Durante la ejecución y 6 meses más</w:t>
                  </w:r>
                  <w:r>
                    <w:rPr>
                      <w:rFonts w:ascii="Arial" w:eastAsia="Arial" w:hAnsi="Arial" w:cs="Arial"/>
                      <w:sz w:val="16"/>
                      <w:szCs w:val="16"/>
                    </w:rPr>
                    <w:t>.</w:t>
                  </w:r>
                </w:p>
                <w:p w14:paraId="2D7E01CD" w14:textId="77777777" w:rsidR="005F6346" w:rsidRPr="00F81680" w:rsidRDefault="005F6346" w:rsidP="005F6346">
                  <w:pPr>
                    <w:widowControl w:val="0"/>
                    <w:pBdr>
                      <w:top w:val="nil"/>
                      <w:left w:val="nil"/>
                      <w:bottom w:val="nil"/>
                      <w:right w:val="nil"/>
                      <w:between w:val="nil"/>
                    </w:pBdr>
                    <w:jc w:val="both"/>
                    <w:rPr>
                      <w:rFonts w:ascii="Arial" w:eastAsia="Arial" w:hAnsi="Arial" w:cs="Arial"/>
                      <w:sz w:val="16"/>
                      <w:szCs w:val="16"/>
                    </w:rPr>
                  </w:pPr>
                  <w:r w:rsidRPr="00F81680">
                    <w:rPr>
                      <w:rFonts w:ascii="Arial" w:eastAsia="Arial" w:hAnsi="Arial" w:cs="Arial"/>
                      <w:sz w:val="16"/>
                      <w:szCs w:val="16"/>
                    </w:rPr>
                    <w:t>Pago de salarios</w:t>
                  </w:r>
                  <w:r>
                    <w:rPr>
                      <w:rFonts w:ascii="Arial" w:eastAsia="Arial" w:hAnsi="Arial" w:cs="Arial"/>
                      <w:sz w:val="16"/>
                      <w:szCs w:val="16"/>
                    </w:rPr>
                    <w:t xml:space="preserve">: </w:t>
                  </w:r>
                  <w:r w:rsidRPr="00F81680">
                    <w:rPr>
                      <w:rFonts w:ascii="Arial" w:eastAsia="Arial" w:hAnsi="Arial" w:cs="Arial"/>
                      <w:sz w:val="16"/>
                      <w:szCs w:val="16"/>
                    </w:rPr>
                    <w:t>10%</w:t>
                  </w:r>
                  <w:r>
                    <w:rPr>
                      <w:rFonts w:ascii="Arial" w:eastAsia="Arial" w:hAnsi="Arial" w:cs="Arial"/>
                      <w:sz w:val="16"/>
                      <w:szCs w:val="16"/>
                    </w:rPr>
                    <w:t xml:space="preserve"> </w:t>
                  </w:r>
                  <w:r w:rsidRPr="00F81680">
                    <w:rPr>
                      <w:rFonts w:ascii="Arial" w:eastAsia="Arial" w:hAnsi="Arial" w:cs="Arial"/>
                      <w:sz w:val="16"/>
                      <w:szCs w:val="16"/>
                    </w:rPr>
                    <w:t>Durante la ejecución y 3 años más</w:t>
                  </w:r>
                  <w:r>
                    <w:rPr>
                      <w:rFonts w:ascii="Arial" w:eastAsia="Arial" w:hAnsi="Arial" w:cs="Arial"/>
                      <w:sz w:val="16"/>
                      <w:szCs w:val="16"/>
                    </w:rPr>
                    <w:t>.</w:t>
                  </w:r>
                </w:p>
                <w:p w14:paraId="5617DADB" w14:textId="77777777" w:rsidR="005F6346" w:rsidRPr="00F81680" w:rsidRDefault="005F6346" w:rsidP="005F6346">
                  <w:pPr>
                    <w:widowControl w:val="0"/>
                    <w:pBdr>
                      <w:top w:val="nil"/>
                      <w:left w:val="nil"/>
                      <w:bottom w:val="nil"/>
                      <w:right w:val="nil"/>
                      <w:between w:val="nil"/>
                    </w:pBdr>
                    <w:jc w:val="both"/>
                    <w:rPr>
                      <w:rFonts w:ascii="Arial" w:eastAsia="Arial" w:hAnsi="Arial" w:cs="Arial"/>
                      <w:sz w:val="16"/>
                      <w:szCs w:val="16"/>
                    </w:rPr>
                  </w:pPr>
                  <w:r w:rsidRPr="00F81680">
                    <w:rPr>
                      <w:rFonts w:ascii="Arial" w:eastAsia="Arial" w:hAnsi="Arial" w:cs="Arial"/>
                      <w:sz w:val="16"/>
                      <w:szCs w:val="16"/>
                    </w:rPr>
                    <w:t>Calidad del servicio</w:t>
                  </w:r>
                  <w:r>
                    <w:rPr>
                      <w:rFonts w:ascii="Arial" w:eastAsia="Arial" w:hAnsi="Arial" w:cs="Arial"/>
                      <w:sz w:val="16"/>
                      <w:szCs w:val="16"/>
                    </w:rPr>
                    <w:t xml:space="preserve">: </w:t>
                  </w:r>
                  <w:r w:rsidRPr="00F81680">
                    <w:rPr>
                      <w:rFonts w:ascii="Arial" w:eastAsia="Arial" w:hAnsi="Arial" w:cs="Arial"/>
                      <w:sz w:val="16"/>
                      <w:szCs w:val="16"/>
                    </w:rPr>
                    <w:t>20%Durante la ejecución y 5 años más</w:t>
                  </w:r>
                  <w:r>
                    <w:rPr>
                      <w:rFonts w:ascii="Arial" w:eastAsia="Arial" w:hAnsi="Arial" w:cs="Arial"/>
                      <w:sz w:val="16"/>
                      <w:szCs w:val="16"/>
                    </w:rPr>
                    <w:t>.</w:t>
                  </w:r>
                </w:p>
                <w:p w14:paraId="6C33E50A" w14:textId="77777777" w:rsidR="005F6346" w:rsidRDefault="005F6346" w:rsidP="005F6346">
                  <w:pPr>
                    <w:widowControl w:val="0"/>
                    <w:jc w:val="both"/>
                    <w:rPr>
                      <w:rFonts w:ascii="Arial" w:eastAsia="Arial" w:hAnsi="Arial" w:cs="Arial"/>
                      <w:sz w:val="14"/>
                      <w:szCs w:val="14"/>
                    </w:rPr>
                  </w:pPr>
                  <w:r w:rsidRPr="00F81680">
                    <w:rPr>
                      <w:rFonts w:ascii="Arial" w:eastAsia="Arial" w:hAnsi="Arial" w:cs="Arial"/>
                      <w:sz w:val="16"/>
                      <w:szCs w:val="16"/>
                    </w:rPr>
                    <w:t>Responsabilidad Civil Extracontractual</w:t>
                  </w:r>
                  <w:r>
                    <w:rPr>
                      <w:rFonts w:ascii="Arial" w:eastAsia="Arial" w:hAnsi="Arial" w:cs="Arial"/>
                      <w:sz w:val="16"/>
                      <w:szCs w:val="16"/>
                    </w:rPr>
                    <w:t xml:space="preserve">: </w:t>
                  </w:r>
                  <w:r w:rsidRPr="00F81680">
                    <w:rPr>
                      <w:rFonts w:ascii="Arial" w:eastAsia="Arial" w:hAnsi="Arial" w:cs="Arial"/>
                      <w:sz w:val="16"/>
                      <w:szCs w:val="16"/>
                    </w:rPr>
                    <w:t>200 SMMLV</w:t>
                  </w:r>
                  <w:r w:rsidRPr="00F81680">
                    <w:rPr>
                      <w:rFonts w:ascii="Arial" w:eastAsia="Arial" w:hAnsi="Arial" w:cs="Arial"/>
                      <w:sz w:val="16"/>
                      <w:szCs w:val="16"/>
                    </w:rPr>
                    <w:tab/>
                    <w:t>Durante la ejecución</w:t>
                  </w:r>
                </w:p>
              </w:tc>
              <w:tc>
                <w:tcPr>
                  <w:tcW w:w="1320" w:type="pct"/>
                  <w:tcMar>
                    <w:top w:w="100" w:type="dxa"/>
                    <w:left w:w="100" w:type="dxa"/>
                    <w:bottom w:w="100" w:type="dxa"/>
                    <w:right w:w="100" w:type="dxa"/>
                  </w:tcMar>
                </w:tcPr>
                <w:p w14:paraId="1DE6968A"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Cumplimiento del contrato</w:t>
                  </w:r>
                  <w:r>
                    <w:rPr>
                      <w:rFonts w:ascii="Arial" w:eastAsia="Arial" w:hAnsi="Arial" w:cs="Arial"/>
                      <w:sz w:val="14"/>
                      <w:szCs w:val="14"/>
                    </w:rPr>
                    <w:t xml:space="preserve">: </w:t>
                  </w:r>
                  <w:r w:rsidRPr="00262D8D">
                    <w:rPr>
                      <w:rFonts w:ascii="Arial" w:eastAsia="Arial" w:hAnsi="Arial" w:cs="Arial"/>
                      <w:sz w:val="14"/>
                      <w:szCs w:val="14"/>
                    </w:rPr>
                    <w:t>30%</w:t>
                  </w:r>
                  <w:r w:rsidRPr="00262D8D">
                    <w:rPr>
                      <w:rFonts w:ascii="Arial" w:eastAsia="Arial" w:hAnsi="Arial" w:cs="Arial"/>
                      <w:sz w:val="14"/>
                      <w:szCs w:val="14"/>
                    </w:rPr>
                    <w:tab/>
                    <w:t>Duración del contrato + 6 meses</w:t>
                  </w:r>
                </w:p>
                <w:p w14:paraId="3229E0CF"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Pago de salarios y prestaciones sociales</w:t>
                  </w:r>
                  <w:r>
                    <w:rPr>
                      <w:rFonts w:ascii="Arial" w:eastAsia="Arial" w:hAnsi="Arial" w:cs="Arial"/>
                      <w:sz w:val="14"/>
                      <w:szCs w:val="14"/>
                    </w:rPr>
                    <w:t>:</w:t>
                  </w:r>
                  <w:r w:rsidRPr="00262D8D">
                    <w:rPr>
                      <w:rFonts w:ascii="Arial" w:eastAsia="Arial" w:hAnsi="Arial" w:cs="Arial"/>
                      <w:sz w:val="14"/>
                      <w:szCs w:val="14"/>
                    </w:rPr>
                    <w:tab/>
                    <w:t>8%</w:t>
                  </w:r>
                  <w:r>
                    <w:rPr>
                      <w:rFonts w:ascii="Arial" w:eastAsia="Arial" w:hAnsi="Arial" w:cs="Arial"/>
                      <w:sz w:val="14"/>
                      <w:szCs w:val="14"/>
                    </w:rPr>
                    <w:t xml:space="preserve"> </w:t>
                  </w:r>
                  <w:r w:rsidRPr="00262D8D">
                    <w:rPr>
                      <w:rFonts w:ascii="Arial" w:eastAsia="Arial" w:hAnsi="Arial" w:cs="Arial"/>
                      <w:sz w:val="14"/>
                      <w:szCs w:val="14"/>
                    </w:rPr>
                    <w:t>Plazo del contrato + 3 años</w:t>
                  </w:r>
                </w:p>
                <w:p w14:paraId="0BA23347" w14:textId="77777777" w:rsidR="005F6346" w:rsidRDefault="005F6346" w:rsidP="005F6346">
                  <w:pPr>
                    <w:widowControl w:val="0"/>
                    <w:rPr>
                      <w:rFonts w:ascii="Arial" w:eastAsia="Arial" w:hAnsi="Arial" w:cs="Arial"/>
                      <w:sz w:val="14"/>
                      <w:szCs w:val="14"/>
                    </w:rPr>
                  </w:pPr>
                  <w:r w:rsidRPr="00262D8D">
                    <w:rPr>
                      <w:rFonts w:ascii="Arial" w:eastAsia="Arial" w:hAnsi="Arial" w:cs="Arial"/>
                      <w:sz w:val="14"/>
                      <w:szCs w:val="14"/>
                    </w:rPr>
                    <w:t>Calidad del servicio</w:t>
                  </w:r>
                  <w:r>
                    <w:rPr>
                      <w:rFonts w:ascii="Arial" w:eastAsia="Arial" w:hAnsi="Arial" w:cs="Arial"/>
                      <w:sz w:val="14"/>
                      <w:szCs w:val="14"/>
                    </w:rPr>
                    <w:t>:</w:t>
                  </w:r>
                  <w:r w:rsidRPr="00262D8D">
                    <w:rPr>
                      <w:rFonts w:ascii="Arial" w:eastAsia="Arial" w:hAnsi="Arial" w:cs="Arial"/>
                      <w:sz w:val="14"/>
                      <w:szCs w:val="14"/>
                    </w:rPr>
                    <w:tab/>
                    <w:t>30%</w:t>
                  </w:r>
                  <w:r>
                    <w:rPr>
                      <w:rFonts w:ascii="Arial" w:eastAsia="Arial" w:hAnsi="Arial" w:cs="Arial"/>
                      <w:sz w:val="14"/>
                      <w:szCs w:val="14"/>
                    </w:rPr>
                    <w:t xml:space="preserve"> </w:t>
                  </w:r>
                  <w:r w:rsidRPr="00262D8D">
                    <w:rPr>
                      <w:rFonts w:ascii="Arial" w:eastAsia="Arial" w:hAnsi="Arial" w:cs="Arial"/>
                      <w:sz w:val="14"/>
                      <w:szCs w:val="14"/>
                    </w:rPr>
                    <w:t>Duración del contrato + 1 año</w:t>
                  </w:r>
                </w:p>
              </w:tc>
            </w:tr>
            <w:tr w:rsidR="005F6346" w14:paraId="665A056D" w14:textId="77777777" w:rsidTr="00E0239A">
              <w:trPr>
                <w:trHeight w:val="321"/>
                <w:jc w:val="center"/>
              </w:trPr>
              <w:tc>
                <w:tcPr>
                  <w:tcW w:w="944" w:type="pct"/>
                  <w:tcMar>
                    <w:top w:w="100" w:type="dxa"/>
                    <w:left w:w="100" w:type="dxa"/>
                    <w:bottom w:w="100" w:type="dxa"/>
                    <w:right w:w="100" w:type="dxa"/>
                  </w:tcMar>
                </w:tcPr>
                <w:p w14:paraId="5A097CE4" w14:textId="77777777" w:rsidR="005F6346" w:rsidRDefault="005F6346" w:rsidP="005F6346">
                  <w:pPr>
                    <w:widowControl w:val="0"/>
                    <w:rPr>
                      <w:rFonts w:ascii="Arial" w:eastAsia="Arial" w:hAnsi="Arial" w:cs="Arial"/>
                      <w:sz w:val="14"/>
                      <w:szCs w:val="14"/>
                    </w:rPr>
                  </w:pPr>
                  <w:r>
                    <w:rPr>
                      <w:rFonts w:ascii="Arial" w:eastAsia="Arial" w:hAnsi="Arial" w:cs="Arial"/>
                      <w:sz w:val="14"/>
                      <w:szCs w:val="14"/>
                    </w:rPr>
                    <w:t>Criterios de evaluación</w:t>
                  </w:r>
                </w:p>
              </w:tc>
              <w:tc>
                <w:tcPr>
                  <w:tcW w:w="1381" w:type="pct"/>
                  <w:tcMar>
                    <w:top w:w="100" w:type="dxa"/>
                    <w:left w:w="100" w:type="dxa"/>
                    <w:bottom w:w="100" w:type="dxa"/>
                    <w:right w:w="100" w:type="dxa"/>
                  </w:tcMar>
                </w:tcPr>
                <w:p w14:paraId="390916F6" w14:textId="77777777" w:rsidR="005F6346" w:rsidRPr="00266FF9" w:rsidRDefault="005F6346" w:rsidP="005F6346">
                  <w:pPr>
                    <w:widowControl w:val="0"/>
                    <w:pBdr>
                      <w:top w:val="nil"/>
                      <w:left w:val="nil"/>
                      <w:bottom w:val="nil"/>
                      <w:right w:val="nil"/>
                      <w:between w:val="nil"/>
                    </w:pBdr>
                    <w:rPr>
                      <w:rFonts w:ascii="Arial" w:eastAsia="Arial" w:hAnsi="Arial" w:cs="Arial"/>
                      <w:sz w:val="14"/>
                      <w:szCs w:val="14"/>
                    </w:rPr>
                  </w:pPr>
                  <w:r w:rsidRPr="00266FF9">
                    <w:rPr>
                      <w:rFonts w:ascii="Arial" w:eastAsia="Arial" w:hAnsi="Arial" w:cs="Arial"/>
                      <w:sz w:val="14"/>
                      <w:szCs w:val="14"/>
                    </w:rPr>
                    <w:t>Experiencia del Proponente</w:t>
                  </w:r>
                  <w:r>
                    <w:rPr>
                      <w:rFonts w:ascii="Arial" w:eastAsia="Arial" w:hAnsi="Arial" w:cs="Arial"/>
                      <w:sz w:val="14"/>
                      <w:szCs w:val="14"/>
                    </w:rPr>
                    <w:t xml:space="preserve">: </w:t>
                  </w:r>
                  <w:r w:rsidRPr="00266FF9">
                    <w:rPr>
                      <w:rFonts w:ascii="Arial" w:eastAsia="Arial" w:hAnsi="Arial" w:cs="Arial"/>
                      <w:sz w:val="14"/>
                      <w:szCs w:val="14"/>
                    </w:rPr>
                    <w:t>67,5</w:t>
                  </w:r>
                </w:p>
                <w:p w14:paraId="2CC2B6EE" w14:textId="77777777" w:rsidR="005F6346" w:rsidRPr="00266FF9" w:rsidRDefault="005F6346" w:rsidP="005F6346">
                  <w:pPr>
                    <w:widowControl w:val="0"/>
                    <w:pBdr>
                      <w:top w:val="nil"/>
                      <w:left w:val="nil"/>
                      <w:bottom w:val="nil"/>
                      <w:right w:val="nil"/>
                      <w:between w:val="nil"/>
                    </w:pBdr>
                    <w:rPr>
                      <w:rFonts w:ascii="Arial" w:eastAsia="Arial" w:hAnsi="Arial" w:cs="Arial"/>
                      <w:sz w:val="14"/>
                      <w:szCs w:val="14"/>
                    </w:rPr>
                  </w:pPr>
                  <w:r w:rsidRPr="00266FF9">
                    <w:rPr>
                      <w:rFonts w:ascii="Arial" w:eastAsia="Arial" w:hAnsi="Arial" w:cs="Arial"/>
                      <w:sz w:val="14"/>
                      <w:szCs w:val="14"/>
                    </w:rPr>
                    <w:t>Equipo de trabajo (Personal Clave Evaluable)</w:t>
                  </w:r>
                  <w:r>
                    <w:rPr>
                      <w:rFonts w:ascii="Arial" w:eastAsia="Arial" w:hAnsi="Arial" w:cs="Arial"/>
                      <w:sz w:val="14"/>
                      <w:szCs w:val="14"/>
                    </w:rPr>
                    <w:t>:</w:t>
                  </w:r>
                  <w:r w:rsidRPr="00266FF9">
                    <w:rPr>
                      <w:rFonts w:ascii="Arial" w:eastAsia="Arial" w:hAnsi="Arial" w:cs="Arial"/>
                      <w:sz w:val="14"/>
                      <w:szCs w:val="14"/>
                    </w:rPr>
                    <w:tab/>
                    <w:t>10</w:t>
                  </w:r>
                </w:p>
                <w:p w14:paraId="44F0A0F4" w14:textId="77777777" w:rsidR="005F6346" w:rsidRPr="00266FF9" w:rsidRDefault="005F6346" w:rsidP="005F6346">
                  <w:pPr>
                    <w:widowControl w:val="0"/>
                    <w:pBdr>
                      <w:top w:val="nil"/>
                      <w:left w:val="nil"/>
                      <w:bottom w:val="nil"/>
                      <w:right w:val="nil"/>
                      <w:between w:val="nil"/>
                    </w:pBdr>
                    <w:rPr>
                      <w:rFonts w:ascii="Arial" w:eastAsia="Arial" w:hAnsi="Arial" w:cs="Arial"/>
                      <w:sz w:val="14"/>
                      <w:szCs w:val="14"/>
                    </w:rPr>
                  </w:pPr>
                  <w:r w:rsidRPr="00266FF9">
                    <w:rPr>
                      <w:rFonts w:ascii="Arial" w:eastAsia="Arial" w:hAnsi="Arial" w:cs="Arial"/>
                      <w:sz w:val="14"/>
                      <w:szCs w:val="14"/>
                    </w:rPr>
                    <w:t>Factor de sostenibilidad</w:t>
                  </w:r>
                  <w:r>
                    <w:rPr>
                      <w:rFonts w:ascii="Arial" w:eastAsia="Arial" w:hAnsi="Arial" w:cs="Arial"/>
                      <w:sz w:val="14"/>
                      <w:szCs w:val="14"/>
                    </w:rPr>
                    <w:t xml:space="preserve">: </w:t>
                  </w:r>
                  <w:r w:rsidRPr="00266FF9">
                    <w:rPr>
                      <w:rFonts w:ascii="Arial" w:eastAsia="Arial" w:hAnsi="Arial" w:cs="Arial"/>
                      <w:sz w:val="14"/>
                      <w:szCs w:val="14"/>
                    </w:rPr>
                    <w:t>1</w:t>
                  </w:r>
                </w:p>
                <w:p w14:paraId="5E5B77F9" w14:textId="77777777" w:rsidR="005F6346" w:rsidRPr="00266FF9" w:rsidRDefault="005F6346" w:rsidP="005F6346">
                  <w:pPr>
                    <w:widowControl w:val="0"/>
                    <w:pBdr>
                      <w:top w:val="nil"/>
                      <w:left w:val="nil"/>
                      <w:bottom w:val="nil"/>
                      <w:right w:val="nil"/>
                      <w:between w:val="nil"/>
                    </w:pBdr>
                    <w:rPr>
                      <w:rFonts w:ascii="Arial" w:eastAsia="Arial" w:hAnsi="Arial" w:cs="Arial"/>
                      <w:sz w:val="14"/>
                      <w:szCs w:val="14"/>
                    </w:rPr>
                  </w:pPr>
                  <w:r w:rsidRPr="00266FF9">
                    <w:rPr>
                      <w:rFonts w:ascii="Arial" w:eastAsia="Arial" w:hAnsi="Arial" w:cs="Arial"/>
                      <w:sz w:val="14"/>
                      <w:szCs w:val="14"/>
                    </w:rPr>
                    <w:t>Apoyo a la industria nacional</w:t>
                  </w:r>
                  <w:r>
                    <w:rPr>
                      <w:rFonts w:ascii="Arial" w:eastAsia="Arial" w:hAnsi="Arial" w:cs="Arial"/>
                      <w:sz w:val="14"/>
                      <w:szCs w:val="14"/>
                    </w:rPr>
                    <w:t xml:space="preserve">: </w:t>
                  </w:r>
                  <w:r w:rsidRPr="00266FF9">
                    <w:rPr>
                      <w:rFonts w:ascii="Arial" w:eastAsia="Arial" w:hAnsi="Arial" w:cs="Arial"/>
                      <w:sz w:val="14"/>
                      <w:szCs w:val="14"/>
                    </w:rPr>
                    <w:t>20</w:t>
                  </w:r>
                </w:p>
                <w:p w14:paraId="7616624C" w14:textId="77777777" w:rsidR="005F6346" w:rsidRPr="00266FF9" w:rsidRDefault="005F6346" w:rsidP="005F6346">
                  <w:pPr>
                    <w:widowControl w:val="0"/>
                    <w:pBdr>
                      <w:top w:val="nil"/>
                      <w:left w:val="nil"/>
                      <w:bottom w:val="nil"/>
                      <w:right w:val="nil"/>
                      <w:between w:val="nil"/>
                    </w:pBdr>
                    <w:rPr>
                      <w:rFonts w:ascii="Arial" w:eastAsia="Arial" w:hAnsi="Arial" w:cs="Arial"/>
                      <w:sz w:val="14"/>
                      <w:szCs w:val="14"/>
                    </w:rPr>
                  </w:pPr>
                  <w:r w:rsidRPr="00266FF9">
                    <w:rPr>
                      <w:rFonts w:ascii="Arial" w:eastAsia="Arial" w:hAnsi="Arial" w:cs="Arial"/>
                      <w:sz w:val="14"/>
                      <w:szCs w:val="14"/>
                    </w:rPr>
                    <w:t>Vinculación de personas con discapacidad</w:t>
                  </w:r>
                  <w:r>
                    <w:rPr>
                      <w:rFonts w:ascii="Arial" w:eastAsia="Arial" w:hAnsi="Arial" w:cs="Arial"/>
                      <w:sz w:val="14"/>
                      <w:szCs w:val="14"/>
                    </w:rPr>
                    <w:t xml:space="preserve">: </w:t>
                  </w:r>
                  <w:r w:rsidRPr="00266FF9">
                    <w:rPr>
                      <w:rFonts w:ascii="Arial" w:eastAsia="Arial" w:hAnsi="Arial" w:cs="Arial"/>
                      <w:sz w:val="14"/>
                      <w:szCs w:val="14"/>
                    </w:rPr>
                    <w:t>1</w:t>
                  </w:r>
                </w:p>
                <w:p w14:paraId="53C5EB74" w14:textId="77777777" w:rsidR="005F6346" w:rsidRPr="00266FF9" w:rsidRDefault="005F6346" w:rsidP="005F6346">
                  <w:pPr>
                    <w:widowControl w:val="0"/>
                    <w:pBdr>
                      <w:top w:val="nil"/>
                      <w:left w:val="nil"/>
                      <w:bottom w:val="nil"/>
                      <w:right w:val="nil"/>
                      <w:between w:val="nil"/>
                    </w:pBdr>
                    <w:rPr>
                      <w:rFonts w:ascii="Arial" w:eastAsia="Arial" w:hAnsi="Arial" w:cs="Arial"/>
                      <w:sz w:val="14"/>
                      <w:szCs w:val="14"/>
                    </w:rPr>
                  </w:pPr>
                  <w:r w:rsidRPr="00266FF9">
                    <w:rPr>
                      <w:rFonts w:ascii="Arial" w:eastAsia="Arial" w:hAnsi="Arial" w:cs="Arial"/>
                      <w:sz w:val="14"/>
                      <w:szCs w:val="14"/>
                    </w:rPr>
                    <w:t>Emprendimientos y empresas de mujeres</w:t>
                  </w:r>
                  <w:r>
                    <w:rPr>
                      <w:rFonts w:ascii="Arial" w:eastAsia="Arial" w:hAnsi="Arial" w:cs="Arial"/>
                      <w:sz w:val="14"/>
                      <w:szCs w:val="14"/>
                    </w:rPr>
                    <w:t xml:space="preserve">: </w:t>
                  </w:r>
                  <w:r w:rsidRPr="00266FF9">
                    <w:rPr>
                      <w:rFonts w:ascii="Arial" w:eastAsia="Arial" w:hAnsi="Arial" w:cs="Arial"/>
                      <w:sz w:val="14"/>
                      <w:szCs w:val="14"/>
                    </w:rPr>
                    <w:t>0.25</w:t>
                  </w:r>
                </w:p>
                <w:p w14:paraId="6AE6A611" w14:textId="77777777" w:rsidR="005F6346" w:rsidRPr="00266FF9" w:rsidRDefault="005F6346" w:rsidP="005F6346">
                  <w:pPr>
                    <w:widowControl w:val="0"/>
                    <w:pBdr>
                      <w:top w:val="nil"/>
                      <w:left w:val="nil"/>
                      <w:bottom w:val="nil"/>
                      <w:right w:val="nil"/>
                      <w:between w:val="nil"/>
                    </w:pBdr>
                    <w:rPr>
                      <w:rFonts w:ascii="Arial" w:eastAsia="Arial" w:hAnsi="Arial" w:cs="Arial"/>
                      <w:sz w:val="14"/>
                      <w:szCs w:val="14"/>
                    </w:rPr>
                  </w:pPr>
                  <w:r w:rsidRPr="00266FF9">
                    <w:rPr>
                      <w:rFonts w:ascii="Arial" w:eastAsia="Arial" w:hAnsi="Arial" w:cs="Arial"/>
                      <w:sz w:val="14"/>
                      <w:szCs w:val="14"/>
                    </w:rPr>
                    <w:t>Mipyme</w:t>
                  </w:r>
                  <w:r>
                    <w:rPr>
                      <w:rFonts w:ascii="Arial" w:eastAsia="Arial" w:hAnsi="Arial" w:cs="Arial"/>
                      <w:sz w:val="14"/>
                      <w:szCs w:val="14"/>
                    </w:rPr>
                    <w:t xml:space="preserve">: </w:t>
                  </w:r>
                  <w:r w:rsidRPr="00266FF9">
                    <w:rPr>
                      <w:rFonts w:ascii="Arial" w:eastAsia="Arial" w:hAnsi="Arial" w:cs="Arial"/>
                      <w:sz w:val="14"/>
                      <w:szCs w:val="14"/>
                    </w:rPr>
                    <w:t>0.25</w:t>
                  </w:r>
                </w:p>
                <w:p w14:paraId="2D7DCDB7" w14:textId="77777777" w:rsidR="005F6346" w:rsidRDefault="005F6346" w:rsidP="005F6346">
                  <w:pPr>
                    <w:widowControl w:val="0"/>
                    <w:pBdr>
                      <w:top w:val="nil"/>
                      <w:left w:val="nil"/>
                      <w:bottom w:val="nil"/>
                      <w:right w:val="nil"/>
                      <w:between w:val="nil"/>
                    </w:pBdr>
                    <w:rPr>
                      <w:rFonts w:ascii="Arial" w:eastAsia="Arial" w:hAnsi="Arial" w:cs="Arial"/>
                      <w:sz w:val="14"/>
                      <w:szCs w:val="14"/>
                    </w:rPr>
                  </w:pPr>
                  <w:r w:rsidRPr="00266FF9">
                    <w:rPr>
                      <w:rFonts w:ascii="Arial" w:eastAsia="Arial" w:hAnsi="Arial" w:cs="Arial"/>
                      <w:sz w:val="14"/>
                      <w:szCs w:val="14"/>
                    </w:rPr>
                    <w:lastRenderedPageBreak/>
                    <w:t>Total</w:t>
                  </w:r>
                  <w:r>
                    <w:rPr>
                      <w:rFonts w:ascii="Arial" w:eastAsia="Arial" w:hAnsi="Arial" w:cs="Arial"/>
                      <w:sz w:val="14"/>
                      <w:szCs w:val="14"/>
                    </w:rPr>
                    <w:t xml:space="preserve">: </w:t>
                  </w:r>
                  <w:r w:rsidRPr="00266FF9">
                    <w:rPr>
                      <w:rFonts w:ascii="Arial" w:eastAsia="Arial" w:hAnsi="Arial" w:cs="Arial"/>
                      <w:sz w:val="14"/>
                      <w:szCs w:val="14"/>
                    </w:rPr>
                    <w:t>100</w:t>
                  </w:r>
                </w:p>
              </w:tc>
              <w:tc>
                <w:tcPr>
                  <w:tcW w:w="1355" w:type="pct"/>
                  <w:tcMar>
                    <w:top w:w="100" w:type="dxa"/>
                    <w:left w:w="100" w:type="dxa"/>
                    <w:bottom w:w="100" w:type="dxa"/>
                    <w:right w:w="100" w:type="dxa"/>
                  </w:tcMar>
                </w:tcPr>
                <w:p w14:paraId="4E49C2EA" w14:textId="77777777" w:rsidR="005F6346" w:rsidRPr="00F81680" w:rsidRDefault="005F6346" w:rsidP="005F6346">
                  <w:pPr>
                    <w:widowControl w:val="0"/>
                    <w:rPr>
                      <w:rFonts w:ascii="Arial" w:eastAsia="Arial" w:hAnsi="Arial" w:cs="Arial"/>
                      <w:sz w:val="14"/>
                      <w:szCs w:val="14"/>
                    </w:rPr>
                  </w:pPr>
                  <w:r w:rsidRPr="00F81680">
                    <w:rPr>
                      <w:rFonts w:ascii="Arial" w:eastAsia="Arial" w:hAnsi="Arial" w:cs="Arial"/>
                      <w:sz w:val="14"/>
                      <w:szCs w:val="14"/>
                    </w:rPr>
                    <w:lastRenderedPageBreak/>
                    <w:t>Experiencia adicional del proponente</w:t>
                  </w:r>
                  <w:r>
                    <w:rPr>
                      <w:rFonts w:ascii="Arial" w:eastAsia="Arial" w:hAnsi="Arial" w:cs="Arial"/>
                      <w:sz w:val="14"/>
                      <w:szCs w:val="14"/>
                    </w:rPr>
                    <w:t xml:space="preserve"> </w:t>
                  </w:r>
                  <w:r w:rsidRPr="00F81680">
                    <w:rPr>
                      <w:rFonts w:ascii="Arial" w:eastAsia="Arial" w:hAnsi="Arial" w:cs="Arial"/>
                      <w:sz w:val="14"/>
                      <w:szCs w:val="14"/>
                    </w:rPr>
                    <w:t>45 puntos</w:t>
                  </w:r>
                </w:p>
                <w:p w14:paraId="7EC77840" w14:textId="77777777" w:rsidR="005F6346" w:rsidRPr="00F81680" w:rsidRDefault="005F6346" w:rsidP="005F6346">
                  <w:pPr>
                    <w:widowControl w:val="0"/>
                    <w:rPr>
                      <w:rFonts w:ascii="Arial" w:eastAsia="Arial" w:hAnsi="Arial" w:cs="Arial"/>
                      <w:sz w:val="14"/>
                      <w:szCs w:val="14"/>
                    </w:rPr>
                  </w:pPr>
                  <w:r w:rsidRPr="00F81680">
                    <w:rPr>
                      <w:rFonts w:ascii="Arial" w:eastAsia="Arial" w:hAnsi="Arial" w:cs="Arial"/>
                      <w:sz w:val="14"/>
                      <w:szCs w:val="14"/>
                    </w:rPr>
                    <w:t>Experiencia adicional del equipo de trabajo</w:t>
                  </w:r>
                  <w:r w:rsidRPr="00F81680">
                    <w:rPr>
                      <w:rFonts w:ascii="Arial" w:eastAsia="Arial" w:hAnsi="Arial" w:cs="Arial"/>
                      <w:sz w:val="14"/>
                      <w:szCs w:val="14"/>
                    </w:rPr>
                    <w:tab/>
                    <w:t>38,50 puntos</w:t>
                  </w:r>
                </w:p>
                <w:p w14:paraId="455D2902" w14:textId="77777777" w:rsidR="005F6346" w:rsidRPr="00F81680" w:rsidRDefault="005F6346" w:rsidP="005F6346">
                  <w:pPr>
                    <w:widowControl w:val="0"/>
                    <w:rPr>
                      <w:rFonts w:ascii="Arial" w:eastAsia="Arial" w:hAnsi="Arial" w:cs="Arial"/>
                      <w:sz w:val="14"/>
                      <w:szCs w:val="14"/>
                    </w:rPr>
                  </w:pPr>
                  <w:r w:rsidRPr="00F81680">
                    <w:rPr>
                      <w:rFonts w:ascii="Arial" w:eastAsia="Arial" w:hAnsi="Arial" w:cs="Arial"/>
                      <w:sz w:val="14"/>
                      <w:szCs w:val="14"/>
                    </w:rPr>
                    <w:t>MIPYME domiciliada en Colombia</w:t>
                  </w:r>
                  <w:r w:rsidRPr="00F81680">
                    <w:rPr>
                      <w:rFonts w:ascii="Arial" w:eastAsia="Arial" w:hAnsi="Arial" w:cs="Arial"/>
                      <w:sz w:val="14"/>
                      <w:szCs w:val="14"/>
                    </w:rPr>
                    <w:tab/>
                    <w:t>0,25 puntos</w:t>
                  </w:r>
                </w:p>
                <w:p w14:paraId="21FB1203" w14:textId="77777777" w:rsidR="005F6346" w:rsidRPr="00F81680" w:rsidRDefault="005F6346" w:rsidP="005F6346">
                  <w:pPr>
                    <w:widowControl w:val="0"/>
                    <w:rPr>
                      <w:rFonts w:ascii="Arial" w:eastAsia="Arial" w:hAnsi="Arial" w:cs="Arial"/>
                      <w:sz w:val="14"/>
                      <w:szCs w:val="14"/>
                    </w:rPr>
                  </w:pPr>
                  <w:r w:rsidRPr="00F81680">
                    <w:rPr>
                      <w:rFonts w:ascii="Arial" w:eastAsia="Arial" w:hAnsi="Arial" w:cs="Arial"/>
                      <w:sz w:val="14"/>
                      <w:szCs w:val="14"/>
                    </w:rPr>
                    <w:t>Emprendimientos y empresas de mujeres</w:t>
                  </w:r>
                  <w:r w:rsidRPr="00F81680">
                    <w:rPr>
                      <w:rFonts w:ascii="Arial" w:eastAsia="Arial" w:hAnsi="Arial" w:cs="Arial"/>
                      <w:sz w:val="14"/>
                      <w:szCs w:val="14"/>
                    </w:rPr>
                    <w:tab/>
                    <w:t>0,25 puntos</w:t>
                  </w:r>
                </w:p>
                <w:p w14:paraId="37EEC03A" w14:textId="77777777" w:rsidR="005F6346" w:rsidRPr="00F81680" w:rsidRDefault="005F6346" w:rsidP="005F6346">
                  <w:pPr>
                    <w:widowControl w:val="0"/>
                    <w:rPr>
                      <w:rFonts w:ascii="Arial" w:eastAsia="Arial" w:hAnsi="Arial" w:cs="Arial"/>
                      <w:sz w:val="14"/>
                      <w:szCs w:val="14"/>
                    </w:rPr>
                  </w:pPr>
                  <w:r w:rsidRPr="00F81680">
                    <w:rPr>
                      <w:rFonts w:ascii="Arial" w:eastAsia="Arial" w:hAnsi="Arial" w:cs="Arial"/>
                      <w:sz w:val="14"/>
                      <w:szCs w:val="14"/>
                    </w:rPr>
                    <w:t>Compromiso de vinculación laboral población vulnerable</w:t>
                  </w:r>
                  <w:r>
                    <w:rPr>
                      <w:rFonts w:ascii="Arial" w:eastAsia="Arial" w:hAnsi="Arial" w:cs="Arial"/>
                      <w:sz w:val="14"/>
                      <w:szCs w:val="14"/>
                    </w:rPr>
                    <w:t xml:space="preserve"> </w:t>
                  </w:r>
                  <w:r w:rsidRPr="00F81680">
                    <w:rPr>
                      <w:rFonts w:ascii="Arial" w:eastAsia="Arial" w:hAnsi="Arial" w:cs="Arial"/>
                      <w:sz w:val="14"/>
                      <w:szCs w:val="14"/>
                    </w:rPr>
                    <w:t>5 puntos</w:t>
                  </w:r>
                </w:p>
                <w:p w14:paraId="5D514151" w14:textId="77777777" w:rsidR="005F6346" w:rsidRPr="00F81680" w:rsidRDefault="005F6346" w:rsidP="005F6346">
                  <w:pPr>
                    <w:widowControl w:val="0"/>
                    <w:rPr>
                      <w:rFonts w:ascii="Arial" w:eastAsia="Arial" w:hAnsi="Arial" w:cs="Arial"/>
                      <w:sz w:val="14"/>
                      <w:szCs w:val="14"/>
                    </w:rPr>
                  </w:pPr>
                  <w:r w:rsidRPr="00F81680">
                    <w:rPr>
                      <w:rFonts w:ascii="Arial" w:eastAsia="Arial" w:hAnsi="Arial" w:cs="Arial"/>
                      <w:sz w:val="14"/>
                      <w:szCs w:val="14"/>
                    </w:rPr>
                    <w:lastRenderedPageBreak/>
                    <w:t>Vinculación de trabajadores con discapacidad</w:t>
                  </w:r>
                  <w:r w:rsidRPr="00F81680">
                    <w:rPr>
                      <w:rFonts w:ascii="Arial" w:eastAsia="Arial" w:hAnsi="Arial" w:cs="Arial"/>
                      <w:sz w:val="14"/>
                      <w:szCs w:val="14"/>
                    </w:rPr>
                    <w:tab/>
                    <w:t>1 punto</w:t>
                  </w:r>
                </w:p>
                <w:p w14:paraId="1143AEE0" w14:textId="77777777" w:rsidR="005F6346" w:rsidRPr="00F81680" w:rsidRDefault="005F6346" w:rsidP="005F6346">
                  <w:pPr>
                    <w:widowControl w:val="0"/>
                    <w:rPr>
                      <w:rFonts w:ascii="Arial" w:eastAsia="Arial" w:hAnsi="Arial" w:cs="Arial"/>
                      <w:sz w:val="14"/>
                      <w:szCs w:val="14"/>
                    </w:rPr>
                  </w:pPr>
                  <w:r w:rsidRPr="00F81680">
                    <w:rPr>
                      <w:rFonts w:ascii="Arial" w:eastAsia="Arial" w:hAnsi="Arial" w:cs="Arial"/>
                      <w:sz w:val="14"/>
                      <w:szCs w:val="14"/>
                    </w:rPr>
                    <w:t>Incentivo a la industria nacional10 puntos</w:t>
                  </w:r>
                </w:p>
                <w:p w14:paraId="6C9870CF" w14:textId="77777777" w:rsidR="005F6346" w:rsidRDefault="005F6346" w:rsidP="005F6346">
                  <w:pPr>
                    <w:widowControl w:val="0"/>
                    <w:rPr>
                      <w:rFonts w:ascii="Arial" w:eastAsia="Arial" w:hAnsi="Arial" w:cs="Arial"/>
                      <w:sz w:val="14"/>
                      <w:szCs w:val="14"/>
                    </w:rPr>
                  </w:pPr>
                  <w:r w:rsidRPr="00F81680">
                    <w:rPr>
                      <w:rFonts w:ascii="Arial" w:eastAsia="Arial" w:hAnsi="Arial" w:cs="Arial"/>
                      <w:sz w:val="14"/>
                      <w:szCs w:val="14"/>
                    </w:rPr>
                    <w:t>TOTAL</w:t>
                  </w:r>
                  <w:r w:rsidRPr="00F81680">
                    <w:rPr>
                      <w:rFonts w:ascii="Arial" w:eastAsia="Arial" w:hAnsi="Arial" w:cs="Arial"/>
                      <w:sz w:val="14"/>
                      <w:szCs w:val="14"/>
                    </w:rPr>
                    <w:tab/>
                    <w:t>100 puntos</w:t>
                  </w:r>
                </w:p>
              </w:tc>
              <w:tc>
                <w:tcPr>
                  <w:tcW w:w="1320" w:type="pct"/>
                  <w:tcMar>
                    <w:top w:w="100" w:type="dxa"/>
                    <w:left w:w="100" w:type="dxa"/>
                    <w:bottom w:w="100" w:type="dxa"/>
                    <w:right w:w="100" w:type="dxa"/>
                  </w:tcMar>
                </w:tcPr>
                <w:p w14:paraId="2F2CA033"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lastRenderedPageBreak/>
                    <w:t>Experiencia del proponente</w:t>
                  </w:r>
                  <w:r>
                    <w:rPr>
                      <w:rFonts w:ascii="Arial" w:eastAsia="Arial" w:hAnsi="Arial" w:cs="Arial"/>
                      <w:sz w:val="14"/>
                      <w:szCs w:val="14"/>
                    </w:rPr>
                    <w:t xml:space="preserve"> </w:t>
                  </w:r>
                  <w:r w:rsidRPr="00262D8D">
                    <w:rPr>
                      <w:rFonts w:ascii="Arial" w:eastAsia="Arial" w:hAnsi="Arial" w:cs="Arial"/>
                      <w:sz w:val="14"/>
                      <w:szCs w:val="14"/>
                    </w:rPr>
                    <w:t>39,5</w:t>
                  </w:r>
                </w:p>
                <w:p w14:paraId="5E0A86B0"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Experiencia y formación adicional del equipo mínimo de trabajo</w:t>
                  </w:r>
                  <w:r w:rsidRPr="00262D8D">
                    <w:rPr>
                      <w:rFonts w:ascii="Arial" w:eastAsia="Arial" w:hAnsi="Arial" w:cs="Arial"/>
                      <w:sz w:val="14"/>
                      <w:szCs w:val="14"/>
                    </w:rPr>
                    <w:tab/>
                    <w:t>39</w:t>
                  </w:r>
                </w:p>
                <w:p w14:paraId="54DDF6B0"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Promoción de inclusión social</w:t>
                  </w:r>
                  <w:r>
                    <w:rPr>
                      <w:rFonts w:ascii="Arial" w:eastAsia="Arial" w:hAnsi="Arial" w:cs="Arial"/>
                      <w:sz w:val="14"/>
                      <w:szCs w:val="14"/>
                    </w:rPr>
                    <w:t xml:space="preserve"> </w:t>
                  </w:r>
                  <w:r w:rsidRPr="00262D8D">
                    <w:rPr>
                      <w:rFonts w:ascii="Arial" w:eastAsia="Arial" w:hAnsi="Arial" w:cs="Arial"/>
                      <w:sz w:val="14"/>
                      <w:szCs w:val="14"/>
                    </w:rPr>
                    <w:t>5</w:t>
                  </w:r>
                </w:p>
                <w:p w14:paraId="624D953A"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Factor de sostenibilidad ambiental</w:t>
                  </w:r>
                  <w:r w:rsidRPr="00262D8D">
                    <w:rPr>
                      <w:rFonts w:ascii="Arial" w:eastAsia="Arial" w:hAnsi="Arial" w:cs="Arial"/>
                      <w:sz w:val="14"/>
                      <w:szCs w:val="14"/>
                    </w:rPr>
                    <w:tab/>
                    <w:t>5</w:t>
                  </w:r>
                </w:p>
                <w:p w14:paraId="5562C35C"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Apoyo a la industria nacional</w:t>
                  </w:r>
                  <w:r>
                    <w:rPr>
                      <w:rFonts w:ascii="Arial" w:eastAsia="Arial" w:hAnsi="Arial" w:cs="Arial"/>
                      <w:sz w:val="14"/>
                      <w:szCs w:val="14"/>
                    </w:rPr>
                    <w:t xml:space="preserve"> </w:t>
                  </w:r>
                  <w:r w:rsidRPr="00262D8D">
                    <w:rPr>
                      <w:rFonts w:ascii="Arial" w:eastAsia="Arial" w:hAnsi="Arial" w:cs="Arial"/>
                      <w:sz w:val="14"/>
                      <w:szCs w:val="14"/>
                    </w:rPr>
                    <w:t>10</w:t>
                  </w:r>
                </w:p>
                <w:p w14:paraId="48ED92D6"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Mipymes domiciliadas en Colombia</w:t>
                  </w:r>
                  <w:r w:rsidRPr="00262D8D">
                    <w:rPr>
                      <w:rFonts w:ascii="Arial" w:eastAsia="Arial" w:hAnsi="Arial" w:cs="Arial"/>
                      <w:sz w:val="14"/>
                      <w:szCs w:val="14"/>
                    </w:rPr>
                    <w:tab/>
                    <w:t>0,25</w:t>
                  </w:r>
                </w:p>
                <w:p w14:paraId="5D270397"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 xml:space="preserve">Emprendimientos y empresas de </w:t>
                  </w:r>
                  <w:r w:rsidRPr="00262D8D">
                    <w:rPr>
                      <w:rFonts w:ascii="Arial" w:eastAsia="Arial" w:hAnsi="Arial" w:cs="Arial"/>
                      <w:sz w:val="14"/>
                      <w:szCs w:val="14"/>
                    </w:rPr>
                    <w:lastRenderedPageBreak/>
                    <w:t>mujeres</w:t>
                  </w:r>
                  <w:r w:rsidRPr="00262D8D">
                    <w:rPr>
                      <w:rFonts w:ascii="Arial" w:eastAsia="Arial" w:hAnsi="Arial" w:cs="Arial"/>
                      <w:sz w:val="14"/>
                      <w:szCs w:val="14"/>
                    </w:rPr>
                    <w:tab/>
                    <w:t>0,25</w:t>
                  </w:r>
                </w:p>
                <w:p w14:paraId="3CC1AE9E" w14:textId="77777777" w:rsidR="005F6346" w:rsidRPr="00262D8D" w:rsidRDefault="005F6346" w:rsidP="005F6346">
                  <w:pPr>
                    <w:widowControl w:val="0"/>
                    <w:rPr>
                      <w:rFonts w:ascii="Arial" w:eastAsia="Arial" w:hAnsi="Arial" w:cs="Arial"/>
                      <w:sz w:val="14"/>
                      <w:szCs w:val="14"/>
                    </w:rPr>
                  </w:pPr>
                  <w:r w:rsidRPr="00262D8D">
                    <w:rPr>
                      <w:rFonts w:ascii="Arial" w:eastAsia="Arial" w:hAnsi="Arial" w:cs="Arial"/>
                      <w:sz w:val="14"/>
                      <w:szCs w:val="14"/>
                    </w:rPr>
                    <w:t>Vinculación de personas con discapacidad</w:t>
                  </w:r>
                  <w:r>
                    <w:rPr>
                      <w:rFonts w:ascii="Arial" w:eastAsia="Arial" w:hAnsi="Arial" w:cs="Arial"/>
                      <w:sz w:val="14"/>
                      <w:szCs w:val="14"/>
                    </w:rPr>
                    <w:t xml:space="preserve"> </w:t>
                  </w:r>
                  <w:r w:rsidRPr="00262D8D">
                    <w:rPr>
                      <w:rFonts w:ascii="Arial" w:eastAsia="Arial" w:hAnsi="Arial" w:cs="Arial"/>
                      <w:sz w:val="14"/>
                      <w:szCs w:val="14"/>
                    </w:rPr>
                    <w:t>1</w:t>
                  </w:r>
                </w:p>
                <w:p w14:paraId="6D54B96A" w14:textId="77777777" w:rsidR="005F6346" w:rsidRDefault="005F6346" w:rsidP="005F6346">
                  <w:pPr>
                    <w:widowControl w:val="0"/>
                    <w:rPr>
                      <w:rFonts w:ascii="Arial" w:eastAsia="Arial" w:hAnsi="Arial" w:cs="Arial"/>
                      <w:sz w:val="14"/>
                      <w:szCs w:val="14"/>
                    </w:rPr>
                  </w:pPr>
                  <w:r w:rsidRPr="00262D8D">
                    <w:rPr>
                      <w:rFonts w:ascii="Arial" w:eastAsia="Arial" w:hAnsi="Arial" w:cs="Arial"/>
                      <w:sz w:val="14"/>
                      <w:szCs w:val="14"/>
                    </w:rPr>
                    <w:t>TOTAL</w:t>
                  </w:r>
                  <w:r w:rsidRPr="00262D8D">
                    <w:rPr>
                      <w:rFonts w:ascii="Arial" w:eastAsia="Arial" w:hAnsi="Arial" w:cs="Arial"/>
                      <w:sz w:val="14"/>
                      <w:szCs w:val="14"/>
                    </w:rPr>
                    <w:tab/>
                    <w:t>100</w:t>
                  </w:r>
                </w:p>
              </w:tc>
            </w:tr>
          </w:tbl>
          <w:p w14:paraId="41C9FD6C" w14:textId="49B0DF80" w:rsidR="00D768A3" w:rsidRDefault="00A0753E">
            <w:pPr>
              <w:jc w:val="center"/>
              <w:rPr>
                <w:rFonts w:ascii="Arial" w:eastAsia="Arial" w:hAnsi="Arial" w:cs="Arial"/>
                <w:color w:val="000000"/>
              </w:rPr>
            </w:pPr>
            <w:r>
              <w:rPr>
                <w:rFonts w:ascii="Arial" w:eastAsia="Arial" w:hAnsi="Arial" w:cs="Arial"/>
                <w:color w:val="000000"/>
              </w:rPr>
              <w:lastRenderedPageBreak/>
              <w:t xml:space="preserve">Fuente: </w:t>
            </w:r>
            <w:r w:rsidR="00E0239A">
              <w:rPr>
                <w:rFonts w:ascii="Arial" w:eastAsia="Arial" w:hAnsi="Arial" w:cs="Arial"/>
                <w:color w:val="000000"/>
              </w:rPr>
              <w:t xml:space="preserve">Datos abiertos - </w:t>
            </w:r>
            <w:r>
              <w:rPr>
                <w:rFonts w:ascii="Arial" w:eastAsia="Arial" w:hAnsi="Arial" w:cs="Arial"/>
                <w:color w:val="000000"/>
              </w:rPr>
              <w:t xml:space="preserve">SECOP </w:t>
            </w:r>
            <w:r w:rsidR="00674EAE">
              <w:rPr>
                <w:rFonts w:ascii="Arial" w:eastAsia="Arial" w:hAnsi="Arial" w:cs="Arial"/>
                <w:color w:val="000000"/>
              </w:rPr>
              <w:t>II</w:t>
            </w:r>
          </w:p>
          <w:p w14:paraId="7D0BF717" w14:textId="77777777" w:rsidR="00D768A3" w:rsidRDefault="00D768A3">
            <w:pPr>
              <w:jc w:val="center"/>
              <w:rPr>
                <w:rFonts w:ascii="Arial" w:eastAsia="Arial" w:hAnsi="Arial" w:cs="Arial"/>
                <w:sz w:val="16"/>
                <w:szCs w:val="16"/>
                <w:shd w:val="clear" w:color="auto" w:fill="D9D9D9"/>
              </w:rPr>
            </w:pPr>
          </w:p>
          <w:p w14:paraId="7AEA1D76" w14:textId="77777777" w:rsidR="00D768A3" w:rsidRDefault="00D768A3" w:rsidP="005F6346">
            <w:pPr>
              <w:jc w:val="center"/>
              <w:rPr>
                <w:rFonts w:ascii="Arial" w:eastAsia="Arial" w:hAnsi="Arial" w:cs="Arial"/>
                <w:sz w:val="24"/>
                <w:szCs w:val="24"/>
              </w:rPr>
            </w:pPr>
          </w:p>
        </w:tc>
      </w:tr>
      <w:tr w:rsidR="00D768A3" w14:paraId="7CEFC18F"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E1B6B49" w14:textId="77777777" w:rsidR="00D768A3" w:rsidRPr="00D67D8A" w:rsidRDefault="00A0753E">
            <w:pPr>
              <w:widowControl/>
              <w:numPr>
                <w:ilvl w:val="1"/>
                <w:numId w:val="1"/>
              </w:numPr>
              <w:pBdr>
                <w:top w:val="nil"/>
                <w:left w:val="nil"/>
                <w:bottom w:val="nil"/>
                <w:right w:val="nil"/>
                <w:between w:val="nil"/>
              </w:pBdr>
              <w:spacing w:before="60" w:after="60"/>
              <w:ind w:left="454" w:hanging="454"/>
              <w:jc w:val="both"/>
              <w:rPr>
                <w:rFonts w:ascii="Arial" w:eastAsia="Arial" w:hAnsi="Arial" w:cs="Arial"/>
                <w:color w:val="000000"/>
                <w:sz w:val="8"/>
                <w:szCs w:val="8"/>
                <w:lang w:val="es-CO"/>
              </w:rPr>
            </w:pPr>
            <w:r w:rsidRPr="00D67D8A">
              <w:rPr>
                <w:rFonts w:ascii="Arial" w:eastAsia="Arial" w:hAnsi="Arial" w:cs="Arial"/>
                <w:color w:val="000000"/>
                <w:sz w:val="24"/>
                <w:szCs w:val="24"/>
                <w:lang w:val="es-CO"/>
              </w:rPr>
              <w:lastRenderedPageBreak/>
              <w:t>CONSULTA DE PROCESOS DE CONTRATACIÓN DEL DISTRITO A TRAVÉS DEL MODELO DE ABASTECIMIENTO ESTRATÉGICO</w:t>
            </w:r>
          </w:p>
        </w:tc>
      </w:tr>
      <w:tr w:rsidR="00D768A3" w14:paraId="7376622C"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E18D67" w14:textId="77777777" w:rsidR="00D768A3" w:rsidRPr="00D67D8A" w:rsidRDefault="00A0753E">
            <w:pP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Con el fin de contribuir al fortalecimiento de la capacidad de contratación Estatal en Colombia, la Agencia Nacional de Contratación Pública - Colombia Compra Eficiente, desarrolló el Modelo de Abastecimiento Estratégico (MAE) para la Compra Pública, que estudiar los aspectos relevantes de la demanda requerida para el presente proceso:</w:t>
            </w:r>
          </w:p>
          <w:p w14:paraId="2BFA6509" w14:textId="77777777" w:rsidR="00D768A3" w:rsidRPr="00D67D8A" w:rsidRDefault="00A0753E">
            <w:pPr>
              <w:widowControl/>
              <w:numPr>
                <w:ilvl w:val="0"/>
                <w:numId w:val="4"/>
              </w:numPr>
              <w:pBdr>
                <w:top w:val="nil"/>
                <w:left w:val="nil"/>
                <w:bottom w:val="nil"/>
                <w:right w:val="nil"/>
                <w:between w:val="nil"/>
              </w:pBdr>
              <w:spacing w:before="120" w:after="120"/>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 xml:space="preserve">Estudio de la Demanda de la Entidad </w:t>
            </w:r>
          </w:p>
          <w:p w14:paraId="4002E216" w14:textId="77777777" w:rsidR="00D768A3" w:rsidRPr="00D67D8A" w:rsidRDefault="00A0753E">
            <w:pP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En este apartado se analizan el comportamiento histórico de la Entidad en los procesos de selección adelantados, con el fin de identificar las modalidades de selección comúnmente utilizadas, las principales variables de los contratos, los precios contratados y los oferentes adjudicatarios. Lo anterior con el fin de obtener información relevante para el proceso de contratación. Se analizó el histórico de contratación con base en información del Modelo de Abastecimiento Estratégico de CCE (MAE).</w:t>
            </w:r>
          </w:p>
          <w:p w14:paraId="49A83B56" w14:textId="77777777" w:rsidR="00D768A3" w:rsidRPr="00D67D8A" w:rsidRDefault="00D768A3">
            <w:pPr>
              <w:jc w:val="both"/>
              <w:rPr>
                <w:rFonts w:ascii="Arial" w:eastAsia="Arial" w:hAnsi="Arial" w:cs="Arial"/>
                <w:color w:val="000000"/>
                <w:sz w:val="24"/>
                <w:szCs w:val="24"/>
                <w:lang w:val="es-CO"/>
              </w:rPr>
            </w:pPr>
          </w:p>
          <w:p w14:paraId="55F927CF" w14:textId="5590A381" w:rsidR="00D768A3" w:rsidRPr="00D67D8A" w:rsidRDefault="00A0753E">
            <w:pP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Se filtro la información durante el periodo 01/01/202</w:t>
            </w:r>
            <w:r w:rsidR="0022008F">
              <w:rPr>
                <w:rFonts w:ascii="Arial" w:eastAsia="Arial" w:hAnsi="Arial" w:cs="Arial"/>
                <w:color w:val="000000"/>
                <w:sz w:val="24"/>
                <w:szCs w:val="24"/>
                <w:lang w:val="es-CO"/>
              </w:rPr>
              <w:t>2</w:t>
            </w:r>
            <w:r w:rsidRPr="00D67D8A">
              <w:rPr>
                <w:rFonts w:ascii="Arial" w:eastAsia="Arial" w:hAnsi="Arial" w:cs="Arial"/>
                <w:color w:val="000000"/>
                <w:sz w:val="24"/>
                <w:szCs w:val="24"/>
                <w:lang w:val="es-CO"/>
              </w:rPr>
              <w:t xml:space="preserve"> - </w:t>
            </w:r>
            <w:r w:rsidR="00134F7E" w:rsidRPr="00134F7E">
              <w:rPr>
                <w:rFonts w:ascii="Arial" w:eastAsia="Arial" w:hAnsi="Arial" w:cs="Arial"/>
                <w:color w:val="000000"/>
                <w:sz w:val="24"/>
                <w:szCs w:val="24"/>
                <w:lang w:val="es-CO"/>
              </w:rPr>
              <w:t>10/1/2026</w:t>
            </w:r>
            <w:r w:rsidRPr="00D67D8A">
              <w:rPr>
                <w:rFonts w:ascii="Arial" w:eastAsia="Arial" w:hAnsi="Arial" w:cs="Arial"/>
                <w:color w:val="000000"/>
                <w:sz w:val="24"/>
                <w:szCs w:val="24"/>
                <w:lang w:val="es-CO"/>
              </w:rPr>
              <w:t>, identificado con l</w:t>
            </w:r>
            <w:r w:rsidR="0041769A">
              <w:rPr>
                <w:rFonts w:ascii="Arial" w:eastAsia="Arial" w:hAnsi="Arial" w:cs="Arial"/>
                <w:color w:val="000000"/>
                <w:sz w:val="24"/>
                <w:szCs w:val="24"/>
                <w:lang w:val="es-CO"/>
              </w:rPr>
              <w:t>os</w:t>
            </w:r>
            <w:r w:rsidRPr="00D67D8A">
              <w:rPr>
                <w:rFonts w:ascii="Arial" w:eastAsia="Arial" w:hAnsi="Arial" w:cs="Arial"/>
                <w:color w:val="000000"/>
                <w:sz w:val="24"/>
                <w:szCs w:val="24"/>
                <w:lang w:val="es-CO"/>
              </w:rPr>
              <w:t xml:space="preserve"> código</w:t>
            </w:r>
            <w:r w:rsidR="0041769A">
              <w:rPr>
                <w:rFonts w:ascii="Arial" w:eastAsia="Arial" w:hAnsi="Arial" w:cs="Arial"/>
                <w:color w:val="000000"/>
                <w:sz w:val="24"/>
                <w:szCs w:val="24"/>
                <w:lang w:val="es-CO"/>
              </w:rPr>
              <w:t>s</w:t>
            </w:r>
            <w:r w:rsidRPr="00D67D8A">
              <w:rPr>
                <w:rFonts w:ascii="Arial" w:eastAsia="Arial" w:hAnsi="Arial" w:cs="Arial"/>
                <w:color w:val="000000"/>
                <w:sz w:val="24"/>
                <w:szCs w:val="24"/>
                <w:lang w:val="es-CO"/>
              </w:rPr>
              <w:t xml:space="preserve"> UNSPSC 80101600-Gerencia de Proyectos</w:t>
            </w:r>
            <w:r w:rsidR="0041769A">
              <w:rPr>
                <w:rFonts w:ascii="Arial" w:eastAsia="Arial" w:hAnsi="Arial" w:cs="Arial"/>
                <w:color w:val="000000"/>
                <w:sz w:val="24"/>
                <w:szCs w:val="24"/>
                <w:lang w:val="es-CO"/>
              </w:rPr>
              <w:t xml:space="preserve">, </w:t>
            </w:r>
            <w:r w:rsidR="009F22F1">
              <w:rPr>
                <w:rFonts w:ascii="Arial" w:eastAsia="Arial" w:hAnsi="Arial" w:cs="Arial"/>
                <w:color w:val="000000"/>
                <w:sz w:val="24"/>
                <w:szCs w:val="24"/>
                <w:lang w:val="es-CO"/>
              </w:rPr>
              <w:t>81101500 ingeniería</w:t>
            </w:r>
            <w:r w:rsidRPr="00D67D8A">
              <w:rPr>
                <w:rFonts w:ascii="Arial" w:eastAsia="Arial" w:hAnsi="Arial" w:cs="Arial"/>
                <w:color w:val="000000"/>
                <w:sz w:val="24"/>
                <w:szCs w:val="24"/>
                <w:lang w:val="es-CO"/>
              </w:rPr>
              <w:t xml:space="preserve">. Durante los últimos </w:t>
            </w:r>
            <w:r w:rsidR="0022008F">
              <w:rPr>
                <w:rFonts w:ascii="Arial" w:eastAsia="Arial" w:hAnsi="Arial" w:cs="Arial"/>
                <w:color w:val="000000"/>
                <w:sz w:val="24"/>
                <w:szCs w:val="24"/>
                <w:lang w:val="es-CO"/>
              </w:rPr>
              <w:t>5</w:t>
            </w:r>
            <w:r w:rsidRPr="00D67D8A">
              <w:rPr>
                <w:rFonts w:ascii="Arial" w:eastAsia="Arial" w:hAnsi="Arial" w:cs="Arial"/>
                <w:color w:val="000000"/>
                <w:sz w:val="24"/>
                <w:szCs w:val="24"/>
                <w:lang w:val="es-CO"/>
              </w:rPr>
              <w:t xml:space="preserve"> años, la Entidad ha realizado </w:t>
            </w:r>
            <w:r w:rsidR="00F32A25">
              <w:rPr>
                <w:rFonts w:ascii="Arial" w:eastAsia="Arial" w:hAnsi="Arial" w:cs="Arial"/>
                <w:color w:val="000000"/>
                <w:sz w:val="24"/>
                <w:szCs w:val="24"/>
                <w:lang w:val="es-CO"/>
              </w:rPr>
              <w:t>38</w:t>
            </w:r>
            <w:r w:rsidRPr="00D67D8A">
              <w:rPr>
                <w:rFonts w:ascii="Arial" w:eastAsia="Arial" w:hAnsi="Arial" w:cs="Arial"/>
                <w:color w:val="000000"/>
                <w:sz w:val="24"/>
                <w:szCs w:val="24"/>
                <w:lang w:val="es-CO"/>
              </w:rPr>
              <w:t xml:space="preserve"> procesos de contratación para adquirir los bienes, servicios y/o obras objeto de estudio. A continuación, se presentan las gráficas resultantes de los filtros aplicados:</w:t>
            </w:r>
          </w:p>
          <w:p w14:paraId="52791AAC" w14:textId="77777777" w:rsidR="00D768A3" w:rsidRPr="00D67D8A" w:rsidRDefault="00D768A3">
            <w:pPr>
              <w:jc w:val="center"/>
              <w:rPr>
                <w:lang w:val="es-CO"/>
              </w:rPr>
            </w:pPr>
          </w:p>
          <w:p w14:paraId="0B011699" w14:textId="629C67C9" w:rsidR="00D768A3" w:rsidRDefault="00F32A25">
            <w:pPr>
              <w:jc w:val="center"/>
            </w:pPr>
            <w:r w:rsidRPr="00F32A25">
              <w:rPr>
                <w:noProof/>
              </w:rPr>
              <w:lastRenderedPageBreak/>
              <w:drawing>
                <wp:inline distT="0" distB="0" distL="0" distR="0" wp14:anchorId="254667E8" wp14:editId="190CF99D">
                  <wp:extent cx="5972810" cy="3792855"/>
                  <wp:effectExtent l="0" t="0" r="8890" b="0"/>
                  <wp:docPr id="3956495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649579" name=""/>
                          <pic:cNvPicPr/>
                        </pic:nvPicPr>
                        <pic:blipFill>
                          <a:blip r:embed="rId23"/>
                          <a:stretch>
                            <a:fillRect/>
                          </a:stretch>
                        </pic:blipFill>
                        <pic:spPr>
                          <a:xfrm>
                            <a:off x="0" y="0"/>
                            <a:ext cx="5972810" cy="3792855"/>
                          </a:xfrm>
                          <a:prstGeom prst="rect">
                            <a:avLst/>
                          </a:prstGeom>
                        </pic:spPr>
                      </pic:pic>
                    </a:graphicData>
                  </a:graphic>
                </wp:inline>
              </w:drawing>
            </w:r>
          </w:p>
          <w:p w14:paraId="43CCA474" w14:textId="77777777" w:rsidR="00D768A3" w:rsidRDefault="00A0753E" w:rsidP="00A40210">
            <w:pPr>
              <w:jc w:val="center"/>
              <w:rPr>
                <w:rFonts w:ascii="Arial" w:eastAsia="Arial" w:hAnsi="Arial" w:cs="Arial"/>
                <w:color w:val="000000"/>
                <w:sz w:val="16"/>
                <w:szCs w:val="16"/>
                <w:lang w:val="es-CO"/>
              </w:rPr>
            </w:pPr>
            <w:r w:rsidRPr="00D67D8A">
              <w:rPr>
                <w:rFonts w:ascii="Arial" w:eastAsia="Arial" w:hAnsi="Arial" w:cs="Arial"/>
                <w:color w:val="000000"/>
                <w:sz w:val="16"/>
                <w:szCs w:val="16"/>
                <w:lang w:val="es-CO"/>
              </w:rPr>
              <w:t>Fuente: Agencia Colombiana para la Contratación Pública – Colombia Compra Eficiente – CCE, Modelo de Abastecimiento Estratégico, Herramienta de Análisis de la Demanda.</w:t>
            </w:r>
          </w:p>
          <w:p w14:paraId="2623A10F" w14:textId="77777777" w:rsidR="00A40210" w:rsidRDefault="00A40210" w:rsidP="00A40210">
            <w:pPr>
              <w:jc w:val="center"/>
              <w:rPr>
                <w:rFonts w:ascii="Arial" w:eastAsia="Arial" w:hAnsi="Arial" w:cs="Arial"/>
                <w:color w:val="000000"/>
                <w:sz w:val="16"/>
                <w:szCs w:val="16"/>
                <w:lang w:val="es-CO"/>
              </w:rPr>
            </w:pPr>
          </w:p>
          <w:p w14:paraId="0C0687B9" w14:textId="03E1101F" w:rsidR="00A40210" w:rsidRPr="00516715" w:rsidRDefault="00516715" w:rsidP="00A40210">
            <w:pPr>
              <w:jc w:val="both"/>
              <w:rPr>
                <w:rFonts w:ascii="Arial" w:eastAsia="Arial" w:hAnsi="Arial" w:cs="Arial"/>
                <w:color w:val="000000"/>
                <w:sz w:val="24"/>
                <w:szCs w:val="24"/>
                <w:lang w:val="es-CO"/>
              </w:rPr>
            </w:pPr>
            <w:r w:rsidRPr="00516715">
              <w:rPr>
                <w:rFonts w:ascii="Arial" w:eastAsia="Arial" w:hAnsi="Arial" w:cs="Arial"/>
                <w:color w:val="000000"/>
                <w:sz w:val="24"/>
                <w:szCs w:val="24"/>
                <w:lang w:val="es"/>
              </w:rPr>
              <w:t xml:space="preserve">El análisis del comportamiento histórico de la contratación de la Secretaría del Deporte y la Recreación evidencia que, durante el período comprendido entre el 1 de enero de 2022 y el 10 de enero de 2026, la Entidad celebró </w:t>
            </w:r>
            <w:r w:rsidRPr="00516715">
              <w:rPr>
                <w:rFonts w:ascii="Arial" w:eastAsia="Arial" w:hAnsi="Arial" w:cs="Arial"/>
                <w:b/>
                <w:bCs/>
                <w:color w:val="000000"/>
                <w:sz w:val="24"/>
                <w:szCs w:val="24"/>
                <w:lang w:val="es"/>
              </w:rPr>
              <w:t>38 procesos de contratación</w:t>
            </w:r>
            <w:r w:rsidRPr="00516715">
              <w:rPr>
                <w:rFonts w:ascii="Arial" w:eastAsia="Arial" w:hAnsi="Arial" w:cs="Arial"/>
                <w:color w:val="000000"/>
                <w:sz w:val="24"/>
                <w:szCs w:val="24"/>
                <w:lang w:val="es"/>
              </w:rPr>
              <w:t xml:space="preserve"> asociados a los códigos UNSPSC objeto de análisis, alcanzando un valor total aproximado de </w:t>
            </w:r>
            <w:r w:rsidRPr="00516715">
              <w:rPr>
                <w:rFonts w:ascii="Arial" w:eastAsia="Arial" w:hAnsi="Arial" w:cs="Arial"/>
                <w:b/>
                <w:bCs/>
                <w:color w:val="000000"/>
                <w:sz w:val="24"/>
                <w:szCs w:val="24"/>
                <w:lang w:val="es"/>
              </w:rPr>
              <w:t>$37.218 millones</w:t>
            </w:r>
            <w:r w:rsidRPr="00516715">
              <w:rPr>
                <w:rFonts w:ascii="Arial" w:eastAsia="Arial" w:hAnsi="Arial" w:cs="Arial"/>
                <w:color w:val="000000"/>
                <w:sz w:val="24"/>
                <w:szCs w:val="24"/>
                <w:lang w:val="es"/>
              </w:rPr>
              <w:t>. La información permite identificar variaciones en el gasto anual y en el número de contratos celebrados, las cuales responden principalmente a la programación institucional, la disponibilidad presupuestal y la ejecución de proyectos priorizados en cada vigencia. Así mismo, se observa que la contratación no presenta un comportamiento uniforme durante el año, concentrándose en determinados períodos conforme a la planeación y ejecución de los programas institucionales. Este comportamiento constituye un referente para la estructuración del presente proceso y evidencia una demanda recurrente de servicios relacionados con la gerencia de proyectos y la ingeniería.</w:t>
            </w:r>
          </w:p>
          <w:p w14:paraId="1CCDCAD0" w14:textId="77777777" w:rsidR="00D768A3" w:rsidRPr="00D67D8A" w:rsidRDefault="00D768A3">
            <w:pPr>
              <w:jc w:val="both"/>
              <w:rPr>
                <w:rFonts w:ascii="Arial" w:eastAsia="Arial" w:hAnsi="Arial" w:cs="Arial"/>
                <w:color w:val="000000"/>
                <w:sz w:val="16"/>
                <w:szCs w:val="16"/>
                <w:lang w:val="es-CO"/>
              </w:rPr>
            </w:pPr>
          </w:p>
          <w:p w14:paraId="40439D7E" w14:textId="622CABFB" w:rsidR="00D768A3" w:rsidRDefault="000246DD">
            <w:pPr>
              <w:jc w:val="both"/>
              <w:rPr>
                <w:rFonts w:ascii="Arial" w:eastAsia="Arial" w:hAnsi="Arial" w:cs="Arial"/>
                <w:color w:val="000000"/>
                <w:lang w:val="es-CO"/>
              </w:rPr>
            </w:pPr>
            <w:r w:rsidRPr="000246DD">
              <w:rPr>
                <w:rFonts w:ascii="Arial" w:eastAsia="Arial" w:hAnsi="Arial" w:cs="Arial"/>
                <w:noProof/>
                <w:color w:val="000000"/>
                <w:lang w:val="es-CO"/>
              </w:rPr>
              <w:lastRenderedPageBreak/>
              <w:drawing>
                <wp:inline distT="0" distB="0" distL="0" distR="0" wp14:anchorId="66CEA30F" wp14:editId="20525F5A">
                  <wp:extent cx="5972810" cy="2869565"/>
                  <wp:effectExtent l="0" t="0" r="8890" b="6985"/>
                  <wp:docPr id="10426176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617693" name=""/>
                          <pic:cNvPicPr/>
                        </pic:nvPicPr>
                        <pic:blipFill>
                          <a:blip r:embed="rId24"/>
                          <a:stretch>
                            <a:fillRect/>
                          </a:stretch>
                        </pic:blipFill>
                        <pic:spPr>
                          <a:xfrm>
                            <a:off x="0" y="0"/>
                            <a:ext cx="5972810" cy="2869565"/>
                          </a:xfrm>
                          <a:prstGeom prst="rect">
                            <a:avLst/>
                          </a:prstGeom>
                        </pic:spPr>
                      </pic:pic>
                    </a:graphicData>
                  </a:graphic>
                </wp:inline>
              </w:drawing>
            </w:r>
          </w:p>
          <w:p w14:paraId="745EBA47" w14:textId="444A1AB4" w:rsidR="000246DD" w:rsidRPr="00D67D8A" w:rsidRDefault="000246DD">
            <w:pPr>
              <w:jc w:val="both"/>
              <w:rPr>
                <w:rFonts w:ascii="Arial" w:eastAsia="Arial" w:hAnsi="Arial" w:cs="Arial"/>
                <w:color w:val="000000"/>
                <w:lang w:val="es-CO"/>
              </w:rPr>
            </w:pPr>
            <w:r w:rsidRPr="000246DD">
              <w:rPr>
                <w:rFonts w:ascii="Arial" w:eastAsia="Arial" w:hAnsi="Arial" w:cs="Arial"/>
                <w:noProof/>
                <w:color w:val="000000"/>
                <w:lang w:val="es-CO"/>
              </w:rPr>
              <w:drawing>
                <wp:inline distT="0" distB="0" distL="0" distR="0" wp14:anchorId="69EF3472" wp14:editId="18BBD714">
                  <wp:extent cx="5972810" cy="986155"/>
                  <wp:effectExtent l="0" t="0" r="8890" b="4445"/>
                  <wp:docPr id="12821031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103123" name=""/>
                          <pic:cNvPicPr/>
                        </pic:nvPicPr>
                        <pic:blipFill>
                          <a:blip r:embed="rId25"/>
                          <a:stretch>
                            <a:fillRect/>
                          </a:stretch>
                        </pic:blipFill>
                        <pic:spPr>
                          <a:xfrm>
                            <a:off x="0" y="0"/>
                            <a:ext cx="5972810" cy="986155"/>
                          </a:xfrm>
                          <a:prstGeom prst="rect">
                            <a:avLst/>
                          </a:prstGeom>
                        </pic:spPr>
                      </pic:pic>
                    </a:graphicData>
                  </a:graphic>
                </wp:inline>
              </w:drawing>
            </w:r>
          </w:p>
          <w:p w14:paraId="2E8F0B28" w14:textId="77777777" w:rsidR="00D768A3" w:rsidRPr="00D67D8A" w:rsidRDefault="00A0753E" w:rsidP="00D077BE">
            <w:pPr>
              <w:jc w:val="center"/>
              <w:rPr>
                <w:rFonts w:ascii="Arial" w:eastAsia="Arial" w:hAnsi="Arial" w:cs="Arial"/>
                <w:color w:val="000000"/>
                <w:sz w:val="12"/>
                <w:szCs w:val="12"/>
                <w:lang w:val="es-CO"/>
              </w:rPr>
            </w:pPr>
            <w:r w:rsidRPr="00D67D8A">
              <w:rPr>
                <w:rFonts w:ascii="Arial" w:eastAsia="Arial" w:hAnsi="Arial" w:cs="Arial"/>
                <w:color w:val="000000"/>
                <w:sz w:val="16"/>
                <w:szCs w:val="16"/>
                <w:lang w:val="es-CO"/>
              </w:rPr>
              <w:t>Fuente: Agencia Colombiana para la Contratación Pública – Colombia Compra Eficiente – CCE, Modelo de Abastecimiento Estratégico, Herramienta de Análisis de la Demanda.</w:t>
            </w:r>
          </w:p>
          <w:p w14:paraId="40ABCBFB" w14:textId="77777777" w:rsidR="00D768A3" w:rsidRDefault="00D768A3">
            <w:pPr>
              <w:jc w:val="center"/>
              <w:rPr>
                <w:rFonts w:ascii="Arial" w:eastAsia="Arial" w:hAnsi="Arial" w:cs="Arial"/>
                <w:color w:val="000000"/>
                <w:lang w:val="es-CO"/>
              </w:rPr>
            </w:pPr>
          </w:p>
          <w:p w14:paraId="6FCEE82B" w14:textId="77777777" w:rsidR="00D077BE" w:rsidRPr="005448B2" w:rsidRDefault="00D077BE" w:rsidP="00D077BE">
            <w:pPr>
              <w:jc w:val="both"/>
              <w:rPr>
                <w:rFonts w:ascii="Arial" w:eastAsia="Arial" w:hAnsi="Arial" w:cs="Arial"/>
                <w:color w:val="000000"/>
                <w:sz w:val="24"/>
                <w:szCs w:val="24"/>
                <w:lang w:val="es"/>
              </w:rPr>
            </w:pPr>
            <w:r w:rsidRPr="005448B2">
              <w:rPr>
                <w:rFonts w:ascii="Arial" w:eastAsia="Arial" w:hAnsi="Arial" w:cs="Arial"/>
                <w:color w:val="000000"/>
                <w:sz w:val="24"/>
                <w:szCs w:val="24"/>
                <w:lang w:val="es"/>
              </w:rPr>
              <w:t xml:space="preserve">El análisis por familia de bienes y servicios evidencia que la mayor participación corresponde a la familia </w:t>
            </w:r>
            <w:r w:rsidRPr="005448B2">
              <w:rPr>
                <w:rFonts w:ascii="Arial" w:eastAsia="Arial" w:hAnsi="Arial" w:cs="Arial"/>
                <w:b/>
                <w:bCs/>
                <w:color w:val="000000"/>
                <w:sz w:val="24"/>
                <w:szCs w:val="24"/>
                <w:lang w:val="es"/>
              </w:rPr>
              <w:t>801016 – Servicios de asesoría de gestión</w:t>
            </w:r>
            <w:r w:rsidRPr="005448B2">
              <w:rPr>
                <w:rFonts w:ascii="Arial" w:eastAsia="Arial" w:hAnsi="Arial" w:cs="Arial"/>
                <w:color w:val="000000"/>
                <w:sz w:val="24"/>
                <w:szCs w:val="24"/>
                <w:lang w:val="es"/>
              </w:rPr>
              <w:t xml:space="preserve">, particularmente al código </w:t>
            </w:r>
            <w:r w:rsidRPr="005448B2">
              <w:rPr>
                <w:rFonts w:ascii="Arial" w:eastAsia="Arial" w:hAnsi="Arial" w:cs="Arial"/>
                <w:b/>
                <w:bCs/>
                <w:color w:val="000000"/>
                <w:sz w:val="24"/>
                <w:szCs w:val="24"/>
                <w:lang w:val="es"/>
              </w:rPr>
              <w:t>80101600 – Gerencia de proyectos</w:t>
            </w:r>
            <w:r w:rsidRPr="005448B2">
              <w:rPr>
                <w:rFonts w:ascii="Arial" w:eastAsia="Arial" w:hAnsi="Arial" w:cs="Arial"/>
                <w:color w:val="000000"/>
                <w:sz w:val="24"/>
                <w:szCs w:val="24"/>
                <w:lang w:val="es"/>
              </w:rPr>
              <w:t xml:space="preserve">, que concentra la mayor parte del valor contratado por la Entidad durante el período analizado. En segundo </w:t>
            </w:r>
            <w:proofErr w:type="gramStart"/>
            <w:r w:rsidRPr="005448B2">
              <w:rPr>
                <w:rFonts w:ascii="Arial" w:eastAsia="Arial" w:hAnsi="Arial" w:cs="Arial"/>
                <w:color w:val="000000"/>
                <w:sz w:val="24"/>
                <w:szCs w:val="24"/>
                <w:lang w:val="es"/>
              </w:rPr>
              <w:t>lugar</w:t>
            </w:r>
            <w:proofErr w:type="gramEnd"/>
            <w:r w:rsidRPr="005448B2">
              <w:rPr>
                <w:rFonts w:ascii="Arial" w:eastAsia="Arial" w:hAnsi="Arial" w:cs="Arial"/>
                <w:color w:val="000000"/>
                <w:sz w:val="24"/>
                <w:szCs w:val="24"/>
                <w:lang w:val="es"/>
              </w:rPr>
              <w:t xml:space="preserve"> se encuentra la familia </w:t>
            </w:r>
            <w:r w:rsidRPr="005448B2">
              <w:rPr>
                <w:rFonts w:ascii="Arial" w:eastAsia="Arial" w:hAnsi="Arial" w:cs="Arial"/>
                <w:b/>
                <w:bCs/>
                <w:color w:val="000000"/>
                <w:sz w:val="24"/>
                <w:szCs w:val="24"/>
                <w:lang w:val="es"/>
              </w:rPr>
              <w:t>811015 – Servicios profesionales de ingeniería</w:t>
            </w:r>
            <w:r w:rsidRPr="005448B2">
              <w:rPr>
                <w:rFonts w:ascii="Arial" w:eastAsia="Arial" w:hAnsi="Arial" w:cs="Arial"/>
                <w:color w:val="000000"/>
                <w:sz w:val="24"/>
                <w:szCs w:val="24"/>
                <w:lang w:val="es"/>
              </w:rPr>
              <w:t>, la cual representa una participación menor, pero igualmente significativa. Este comportamiento demuestra que la Secretaría ha requerido principalmente servicios orientados a la planeación, administración, coordinación y gestión integral de proyectos, complementados con servicios especializados de ingeniería, lo cual resulta consistente con la naturaleza de los proyectos desarrollados por la Entidad.</w:t>
            </w:r>
          </w:p>
          <w:p w14:paraId="585C8108" w14:textId="77777777" w:rsidR="00D077BE" w:rsidRDefault="00D077BE">
            <w:pPr>
              <w:jc w:val="center"/>
              <w:rPr>
                <w:rFonts w:ascii="Arial" w:eastAsia="Arial" w:hAnsi="Arial" w:cs="Arial"/>
                <w:color w:val="000000"/>
                <w:lang w:val="es"/>
              </w:rPr>
            </w:pPr>
          </w:p>
          <w:p w14:paraId="38ADF11C" w14:textId="77777777" w:rsidR="00D077BE" w:rsidRPr="00D077BE" w:rsidRDefault="00D077BE" w:rsidP="00D077BE">
            <w:pPr>
              <w:rPr>
                <w:rFonts w:ascii="Arial" w:eastAsia="Arial" w:hAnsi="Arial" w:cs="Arial"/>
                <w:color w:val="000000"/>
                <w:lang w:val="es"/>
              </w:rPr>
            </w:pPr>
          </w:p>
          <w:p w14:paraId="19BD3CD8" w14:textId="49116773" w:rsidR="00D768A3" w:rsidRDefault="00AF5287">
            <w:pPr>
              <w:jc w:val="center"/>
              <w:rPr>
                <w:rFonts w:ascii="Arial" w:eastAsia="Arial" w:hAnsi="Arial" w:cs="Arial"/>
                <w:color w:val="000000"/>
                <w:lang w:val="es-CO"/>
              </w:rPr>
            </w:pPr>
            <w:r w:rsidRPr="00AF5287">
              <w:rPr>
                <w:rFonts w:ascii="Arial" w:eastAsia="Arial" w:hAnsi="Arial" w:cs="Arial"/>
                <w:noProof/>
                <w:color w:val="000000"/>
                <w:lang w:val="es-CO"/>
              </w:rPr>
              <w:lastRenderedPageBreak/>
              <w:drawing>
                <wp:inline distT="0" distB="0" distL="0" distR="0" wp14:anchorId="3BBA9359" wp14:editId="7FB39EBC">
                  <wp:extent cx="5972810" cy="1648460"/>
                  <wp:effectExtent l="0" t="0" r="8890" b="8890"/>
                  <wp:docPr id="777102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02814" name=""/>
                          <pic:cNvPicPr/>
                        </pic:nvPicPr>
                        <pic:blipFill>
                          <a:blip r:embed="rId26"/>
                          <a:stretch>
                            <a:fillRect/>
                          </a:stretch>
                        </pic:blipFill>
                        <pic:spPr>
                          <a:xfrm>
                            <a:off x="0" y="0"/>
                            <a:ext cx="5972810" cy="1648460"/>
                          </a:xfrm>
                          <a:prstGeom prst="rect">
                            <a:avLst/>
                          </a:prstGeom>
                        </pic:spPr>
                      </pic:pic>
                    </a:graphicData>
                  </a:graphic>
                </wp:inline>
              </w:drawing>
            </w:r>
          </w:p>
          <w:p w14:paraId="580D8174" w14:textId="77777777" w:rsidR="00AF5287" w:rsidRDefault="00AF5287">
            <w:pPr>
              <w:jc w:val="center"/>
              <w:rPr>
                <w:rFonts w:ascii="Arial" w:eastAsia="Arial" w:hAnsi="Arial" w:cs="Arial"/>
                <w:color w:val="000000"/>
                <w:lang w:val="es-CO"/>
              </w:rPr>
            </w:pPr>
          </w:p>
          <w:p w14:paraId="08DE764E" w14:textId="55E3D169" w:rsidR="005448B2" w:rsidRPr="005448B2" w:rsidRDefault="005448B2" w:rsidP="005448B2">
            <w:pPr>
              <w:jc w:val="both"/>
              <w:rPr>
                <w:rFonts w:ascii="Arial" w:eastAsia="Arial" w:hAnsi="Arial" w:cs="Arial"/>
                <w:color w:val="000000"/>
                <w:sz w:val="24"/>
                <w:szCs w:val="24"/>
                <w:lang w:val="es-CO"/>
              </w:rPr>
            </w:pPr>
            <w:r w:rsidRPr="005448B2">
              <w:rPr>
                <w:rFonts w:ascii="Arial" w:eastAsia="Arial" w:hAnsi="Arial" w:cs="Arial"/>
                <w:color w:val="000000"/>
                <w:sz w:val="24"/>
                <w:szCs w:val="24"/>
                <w:lang w:val="es"/>
              </w:rPr>
              <w:t>El análisis de los proveedores evidencia que existe un grupo de contratistas con una participación relevante tanto por el valor total contratado como por el número de contratos ejecutados durante el período analizado. Sin embargo, la contratación no se concentra exclusivamente en un único proveedor, sino que se distribuye entre diferentes personas jurídicas, lo que refleja la existencia de pluralidad de oferentes y condiciones de competencia dentro del mercado. Así mismo, se observa que algunos proveedores registran un mayor valor contratado asociado a contratos de mayor cuantía, mientras que otros presentan un mayor número de contratos de menor valor, comportamiento que obedece a las necesidades específicas de cada proceso de contratación.</w:t>
            </w:r>
          </w:p>
          <w:p w14:paraId="512EE6F7" w14:textId="77777777" w:rsidR="005448B2" w:rsidRDefault="005448B2">
            <w:pPr>
              <w:jc w:val="center"/>
              <w:rPr>
                <w:rFonts w:ascii="Arial" w:eastAsia="Arial" w:hAnsi="Arial" w:cs="Arial"/>
                <w:color w:val="000000"/>
                <w:lang w:val="es-CO"/>
              </w:rPr>
            </w:pPr>
          </w:p>
          <w:p w14:paraId="77ACB569" w14:textId="7C3874F0" w:rsidR="00AF5287" w:rsidRPr="000246DD" w:rsidRDefault="00AF5287">
            <w:pPr>
              <w:jc w:val="center"/>
              <w:rPr>
                <w:rFonts w:ascii="Arial" w:eastAsia="Arial" w:hAnsi="Arial" w:cs="Arial"/>
                <w:color w:val="000000"/>
                <w:lang w:val="es-CO"/>
              </w:rPr>
            </w:pPr>
            <w:r w:rsidRPr="00AF5287">
              <w:rPr>
                <w:rFonts w:ascii="Arial" w:eastAsia="Arial" w:hAnsi="Arial" w:cs="Arial"/>
                <w:noProof/>
                <w:color w:val="000000"/>
                <w:lang w:val="es-CO"/>
              </w:rPr>
              <w:drawing>
                <wp:inline distT="0" distB="0" distL="0" distR="0" wp14:anchorId="1CEB226F" wp14:editId="0394D0EC">
                  <wp:extent cx="5972810" cy="1899920"/>
                  <wp:effectExtent l="0" t="0" r="8890" b="5080"/>
                  <wp:docPr id="12726074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607460" name=""/>
                          <pic:cNvPicPr/>
                        </pic:nvPicPr>
                        <pic:blipFill>
                          <a:blip r:embed="rId27"/>
                          <a:stretch>
                            <a:fillRect/>
                          </a:stretch>
                        </pic:blipFill>
                        <pic:spPr>
                          <a:xfrm>
                            <a:off x="0" y="0"/>
                            <a:ext cx="5972810" cy="1899920"/>
                          </a:xfrm>
                          <a:prstGeom prst="rect">
                            <a:avLst/>
                          </a:prstGeom>
                        </pic:spPr>
                      </pic:pic>
                    </a:graphicData>
                  </a:graphic>
                </wp:inline>
              </w:drawing>
            </w:r>
          </w:p>
          <w:p w14:paraId="0BD3EA16" w14:textId="77777777" w:rsidR="00D768A3" w:rsidRPr="00D67D8A" w:rsidRDefault="00A0753E" w:rsidP="00296776">
            <w:pPr>
              <w:jc w:val="center"/>
              <w:rPr>
                <w:rFonts w:ascii="Arial" w:eastAsia="Arial" w:hAnsi="Arial" w:cs="Arial"/>
                <w:color w:val="000000"/>
                <w:sz w:val="16"/>
                <w:szCs w:val="16"/>
                <w:lang w:val="es-CO"/>
              </w:rPr>
            </w:pPr>
            <w:r w:rsidRPr="00D67D8A">
              <w:rPr>
                <w:rFonts w:ascii="Arial" w:eastAsia="Arial" w:hAnsi="Arial" w:cs="Arial"/>
                <w:color w:val="000000"/>
                <w:sz w:val="16"/>
                <w:szCs w:val="16"/>
                <w:lang w:val="es-CO"/>
              </w:rPr>
              <w:t>Fuente: Agencia Colombiana para la Contratación Pública – Colombia Compra Eficiente – CCE, Modelo de Abastecimiento Estratégico, Herramienta de Análisis de la Demanda.</w:t>
            </w:r>
          </w:p>
          <w:p w14:paraId="5BC809A2" w14:textId="77777777" w:rsidR="00D768A3" w:rsidRDefault="00D768A3">
            <w:pPr>
              <w:jc w:val="both"/>
              <w:rPr>
                <w:rFonts w:ascii="Arial" w:eastAsia="Arial" w:hAnsi="Arial" w:cs="Arial"/>
                <w:color w:val="000000"/>
                <w:sz w:val="16"/>
                <w:szCs w:val="16"/>
                <w:lang w:val="es-CO"/>
              </w:rPr>
            </w:pPr>
          </w:p>
          <w:p w14:paraId="3C8A3937" w14:textId="77777777" w:rsidR="00296776" w:rsidRDefault="00296776">
            <w:pPr>
              <w:jc w:val="both"/>
              <w:rPr>
                <w:rFonts w:ascii="Arial" w:eastAsia="Arial" w:hAnsi="Arial" w:cs="Arial"/>
                <w:color w:val="000000"/>
                <w:sz w:val="16"/>
                <w:szCs w:val="16"/>
                <w:lang w:val="es-CO"/>
              </w:rPr>
            </w:pPr>
          </w:p>
          <w:p w14:paraId="2FDE1A53" w14:textId="28E72E6B" w:rsidR="00296776" w:rsidRDefault="00296776">
            <w:pPr>
              <w:jc w:val="both"/>
              <w:rPr>
                <w:rFonts w:ascii="Arial" w:eastAsia="Arial" w:hAnsi="Arial" w:cs="Arial"/>
                <w:color w:val="000000"/>
                <w:sz w:val="24"/>
                <w:szCs w:val="24"/>
                <w:lang w:val="es"/>
              </w:rPr>
            </w:pPr>
            <w:r w:rsidRPr="00296776">
              <w:rPr>
                <w:rFonts w:ascii="Arial" w:eastAsia="Arial" w:hAnsi="Arial" w:cs="Arial"/>
                <w:color w:val="000000"/>
                <w:sz w:val="24"/>
                <w:szCs w:val="24"/>
                <w:lang w:val="es"/>
              </w:rPr>
              <w:t xml:space="preserve">La distribución geográfica de los proveedores evidencia una marcada participación de empresas con domicilio principal en el </w:t>
            </w:r>
            <w:r w:rsidRPr="00296776">
              <w:rPr>
                <w:rFonts w:ascii="Arial" w:eastAsia="Arial" w:hAnsi="Arial" w:cs="Arial"/>
                <w:b/>
                <w:bCs/>
                <w:color w:val="000000"/>
                <w:sz w:val="24"/>
                <w:szCs w:val="24"/>
                <w:lang w:val="es"/>
              </w:rPr>
              <w:t>Valle del Cauca</w:t>
            </w:r>
            <w:r w:rsidRPr="00296776">
              <w:rPr>
                <w:rFonts w:ascii="Arial" w:eastAsia="Arial" w:hAnsi="Arial" w:cs="Arial"/>
                <w:color w:val="000000"/>
                <w:sz w:val="24"/>
                <w:szCs w:val="24"/>
                <w:lang w:val="es"/>
              </w:rPr>
              <w:t xml:space="preserve">, las cuales concentran la mayor parte tanto del valor contratado como del número de proveedores identificados. En </w:t>
            </w:r>
            <w:r w:rsidRPr="00296776">
              <w:rPr>
                <w:rFonts w:ascii="Arial" w:eastAsia="Arial" w:hAnsi="Arial" w:cs="Arial"/>
                <w:color w:val="000000"/>
                <w:sz w:val="24"/>
                <w:szCs w:val="24"/>
                <w:lang w:val="es"/>
              </w:rPr>
              <w:lastRenderedPageBreak/>
              <w:t xml:space="preserve">menor proporción participan empresas con domicilio en </w:t>
            </w:r>
            <w:r w:rsidRPr="00296776">
              <w:rPr>
                <w:rFonts w:ascii="Arial" w:eastAsia="Arial" w:hAnsi="Arial" w:cs="Arial"/>
                <w:b/>
                <w:bCs/>
                <w:color w:val="000000"/>
                <w:sz w:val="24"/>
                <w:szCs w:val="24"/>
                <w:lang w:val="es"/>
              </w:rPr>
              <w:t>Bogotá D.C.</w:t>
            </w:r>
            <w:r w:rsidRPr="00296776">
              <w:rPr>
                <w:rFonts w:ascii="Arial" w:eastAsia="Arial" w:hAnsi="Arial" w:cs="Arial"/>
                <w:color w:val="000000"/>
                <w:sz w:val="24"/>
                <w:szCs w:val="24"/>
                <w:lang w:val="es"/>
              </w:rPr>
              <w:t xml:space="preserve"> Este comportamiento refleja que la Entidad ha contratado principalmente con proveedores regionales, lo cual evidencia la existencia de una oferta local con capacidad técnica, administrativa y operativa para atender procesos relacionados con el objeto contractual, favoreciendo la participación de empresas del departamento sin restringir la libre concurrencia de oferentes provenientes de otras regiones del país.</w:t>
            </w:r>
          </w:p>
          <w:p w14:paraId="5177D8B6" w14:textId="77777777" w:rsidR="00296776" w:rsidRPr="00296776" w:rsidRDefault="00296776">
            <w:pPr>
              <w:jc w:val="both"/>
              <w:rPr>
                <w:rFonts w:ascii="Arial" w:eastAsia="Arial" w:hAnsi="Arial" w:cs="Arial"/>
                <w:color w:val="000000"/>
                <w:sz w:val="24"/>
                <w:szCs w:val="24"/>
                <w:lang w:val="es-CO"/>
              </w:rPr>
            </w:pPr>
          </w:p>
          <w:p w14:paraId="7975E7ED" w14:textId="77777777" w:rsidR="00D768A3" w:rsidRDefault="00784193" w:rsidP="00296776">
            <w:pPr>
              <w:jc w:val="center"/>
              <w:rPr>
                <w:rFonts w:ascii="Arial" w:eastAsia="Arial" w:hAnsi="Arial" w:cs="Arial"/>
                <w:lang w:val="es-CO"/>
              </w:rPr>
            </w:pPr>
            <w:r w:rsidRPr="00784193">
              <w:rPr>
                <w:rFonts w:ascii="Arial" w:eastAsia="Arial" w:hAnsi="Arial" w:cs="Arial"/>
                <w:noProof/>
                <w:color w:val="000000"/>
                <w:sz w:val="24"/>
                <w:szCs w:val="24"/>
                <w:lang w:val="es-CO"/>
              </w:rPr>
              <w:drawing>
                <wp:inline distT="0" distB="0" distL="0" distR="0" wp14:anchorId="578C12E0" wp14:editId="33BCEFD2">
                  <wp:extent cx="5268060" cy="2181529"/>
                  <wp:effectExtent l="0" t="0" r="8890" b="9525"/>
                  <wp:docPr id="8315440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44021" name=""/>
                          <pic:cNvPicPr/>
                        </pic:nvPicPr>
                        <pic:blipFill>
                          <a:blip r:embed="rId28"/>
                          <a:stretch>
                            <a:fillRect/>
                          </a:stretch>
                        </pic:blipFill>
                        <pic:spPr>
                          <a:xfrm>
                            <a:off x="0" y="0"/>
                            <a:ext cx="5268060" cy="2181529"/>
                          </a:xfrm>
                          <a:prstGeom prst="rect">
                            <a:avLst/>
                          </a:prstGeom>
                        </pic:spPr>
                      </pic:pic>
                    </a:graphicData>
                  </a:graphic>
                </wp:inline>
              </w:drawing>
            </w:r>
          </w:p>
          <w:p w14:paraId="33F1795E" w14:textId="77777777" w:rsidR="00D077BE" w:rsidRPr="00D67D8A" w:rsidRDefault="00D077BE" w:rsidP="00D077BE">
            <w:pPr>
              <w:jc w:val="center"/>
              <w:rPr>
                <w:rFonts w:ascii="Arial" w:eastAsia="Arial" w:hAnsi="Arial" w:cs="Arial"/>
                <w:color w:val="000000"/>
                <w:sz w:val="16"/>
                <w:szCs w:val="16"/>
                <w:lang w:val="es-CO"/>
              </w:rPr>
            </w:pPr>
            <w:r w:rsidRPr="00D67D8A">
              <w:rPr>
                <w:rFonts w:ascii="Arial" w:eastAsia="Arial" w:hAnsi="Arial" w:cs="Arial"/>
                <w:color w:val="000000"/>
                <w:sz w:val="16"/>
                <w:szCs w:val="16"/>
                <w:lang w:val="es-CO"/>
              </w:rPr>
              <w:t>Fuente: Agencia Colombiana para la Contratación Pública – Colombia Compra Eficiente – CCE, Modelo de Abastecimiento Estratégico, Herramienta de Análisis de la Demanda.</w:t>
            </w:r>
          </w:p>
          <w:p w14:paraId="2377ADAB" w14:textId="77777777" w:rsidR="00784193" w:rsidRDefault="00784193">
            <w:pPr>
              <w:jc w:val="both"/>
              <w:rPr>
                <w:rFonts w:ascii="Arial" w:eastAsia="Arial" w:hAnsi="Arial" w:cs="Arial"/>
                <w:lang w:val="es-CO"/>
              </w:rPr>
            </w:pPr>
          </w:p>
          <w:p w14:paraId="05A7B26C" w14:textId="77777777" w:rsidR="00296776" w:rsidRDefault="00296776">
            <w:pPr>
              <w:jc w:val="both"/>
              <w:rPr>
                <w:rFonts w:ascii="Arial" w:eastAsia="Arial" w:hAnsi="Arial" w:cs="Arial"/>
                <w:sz w:val="24"/>
                <w:szCs w:val="24"/>
                <w:lang w:val="es"/>
              </w:rPr>
            </w:pPr>
            <w:r w:rsidRPr="00296776">
              <w:rPr>
                <w:rFonts w:ascii="Arial" w:eastAsia="Arial" w:hAnsi="Arial" w:cs="Arial"/>
                <w:sz w:val="24"/>
                <w:szCs w:val="24"/>
                <w:lang w:val="es"/>
              </w:rPr>
              <w:t xml:space="preserve">El análisis por modalidad de selección evidencia que la </w:t>
            </w:r>
            <w:r w:rsidRPr="00296776">
              <w:rPr>
                <w:rFonts w:ascii="Arial" w:eastAsia="Arial" w:hAnsi="Arial" w:cs="Arial"/>
                <w:b/>
                <w:bCs/>
                <w:sz w:val="24"/>
                <w:szCs w:val="24"/>
                <w:lang w:val="es"/>
              </w:rPr>
              <w:t>contratación directa</w:t>
            </w:r>
            <w:r w:rsidRPr="00296776">
              <w:rPr>
                <w:rFonts w:ascii="Arial" w:eastAsia="Arial" w:hAnsi="Arial" w:cs="Arial"/>
                <w:sz w:val="24"/>
                <w:szCs w:val="24"/>
                <w:lang w:val="es"/>
              </w:rPr>
              <w:t xml:space="preserve"> concentra el mayor valor contratado durante el período analizado, seguida por los procesos adelantados bajo </w:t>
            </w:r>
            <w:r w:rsidRPr="00296776">
              <w:rPr>
                <w:rFonts w:ascii="Arial" w:eastAsia="Arial" w:hAnsi="Arial" w:cs="Arial"/>
                <w:b/>
                <w:bCs/>
                <w:sz w:val="24"/>
                <w:szCs w:val="24"/>
                <w:lang w:val="es"/>
              </w:rPr>
              <w:t>régimen especial</w:t>
            </w:r>
            <w:r w:rsidRPr="00296776">
              <w:rPr>
                <w:rFonts w:ascii="Arial" w:eastAsia="Arial" w:hAnsi="Arial" w:cs="Arial"/>
                <w:sz w:val="24"/>
                <w:szCs w:val="24"/>
                <w:lang w:val="es"/>
              </w:rPr>
              <w:t xml:space="preserve"> y, posteriormente, por las modalidades </w:t>
            </w:r>
            <w:r w:rsidRPr="00296776">
              <w:rPr>
                <w:rFonts w:ascii="Arial" w:eastAsia="Arial" w:hAnsi="Arial" w:cs="Arial"/>
                <w:b/>
                <w:bCs/>
                <w:sz w:val="24"/>
                <w:szCs w:val="24"/>
                <w:lang w:val="es"/>
              </w:rPr>
              <w:t>competitivas</w:t>
            </w:r>
            <w:r w:rsidRPr="00296776">
              <w:rPr>
                <w:rFonts w:ascii="Arial" w:eastAsia="Arial" w:hAnsi="Arial" w:cs="Arial"/>
                <w:sz w:val="24"/>
                <w:szCs w:val="24"/>
                <w:lang w:val="es"/>
              </w:rPr>
              <w:t>. Este comportamiento responde a la naturaleza de los objetos contractuales desarrollados por la Entidad y a la aplicación de las modalidades de selección previstas en la normativa vigente para cada tipo de necesidad. En consecuencia, la información permite identificar las tendencias históricas de contratación de la Secretaría; sin embargo, la modalidad aplicable al presente proceso deberá determinarse con fundamento en la naturaleza del objeto contractual y el marco jurídico correspondiente, y no únicamente con base en el comportamiento histórico de la contratación.</w:t>
            </w:r>
          </w:p>
          <w:p w14:paraId="2676D64F" w14:textId="77777777" w:rsidR="00444D1D" w:rsidRDefault="00444D1D">
            <w:pPr>
              <w:jc w:val="both"/>
              <w:rPr>
                <w:rFonts w:ascii="Arial" w:eastAsia="Arial" w:hAnsi="Arial" w:cs="Arial"/>
                <w:sz w:val="24"/>
                <w:szCs w:val="24"/>
                <w:lang w:val="es"/>
              </w:rPr>
            </w:pPr>
          </w:p>
          <w:p w14:paraId="7DBC23FA" w14:textId="77777777" w:rsidR="00444D1D" w:rsidRPr="00444D1D" w:rsidRDefault="00444D1D" w:rsidP="00444D1D">
            <w:pPr>
              <w:jc w:val="both"/>
              <w:rPr>
                <w:rFonts w:ascii="Arial" w:eastAsia="Arial" w:hAnsi="Arial" w:cs="Arial"/>
                <w:sz w:val="24"/>
                <w:szCs w:val="24"/>
                <w:lang w:val="es-CO"/>
              </w:rPr>
            </w:pPr>
            <w:r w:rsidRPr="00444D1D">
              <w:rPr>
                <w:rFonts w:ascii="Arial" w:eastAsia="Arial" w:hAnsi="Arial" w:cs="Arial"/>
                <w:sz w:val="24"/>
                <w:szCs w:val="24"/>
                <w:lang w:val="es-CO"/>
              </w:rPr>
              <w:t xml:space="preserve">Del análisis del comportamiento histórico de la contratación de la Secretaría del Deporte y la Recreación se concluye que existe una demanda permanente de servicios relacionados con la gerencia de proyectos y la ingeniería, evidenciada en la celebración </w:t>
            </w:r>
            <w:r w:rsidRPr="00444D1D">
              <w:rPr>
                <w:rFonts w:ascii="Arial" w:eastAsia="Arial" w:hAnsi="Arial" w:cs="Arial"/>
                <w:sz w:val="24"/>
                <w:szCs w:val="24"/>
                <w:lang w:val="es-CO"/>
              </w:rPr>
              <w:lastRenderedPageBreak/>
              <w:t xml:space="preserve">de 38 procesos de contratación durante el período analizado. Así mismo, se identifica una participación predominante de proveedores del Valle del Cauca, una distribución del mercado entre diferentes contratistas y una utilización de diversas modalidades de selección, conforme a la naturaleza de cada necesidad contractual. Esta información constituye un insumo relevante para la estructuración del presente proceso, al permitir identificar las condiciones del mercado, la dinámica de contratación de la Entidad y la existencia de una oferta suficiente para atender el objeto contractual. </w:t>
            </w:r>
          </w:p>
          <w:p w14:paraId="24267C2C" w14:textId="3C1F4972" w:rsidR="00296776" w:rsidRPr="00D67D8A" w:rsidRDefault="00296776">
            <w:pPr>
              <w:jc w:val="both"/>
              <w:rPr>
                <w:rFonts w:ascii="Arial" w:eastAsia="Arial" w:hAnsi="Arial" w:cs="Arial"/>
                <w:lang w:val="es-CO"/>
              </w:rPr>
            </w:pPr>
          </w:p>
        </w:tc>
      </w:tr>
      <w:tr w:rsidR="00D768A3" w14:paraId="04B07CF7"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FA1290C" w14:textId="77777777" w:rsidR="00D768A3" w:rsidRPr="00D67D8A" w:rsidRDefault="00A0753E">
            <w:pPr>
              <w:widowControl/>
              <w:numPr>
                <w:ilvl w:val="1"/>
                <w:numId w:val="1"/>
              </w:numPr>
              <w:pBdr>
                <w:top w:val="nil"/>
                <w:left w:val="nil"/>
                <w:bottom w:val="nil"/>
                <w:right w:val="nil"/>
                <w:between w:val="nil"/>
              </w:pBdr>
              <w:spacing w:before="60" w:after="60"/>
              <w:ind w:left="454" w:hanging="454"/>
              <w:jc w:val="both"/>
              <w:rPr>
                <w:rFonts w:ascii="Arial" w:eastAsia="Arial" w:hAnsi="Arial" w:cs="Arial"/>
                <w:color w:val="000000"/>
                <w:sz w:val="8"/>
                <w:szCs w:val="8"/>
                <w:lang w:val="es-CO"/>
              </w:rPr>
            </w:pPr>
            <w:r w:rsidRPr="00D67D8A">
              <w:rPr>
                <w:rFonts w:ascii="Arial" w:eastAsia="Arial" w:hAnsi="Arial" w:cs="Arial"/>
                <w:color w:val="000000"/>
                <w:sz w:val="24"/>
                <w:szCs w:val="24"/>
                <w:lang w:val="es-CO"/>
              </w:rPr>
              <w:lastRenderedPageBreak/>
              <w:t>PROCESOS DE CONTRATACIÓN ADELANTADOS POR OTRAS ENTIDADES ESTATALES</w:t>
            </w:r>
          </w:p>
        </w:tc>
      </w:tr>
      <w:tr w:rsidR="00D768A3" w14:paraId="17A57DC5"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B6CDC6" w14:textId="77777777" w:rsidR="00D768A3" w:rsidRPr="00D67D8A" w:rsidRDefault="00A0753E">
            <w:pPr>
              <w:jc w:val="both"/>
              <w:rPr>
                <w:rFonts w:ascii="Arial" w:eastAsia="Arial" w:hAnsi="Arial" w:cs="Arial"/>
                <w:lang w:val="es-CO"/>
              </w:rPr>
            </w:pPr>
            <w:r w:rsidRPr="00D67D8A">
              <w:rPr>
                <w:rFonts w:ascii="Arial" w:eastAsia="Arial" w:hAnsi="Arial" w:cs="Arial"/>
                <w:lang w:val="es-CO"/>
              </w:rPr>
              <w:t xml:space="preserve">La Entidad Estatal debe identificar el comportamiento de sus adquisiciones anteriores del bien, obra o servicio de otras entidades </w:t>
            </w:r>
          </w:p>
          <w:p w14:paraId="5D00E7B0" w14:textId="77777777" w:rsidR="00D768A3" w:rsidRPr="00D67D8A" w:rsidRDefault="00D768A3">
            <w:pPr>
              <w:jc w:val="both"/>
              <w:rPr>
                <w:rFonts w:ascii="Arial" w:eastAsia="Arial" w:hAnsi="Arial" w:cs="Arial"/>
                <w:color w:val="000000"/>
                <w:sz w:val="24"/>
                <w:szCs w:val="24"/>
                <w:lang w:val="es-CO"/>
              </w:rPr>
            </w:pPr>
          </w:p>
          <w:p w14:paraId="06C54514" w14:textId="4B580D83" w:rsidR="00D768A3" w:rsidRPr="00D67D8A" w:rsidRDefault="00A0753E">
            <w:pP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 xml:space="preserve">A continuación, se </w:t>
            </w:r>
            <w:r w:rsidRPr="007962D9">
              <w:rPr>
                <w:rFonts w:ascii="Arial" w:eastAsia="Arial" w:hAnsi="Arial" w:cs="Arial"/>
                <w:color w:val="000000"/>
                <w:sz w:val="24"/>
                <w:szCs w:val="24"/>
                <w:lang w:val="es-CO"/>
              </w:rPr>
              <w:t xml:space="preserve">detalla los contratos adelantados por otras Entidades Estatales, relacionados con </w:t>
            </w:r>
            <w:r w:rsidR="00B852D4" w:rsidRPr="007962D9">
              <w:rPr>
                <w:rFonts w:ascii="Arial" w:eastAsia="Arial" w:hAnsi="Arial" w:cs="Arial"/>
                <w:color w:val="000000"/>
                <w:sz w:val="24"/>
                <w:szCs w:val="24"/>
                <w:lang w:val="es-CO"/>
              </w:rPr>
              <w:t>REALIZAR LA INTERVENTORÍA INTEGRAL: TÉCNICA, ADMINISTRATIVA, FINANCIERA, JURÍDICA, SOCIAL Y AMBIENTAL A LOS CONTRATO DE OBRA DERIVADO DE PROCESO</w:t>
            </w:r>
            <w:r w:rsidR="007962D9" w:rsidRPr="007962D9">
              <w:rPr>
                <w:rFonts w:ascii="Arial" w:eastAsia="Arial" w:hAnsi="Arial" w:cs="Arial"/>
                <w:color w:val="000000"/>
                <w:sz w:val="24"/>
                <w:szCs w:val="24"/>
                <w:lang w:val="es-CO"/>
              </w:rPr>
              <w:t>S</w:t>
            </w:r>
            <w:r w:rsidR="00B852D4" w:rsidRPr="007962D9">
              <w:rPr>
                <w:rFonts w:ascii="Arial" w:eastAsia="Arial" w:hAnsi="Arial" w:cs="Arial"/>
                <w:color w:val="000000"/>
                <w:sz w:val="24"/>
                <w:szCs w:val="24"/>
                <w:lang w:val="es-CO"/>
              </w:rPr>
              <w:t xml:space="preserve"> DE LICITACIÓN PÚBLICA.</w:t>
            </w:r>
            <w:r w:rsidR="00B852D4" w:rsidRPr="00D67D8A">
              <w:rPr>
                <w:rFonts w:ascii="Arial" w:eastAsia="Arial" w:hAnsi="Arial" w:cs="Arial"/>
                <w:color w:val="000000"/>
                <w:sz w:val="24"/>
                <w:szCs w:val="24"/>
                <w:lang w:val="es-CO"/>
              </w:rPr>
              <w:t xml:space="preserve"> </w:t>
            </w:r>
          </w:p>
          <w:p w14:paraId="31B8D205" w14:textId="77777777" w:rsidR="00C11CB7" w:rsidRPr="00C11CB7" w:rsidRDefault="00C11CB7">
            <w:pPr>
              <w:jc w:val="both"/>
              <w:rPr>
                <w:rFonts w:ascii="Arial" w:eastAsia="Arial" w:hAnsi="Arial" w:cs="Arial"/>
                <w:color w:val="808080"/>
                <w:sz w:val="24"/>
                <w:szCs w:val="24"/>
                <w:lang w:val="es"/>
              </w:rPr>
            </w:pPr>
          </w:p>
          <w:p w14:paraId="323D174B" w14:textId="77777777" w:rsidR="00D768A3" w:rsidRDefault="00A0753E">
            <w:pPr>
              <w:jc w:val="center"/>
              <w:rPr>
                <w:rFonts w:ascii="Arial" w:eastAsia="Arial" w:hAnsi="Arial" w:cs="Arial"/>
                <w:b/>
                <w:sz w:val="24"/>
                <w:szCs w:val="24"/>
                <w:lang w:val="es-CO"/>
              </w:rPr>
            </w:pPr>
            <w:r w:rsidRPr="00D67D8A">
              <w:rPr>
                <w:rFonts w:ascii="Arial" w:eastAsia="Arial" w:hAnsi="Arial" w:cs="Arial"/>
                <w:b/>
                <w:color w:val="000000"/>
                <w:sz w:val="24"/>
                <w:szCs w:val="24"/>
                <w:lang w:val="es-CO"/>
              </w:rPr>
              <w:t xml:space="preserve">Tabla N°4: </w:t>
            </w:r>
            <w:r w:rsidRPr="00D67D8A">
              <w:rPr>
                <w:rFonts w:ascii="Arial" w:eastAsia="Arial" w:hAnsi="Arial" w:cs="Arial"/>
                <w:b/>
                <w:sz w:val="24"/>
                <w:szCs w:val="24"/>
                <w:lang w:val="es-CO"/>
              </w:rPr>
              <w:t>Procesos de Contratación de otras entidades</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5"/>
              <w:gridCol w:w="2268"/>
              <w:gridCol w:w="2268"/>
              <w:gridCol w:w="2655"/>
            </w:tblGrid>
            <w:tr w:rsidR="00353E55" w14:paraId="45811FCE" w14:textId="77777777" w:rsidTr="00082D1C">
              <w:trPr>
                <w:jc w:val="center"/>
              </w:trPr>
              <w:tc>
                <w:tcPr>
                  <w:tcW w:w="2045" w:type="dxa"/>
                  <w:tcMar>
                    <w:top w:w="100" w:type="dxa"/>
                    <w:left w:w="100" w:type="dxa"/>
                    <w:bottom w:w="100" w:type="dxa"/>
                    <w:right w:w="100" w:type="dxa"/>
                  </w:tcMar>
                </w:tcPr>
                <w:p w14:paraId="32A88960"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Variable</w:t>
                  </w:r>
                </w:p>
              </w:tc>
              <w:tc>
                <w:tcPr>
                  <w:tcW w:w="2268" w:type="dxa"/>
                  <w:tcMar>
                    <w:top w:w="100" w:type="dxa"/>
                    <w:left w:w="100" w:type="dxa"/>
                    <w:bottom w:w="100" w:type="dxa"/>
                    <w:right w:w="100" w:type="dxa"/>
                  </w:tcMar>
                </w:tcPr>
                <w:p w14:paraId="06AAFD26" w14:textId="77777777" w:rsidR="00353E55" w:rsidRDefault="00353E55" w:rsidP="00353E55">
                  <w:pPr>
                    <w:widowControl w:val="0"/>
                    <w:pBdr>
                      <w:top w:val="nil"/>
                      <w:left w:val="nil"/>
                      <w:bottom w:val="nil"/>
                      <w:right w:val="nil"/>
                      <w:between w:val="nil"/>
                    </w:pBdr>
                    <w:rPr>
                      <w:rFonts w:eastAsia="Arial" w:cs="Arial"/>
                      <w:sz w:val="14"/>
                      <w:szCs w:val="14"/>
                    </w:rPr>
                  </w:pPr>
                  <w:r w:rsidRPr="0044597A">
                    <w:rPr>
                      <w:rFonts w:ascii="Arial" w:eastAsia="Arial" w:hAnsi="Arial" w:cs="Arial"/>
                      <w:sz w:val="14"/>
                      <w:szCs w:val="14"/>
                    </w:rPr>
                    <w:t>ALCALDIA MUNICIPIO DE LETICIA</w:t>
                  </w:r>
                </w:p>
              </w:tc>
              <w:tc>
                <w:tcPr>
                  <w:tcW w:w="2268" w:type="dxa"/>
                  <w:tcMar>
                    <w:top w:w="100" w:type="dxa"/>
                    <w:left w:w="100" w:type="dxa"/>
                    <w:bottom w:w="100" w:type="dxa"/>
                    <w:right w:w="100" w:type="dxa"/>
                  </w:tcMar>
                </w:tcPr>
                <w:p w14:paraId="68BE430A" w14:textId="77777777" w:rsidR="00353E55" w:rsidRDefault="00353E55" w:rsidP="00353E55">
                  <w:pPr>
                    <w:widowControl w:val="0"/>
                    <w:pBdr>
                      <w:top w:val="nil"/>
                      <w:left w:val="nil"/>
                      <w:bottom w:val="nil"/>
                      <w:right w:val="nil"/>
                      <w:between w:val="nil"/>
                    </w:pBdr>
                    <w:rPr>
                      <w:rFonts w:eastAsia="Arial" w:cs="Arial"/>
                      <w:sz w:val="14"/>
                      <w:szCs w:val="14"/>
                    </w:rPr>
                  </w:pPr>
                  <w:r w:rsidRPr="006B7FC9">
                    <w:rPr>
                      <w:rFonts w:ascii="Arial" w:eastAsia="Arial" w:hAnsi="Arial" w:cs="Arial"/>
                      <w:sz w:val="14"/>
                      <w:szCs w:val="14"/>
                    </w:rPr>
                    <w:t>GOBERNACION DEL HUILA</w:t>
                  </w:r>
                </w:p>
              </w:tc>
              <w:tc>
                <w:tcPr>
                  <w:tcW w:w="2655" w:type="dxa"/>
                  <w:tcMar>
                    <w:top w:w="100" w:type="dxa"/>
                    <w:left w:w="100" w:type="dxa"/>
                    <w:bottom w:w="100" w:type="dxa"/>
                    <w:right w:w="100" w:type="dxa"/>
                  </w:tcMar>
                </w:tcPr>
                <w:p w14:paraId="661EC53A" w14:textId="77777777" w:rsidR="00353E55" w:rsidRDefault="00353E55" w:rsidP="00353E55">
                  <w:pPr>
                    <w:widowControl w:val="0"/>
                    <w:pBdr>
                      <w:top w:val="nil"/>
                      <w:left w:val="nil"/>
                      <w:bottom w:val="nil"/>
                      <w:right w:val="nil"/>
                      <w:between w:val="nil"/>
                    </w:pBdr>
                    <w:rPr>
                      <w:rFonts w:eastAsia="Arial" w:cs="Arial"/>
                      <w:sz w:val="14"/>
                      <w:szCs w:val="14"/>
                    </w:rPr>
                  </w:pPr>
                  <w:r w:rsidRPr="00137BA5">
                    <w:rPr>
                      <w:rFonts w:ascii="Arial" w:eastAsia="Arial" w:hAnsi="Arial" w:cs="Arial"/>
                      <w:sz w:val="14"/>
                      <w:szCs w:val="14"/>
                    </w:rPr>
                    <w:t>DEPARTAMENTO DEL ATLANTICO</w:t>
                  </w:r>
                </w:p>
              </w:tc>
            </w:tr>
            <w:tr w:rsidR="00353E55" w14:paraId="5C857ED8" w14:textId="77777777" w:rsidTr="00082D1C">
              <w:trPr>
                <w:jc w:val="center"/>
              </w:trPr>
              <w:tc>
                <w:tcPr>
                  <w:tcW w:w="2045" w:type="dxa"/>
                  <w:tcMar>
                    <w:top w:w="100" w:type="dxa"/>
                    <w:left w:w="100" w:type="dxa"/>
                    <w:bottom w:w="100" w:type="dxa"/>
                    <w:right w:w="100" w:type="dxa"/>
                  </w:tcMar>
                </w:tcPr>
                <w:p w14:paraId="05AE0498" w14:textId="77777777" w:rsidR="00353E55" w:rsidRDefault="00353E55" w:rsidP="00353E55">
                  <w:pPr>
                    <w:widowControl w:val="0"/>
                    <w:rPr>
                      <w:rFonts w:eastAsia="Arial" w:cs="Arial"/>
                      <w:sz w:val="14"/>
                      <w:szCs w:val="14"/>
                    </w:rPr>
                  </w:pPr>
                  <w:r>
                    <w:rPr>
                      <w:rFonts w:ascii="Arial" w:eastAsia="Arial" w:hAnsi="Arial" w:cs="Arial"/>
                      <w:sz w:val="14"/>
                      <w:szCs w:val="14"/>
                    </w:rPr>
                    <w:t>Vigencia</w:t>
                  </w:r>
                </w:p>
              </w:tc>
              <w:tc>
                <w:tcPr>
                  <w:tcW w:w="2268" w:type="dxa"/>
                  <w:tcMar>
                    <w:top w:w="100" w:type="dxa"/>
                    <w:left w:w="100" w:type="dxa"/>
                    <w:bottom w:w="100" w:type="dxa"/>
                    <w:right w:w="100" w:type="dxa"/>
                  </w:tcMar>
                </w:tcPr>
                <w:p w14:paraId="7FF2FE20"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2026</w:t>
                  </w:r>
                </w:p>
              </w:tc>
              <w:tc>
                <w:tcPr>
                  <w:tcW w:w="2268" w:type="dxa"/>
                  <w:tcMar>
                    <w:top w:w="100" w:type="dxa"/>
                    <w:left w:w="100" w:type="dxa"/>
                    <w:bottom w:w="100" w:type="dxa"/>
                    <w:right w:w="100" w:type="dxa"/>
                  </w:tcMar>
                </w:tcPr>
                <w:p w14:paraId="280C19B2"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2026</w:t>
                  </w:r>
                </w:p>
              </w:tc>
              <w:tc>
                <w:tcPr>
                  <w:tcW w:w="2655" w:type="dxa"/>
                  <w:tcMar>
                    <w:top w:w="100" w:type="dxa"/>
                    <w:left w:w="100" w:type="dxa"/>
                    <w:bottom w:w="100" w:type="dxa"/>
                    <w:right w:w="100" w:type="dxa"/>
                  </w:tcMar>
                </w:tcPr>
                <w:p w14:paraId="7342961B"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2026</w:t>
                  </w:r>
                </w:p>
              </w:tc>
            </w:tr>
            <w:tr w:rsidR="00353E55" w14:paraId="111DAB77" w14:textId="77777777" w:rsidTr="00082D1C">
              <w:trPr>
                <w:jc w:val="center"/>
              </w:trPr>
              <w:tc>
                <w:tcPr>
                  <w:tcW w:w="2045" w:type="dxa"/>
                  <w:tcMar>
                    <w:top w:w="100" w:type="dxa"/>
                    <w:left w:w="100" w:type="dxa"/>
                    <w:bottom w:w="100" w:type="dxa"/>
                    <w:right w:w="100" w:type="dxa"/>
                  </w:tcMar>
                </w:tcPr>
                <w:p w14:paraId="08601A2F" w14:textId="77777777" w:rsidR="00353E55" w:rsidRDefault="00353E55" w:rsidP="00353E55">
                  <w:pPr>
                    <w:widowControl w:val="0"/>
                    <w:rPr>
                      <w:rFonts w:eastAsia="Arial" w:cs="Arial"/>
                      <w:sz w:val="14"/>
                      <w:szCs w:val="14"/>
                    </w:rPr>
                  </w:pPr>
                  <w:r>
                    <w:rPr>
                      <w:rFonts w:ascii="Arial" w:eastAsia="Arial" w:hAnsi="Arial" w:cs="Arial"/>
                      <w:sz w:val="14"/>
                      <w:szCs w:val="14"/>
                    </w:rPr>
                    <w:t>Número de proceso</w:t>
                  </w:r>
                </w:p>
              </w:tc>
              <w:tc>
                <w:tcPr>
                  <w:tcW w:w="2268" w:type="dxa"/>
                  <w:tcMar>
                    <w:top w:w="100" w:type="dxa"/>
                    <w:left w:w="100" w:type="dxa"/>
                    <w:bottom w:w="100" w:type="dxa"/>
                    <w:right w:w="100" w:type="dxa"/>
                  </w:tcMar>
                </w:tcPr>
                <w:p w14:paraId="69D93E42" w14:textId="77777777" w:rsidR="00353E55" w:rsidRDefault="00353E55" w:rsidP="00353E55">
                  <w:pPr>
                    <w:widowControl w:val="0"/>
                    <w:pBdr>
                      <w:top w:val="nil"/>
                      <w:left w:val="nil"/>
                      <w:bottom w:val="nil"/>
                      <w:right w:val="nil"/>
                      <w:between w:val="nil"/>
                    </w:pBdr>
                    <w:rPr>
                      <w:rFonts w:eastAsia="Arial" w:cs="Arial"/>
                      <w:sz w:val="14"/>
                      <w:szCs w:val="14"/>
                    </w:rPr>
                  </w:pPr>
                  <w:r w:rsidRPr="0044597A">
                    <w:rPr>
                      <w:rFonts w:ascii="Arial" w:eastAsia="Arial" w:hAnsi="Arial" w:cs="Arial"/>
                      <w:sz w:val="14"/>
                      <w:szCs w:val="14"/>
                    </w:rPr>
                    <w:t>CMA-003-2026</w:t>
                  </w:r>
                </w:p>
              </w:tc>
              <w:tc>
                <w:tcPr>
                  <w:tcW w:w="2268" w:type="dxa"/>
                  <w:tcMar>
                    <w:top w:w="100" w:type="dxa"/>
                    <w:left w:w="100" w:type="dxa"/>
                    <w:bottom w:w="100" w:type="dxa"/>
                    <w:right w:w="100" w:type="dxa"/>
                  </w:tcMar>
                </w:tcPr>
                <w:p w14:paraId="4E366B3A" w14:textId="77777777" w:rsidR="00353E55" w:rsidRDefault="00353E55" w:rsidP="00353E55">
                  <w:pPr>
                    <w:widowControl w:val="0"/>
                    <w:pBdr>
                      <w:top w:val="nil"/>
                      <w:left w:val="nil"/>
                      <w:bottom w:val="nil"/>
                      <w:right w:val="nil"/>
                      <w:between w:val="nil"/>
                    </w:pBdr>
                    <w:rPr>
                      <w:rFonts w:eastAsia="Arial" w:cs="Arial"/>
                      <w:sz w:val="14"/>
                      <w:szCs w:val="14"/>
                    </w:rPr>
                  </w:pPr>
                  <w:r w:rsidRPr="006B7FC9">
                    <w:rPr>
                      <w:rFonts w:ascii="Arial" w:eastAsia="Arial" w:hAnsi="Arial" w:cs="Arial"/>
                      <w:sz w:val="14"/>
                      <w:szCs w:val="14"/>
                    </w:rPr>
                    <w:t>SVCMIN0003-26</w:t>
                  </w:r>
                </w:p>
              </w:tc>
              <w:tc>
                <w:tcPr>
                  <w:tcW w:w="2655" w:type="dxa"/>
                  <w:tcMar>
                    <w:top w:w="100" w:type="dxa"/>
                    <w:left w:w="100" w:type="dxa"/>
                    <w:bottom w:w="100" w:type="dxa"/>
                    <w:right w:w="100" w:type="dxa"/>
                  </w:tcMar>
                </w:tcPr>
                <w:p w14:paraId="18BC7693" w14:textId="77777777" w:rsidR="00353E55" w:rsidRDefault="00353E55" w:rsidP="00353E55">
                  <w:pPr>
                    <w:widowControl w:val="0"/>
                    <w:pBdr>
                      <w:top w:val="nil"/>
                      <w:left w:val="nil"/>
                      <w:bottom w:val="nil"/>
                      <w:right w:val="nil"/>
                      <w:between w:val="nil"/>
                    </w:pBdr>
                    <w:rPr>
                      <w:rFonts w:eastAsia="Arial" w:cs="Arial"/>
                      <w:sz w:val="14"/>
                      <w:szCs w:val="14"/>
                    </w:rPr>
                  </w:pPr>
                  <w:r w:rsidRPr="00137BA5">
                    <w:rPr>
                      <w:rFonts w:ascii="Arial" w:eastAsia="Arial" w:hAnsi="Arial" w:cs="Arial"/>
                      <w:sz w:val="14"/>
                      <w:szCs w:val="14"/>
                    </w:rPr>
                    <w:t>CMA-0004-2026</w:t>
                  </w:r>
                </w:p>
              </w:tc>
            </w:tr>
            <w:tr w:rsidR="00353E55" w14:paraId="1F068A1B" w14:textId="77777777" w:rsidTr="00082D1C">
              <w:trPr>
                <w:jc w:val="center"/>
              </w:trPr>
              <w:tc>
                <w:tcPr>
                  <w:tcW w:w="2045" w:type="dxa"/>
                  <w:tcMar>
                    <w:top w:w="100" w:type="dxa"/>
                    <w:left w:w="100" w:type="dxa"/>
                    <w:bottom w:w="100" w:type="dxa"/>
                    <w:right w:w="100" w:type="dxa"/>
                  </w:tcMar>
                </w:tcPr>
                <w:p w14:paraId="3A47A157" w14:textId="77777777" w:rsidR="00353E55" w:rsidRDefault="00353E55" w:rsidP="00353E55">
                  <w:pPr>
                    <w:widowControl w:val="0"/>
                    <w:rPr>
                      <w:rFonts w:eastAsia="Arial" w:cs="Arial"/>
                      <w:sz w:val="14"/>
                      <w:szCs w:val="14"/>
                    </w:rPr>
                  </w:pPr>
                  <w:proofErr w:type="gramStart"/>
                  <w:r>
                    <w:rPr>
                      <w:rFonts w:ascii="Arial" w:eastAsia="Arial" w:hAnsi="Arial" w:cs="Arial"/>
                      <w:sz w:val="14"/>
                      <w:szCs w:val="14"/>
                    </w:rPr>
                    <w:t>Link</w:t>
                  </w:r>
                  <w:proofErr w:type="gramEnd"/>
                  <w:r>
                    <w:rPr>
                      <w:rFonts w:ascii="Arial" w:eastAsia="Arial" w:hAnsi="Arial" w:cs="Arial"/>
                      <w:sz w:val="14"/>
                      <w:szCs w:val="14"/>
                    </w:rPr>
                    <w:t xml:space="preserve"> del proceso</w:t>
                  </w:r>
                </w:p>
              </w:tc>
              <w:tc>
                <w:tcPr>
                  <w:tcW w:w="2268" w:type="dxa"/>
                  <w:tcMar>
                    <w:top w:w="100" w:type="dxa"/>
                    <w:left w:w="100" w:type="dxa"/>
                    <w:bottom w:w="100" w:type="dxa"/>
                    <w:right w:w="100" w:type="dxa"/>
                  </w:tcMar>
                </w:tcPr>
                <w:p w14:paraId="6905476B" w14:textId="7081D722" w:rsidR="00353E55" w:rsidRPr="00E67014" w:rsidRDefault="00E67014" w:rsidP="00353E55">
                  <w:pPr>
                    <w:widowControl w:val="0"/>
                    <w:pBdr>
                      <w:top w:val="nil"/>
                      <w:left w:val="nil"/>
                      <w:bottom w:val="nil"/>
                      <w:right w:val="nil"/>
                      <w:between w:val="nil"/>
                    </w:pBdr>
                    <w:rPr>
                      <w:rFonts w:ascii="Arial" w:eastAsia="Arial" w:hAnsi="Arial" w:cs="Arial"/>
                      <w:sz w:val="14"/>
                      <w:szCs w:val="14"/>
                    </w:rPr>
                  </w:pPr>
                  <w:hyperlink r:id="rId29" w:history="1">
                    <w:r w:rsidRPr="0093643F">
                      <w:rPr>
                        <w:rStyle w:val="Hipervnculo"/>
                        <w:rFonts w:ascii="Arial" w:hAnsi="Arial" w:cs="Arial"/>
                        <w:sz w:val="14"/>
                        <w:szCs w:val="14"/>
                      </w:rPr>
                      <w:t>https://n9.cl/uwwcc</w:t>
                    </w:r>
                  </w:hyperlink>
                  <w:r>
                    <w:rPr>
                      <w:rFonts w:ascii="Arial" w:hAnsi="Arial" w:cs="Arial"/>
                      <w:sz w:val="14"/>
                      <w:szCs w:val="14"/>
                    </w:rPr>
                    <w:t xml:space="preserve"> </w:t>
                  </w:r>
                </w:p>
              </w:tc>
              <w:tc>
                <w:tcPr>
                  <w:tcW w:w="2268" w:type="dxa"/>
                  <w:tcMar>
                    <w:top w:w="100" w:type="dxa"/>
                    <w:left w:w="100" w:type="dxa"/>
                    <w:bottom w:w="100" w:type="dxa"/>
                    <w:right w:w="100" w:type="dxa"/>
                  </w:tcMar>
                </w:tcPr>
                <w:p w14:paraId="0A91B249" w14:textId="01D2FD1D" w:rsidR="00353E55" w:rsidRPr="00A9797B" w:rsidRDefault="00A9797B" w:rsidP="00353E55">
                  <w:pPr>
                    <w:widowControl w:val="0"/>
                    <w:pBdr>
                      <w:top w:val="nil"/>
                      <w:left w:val="nil"/>
                      <w:bottom w:val="nil"/>
                      <w:right w:val="nil"/>
                      <w:between w:val="nil"/>
                    </w:pBdr>
                    <w:rPr>
                      <w:rFonts w:ascii="Arial" w:eastAsia="Arial" w:hAnsi="Arial" w:cs="Arial"/>
                      <w:sz w:val="8"/>
                      <w:szCs w:val="8"/>
                    </w:rPr>
                  </w:pPr>
                  <w:hyperlink r:id="rId30" w:history="1">
                    <w:r w:rsidRPr="00A9797B">
                      <w:rPr>
                        <w:rStyle w:val="Hipervnculo"/>
                        <w:rFonts w:ascii="Arial" w:hAnsi="Arial" w:cs="Arial"/>
                        <w:sz w:val="16"/>
                        <w:szCs w:val="16"/>
                      </w:rPr>
                      <w:t>https://n9.cl/lvhhez</w:t>
                    </w:r>
                  </w:hyperlink>
                  <w:r w:rsidRPr="00A9797B">
                    <w:rPr>
                      <w:rFonts w:ascii="Arial" w:hAnsi="Arial" w:cs="Arial"/>
                      <w:sz w:val="16"/>
                      <w:szCs w:val="16"/>
                    </w:rPr>
                    <w:t xml:space="preserve"> </w:t>
                  </w:r>
                </w:p>
              </w:tc>
              <w:tc>
                <w:tcPr>
                  <w:tcW w:w="2655" w:type="dxa"/>
                  <w:tcMar>
                    <w:top w:w="100" w:type="dxa"/>
                    <w:left w:w="100" w:type="dxa"/>
                    <w:bottom w:w="100" w:type="dxa"/>
                    <w:right w:w="100" w:type="dxa"/>
                  </w:tcMar>
                </w:tcPr>
                <w:p w14:paraId="127148E7" w14:textId="0E28EC4E" w:rsidR="00353E55" w:rsidRPr="00082D1C" w:rsidRDefault="00082D1C" w:rsidP="00353E55">
                  <w:pPr>
                    <w:widowControl w:val="0"/>
                    <w:pBdr>
                      <w:top w:val="nil"/>
                      <w:left w:val="nil"/>
                      <w:bottom w:val="nil"/>
                      <w:right w:val="nil"/>
                      <w:between w:val="nil"/>
                    </w:pBdr>
                    <w:rPr>
                      <w:rFonts w:ascii="Arial" w:eastAsia="Arial" w:hAnsi="Arial" w:cs="Arial"/>
                      <w:sz w:val="14"/>
                      <w:szCs w:val="14"/>
                    </w:rPr>
                  </w:pPr>
                  <w:hyperlink r:id="rId31" w:history="1">
                    <w:r w:rsidRPr="00082D1C">
                      <w:rPr>
                        <w:rStyle w:val="Hipervnculo"/>
                        <w:rFonts w:ascii="Arial" w:hAnsi="Arial" w:cs="Arial"/>
                        <w:sz w:val="14"/>
                        <w:szCs w:val="14"/>
                      </w:rPr>
                      <w:t>https://n9.cl/1v9fz</w:t>
                    </w:r>
                  </w:hyperlink>
                  <w:r w:rsidRPr="00082D1C">
                    <w:rPr>
                      <w:rFonts w:ascii="Arial" w:hAnsi="Arial" w:cs="Arial"/>
                      <w:sz w:val="14"/>
                      <w:szCs w:val="14"/>
                    </w:rPr>
                    <w:t xml:space="preserve"> </w:t>
                  </w:r>
                </w:p>
              </w:tc>
            </w:tr>
            <w:tr w:rsidR="00353E55" w14:paraId="103ACBA6" w14:textId="77777777" w:rsidTr="00082D1C">
              <w:trPr>
                <w:jc w:val="center"/>
              </w:trPr>
              <w:tc>
                <w:tcPr>
                  <w:tcW w:w="2045" w:type="dxa"/>
                  <w:tcMar>
                    <w:top w:w="100" w:type="dxa"/>
                    <w:left w:w="100" w:type="dxa"/>
                    <w:bottom w:w="100" w:type="dxa"/>
                    <w:right w:w="100" w:type="dxa"/>
                  </w:tcMar>
                </w:tcPr>
                <w:p w14:paraId="58ECEC86" w14:textId="77777777" w:rsidR="00353E55" w:rsidRDefault="00353E55" w:rsidP="00353E55">
                  <w:pPr>
                    <w:widowControl w:val="0"/>
                    <w:rPr>
                      <w:rFonts w:eastAsia="Arial" w:cs="Arial"/>
                      <w:sz w:val="14"/>
                      <w:szCs w:val="14"/>
                    </w:rPr>
                  </w:pPr>
                  <w:r>
                    <w:rPr>
                      <w:rFonts w:ascii="Arial" w:eastAsia="Arial" w:hAnsi="Arial" w:cs="Arial"/>
                      <w:sz w:val="14"/>
                      <w:szCs w:val="14"/>
                    </w:rPr>
                    <w:t>Modalidad de contratación</w:t>
                  </w:r>
                </w:p>
              </w:tc>
              <w:tc>
                <w:tcPr>
                  <w:tcW w:w="2268" w:type="dxa"/>
                  <w:tcMar>
                    <w:top w:w="100" w:type="dxa"/>
                    <w:left w:w="100" w:type="dxa"/>
                    <w:bottom w:w="100" w:type="dxa"/>
                    <w:right w:w="100" w:type="dxa"/>
                  </w:tcMar>
                </w:tcPr>
                <w:p w14:paraId="143AABCC" w14:textId="77777777" w:rsidR="00353E55" w:rsidRDefault="00353E55" w:rsidP="00353E55">
                  <w:pPr>
                    <w:widowControl w:val="0"/>
                    <w:pBdr>
                      <w:top w:val="nil"/>
                      <w:left w:val="nil"/>
                      <w:bottom w:val="nil"/>
                      <w:right w:val="nil"/>
                      <w:between w:val="nil"/>
                    </w:pBdr>
                    <w:rPr>
                      <w:rFonts w:eastAsia="Arial" w:cs="Arial"/>
                      <w:sz w:val="14"/>
                      <w:szCs w:val="14"/>
                    </w:rPr>
                  </w:pPr>
                  <w:r w:rsidRPr="0044597A">
                    <w:rPr>
                      <w:rFonts w:ascii="Arial" w:eastAsia="Arial" w:hAnsi="Arial" w:cs="Arial"/>
                      <w:sz w:val="14"/>
                      <w:szCs w:val="14"/>
                    </w:rPr>
                    <w:t>Concurso de méritos abierto</w:t>
                  </w:r>
                </w:p>
              </w:tc>
              <w:tc>
                <w:tcPr>
                  <w:tcW w:w="2268" w:type="dxa"/>
                  <w:tcMar>
                    <w:top w:w="100" w:type="dxa"/>
                    <w:left w:w="100" w:type="dxa"/>
                    <w:bottom w:w="100" w:type="dxa"/>
                    <w:right w:w="100" w:type="dxa"/>
                  </w:tcMar>
                </w:tcPr>
                <w:p w14:paraId="29DD5FCB" w14:textId="77777777" w:rsidR="00353E55" w:rsidRDefault="00353E55" w:rsidP="00353E55">
                  <w:pPr>
                    <w:widowControl w:val="0"/>
                    <w:rPr>
                      <w:rFonts w:eastAsia="Arial" w:cs="Arial"/>
                      <w:sz w:val="14"/>
                      <w:szCs w:val="14"/>
                    </w:rPr>
                  </w:pPr>
                  <w:r w:rsidRPr="00137BA5">
                    <w:rPr>
                      <w:rFonts w:ascii="Arial" w:eastAsia="Arial" w:hAnsi="Arial" w:cs="Arial"/>
                      <w:sz w:val="14"/>
                      <w:szCs w:val="14"/>
                    </w:rPr>
                    <w:t>Concurso de méritos abierto</w:t>
                  </w:r>
                </w:p>
              </w:tc>
              <w:tc>
                <w:tcPr>
                  <w:tcW w:w="2655" w:type="dxa"/>
                  <w:tcMar>
                    <w:top w:w="100" w:type="dxa"/>
                    <w:left w:w="100" w:type="dxa"/>
                    <w:bottom w:w="100" w:type="dxa"/>
                    <w:right w:w="100" w:type="dxa"/>
                  </w:tcMar>
                </w:tcPr>
                <w:p w14:paraId="2CB0A871" w14:textId="77777777" w:rsidR="00353E55" w:rsidRDefault="00353E55" w:rsidP="00353E55">
                  <w:pPr>
                    <w:widowControl w:val="0"/>
                    <w:rPr>
                      <w:rFonts w:eastAsia="Arial" w:cs="Arial"/>
                      <w:sz w:val="14"/>
                      <w:szCs w:val="14"/>
                    </w:rPr>
                  </w:pPr>
                  <w:r w:rsidRPr="00137BA5">
                    <w:rPr>
                      <w:rFonts w:ascii="Arial" w:eastAsia="Arial" w:hAnsi="Arial" w:cs="Arial"/>
                      <w:sz w:val="14"/>
                      <w:szCs w:val="14"/>
                    </w:rPr>
                    <w:t>Concurso de méritos abierto</w:t>
                  </w:r>
                </w:p>
              </w:tc>
            </w:tr>
            <w:tr w:rsidR="00353E55" w14:paraId="28387CA2" w14:textId="77777777" w:rsidTr="00082D1C">
              <w:trPr>
                <w:jc w:val="center"/>
              </w:trPr>
              <w:tc>
                <w:tcPr>
                  <w:tcW w:w="2045" w:type="dxa"/>
                  <w:tcMar>
                    <w:top w:w="100" w:type="dxa"/>
                    <w:left w:w="100" w:type="dxa"/>
                    <w:bottom w:w="100" w:type="dxa"/>
                    <w:right w:w="100" w:type="dxa"/>
                  </w:tcMar>
                </w:tcPr>
                <w:p w14:paraId="3AA3558E" w14:textId="77777777" w:rsidR="00353E55" w:rsidRDefault="00353E55" w:rsidP="00353E55">
                  <w:pPr>
                    <w:widowControl w:val="0"/>
                    <w:rPr>
                      <w:rFonts w:eastAsia="Arial" w:cs="Arial"/>
                      <w:sz w:val="14"/>
                      <w:szCs w:val="14"/>
                    </w:rPr>
                  </w:pPr>
                  <w:r>
                    <w:rPr>
                      <w:rFonts w:ascii="Arial" w:eastAsia="Arial" w:hAnsi="Arial" w:cs="Arial"/>
                      <w:sz w:val="14"/>
                      <w:szCs w:val="14"/>
                    </w:rPr>
                    <w:t>Cantidad de proveedores</w:t>
                  </w:r>
                </w:p>
              </w:tc>
              <w:tc>
                <w:tcPr>
                  <w:tcW w:w="2268" w:type="dxa"/>
                  <w:tcMar>
                    <w:top w:w="100" w:type="dxa"/>
                    <w:left w:w="100" w:type="dxa"/>
                    <w:bottom w:w="100" w:type="dxa"/>
                    <w:right w:w="100" w:type="dxa"/>
                  </w:tcMar>
                </w:tcPr>
                <w:p w14:paraId="2715EF8B"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2</w:t>
                  </w:r>
                </w:p>
              </w:tc>
              <w:tc>
                <w:tcPr>
                  <w:tcW w:w="2268" w:type="dxa"/>
                  <w:tcMar>
                    <w:top w:w="100" w:type="dxa"/>
                    <w:left w:w="100" w:type="dxa"/>
                    <w:bottom w:w="100" w:type="dxa"/>
                    <w:right w:w="100" w:type="dxa"/>
                  </w:tcMar>
                </w:tcPr>
                <w:p w14:paraId="0F9381DD"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17</w:t>
                  </w:r>
                </w:p>
              </w:tc>
              <w:tc>
                <w:tcPr>
                  <w:tcW w:w="2655" w:type="dxa"/>
                  <w:tcMar>
                    <w:top w:w="100" w:type="dxa"/>
                    <w:left w:w="100" w:type="dxa"/>
                    <w:bottom w:w="100" w:type="dxa"/>
                    <w:right w:w="100" w:type="dxa"/>
                  </w:tcMar>
                </w:tcPr>
                <w:p w14:paraId="28E9B103"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46</w:t>
                  </w:r>
                </w:p>
              </w:tc>
            </w:tr>
            <w:tr w:rsidR="00353E55" w14:paraId="24610DED" w14:textId="77777777" w:rsidTr="00C83D9A">
              <w:trPr>
                <w:trHeight w:val="2033"/>
                <w:jc w:val="center"/>
              </w:trPr>
              <w:tc>
                <w:tcPr>
                  <w:tcW w:w="2045" w:type="dxa"/>
                  <w:tcMar>
                    <w:top w:w="100" w:type="dxa"/>
                    <w:left w:w="100" w:type="dxa"/>
                    <w:bottom w:w="100" w:type="dxa"/>
                    <w:right w:w="100" w:type="dxa"/>
                  </w:tcMar>
                </w:tcPr>
                <w:p w14:paraId="1A1223B4" w14:textId="77777777" w:rsidR="00353E55" w:rsidRDefault="00353E55" w:rsidP="00353E55">
                  <w:pPr>
                    <w:widowControl w:val="0"/>
                    <w:rPr>
                      <w:rFonts w:eastAsia="Arial" w:cs="Arial"/>
                      <w:sz w:val="14"/>
                      <w:szCs w:val="14"/>
                    </w:rPr>
                  </w:pPr>
                  <w:r>
                    <w:rPr>
                      <w:rFonts w:ascii="Arial" w:eastAsia="Arial" w:hAnsi="Arial" w:cs="Arial"/>
                      <w:sz w:val="14"/>
                      <w:szCs w:val="14"/>
                    </w:rPr>
                    <w:t>Objeto contractual</w:t>
                  </w:r>
                </w:p>
              </w:tc>
              <w:tc>
                <w:tcPr>
                  <w:tcW w:w="2268" w:type="dxa"/>
                  <w:tcMar>
                    <w:top w:w="100" w:type="dxa"/>
                    <w:left w:w="100" w:type="dxa"/>
                    <w:bottom w:w="100" w:type="dxa"/>
                    <w:right w:w="100" w:type="dxa"/>
                  </w:tcMar>
                </w:tcPr>
                <w:p w14:paraId="44F0637E" w14:textId="77777777" w:rsidR="00353E55" w:rsidRDefault="00353E55" w:rsidP="00353E55">
                  <w:pPr>
                    <w:widowControl w:val="0"/>
                    <w:pBdr>
                      <w:top w:val="nil"/>
                      <w:left w:val="nil"/>
                      <w:bottom w:val="nil"/>
                      <w:right w:val="nil"/>
                      <w:between w:val="nil"/>
                    </w:pBdr>
                    <w:rPr>
                      <w:rFonts w:eastAsia="Arial" w:cs="Arial"/>
                      <w:sz w:val="14"/>
                      <w:szCs w:val="14"/>
                    </w:rPr>
                  </w:pPr>
                  <w:r w:rsidRPr="0044597A">
                    <w:rPr>
                      <w:rFonts w:ascii="Arial" w:eastAsia="Arial" w:hAnsi="Arial" w:cs="Arial"/>
                      <w:sz w:val="14"/>
                      <w:szCs w:val="14"/>
                    </w:rPr>
                    <w:t>INTERVENTORIA TECNICA, ADMINISTRATIVA Y FINANCIERA AL CONTRATO CONSTRUCCIÓN DE SISTEMAS DIFERENCIALES DE ABASTECIMIENTO DE AGUAS LLUVIAS PARA LA COMUNIDAD INDIGENA DE MALOCA - YAGUAS EN EL MUNICIPIO DE LETICIA AMAZONAS</w:t>
                  </w:r>
                </w:p>
              </w:tc>
              <w:tc>
                <w:tcPr>
                  <w:tcW w:w="2268" w:type="dxa"/>
                  <w:tcMar>
                    <w:top w:w="100" w:type="dxa"/>
                    <w:left w:w="100" w:type="dxa"/>
                    <w:bottom w:w="100" w:type="dxa"/>
                    <w:right w:w="100" w:type="dxa"/>
                  </w:tcMar>
                </w:tcPr>
                <w:p w14:paraId="5525ADF7" w14:textId="77777777" w:rsidR="00353E55" w:rsidRDefault="00353E55" w:rsidP="00353E55">
                  <w:pPr>
                    <w:widowControl w:val="0"/>
                    <w:pBdr>
                      <w:top w:val="nil"/>
                      <w:left w:val="nil"/>
                      <w:bottom w:val="nil"/>
                      <w:right w:val="nil"/>
                      <w:between w:val="nil"/>
                    </w:pBdr>
                    <w:rPr>
                      <w:rFonts w:eastAsia="Arial" w:cs="Arial"/>
                      <w:sz w:val="14"/>
                      <w:szCs w:val="14"/>
                    </w:rPr>
                  </w:pPr>
                  <w:r w:rsidRPr="006B7FC9">
                    <w:rPr>
                      <w:rFonts w:ascii="Arial" w:eastAsia="Arial" w:hAnsi="Arial" w:cs="Arial"/>
                      <w:sz w:val="14"/>
                      <w:szCs w:val="14"/>
                    </w:rPr>
                    <w:t>INTERVENTORIA TECNICA, ADMINISTRATIVA, FINANCIERA, LEGAL Y AMBIENTAL AL CONTRATO CUYO OBJETO ES: REHABILITACIÓN DE PAVIMENTO FLEXIBLE DE LA VÍA CÓDIGO 43HL02 DENOMINADA PALERMO LA Y, RED VIAL DE SEGUNDO ORDEN DEL DEPARTAMENTO DEL HUILA</w:t>
                  </w:r>
                </w:p>
              </w:tc>
              <w:tc>
                <w:tcPr>
                  <w:tcW w:w="2655" w:type="dxa"/>
                  <w:tcMar>
                    <w:top w:w="100" w:type="dxa"/>
                    <w:left w:w="100" w:type="dxa"/>
                    <w:bottom w:w="100" w:type="dxa"/>
                    <w:right w:w="100" w:type="dxa"/>
                  </w:tcMar>
                </w:tcPr>
                <w:p w14:paraId="218FCABA" w14:textId="77777777" w:rsidR="00353E55" w:rsidRDefault="00353E55" w:rsidP="00353E55">
                  <w:pPr>
                    <w:widowControl w:val="0"/>
                    <w:pBdr>
                      <w:top w:val="nil"/>
                      <w:left w:val="nil"/>
                      <w:bottom w:val="nil"/>
                      <w:right w:val="nil"/>
                      <w:between w:val="nil"/>
                    </w:pBdr>
                    <w:rPr>
                      <w:rFonts w:eastAsia="Arial" w:cs="Arial"/>
                      <w:sz w:val="14"/>
                      <w:szCs w:val="14"/>
                    </w:rPr>
                  </w:pPr>
                  <w:r w:rsidRPr="00137BA5">
                    <w:rPr>
                      <w:rFonts w:ascii="Arial" w:eastAsia="Arial" w:hAnsi="Arial" w:cs="Arial"/>
                      <w:sz w:val="14"/>
                      <w:szCs w:val="14"/>
                    </w:rPr>
                    <w:t>INTERVENTORIA TECNICA, ADMINISTRATIVA, FINANCIERA, AMBIENTAL Y SST A LA OBRA QUE TIENE POR OBJETO CONSTRUCCIÓN, MEJORAMIENTO, ADECUACIÓN Y MANTENIMIENTO PREVENTIVOS Y CORRECTIVOS DE LAS INSTITUCIONES EDUCATIVAS OFICIALES DE LOS MUNICIPIOS NO CERTIFICADOS DEL DEPARTAMENTO DEL ATLÁNTICO</w:t>
                  </w:r>
                </w:p>
              </w:tc>
            </w:tr>
            <w:tr w:rsidR="00353E55" w14:paraId="3DDA660E" w14:textId="77777777" w:rsidTr="00082D1C">
              <w:trPr>
                <w:jc w:val="center"/>
              </w:trPr>
              <w:tc>
                <w:tcPr>
                  <w:tcW w:w="2045" w:type="dxa"/>
                  <w:tcMar>
                    <w:top w:w="100" w:type="dxa"/>
                    <w:left w:w="100" w:type="dxa"/>
                    <w:bottom w:w="100" w:type="dxa"/>
                    <w:right w:w="100" w:type="dxa"/>
                  </w:tcMar>
                </w:tcPr>
                <w:p w14:paraId="3A5FF418" w14:textId="77777777" w:rsidR="00353E55" w:rsidRDefault="00353E55" w:rsidP="00353E55">
                  <w:pPr>
                    <w:widowControl w:val="0"/>
                    <w:rPr>
                      <w:rFonts w:eastAsia="Arial" w:cs="Arial"/>
                      <w:sz w:val="14"/>
                      <w:szCs w:val="14"/>
                    </w:rPr>
                  </w:pPr>
                  <w:r>
                    <w:rPr>
                      <w:rFonts w:ascii="Arial" w:eastAsia="Arial" w:hAnsi="Arial" w:cs="Arial"/>
                      <w:sz w:val="14"/>
                      <w:szCs w:val="14"/>
                    </w:rPr>
                    <w:lastRenderedPageBreak/>
                    <w:t>Valor del contrato</w:t>
                  </w:r>
                </w:p>
              </w:tc>
              <w:tc>
                <w:tcPr>
                  <w:tcW w:w="2268" w:type="dxa"/>
                  <w:tcMar>
                    <w:top w:w="100" w:type="dxa"/>
                    <w:left w:w="100" w:type="dxa"/>
                    <w:bottom w:w="100" w:type="dxa"/>
                    <w:right w:w="100" w:type="dxa"/>
                  </w:tcMar>
                </w:tcPr>
                <w:p w14:paraId="0E242300"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 xml:space="preserve">$ </w:t>
                  </w:r>
                  <w:r w:rsidRPr="003278AF">
                    <w:rPr>
                      <w:rFonts w:ascii="Arial" w:eastAsia="Arial" w:hAnsi="Arial" w:cs="Arial"/>
                      <w:sz w:val="14"/>
                      <w:szCs w:val="14"/>
                    </w:rPr>
                    <w:t>339.222.123</w:t>
                  </w:r>
                </w:p>
              </w:tc>
              <w:tc>
                <w:tcPr>
                  <w:tcW w:w="2268" w:type="dxa"/>
                  <w:tcMar>
                    <w:top w:w="100" w:type="dxa"/>
                    <w:left w:w="100" w:type="dxa"/>
                    <w:bottom w:w="100" w:type="dxa"/>
                    <w:right w:w="100" w:type="dxa"/>
                  </w:tcMar>
                </w:tcPr>
                <w:p w14:paraId="1B5F6828"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 xml:space="preserve">$ </w:t>
                  </w:r>
                  <w:r w:rsidRPr="006B7FC9">
                    <w:rPr>
                      <w:rFonts w:ascii="Arial" w:eastAsia="Arial" w:hAnsi="Arial" w:cs="Arial"/>
                      <w:sz w:val="14"/>
                      <w:szCs w:val="14"/>
                    </w:rPr>
                    <w:t>491.470.000</w:t>
                  </w:r>
                </w:p>
              </w:tc>
              <w:tc>
                <w:tcPr>
                  <w:tcW w:w="2655" w:type="dxa"/>
                  <w:tcMar>
                    <w:top w:w="100" w:type="dxa"/>
                    <w:left w:w="100" w:type="dxa"/>
                    <w:bottom w:w="100" w:type="dxa"/>
                    <w:right w:w="100" w:type="dxa"/>
                  </w:tcMar>
                </w:tcPr>
                <w:p w14:paraId="362B8001"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w:t>
                  </w:r>
                  <w:r>
                    <w:t xml:space="preserve"> </w:t>
                  </w:r>
                  <w:r w:rsidRPr="00137BA5">
                    <w:rPr>
                      <w:rFonts w:ascii="Arial" w:eastAsia="Arial" w:hAnsi="Arial" w:cs="Arial"/>
                      <w:sz w:val="14"/>
                      <w:szCs w:val="14"/>
                    </w:rPr>
                    <w:t>654.205.607</w:t>
                  </w:r>
                </w:p>
              </w:tc>
            </w:tr>
            <w:tr w:rsidR="00353E55" w14:paraId="3AB99ECC" w14:textId="77777777" w:rsidTr="00082D1C">
              <w:trPr>
                <w:jc w:val="center"/>
              </w:trPr>
              <w:tc>
                <w:tcPr>
                  <w:tcW w:w="2045" w:type="dxa"/>
                  <w:tcMar>
                    <w:top w:w="100" w:type="dxa"/>
                    <w:left w:w="100" w:type="dxa"/>
                    <w:bottom w:w="100" w:type="dxa"/>
                    <w:right w:w="100" w:type="dxa"/>
                  </w:tcMar>
                </w:tcPr>
                <w:p w14:paraId="7E89E9B2" w14:textId="77777777" w:rsidR="00353E55" w:rsidRDefault="00353E55" w:rsidP="00353E55">
                  <w:pPr>
                    <w:widowControl w:val="0"/>
                    <w:rPr>
                      <w:rFonts w:eastAsia="Arial" w:cs="Arial"/>
                      <w:sz w:val="14"/>
                      <w:szCs w:val="14"/>
                    </w:rPr>
                  </w:pPr>
                  <w:r>
                    <w:rPr>
                      <w:rFonts w:ascii="Arial" w:eastAsia="Arial" w:hAnsi="Arial" w:cs="Arial"/>
                      <w:sz w:val="14"/>
                      <w:szCs w:val="14"/>
                    </w:rPr>
                    <w:t>Proveedor</w:t>
                  </w:r>
                </w:p>
              </w:tc>
              <w:tc>
                <w:tcPr>
                  <w:tcW w:w="2268" w:type="dxa"/>
                  <w:tcMar>
                    <w:top w:w="100" w:type="dxa"/>
                    <w:left w:w="100" w:type="dxa"/>
                    <w:bottom w:w="100" w:type="dxa"/>
                    <w:right w:w="100" w:type="dxa"/>
                  </w:tcMar>
                </w:tcPr>
                <w:p w14:paraId="0BD73DDD" w14:textId="77777777" w:rsidR="00353E55" w:rsidRPr="003278AF" w:rsidRDefault="00353E55" w:rsidP="00353E55">
                  <w:pPr>
                    <w:widowControl w:val="0"/>
                    <w:pBdr>
                      <w:top w:val="nil"/>
                      <w:left w:val="nil"/>
                      <w:bottom w:val="nil"/>
                      <w:right w:val="nil"/>
                      <w:between w:val="nil"/>
                    </w:pBdr>
                    <w:rPr>
                      <w:rFonts w:eastAsia="Arial" w:cs="Arial"/>
                      <w:sz w:val="14"/>
                      <w:szCs w:val="14"/>
                      <w:lang w:val="pt-PT"/>
                    </w:rPr>
                  </w:pPr>
                  <w:r w:rsidRPr="003278AF">
                    <w:rPr>
                      <w:rFonts w:ascii="Arial" w:eastAsia="Arial" w:hAnsi="Arial" w:cs="Arial"/>
                      <w:sz w:val="14"/>
                      <w:szCs w:val="14"/>
                      <w:lang w:val="pt-PT"/>
                    </w:rPr>
                    <w:t>INGECOL E&amp;M S.</w:t>
                  </w:r>
                  <w:proofErr w:type="gramStart"/>
                  <w:r w:rsidRPr="003278AF">
                    <w:rPr>
                      <w:rFonts w:ascii="Arial" w:eastAsia="Arial" w:hAnsi="Arial" w:cs="Arial"/>
                      <w:sz w:val="14"/>
                      <w:szCs w:val="14"/>
                      <w:lang w:val="pt-PT"/>
                    </w:rPr>
                    <w:t>A.S</w:t>
                  </w:r>
                  <w:proofErr w:type="gramEnd"/>
                </w:p>
              </w:tc>
              <w:tc>
                <w:tcPr>
                  <w:tcW w:w="2268" w:type="dxa"/>
                  <w:tcMar>
                    <w:top w:w="100" w:type="dxa"/>
                    <w:left w:w="100" w:type="dxa"/>
                    <w:bottom w:w="100" w:type="dxa"/>
                    <w:right w:w="100" w:type="dxa"/>
                  </w:tcMar>
                </w:tcPr>
                <w:p w14:paraId="5B6D05D9" w14:textId="77777777" w:rsidR="00353E55" w:rsidRDefault="00353E55" w:rsidP="00353E55">
                  <w:pPr>
                    <w:widowControl w:val="0"/>
                    <w:pBdr>
                      <w:top w:val="nil"/>
                      <w:left w:val="nil"/>
                      <w:bottom w:val="nil"/>
                      <w:right w:val="nil"/>
                      <w:between w:val="nil"/>
                    </w:pBdr>
                    <w:rPr>
                      <w:rFonts w:eastAsia="Arial" w:cs="Arial"/>
                      <w:sz w:val="14"/>
                      <w:szCs w:val="14"/>
                    </w:rPr>
                  </w:pPr>
                  <w:r w:rsidRPr="006B7FC9">
                    <w:rPr>
                      <w:rFonts w:ascii="Arial" w:eastAsia="Arial" w:hAnsi="Arial" w:cs="Arial"/>
                      <w:sz w:val="14"/>
                      <w:szCs w:val="14"/>
                    </w:rPr>
                    <w:t>CONSTRUMAC INGENIEROS SAS</w:t>
                  </w:r>
                </w:p>
              </w:tc>
              <w:tc>
                <w:tcPr>
                  <w:tcW w:w="2655" w:type="dxa"/>
                  <w:tcMar>
                    <w:top w:w="100" w:type="dxa"/>
                    <w:left w:w="100" w:type="dxa"/>
                    <w:bottom w:w="100" w:type="dxa"/>
                    <w:right w:w="100" w:type="dxa"/>
                  </w:tcMar>
                </w:tcPr>
                <w:p w14:paraId="00864960" w14:textId="77777777" w:rsidR="00353E55" w:rsidRDefault="00353E55" w:rsidP="00353E55">
                  <w:pPr>
                    <w:widowControl w:val="0"/>
                    <w:pBdr>
                      <w:top w:val="nil"/>
                      <w:left w:val="nil"/>
                      <w:bottom w:val="nil"/>
                      <w:right w:val="nil"/>
                      <w:between w:val="nil"/>
                    </w:pBdr>
                    <w:rPr>
                      <w:rFonts w:eastAsia="Arial" w:cs="Arial"/>
                      <w:sz w:val="14"/>
                      <w:szCs w:val="14"/>
                    </w:rPr>
                  </w:pPr>
                  <w:r w:rsidRPr="00137BA5">
                    <w:rPr>
                      <w:rFonts w:ascii="Arial" w:eastAsia="Arial" w:hAnsi="Arial" w:cs="Arial"/>
                      <w:sz w:val="14"/>
                      <w:szCs w:val="14"/>
                    </w:rPr>
                    <w:t>CP INTEREDUCATIVO DEL ATLANTICO</w:t>
                  </w:r>
                </w:p>
              </w:tc>
            </w:tr>
            <w:tr w:rsidR="00353E55" w14:paraId="7571B3EA" w14:textId="77777777" w:rsidTr="00082D1C">
              <w:trPr>
                <w:jc w:val="center"/>
              </w:trPr>
              <w:tc>
                <w:tcPr>
                  <w:tcW w:w="2045" w:type="dxa"/>
                  <w:tcMar>
                    <w:top w:w="100" w:type="dxa"/>
                    <w:left w:w="100" w:type="dxa"/>
                    <w:bottom w:w="100" w:type="dxa"/>
                    <w:right w:w="100" w:type="dxa"/>
                  </w:tcMar>
                </w:tcPr>
                <w:p w14:paraId="7E0DD76A" w14:textId="77777777" w:rsidR="00353E55" w:rsidRDefault="00353E55" w:rsidP="00353E55">
                  <w:pPr>
                    <w:widowControl w:val="0"/>
                    <w:rPr>
                      <w:rFonts w:eastAsia="Arial" w:cs="Arial"/>
                      <w:sz w:val="14"/>
                      <w:szCs w:val="14"/>
                    </w:rPr>
                  </w:pPr>
                  <w:r>
                    <w:rPr>
                      <w:rFonts w:ascii="Arial" w:eastAsia="Arial" w:hAnsi="Arial" w:cs="Arial"/>
                      <w:sz w:val="14"/>
                      <w:szCs w:val="14"/>
                    </w:rPr>
                    <w:t>Tiempo de ejecución</w:t>
                  </w:r>
                </w:p>
              </w:tc>
              <w:tc>
                <w:tcPr>
                  <w:tcW w:w="2268" w:type="dxa"/>
                  <w:tcMar>
                    <w:top w:w="100" w:type="dxa"/>
                    <w:left w:w="100" w:type="dxa"/>
                    <w:bottom w:w="100" w:type="dxa"/>
                    <w:right w:w="100" w:type="dxa"/>
                  </w:tcMar>
                </w:tcPr>
                <w:p w14:paraId="740E0AF8" w14:textId="77777777" w:rsidR="00353E55" w:rsidRDefault="00353E55" w:rsidP="00353E55">
                  <w:pPr>
                    <w:widowControl w:val="0"/>
                    <w:pBdr>
                      <w:top w:val="nil"/>
                      <w:left w:val="nil"/>
                      <w:bottom w:val="nil"/>
                      <w:right w:val="nil"/>
                      <w:between w:val="nil"/>
                    </w:pBdr>
                    <w:rPr>
                      <w:rFonts w:eastAsia="Arial" w:cs="Arial"/>
                      <w:sz w:val="14"/>
                      <w:szCs w:val="14"/>
                    </w:rPr>
                  </w:pPr>
                  <w:r w:rsidRPr="003278AF">
                    <w:rPr>
                      <w:rFonts w:ascii="Arial" w:eastAsia="Arial" w:hAnsi="Arial" w:cs="Arial"/>
                      <w:sz w:val="14"/>
                      <w:szCs w:val="14"/>
                    </w:rPr>
                    <w:t>4 (Meses)</w:t>
                  </w:r>
                </w:p>
              </w:tc>
              <w:tc>
                <w:tcPr>
                  <w:tcW w:w="2268" w:type="dxa"/>
                  <w:tcMar>
                    <w:top w:w="100" w:type="dxa"/>
                    <w:left w:w="100" w:type="dxa"/>
                    <w:bottom w:w="100" w:type="dxa"/>
                    <w:right w:w="100" w:type="dxa"/>
                  </w:tcMar>
                </w:tcPr>
                <w:p w14:paraId="59C7C9E6" w14:textId="77777777" w:rsidR="00353E55" w:rsidRDefault="00353E55" w:rsidP="00353E55">
                  <w:pPr>
                    <w:widowControl w:val="0"/>
                    <w:pBdr>
                      <w:top w:val="nil"/>
                      <w:left w:val="nil"/>
                      <w:bottom w:val="nil"/>
                      <w:right w:val="nil"/>
                      <w:between w:val="nil"/>
                    </w:pBdr>
                    <w:rPr>
                      <w:rFonts w:eastAsia="Arial" w:cs="Arial"/>
                      <w:sz w:val="14"/>
                      <w:szCs w:val="14"/>
                    </w:rPr>
                  </w:pPr>
                  <w:r w:rsidRPr="006B7FC9">
                    <w:rPr>
                      <w:rFonts w:ascii="Arial" w:eastAsia="Arial" w:hAnsi="Arial" w:cs="Arial"/>
                      <w:sz w:val="14"/>
                      <w:szCs w:val="14"/>
                    </w:rPr>
                    <w:t>7 (Meses)</w:t>
                  </w:r>
                </w:p>
              </w:tc>
              <w:tc>
                <w:tcPr>
                  <w:tcW w:w="2655" w:type="dxa"/>
                  <w:tcMar>
                    <w:top w:w="100" w:type="dxa"/>
                    <w:left w:w="100" w:type="dxa"/>
                    <w:bottom w:w="100" w:type="dxa"/>
                    <w:right w:w="100" w:type="dxa"/>
                  </w:tcMar>
                </w:tcPr>
                <w:p w14:paraId="6099557E" w14:textId="77777777" w:rsidR="00353E55" w:rsidRDefault="00353E55" w:rsidP="00353E55">
                  <w:pPr>
                    <w:widowControl w:val="0"/>
                    <w:pBdr>
                      <w:top w:val="nil"/>
                      <w:left w:val="nil"/>
                      <w:bottom w:val="nil"/>
                      <w:right w:val="nil"/>
                      <w:between w:val="nil"/>
                    </w:pBdr>
                    <w:rPr>
                      <w:rFonts w:eastAsia="Arial" w:cs="Arial"/>
                      <w:sz w:val="14"/>
                      <w:szCs w:val="14"/>
                    </w:rPr>
                  </w:pPr>
                  <w:r w:rsidRPr="00137BA5">
                    <w:rPr>
                      <w:rFonts w:ascii="Arial" w:eastAsia="Arial" w:hAnsi="Arial" w:cs="Arial"/>
                      <w:sz w:val="14"/>
                      <w:szCs w:val="14"/>
                    </w:rPr>
                    <w:t>142 (Días)</w:t>
                  </w:r>
                </w:p>
              </w:tc>
            </w:tr>
            <w:tr w:rsidR="00353E55" w14:paraId="24340D3B" w14:textId="77777777" w:rsidTr="00082D1C">
              <w:trPr>
                <w:jc w:val="center"/>
              </w:trPr>
              <w:tc>
                <w:tcPr>
                  <w:tcW w:w="2045" w:type="dxa"/>
                  <w:tcMar>
                    <w:top w:w="100" w:type="dxa"/>
                    <w:left w:w="100" w:type="dxa"/>
                    <w:bottom w:w="100" w:type="dxa"/>
                    <w:right w:w="100" w:type="dxa"/>
                  </w:tcMar>
                </w:tcPr>
                <w:p w14:paraId="260FFC7D" w14:textId="77777777" w:rsidR="00353E55" w:rsidRDefault="00353E55" w:rsidP="00353E55">
                  <w:pPr>
                    <w:widowControl w:val="0"/>
                    <w:rPr>
                      <w:rFonts w:eastAsia="Arial" w:cs="Arial"/>
                      <w:sz w:val="14"/>
                      <w:szCs w:val="14"/>
                    </w:rPr>
                  </w:pPr>
                  <w:r>
                    <w:rPr>
                      <w:rFonts w:ascii="Arial" w:eastAsia="Arial" w:hAnsi="Arial" w:cs="Arial"/>
                      <w:sz w:val="14"/>
                      <w:szCs w:val="14"/>
                    </w:rPr>
                    <w:t>Forma de pago</w:t>
                  </w:r>
                </w:p>
              </w:tc>
              <w:tc>
                <w:tcPr>
                  <w:tcW w:w="2268" w:type="dxa"/>
                  <w:tcMar>
                    <w:top w:w="100" w:type="dxa"/>
                    <w:left w:w="100" w:type="dxa"/>
                    <w:bottom w:w="100" w:type="dxa"/>
                    <w:right w:w="100" w:type="dxa"/>
                  </w:tcMar>
                </w:tcPr>
                <w:p w14:paraId="4E561137"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El pago se realizará por medio de actas parciales de interventoría de obra</w:t>
                  </w:r>
                </w:p>
              </w:tc>
              <w:tc>
                <w:tcPr>
                  <w:tcW w:w="2268" w:type="dxa"/>
                  <w:tcMar>
                    <w:top w:w="100" w:type="dxa"/>
                    <w:left w:w="100" w:type="dxa"/>
                    <w:bottom w:w="100" w:type="dxa"/>
                    <w:right w:w="100" w:type="dxa"/>
                  </w:tcMar>
                </w:tcPr>
                <w:p w14:paraId="56DF4199" w14:textId="77777777" w:rsidR="00353E55" w:rsidRPr="00171DAF" w:rsidRDefault="00353E55" w:rsidP="00353E55">
                  <w:pPr>
                    <w:widowControl w:val="0"/>
                    <w:pBdr>
                      <w:top w:val="nil"/>
                      <w:left w:val="nil"/>
                      <w:bottom w:val="nil"/>
                      <w:right w:val="nil"/>
                      <w:between w:val="nil"/>
                    </w:pBdr>
                    <w:jc w:val="both"/>
                    <w:rPr>
                      <w:rFonts w:eastAsia="Arial" w:cs="Arial"/>
                      <w:sz w:val="14"/>
                      <w:szCs w:val="14"/>
                    </w:rPr>
                  </w:pPr>
                  <w:r w:rsidRPr="00171DAF">
                    <w:rPr>
                      <w:rFonts w:ascii="Arial" w:eastAsia="Arial" w:hAnsi="Arial" w:cs="Arial"/>
                      <w:sz w:val="14"/>
                      <w:szCs w:val="14"/>
                    </w:rPr>
                    <w:t>PAGOS PARCIALES:</w:t>
                  </w:r>
                </w:p>
                <w:p w14:paraId="4DE46385" w14:textId="77777777" w:rsidR="00353E55" w:rsidRPr="00171DAF" w:rsidRDefault="00353E55" w:rsidP="00353E55">
                  <w:pPr>
                    <w:widowControl w:val="0"/>
                    <w:pBdr>
                      <w:top w:val="nil"/>
                      <w:left w:val="nil"/>
                      <w:bottom w:val="nil"/>
                      <w:right w:val="nil"/>
                      <w:between w:val="nil"/>
                    </w:pBdr>
                    <w:jc w:val="both"/>
                    <w:rPr>
                      <w:rFonts w:eastAsia="Arial" w:cs="Arial"/>
                      <w:sz w:val="14"/>
                      <w:szCs w:val="14"/>
                    </w:rPr>
                  </w:pPr>
                  <w:r w:rsidRPr="00171DAF">
                    <w:rPr>
                      <w:rFonts w:ascii="Arial" w:eastAsia="Arial" w:hAnsi="Arial" w:cs="Arial"/>
                      <w:sz w:val="14"/>
                      <w:szCs w:val="14"/>
                    </w:rPr>
                    <w:t>Hasta por el noventa por ciento (90%) del valor total del Contrato según porcentaje de obra recibido y aprobado, previa presentación del Informe Parcial y el Acta de Recibo Parcial aprobadas por el Supervisor del Contrato.</w:t>
                  </w:r>
                </w:p>
                <w:p w14:paraId="4DCAD675" w14:textId="77777777" w:rsidR="00353E55" w:rsidRPr="00171DAF" w:rsidRDefault="00353E55" w:rsidP="00353E55">
                  <w:pPr>
                    <w:widowControl w:val="0"/>
                    <w:pBdr>
                      <w:top w:val="nil"/>
                      <w:left w:val="nil"/>
                      <w:bottom w:val="nil"/>
                      <w:right w:val="nil"/>
                      <w:between w:val="nil"/>
                    </w:pBdr>
                    <w:jc w:val="both"/>
                    <w:rPr>
                      <w:rFonts w:eastAsia="Arial" w:cs="Arial"/>
                      <w:sz w:val="14"/>
                      <w:szCs w:val="14"/>
                    </w:rPr>
                  </w:pPr>
                </w:p>
                <w:p w14:paraId="79922AFB" w14:textId="77777777" w:rsidR="00353E55" w:rsidRPr="00171DAF" w:rsidRDefault="00353E55" w:rsidP="00353E55">
                  <w:pPr>
                    <w:widowControl w:val="0"/>
                    <w:pBdr>
                      <w:top w:val="nil"/>
                      <w:left w:val="nil"/>
                      <w:bottom w:val="nil"/>
                      <w:right w:val="nil"/>
                      <w:between w:val="nil"/>
                    </w:pBdr>
                    <w:jc w:val="both"/>
                    <w:rPr>
                      <w:rFonts w:eastAsia="Arial" w:cs="Arial"/>
                      <w:sz w:val="14"/>
                      <w:szCs w:val="14"/>
                    </w:rPr>
                  </w:pPr>
                  <w:r w:rsidRPr="00171DAF">
                    <w:rPr>
                      <w:rFonts w:ascii="Arial" w:eastAsia="Arial" w:hAnsi="Arial" w:cs="Arial"/>
                      <w:sz w:val="14"/>
                      <w:szCs w:val="14"/>
                    </w:rPr>
                    <w:t>PAGO FINAL:</w:t>
                  </w:r>
                </w:p>
                <w:p w14:paraId="7787CF46" w14:textId="77777777" w:rsidR="00353E55" w:rsidRDefault="00353E55" w:rsidP="00353E55">
                  <w:pPr>
                    <w:widowControl w:val="0"/>
                    <w:pBdr>
                      <w:top w:val="nil"/>
                      <w:left w:val="nil"/>
                      <w:bottom w:val="nil"/>
                      <w:right w:val="nil"/>
                      <w:between w:val="nil"/>
                    </w:pBdr>
                    <w:jc w:val="both"/>
                    <w:rPr>
                      <w:rFonts w:eastAsia="Arial" w:cs="Arial"/>
                      <w:sz w:val="14"/>
                      <w:szCs w:val="14"/>
                    </w:rPr>
                  </w:pPr>
                  <w:r w:rsidRPr="00171DAF">
                    <w:rPr>
                      <w:rFonts w:ascii="Arial" w:eastAsia="Arial" w:hAnsi="Arial" w:cs="Arial"/>
                      <w:sz w:val="14"/>
                      <w:szCs w:val="14"/>
                    </w:rPr>
                    <w:t>El diez por ciento (10%) restante del valor total del Contrato, con la suscripción del Acta de Recibo Final y Acta de liquidación del Contrato de Interventoría aprobadas por el supervisor, una vez terminado y liquidado el contrato de obra objeto de interventoría.</w:t>
                  </w:r>
                </w:p>
              </w:tc>
              <w:tc>
                <w:tcPr>
                  <w:tcW w:w="2655" w:type="dxa"/>
                  <w:tcMar>
                    <w:top w:w="100" w:type="dxa"/>
                    <w:left w:w="100" w:type="dxa"/>
                    <w:bottom w:w="100" w:type="dxa"/>
                    <w:right w:w="100" w:type="dxa"/>
                  </w:tcMar>
                </w:tcPr>
                <w:p w14:paraId="3027A671" w14:textId="77777777" w:rsidR="00353E55" w:rsidRPr="00642EE5" w:rsidRDefault="00353E55" w:rsidP="00353E55">
                  <w:pPr>
                    <w:widowControl w:val="0"/>
                    <w:pBdr>
                      <w:top w:val="nil"/>
                      <w:left w:val="nil"/>
                      <w:bottom w:val="nil"/>
                      <w:right w:val="nil"/>
                      <w:between w:val="nil"/>
                    </w:pBdr>
                    <w:jc w:val="both"/>
                    <w:rPr>
                      <w:rFonts w:eastAsia="Arial" w:cs="Arial"/>
                      <w:sz w:val="14"/>
                      <w:szCs w:val="14"/>
                    </w:rPr>
                  </w:pPr>
                  <w:r w:rsidRPr="00642EE5">
                    <w:rPr>
                      <w:rFonts w:ascii="Arial" w:eastAsia="Arial" w:hAnsi="Arial" w:cs="Arial"/>
                      <w:sz w:val="14"/>
                      <w:szCs w:val="14"/>
                    </w:rPr>
                    <w:t>El 90% del valor del contrato mediante actas mensuales, correspondientes al reconocimiento y reembolso de los costos directos de sueldos del personal aprobado y efectivamente empleado, más otros costos directos ocasionados y aprobados por el Departamento. El pago está sujeto a la presentación y aprobación del informe mensual de avance, los soportes de seguridad social y parafiscales, y a la aprobación del supervisor. Los honorarios se pagan de acuerdo con el porcentaje de avance de la consultoría.</w:t>
                  </w:r>
                </w:p>
                <w:p w14:paraId="7C291A2F" w14:textId="77777777" w:rsidR="00353E55" w:rsidRPr="00642EE5" w:rsidRDefault="00353E55" w:rsidP="00353E55">
                  <w:pPr>
                    <w:widowControl w:val="0"/>
                    <w:pBdr>
                      <w:top w:val="nil"/>
                      <w:left w:val="nil"/>
                      <w:bottom w:val="nil"/>
                      <w:right w:val="nil"/>
                      <w:between w:val="nil"/>
                    </w:pBdr>
                    <w:jc w:val="both"/>
                    <w:rPr>
                      <w:rFonts w:eastAsia="Arial" w:cs="Arial"/>
                      <w:sz w:val="14"/>
                      <w:szCs w:val="14"/>
                    </w:rPr>
                  </w:pPr>
                </w:p>
                <w:p w14:paraId="4FDE74CF" w14:textId="77777777" w:rsidR="00353E55" w:rsidRDefault="00353E55" w:rsidP="00353E55">
                  <w:pPr>
                    <w:widowControl w:val="0"/>
                    <w:pBdr>
                      <w:top w:val="nil"/>
                      <w:left w:val="nil"/>
                      <w:bottom w:val="nil"/>
                      <w:right w:val="nil"/>
                      <w:between w:val="nil"/>
                    </w:pBdr>
                    <w:jc w:val="both"/>
                    <w:rPr>
                      <w:rFonts w:eastAsia="Arial" w:cs="Arial"/>
                      <w:sz w:val="14"/>
                      <w:szCs w:val="14"/>
                    </w:rPr>
                  </w:pPr>
                  <w:r w:rsidRPr="00642EE5">
                    <w:rPr>
                      <w:rFonts w:ascii="Arial" w:eastAsia="Arial" w:hAnsi="Arial" w:cs="Arial"/>
                      <w:sz w:val="14"/>
                      <w:szCs w:val="14"/>
                    </w:rPr>
                    <w:t>b) Un pago final del 10% del valor total del contrato, una vez se complete el 100% de la ejecución de las obras, contra entrega del acta de recibo final y liquidación de la obra</w:t>
                  </w:r>
                </w:p>
              </w:tc>
            </w:tr>
            <w:tr w:rsidR="00353E55" w14:paraId="1F219787" w14:textId="77777777" w:rsidTr="00082D1C">
              <w:trPr>
                <w:jc w:val="center"/>
              </w:trPr>
              <w:tc>
                <w:tcPr>
                  <w:tcW w:w="2045" w:type="dxa"/>
                  <w:tcMar>
                    <w:top w:w="100" w:type="dxa"/>
                    <w:left w:w="100" w:type="dxa"/>
                    <w:bottom w:w="100" w:type="dxa"/>
                    <w:right w:w="100" w:type="dxa"/>
                  </w:tcMar>
                </w:tcPr>
                <w:p w14:paraId="7BEC56B7" w14:textId="77777777" w:rsidR="00353E55" w:rsidRDefault="00353E55" w:rsidP="00353E55">
                  <w:pPr>
                    <w:widowControl w:val="0"/>
                    <w:rPr>
                      <w:rFonts w:eastAsia="Arial" w:cs="Arial"/>
                      <w:sz w:val="14"/>
                      <w:szCs w:val="14"/>
                    </w:rPr>
                  </w:pPr>
                  <w:r>
                    <w:rPr>
                      <w:rFonts w:ascii="Arial" w:eastAsia="Arial" w:hAnsi="Arial" w:cs="Arial"/>
                      <w:sz w:val="14"/>
                      <w:szCs w:val="14"/>
                    </w:rPr>
                    <w:t>Experiencia exigida</w:t>
                  </w:r>
                </w:p>
              </w:tc>
              <w:tc>
                <w:tcPr>
                  <w:tcW w:w="2268" w:type="dxa"/>
                  <w:tcMar>
                    <w:top w:w="100" w:type="dxa"/>
                    <w:left w:w="100" w:type="dxa"/>
                    <w:bottom w:w="100" w:type="dxa"/>
                    <w:right w:w="100" w:type="dxa"/>
                  </w:tcMar>
                </w:tcPr>
                <w:p w14:paraId="34C792DB" w14:textId="77777777" w:rsidR="00353E55" w:rsidRPr="00137BA5" w:rsidRDefault="00353E55" w:rsidP="00353E55">
                  <w:pPr>
                    <w:widowControl w:val="0"/>
                    <w:pBdr>
                      <w:top w:val="nil"/>
                      <w:left w:val="nil"/>
                      <w:bottom w:val="nil"/>
                      <w:right w:val="nil"/>
                      <w:between w:val="nil"/>
                    </w:pBdr>
                    <w:jc w:val="both"/>
                    <w:rPr>
                      <w:rFonts w:eastAsia="Arial" w:cs="Arial"/>
                      <w:sz w:val="14"/>
                      <w:szCs w:val="14"/>
                    </w:rPr>
                  </w:pPr>
                  <w:r w:rsidRPr="00137BA5">
                    <w:rPr>
                      <w:rFonts w:ascii="Arial" w:eastAsia="Arial" w:hAnsi="Arial" w:cs="Arial"/>
                      <w:sz w:val="14"/>
                      <w:szCs w:val="14"/>
                    </w:rPr>
                    <w:t>Experiencia general: contratos de interventoría a proyectos de construcción y/o instalación de sistemas de captación de agua, convencionales y/o no convencionales.</w:t>
                  </w:r>
                </w:p>
                <w:p w14:paraId="6759B672" w14:textId="77777777" w:rsidR="00353E55" w:rsidRPr="00137BA5" w:rsidRDefault="00353E55" w:rsidP="00353E55">
                  <w:pPr>
                    <w:widowControl w:val="0"/>
                    <w:pBdr>
                      <w:top w:val="nil"/>
                      <w:left w:val="nil"/>
                      <w:bottom w:val="nil"/>
                      <w:right w:val="nil"/>
                      <w:between w:val="nil"/>
                    </w:pBdr>
                    <w:jc w:val="both"/>
                    <w:rPr>
                      <w:rFonts w:eastAsia="Arial" w:cs="Arial"/>
                      <w:sz w:val="14"/>
                      <w:szCs w:val="14"/>
                    </w:rPr>
                  </w:pPr>
                  <w:r w:rsidRPr="00137BA5">
                    <w:rPr>
                      <w:rFonts w:ascii="Arial" w:eastAsia="Arial" w:hAnsi="Arial" w:cs="Arial"/>
                      <w:sz w:val="14"/>
                      <w:szCs w:val="14"/>
                    </w:rPr>
                    <w:t>Experiencia específica: por lo menos un (1) contrato debe acreditar interventoría a la construcción de sistemas no convencionales de captación de agua similares al objeto, y debe corresponder como mínimo al 30 % del presupuesto oficial.</w:t>
                  </w:r>
                </w:p>
                <w:p w14:paraId="77B919EA" w14:textId="77777777" w:rsidR="00353E55" w:rsidRPr="00137BA5" w:rsidRDefault="00353E55" w:rsidP="00353E55">
                  <w:pPr>
                    <w:widowControl w:val="0"/>
                    <w:pBdr>
                      <w:top w:val="nil"/>
                      <w:left w:val="nil"/>
                      <w:bottom w:val="nil"/>
                      <w:right w:val="nil"/>
                      <w:between w:val="nil"/>
                    </w:pBdr>
                    <w:jc w:val="both"/>
                    <w:rPr>
                      <w:rFonts w:eastAsia="Arial" w:cs="Arial"/>
                      <w:sz w:val="14"/>
                      <w:szCs w:val="14"/>
                    </w:rPr>
                  </w:pPr>
                  <w:r w:rsidRPr="00137BA5">
                    <w:rPr>
                      <w:rFonts w:ascii="Arial" w:eastAsia="Arial" w:hAnsi="Arial" w:cs="Arial"/>
                      <w:sz w:val="14"/>
                      <w:szCs w:val="14"/>
                    </w:rPr>
                    <w:t>Adicionalmente, por lo menos un (1) contrato debe contemplar interventoría para el suministro e instalación y/o construcción de sistemas no convencionales.</w:t>
                  </w:r>
                </w:p>
                <w:p w14:paraId="1324126F" w14:textId="77777777" w:rsidR="00353E55" w:rsidRDefault="00353E55" w:rsidP="00353E55">
                  <w:pPr>
                    <w:widowControl w:val="0"/>
                    <w:pBdr>
                      <w:top w:val="nil"/>
                      <w:left w:val="nil"/>
                      <w:bottom w:val="nil"/>
                      <w:right w:val="nil"/>
                      <w:between w:val="nil"/>
                    </w:pBdr>
                    <w:jc w:val="both"/>
                    <w:rPr>
                      <w:rFonts w:eastAsia="Arial" w:cs="Arial"/>
                      <w:sz w:val="14"/>
                      <w:szCs w:val="14"/>
                    </w:rPr>
                  </w:pPr>
                  <w:r w:rsidRPr="00137BA5">
                    <w:rPr>
                      <w:rFonts w:ascii="Arial" w:eastAsia="Arial" w:hAnsi="Arial" w:cs="Arial"/>
                      <w:sz w:val="14"/>
                      <w:szCs w:val="14"/>
                    </w:rPr>
                    <w:t>Los contratos utilizados para cumplir el requisito mínimo de experiencia no generan puntaje; el puntaje se obtiene con contratos adicionales válidos que no hayan sido objeto de subsanación.</w:t>
                  </w:r>
                </w:p>
              </w:tc>
              <w:tc>
                <w:tcPr>
                  <w:tcW w:w="2268" w:type="dxa"/>
                  <w:tcMar>
                    <w:top w:w="100" w:type="dxa"/>
                    <w:left w:w="100" w:type="dxa"/>
                    <w:bottom w:w="100" w:type="dxa"/>
                    <w:right w:w="100" w:type="dxa"/>
                  </w:tcMar>
                </w:tcPr>
                <w:p w14:paraId="69E3D981" w14:textId="77777777" w:rsidR="00353E55" w:rsidRPr="00171DAF" w:rsidRDefault="00353E55" w:rsidP="00353E55">
                  <w:pPr>
                    <w:widowControl w:val="0"/>
                    <w:jc w:val="both"/>
                    <w:rPr>
                      <w:rFonts w:eastAsia="Arial" w:cs="Arial"/>
                      <w:sz w:val="14"/>
                      <w:szCs w:val="14"/>
                    </w:rPr>
                  </w:pPr>
                  <w:r w:rsidRPr="00171DAF">
                    <w:rPr>
                      <w:rFonts w:ascii="Arial" w:eastAsia="Arial" w:hAnsi="Arial" w:cs="Arial"/>
                      <w:sz w:val="14"/>
                      <w:szCs w:val="14"/>
                    </w:rPr>
                    <w:t>El proponente puede acreditar la experiencia con mínimo uno (1) y máximo cinco (5) contratos.</w:t>
                  </w:r>
                </w:p>
                <w:p w14:paraId="651C1802" w14:textId="77777777" w:rsidR="00353E55" w:rsidRPr="00171DAF" w:rsidRDefault="00353E55" w:rsidP="00353E55">
                  <w:pPr>
                    <w:widowControl w:val="0"/>
                    <w:jc w:val="both"/>
                    <w:rPr>
                      <w:rFonts w:eastAsia="Arial" w:cs="Arial"/>
                      <w:sz w:val="14"/>
                      <w:szCs w:val="14"/>
                    </w:rPr>
                  </w:pPr>
                  <w:r w:rsidRPr="00171DAF">
                    <w:rPr>
                      <w:rFonts w:ascii="Arial" w:eastAsia="Arial" w:hAnsi="Arial" w:cs="Arial"/>
                      <w:sz w:val="14"/>
                      <w:szCs w:val="14"/>
                    </w:rPr>
                    <w:t>Valor de la experiencia</w:t>
                  </w:r>
                  <w:r>
                    <w:rPr>
                      <w:rFonts w:ascii="Arial" w:eastAsia="Arial" w:hAnsi="Arial" w:cs="Arial"/>
                      <w:sz w:val="14"/>
                      <w:szCs w:val="14"/>
                    </w:rPr>
                    <w:t xml:space="preserve">, </w:t>
                  </w:r>
                  <w:r w:rsidRPr="00171DAF">
                    <w:rPr>
                      <w:rFonts w:ascii="Arial" w:eastAsia="Arial" w:hAnsi="Arial" w:cs="Arial"/>
                      <w:sz w:val="14"/>
                      <w:szCs w:val="14"/>
                    </w:rPr>
                    <w:t>La sumatoria de los contratos aportados debe ser mayor o igual al 100 % del Presupuesto Oficial, expresado en SMMLV.</w:t>
                  </w:r>
                </w:p>
                <w:p w14:paraId="01D1DF05" w14:textId="77777777" w:rsidR="00353E55" w:rsidRPr="00171DAF" w:rsidRDefault="00353E55" w:rsidP="00353E55">
                  <w:pPr>
                    <w:widowControl w:val="0"/>
                    <w:jc w:val="both"/>
                    <w:rPr>
                      <w:rFonts w:eastAsia="Arial" w:cs="Arial"/>
                      <w:sz w:val="14"/>
                      <w:szCs w:val="14"/>
                    </w:rPr>
                  </w:pPr>
                  <w:r w:rsidRPr="00171DAF">
                    <w:rPr>
                      <w:rFonts w:ascii="Arial" w:eastAsia="Arial" w:hAnsi="Arial" w:cs="Arial"/>
                      <w:sz w:val="14"/>
                      <w:szCs w:val="14"/>
                    </w:rPr>
                    <w:t>Tipo de experiencia general</w:t>
                  </w:r>
                  <w:r>
                    <w:rPr>
                      <w:rFonts w:ascii="Arial" w:eastAsia="Arial" w:hAnsi="Arial" w:cs="Arial"/>
                      <w:sz w:val="14"/>
                      <w:szCs w:val="14"/>
                    </w:rPr>
                    <w:t xml:space="preserve">, </w:t>
                  </w:r>
                  <w:r w:rsidRPr="00171DAF">
                    <w:rPr>
                      <w:rFonts w:ascii="Arial" w:eastAsia="Arial" w:hAnsi="Arial" w:cs="Arial"/>
                      <w:sz w:val="14"/>
                      <w:szCs w:val="14"/>
                    </w:rPr>
                    <w:t>Interventoría a proyectos de construcción o mejoramiento y/o reconstrucción o rehabilitación o reparación, según las condiciones establecidas en el documento.</w:t>
                  </w:r>
                </w:p>
                <w:p w14:paraId="6B657192" w14:textId="77777777" w:rsidR="00353E55" w:rsidRPr="00171DAF" w:rsidRDefault="00353E55" w:rsidP="00353E55">
                  <w:pPr>
                    <w:widowControl w:val="0"/>
                    <w:jc w:val="both"/>
                    <w:rPr>
                      <w:rFonts w:eastAsia="Arial" w:cs="Arial"/>
                      <w:sz w:val="14"/>
                      <w:szCs w:val="14"/>
                    </w:rPr>
                  </w:pPr>
                  <w:r w:rsidRPr="00171DAF">
                    <w:rPr>
                      <w:rFonts w:ascii="Arial" w:eastAsia="Arial" w:hAnsi="Arial" w:cs="Arial"/>
                      <w:sz w:val="14"/>
                      <w:szCs w:val="14"/>
                    </w:rPr>
                    <w:t xml:space="preserve">Experiencia específica experiencia relacionada con interventoría a proyectos de infraestructura </w:t>
                  </w:r>
                </w:p>
                <w:p w14:paraId="2DC2D512" w14:textId="77777777" w:rsidR="00353E55" w:rsidRPr="00171DAF" w:rsidRDefault="00353E55" w:rsidP="00353E55">
                  <w:pPr>
                    <w:widowControl w:val="0"/>
                    <w:jc w:val="both"/>
                    <w:rPr>
                      <w:rFonts w:eastAsia="Arial" w:cs="Arial"/>
                      <w:sz w:val="14"/>
                      <w:szCs w:val="14"/>
                    </w:rPr>
                  </w:pPr>
                  <w:r w:rsidRPr="00171DAF">
                    <w:rPr>
                      <w:rFonts w:ascii="Arial" w:eastAsia="Arial" w:hAnsi="Arial" w:cs="Arial"/>
                      <w:sz w:val="14"/>
                      <w:szCs w:val="14"/>
                    </w:rPr>
                    <w:t>Clasificación UNSPSC</w:t>
                  </w:r>
                  <w:r w:rsidRPr="00171DAF">
                    <w:rPr>
                      <w:rFonts w:ascii="Arial" w:eastAsia="Arial" w:hAnsi="Arial" w:cs="Arial"/>
                      <w:sz w:val="14"/>
                      <w:szCs w:val="14"/>
                    </w:rPr>
                    <w:tab/>
                    <w:t>Los contratos deben encontrarse relacionados con las clasificaciones exigidas en el proceso.</w:t>
                  </w:r>
                </w:p>
                <w:p w14:paraId="2674D4A7" w14:textId="77777777" w:rsidR="00353E55" w:rsidRDefault="00353E55" w:rsidP="00353E55">
                  <w:pPr>
                    <w:widowControl w:val="0"/>
                    <w:jc w:val="both"/>
                    <w:rPr>
                      <w:rFonts w:eastAsia="Arial" w:cs="Arial"/>
                      <w:sz w:val="14"/>
                      <w:szCs w:val="14"/>
                    </w:rPr>
                  </w:pPr>
                  <w:r w:rsidRPr="00171DAF">
                    <w:rPr>
                      <w:rFonts w:ascii="Arial" w:eastAsia="Arial" w:hAnsi="Arial" w:cs="Arial"/>
                      <w:sz w:val="14"/>
                      <w:szCs w:val="14"/>
                    </w:rPr>
                    <w:t>Acreditación</w:t>
                  </w:r>
                  <w:r w:rsidRPr="00171DAF">
                    <w:rPr>
                      <w:rFonts w:ascii="Arial" w:eastAsia="Arial" w:hAnsi="Arial" w:cs="Arial"/>
                      <w:sz w:val="14"/>
                      <w:szCs w:val="14"/>
                    </w:rPr>
                    <w:tab/>
                    <w:t>La experiencia se verifica principalmente mediante el RUP y el Formato 3 – Experiencia, de acuerdo con las condiciones establecidas en el proceso.</w:t>
                  </w:r>
                </w:p>
              </w:tc>
              <w:tc>
                <w:tcPr>
                  <w:tcW w:w="2655" w:type="dxa"/>
                  <w:tcMar>
                    <w:top w:w="100" w:type="dxa"/>
                    <w:left w:w="100" w:type="dxa"/>
                    <w:bottom w:w="100" w:type="dxa"/>
                    <w:right w:w="100" w:type="dxa"/>
                  </w:tcMar>
                </w:tcPr>
                <w:p w14:paraId="6B0EDE96" w14:textId="77777777" w:rsidR="00353E55" w:rsidRPr="00642EE5" w:rsidRDefault="00353E55" w:rsidP="00353E55">
                  <w:pPr>
                    <w:widowControl w:val="0"/>
                    <w:jc w:val="both"/>
                    <w:rPr>
                      <w:rFonts w:eastAsia="Arial" w:cs="Arial"/>
                      <w:sz w:val="14"/>
                      <w:szCs w:val="14"/>
                    </w:rPr>
                  </w:pPr>
                  <w:r w:rsidRPr="00642EE5">
                    <w:rPr>
                      <w:rFonts w:ascii="Arial" w:eastAsia="Arial" w:hAnsi="Arial" w:cs="Arial"/>
                      <w:sz w:val="14"/>
                      <w:szCs w:val="14"/>
                    </w:rPr>
                    <w:t>proponente debe acreditar que la sumatoria de los contratos aportados como experiencia sea igual o superior al 100% del presupuesto oficial, expresado en SMMLV.</w:t>
                  </w:r>
                </w:p>
                <w:p w14:paraId="347E0B1E" w14:textId="77777777" w:rsidR="00353E55" w:rsidRPr="00642EE5" w:rsidRDefault="00353E55" w:rsidP="00353E55">
                  <w:pPr>
                    <w:widowControl w:val="0"/>
                    <w:rPr>
                      <w:rFonts w:eastAsia="Arial" w:cs="Arial"/>
                      <w:sz w:val="14"/>
                      <w:szCs w:val="14"/>
                    </w:rPr>
                  </w:pPr>
                </w:p>
                <w:p w14:paraId="627D43A8" w14:textId="77777777" w:rsidR="00353E55" w:rsidRPr="00642EE5" w:rsidRDefault="00353E55" w:rsidP="00353E55">
                  <w:pPr>
                    <w:widowControl w:val="0"/>
                    <w:jc w:val="both"/>
                    <w:rPr>
                      <w:rFonts w:eastAsia="Arial" w:cs="Arial"/>
                      <w:sz w:val="14"/>
                      <w:szCs w:val="14"/>
                    </w:rPr>
                  </w:pPr>
                  <w:r w:rsidRPr="00642EE5">
                    <w:rPr>
                      <w:rFonts w:ascii="Arial" w:eastAsia="Arial" w:hAnsi="Arial" w:cs="Arial"/>
                      <w:sz w:val="14"/>
                      <w:szCs w:val="14"/>
                    </w:rPr>
                    <w:t>La experiencia debe comprender, como actividad principal, interventoría a proyectos de adecuación, conservación, intervención, instalación, mantenimiento, mejoramiento, rehabilitación, remodelación, reparación, restauración, etc., de infraestructura educativa.</w:t>
                  </w:r>
                </w:p>
                <w:p w14:paraId="7A9961FD" w14:textId="77777777" w:rsidR="00353E55" w:rsidRPr="00642EE5" w:rsidRDefault="00353E55" w:rsidP="00353E55">
                  <w:pPr>
                    <w:widowControl w:val="0"/>
                    <w:rPr>
                      <w:rFonts w:eastAsia="Arial" w:cs="Arial"/>
                      <w:sz w:val="14"/>
                      <w:szCs w:val="14"/>
                    </w:rPr>
                  </w:pPr>
                </w:p>
                <w:p w14:paraId="69511E92" w14:textId="77777777" w:rsidR="00353E55" w:rsidRPr="00642EE5" w:rsidRDefault="00353E55" w:rsidP="00353E55">
                  <w:pPr>
                    <w:widowControl w:val="0"/>
                    <w:jc w:val="both"/>
                    <w:rPr>
                      <w:rFonts w:eastAsia="Arial" w:cs="Arial"/>
                      <w:sz w:val="14"/>
                      <w:szCs w:val="14"/>
                    </w:rPr>
                  </w:pPr>
                  <w:r w:rsidRPr="00642EE5">
                    <w:rPr>
                      <w:rFonts w:ascii="Arial" w:eastAsia="Arial" w:hAnsi="Arial" w:cs="Arial"/>
                      <w:sz w:val="14"/>
                      <w:szCs w:val="14"/>
                    </w:rPr>
                    <w:t>Como experiencia general también aceptan interventoría a proyectos de construcción, ampliación, reconstrucción, adecuación, mantenimiento, mejoramiento, rehabilitación, remodelación, reparación y demás actividades similares en edificaciones.</w:t>
                  </w:r>
                </w:p>
                <w:p w14:paraId="680EA406" w14:textId="77777777" w:rsidR="00353E55" w:rsidRPr="00642EE5" w:rsidRDefault="00353E55" w:rsidP="00353E55">
                  <w:pPr>
                    <w:widowControl w:val="0"/>
                    <w:rPr>
                      <w:rFonts w:eastAsia="Arial" w:cs="Arial"/>
                      <w:sz w:val="14"/>
                      <w:szCs w:val="14"/>
                    </w:rPr>
                  </w:pPr>
                </w:p>
                <w:p w14:paraId="14B763FB" w14:textId="77777777" w:rsidR="00353E55" w:rsidRPr="00642EE5" w:rsidRDefault="00353E55" w:rsidP="00353E55">
                  <w:pPr>
                    <w:widowControl w:val="0"/>
                    <w:rPr>
                      <w:rFonts w:eastAsia="Arial" w:cs="Arial"/>
                      <w:sz w:val="14"/>
                      <w:szCs w:val="14"/>
                    </w:rPr>
                  </w:pPr>
                  <w:r w:rsidRPr="00642EE5">
                    <w:rPr>
                      <w:rFonts w:ascii="Arial" w:eastAsia="Arial" w:hAnsi="Arial" w:cs="Arial"/>
                      <w:sz w:val="14"/>
                      <w:szCs w:val="14"/>
                    </w:rPr>
                    <w:t>Exigen experiencia específica así:</w:t>
                  </w:r>
                </w:p>
                <w:p w14:paraId="5A8359F1" w14:textId="77777777" w:rsidR="00353E55" w:rsidRPr="00642EE5" w:rsidRDefault="00353E55" w:rsidP="00353E55">
                  <w:pPr>
                    <w:widowControl w:val="0"/>
                    <w:rPr>
                      <w:rFonts w:eastAsia="Arial" w:cs="Arial"/>
                      <w:sz w:val="14"/>
                      <w:szCs w:val="14"/>
                    </w:rPr>
                  </w:pPr>
                </w:p>
                <w:p w14:paraId="7C1E5082" w14:textId="77777777" w:rsidR="00353E55" w:rsidRPr="00642EE5" w:rsidRDefault="00353E55" w:rsidP="00353E55">
                  <w:pPr>
                    <w:widowControl w:val="0"/>
                    <w:jc w:val="both"/>
                    <w:rPr>
                      <w:rFonts w:eastAsia="Arial" w:cs="Arial"/>
                      <w:sz w:val="14"/>
                      <w:szCs w:val="14"/>
                    </w:rPr>
                  </w:pPr>
                  <w:r w:rsidRPr="00642EE5">
                    <w:rPr>
                      <w:rFonts w:ascii="Arial" w:eastAsia="Arial" w:hAnsi="Arial" w:cs="Arial"/>
                      <w:sz w:val="14"/>
                      <w:szCs w:val="14"/>
                    </w:rPr>
                    <w:t>Por lo menos un (1) contrato con un área intervenida o construida igual o superior al 60% del área del proceso.</w:t>
                  </w:r>
                </w:p>
                <w:p w14:paraId="320382E3" w14:textId="77777777" w:rsidR="00353E55" w:rsidRPr="00642EE5" w:rsidRDefault="00353E55" w:rsidP="00353E55">
                  <w:pPr>
                    <w:widowControl w:val="0"/>
                    <w:jc w:val="both"/>
                    <w:rPr>
                      <w:rFonts w:eastAsia="Arial" w:cs="Arial"/>
                      <w:sz w:val="14"/>
                      <w:szCs w:val="14"/>
                    </w:rPr>
                  </w:pPr>
                  <w:r w:rsidRPr="00642EE5">
                    <w:rPr>
                      <w:rFonts w:ascii="Arial" w:eastAsia="Arial" w:hAnsi="Arial" w:cs="Arial"/>
                      <w:sz w:val="14"/>
                      <w:szCs w:val="14"/>
                    </w:rPr>
                    <w:t>Para determinados componentes, por lo menos un contrato debe acreditar experiencia en redes eléctricas en edificaciones.</w:t>
                  </w:r>
                </w:p>
                <w:p w14:paraId="4BC11B73" w14:textId="77777777" w:rsidR="00353E55" w:rsidRPr="00642EE5" w:rsidRDefault="00353E55" w:rsidP="00353E55">
                  <w:pPr>
                    <w:widowControl w:val="0"/>
                    <w:jc w:val="both"/>
                    <w:rPr>
                      <w:rFonts w:eastAsia="Arial" w:cs="Arial"/>
                      <w:sz w:val="14"/>
                      <w:szCs w:val="14"/>
                    </w:rPr>
                  </w:pPr>
                  <w:r w:rsidRPr="00642EE5">
                    <w:rPr>
                      <w:rFonts w:ascii="Arial" w:eastAsia="Arial" w:hAnsi="Arial" w:cs="Arial"/>
                      <w:sz w:val="14"/>
                      <w:szCs w:val="14"/>
                    </w:rPr>
                    <w:lastRenderedPageBreak/>
                    <w:t>Por lo menos un contrato debe tener un valor equivalente al 60% del presupuesto oficial.</w:t>
                  </w:r>
                </w:p>
                <w:p w14:paraId="4A46F493" w14:textId="77777777" w:rsidR="00353E55" w:rsidRDefault="00353E55" w:rsidP="00353E55">
                  <w:pPr>
                    <w:widowControl w:val="0"/>
                    <w:jc w:val="both"/>
                    <w:rPr>
                      <w:rFonts w:eastAsia="Arial" w:cs="Arial"/>
                      <w:sz w:val="14"/>
                      <w:szCs w:val="14"/>
                    </w:rPr>
                  </w:pPr>
                  <w:r w:rsidRPr="00642EE5">
                    <w:rPr>
                      <w:rFonts w:ascii="Arial" w:eastAsia="Arial" w:hAnsi="Arial" w:cs="Arial"/>
                      <w:sz w:val="14"/>
                      <w:szCs w:val="14"/>
                    </w:rPr>
                    <w:t>La experiencia puede acreditarse con mínimo uno (1) y máximo cinco (5) contratos</w:t>
                  </w:r>
                </w:p>
              </w:tc>
            </w:tr>
            <w:tr w:rsidR="00353E55" w14:paraId="3147B1CE" w14:textId="77777777" w:rsidTr="00082D1C">
              <w:trPr>
                <w:jc w:val="center"/>
              </w:trPr>
              <w:tc>
                <w:tcPr>
                  <w:tcW w:w="2045" w:type="dxa"/>
                  <w:tcMar>
                    <w:top w:w="100" w:type="dxa"/>
                    <w:left w:w="100" w:type="dxa"/>
                    <w:bottom w:w="100" w:type="dxa"/>
                    <w:right w:w="100" w:type="dxa"/>
                  </w:tcMar>
                </w:tcPr>
                <w:p w14:paraId="66BECDA3" w14:textId="77777777" w:rsidR="00353E55" w:rsidRDefault="00353E55" w:rsidP="00353E55">
                  <w:pPr>
                    <w:widowControl w:val="0"/>
                    <w:rPr>
                      <w:rFonts w:eastAsia="Arial" w:cs="Arial"/>
                      <w:sz w:val="14"/>
                      <w:szCs w:val="14"/>
                    </w:rPr>
                  </w:pPr>
                  <w:r>
                    <w:rPr>
                      <w:rFonts w:ascii="Arial" w:eastAsia="Arial" w:hAnsi="Arial" w:cs="Arial"/>
                      <w:sz w:val="14"/>
                      <w:szCs w:val="14"/>
                    </w:rPr>
                    <w:lastRenderedPageBreak/>
                    <w:t>Códigos UNSPSC</w:t>
                  </w:r>
                </w:p>
              </w:tc>
              <w:tc>
                <w:tcPr>
                  <w:tcW w:w="2268" w:type="dxa"/>
                  <w:tcMar>
                    <w:top w:w="100" w:type="dxa"/>
                    <w:left w:w="100" w:type="dxa"/>
                    <w:bottom w:w="100" w:type="dxa"/>
                    <w:right w:w="100" w:type="dxa"/>
                  </w:tcMar>
                </w:tcPr>
                <w:p w14:paraId="40E3DDE0" w14:textId="77777777" w:rsidR="00353E55" w:rsidRDefault="00353E55" w:rsidP="00353E55">
                  <w:pPr>
                    <w:widowControl w:val="0"/>
                    <w:pBdr>
                      <w:top w:val="nil"/>
                      <w:left w:val="nil"/>
                      <w:bottom w:val="nil"/>
                      <w:right w:val="nil"/>
                      <w:between w:val="nil"/>
                    </w:pBdr>
                    <w:rPr>
                      <w:rFonts w:eastAsia="Arial" w:cs="Arial"/>
                      <w:sz w:val="14"/>
                      <w:szCs w:val="14"/>
                    </w:rPr>
                  </w:pPr>
                  <w:r w:rsidRPr="003278AF">
                    <w:rPr>
                      <w:rFonts w:ascii="Arial" w:eastAsia="Arial" w:hAnsi="Arial" w:cs="Arial"/>
                      <w:sz w:val="14"/>
                      <w:szCs w:val="14"/>
                    </w:rPr>
                    <w:t>80101600 - Gerencia de proyectos</w:t>
                  </w:r>
                </w:p>
                <w:p w14:paraId="00C3B74A"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 xml:space="preserve">81101500- </w:t>
                  </w:r>
                  <w:r w:rsidRPr="00266FF9">
                    <w:rPr>
                      <w:rFonts w:ascii="Arial" w:eastAsia="Arial" w:hAnsi="Arial" w:cs="Arial"/>
                      <w:sz w:val="14"/>
                      <w:szCs w:val="14"/>
                    </w:rPr>
                    <w:t>Ingeniería civil y arquitectura</w:t>
                  </w:r>
                </w:p>
                <w:p w14:paraId="6F5B4E59"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80111600-</w:t>
                  </w:r>
                  <w:r w:rsidRPr="00266FF9">
                    <w:rPr>
                      <w:rFonts w:ascii="Arial" w:eastAsia="Arial" w:hAnsi="Arial" w:cs="Arial"/>
                      <w:sz w:val="14"/>
                      <w:szCs w:val="14"/>
                    </w:rPr>
                    <w:t>Servicios de personal temporal</w:t>
                  </w:r>
                </w:p>
                <w:p w14:paraId="1CD99C94" w14:textId="77777777" w:rsidR="00353E55" w:rsidRDefault="00353E55" w:rsidP="00353E55">
                  <w:pPr>
                    <w:widowControl w:val="0"/>
                    <w:pBdr>
                      <w:top w:val="nil"/>
                      <w:left w:val="nil"/>
                      <w:bottom w:val="nil"/>
                      <w:right w:val="nil"/>
                      <w:between w:val="nil"/>
                    </w:pBdr>
                    <w:rPr>
                      <w:rFonts w:eastAsia="Arial" w:cs="Arial"/>
                      <w:sz w:val="14"/>
                      <w:szCs w:val="14"/>
                    </w:rPr>
                  </w:pPr>
                  <w:r>
                    <w:rPr>
                      <w:rFonts w:ascii="Arial" w:eastAsia="Arial" w:hAnsi="Arial" w:cs="Arial"/>
                      <w:sz w:val="14"/>
                      <w:szCs w:val="14"/>
                    </w:rPr>
                    <w:t>80101500-</w:t>
                  </w:r>
                  <w:r w:rsidRPr="00266FF9">
                    <w:rPr>
                      <w:rFonts w:ascii="Arial" w:eastAsia="Arial" w:hAnsi="Arial" w:cs="Arial"/>
                      <w:sz w:val="14"/>
                      <w:szCs w:val="14"/>
                    </w:rPr>
                    <w:t>Servicios de consultoría de negocios y administración corporativa</w:t>
                  </w:r>
                </w:p>
              </w:tc>
              <w:tc>
                <w:tcPr>
                  <w:tcW w:w="2268" w:type="dxa"/>
                  <w:tcMar>
                    <w:top w:w="100" w:type="dxa"/>
                    <w:left w:w="100" w:type="dxa"/>
                    <w:bottom w:w="100" w:type="dxa"/>
                    <w:right w:w="100" w:type="dxa"/>
                  </w:tcMar>
                </w:tcPr>
                <w:p w14:paraId="63589C86" w14:textId="77777777" w:rsidR="00353E55" w:rsidRPr="00171DAF" w:rsidRDefault="00353E55" w:rsidP="00353E55">
                  <w:pPr>
                    <w:widowControl w:val="0"/>
                    <w:rPr>
                      <w:rFonts w:eastAsia="Arial" w:cs="Arial"/>
                      <w:sz w:val="14"/>
                      <w:szCs w:val="14"/>
                    </w:rPr>
                  </w:pPr>
                  <w:r w:rsidRPr="00171DAF">
                    <w:rPr>
                      <w:rFonts w:ascii="Arial" w:eastAsia="Arial" w:hAnsi="Arial" w:cs="Arial"/>
                      <w:sz w:val="14"/>
                      <w:szCs w:val="14"/>
                    </w:rPr>
                    <w:t>81101500</w:t>
                  </w:r>
                  <w:r>
                    <w:rPr>
                      <w:rFonts w:ascii="Arial" w:eastAsia="Arial" w:hAnsi="Arial" w:cs="Arial"/>
                      <w:sz w:val="14"/>
                      <w:szCs w:val="14"/>
                    </w:rPr>
                    <w:t xml:space="preserve"> - </w:t>
                  </w:r>
                  <w:r w:rsidRPr="00171DAF">
                    <w:rPr>
                      <w:rFonts w:ascii="Arial" w:eastAsia="Arial" w:hAnsi="Arial" w:cs="Arial"/>
                      <w:sz w:val="14"/>
                      <w:szCs w:val="14"/>
                    </w:rPr>
                    <w:t>Ingeniería civil y arquitectura</w:t>
                  </w:r>
                  <w:r w:rsidRPr="00171DAF">
                    <w:rPr>
                      <w:rFonts w:ascii="Arial" w:eastAsia="Arial" w:hAnsi="Arial" w:cs="Arial"/>
                      <w:sz w:val="14"/>
                      <w:szCs w:val="14"/>
                    </w:rPr>
                    <w:tab/>
                  </w:r>
                </w:p>
                <w:p w14:paraId="5979BAD0" w14:textId="77777777" w:rsidR="00353E55" w:rsidRPr="00171DAF" w:rsidRDefault="00353E55" w:rsidP="00353E55">
                  <w:pPr>
                    <w:widowControl w:val="0"/>
                    <w:rPr>
                      <w:rFonts w:eastAsia="Arial" w:cs="Arial"/>
                      <w:sz w:val="14"/>
                      <w:szCs w:val="14"/>
                    </w:rPr>
                  </w:pPr>
                  <w:r w:rsidRPr="00171DAF">
                    <w:rPr>
                      <w:rFonts w:ascii="Arial" w:eastAsia="Arial" w:hAnsi="Arial" w:cs="Arial"/>
                      <w:sz w:val="14"/>
                      <w:szCs w:val="14"/>
                    </w:rPr>
                    <w:t>80101600</w:t>
                  </w:r>
                  <w:r>
                    <w:rPr>
                      <w:rFonts w:ascii="Arial" w:eastAsia="Arial" w:hAnsi="Arial" w:cs="Arial"/>
                      <w:sz w:val="14"/>
                      <w:szCs w:val="14"/>
                    </w:rPr>
                    <w:t xml:space="preserve"> - </w:t>
                  </w:r>
                  <w:r w:rsidRPr="00171DAF">
                    <w:rPr>
                      <w:rFonts w:ascii="Arial" w:eastAsia="Arial" w:hAnsi="Arial" w:cs="Arial"/>
                      <w:sz w:val="14"/>
                      <w:szCs w:val="14"/>
                    </w:rPr>
                    <w:t>Gerencia de proyectos</w:t>
                  </w:r>
                  <w:r w:rsidRPr="00171DAF">
                    <w:rPr>
                      <w:rFonts w:ascii="Arial" w:eastAsia="Arial" w:hAnsi="Arial" w:cs="Arial"/>
                      <w:sz w:val="14"/>
                      <w:szCs w:val="14"/>
                    </w:rPr>
                    <w:tab/>
                  </w:r>
                </w:p>
                <w:p w14:paraId="2E009A40" w14:textId="77777777" w:rsidR="00353E55" w:rsidRPr="00171DAF" w:rsidRDefault="00353E55" w:rsidP="00353E55">
                  <w:pPr>
                    <w:widowControl w:val="0"/>
                    <w:rPr>
                      <w:rFonts w:eastAsia="Arial" w:cs="Arial"/>
                      <w:sz w:val="14"/>
                      <w:szCs w:val="14"/>
                    </w:rPr>
                  </w:pPr>
                  <w:r w:rsidRPr="00171DAF">
                    <w:rPr>
                      <w:rFonts w:ascii="Arial" w:eastAsia="Arial" w:hAnsi="Arial" w:cs="Arial"/>
                      <w:sz w:val="14"/>
                      <w:szCs w:val="14"/>
                    </w:rPr>
                    <w:t>81141500</w:t>
                  </w:r>
                  <w:r>
                    <w:rPr>
                      <w:rFonts w:ascii="Arial" w:eastAsia="Arial" w:hAnsi="Arial" w:cs="Arial"/>
                      <w:sz w:val="14"/>
                      <w:szCs w:val="14"/>
                    </w:rPr>
                    <w:t xml:space="preserve"> - </w:t>
                  </w:r>
                  <w:r w:rsidRPr="00171DAF">
                    <w:rPr>
                      <w:rFonts w:ascii="Arial" w:eastAsia="Arial" w:hAnsi="Arial" w:cs="Arial"/>
                      <w:sz w:val="14"/>
                      <w:szCs w:val="14"/>
                    </w:rPr>
                    <w:t>Control de calidad</w:t>
                  </w:r>
                  <w:r w:rsidRPr="00171DAF">
                    <w:rPr>
                      <w:rFonts w:ascii="Arial" w:eastAsia="Arial" w:hAnsi="Arial" w:cs="Arial"/>
                      <w:sz w:val="14"/>
                      <w:szCs w:val="14"/>
                    </w:rPr>
                    <w:tab/>
                  </w:r>
                </w:p>
                <w:p w14:paraId="682A572C" w14:textId="77777777" w:rsidR="00353E55" w:rsidRDefault="00353E55" w:rsidP="00353E55">
                  <w:pPr>
                    <w:widowControl w:val="0"/>
                    <w:rPr>
                      <w:rFonts w:eastAsia="Arial" w:cs="Arial"/>
                      <w:sz w:val="14"/>
                      <w:szCs w:val="14"/>
                    </w:rPr>
                  </w:pPr>
                  <w:r w:rsidRPr="00171DAF">
                    <w:rPr>
                      <w:rFonts w:ascii="Arial" w:eastAsia="Arial" w:hAnsi="Arial" w:cs="Arial"/>
                      <w:sz w:val="14"/>
                      <w:szCs w:val="14"/>
                    </w:rPr>
                    <w:t>80101500</w:t>
                  </w:r>
                  <w:r>
                    <w:rPr>
                      <w:rFonts w:ascii="Arial" w:eastAsia="Arial" w:hAnsi="Arial" w:cs="Arial"/>
                      <w:sz w:val="14"/>
                      <w:szCs w:val="14"/>
                    </w:rPr>
                    <w:t xml:space="preserve"> - </w:t>
                  </w:r>
                  <w:r w:rsidRPr="00171DAF">
                    <w:rPr>
                      <w:rFonts w:ascii="Arial" w:eastAsia="Arial" w:hAnsi="Arial" w:cs="Arial"/>
                      <w:sz w:val="14"/>
                      <w:szCs w:val="14"/>
                    </w:rPr>
                    <w:t>Servicios de consultoría de negocios y administración corporativa</w:t>
                  </w:r>
                </w:p>
              </w:tc>
              <w:tc>
                <w:tcPr>
                  <w:tcW w:w="2655" w:type="dxa"/>
                  <w:tcMar>
                    <w:top w:w="100" w:type="dxa"/>
                    <w:left w:w="100" w:type="dxa"/>
                    <w:bottom w:w="100" w:type="dxa"/>
                    <w:right w:w="100" w:type="dxa"/>
                  </w:tcMar>
                </w:tcPr>
                <w:p w14:paraId="3B5F2F97" w14:textId="77777777" w:rsidR="00353E55" w:rsidRPr="00B334BA" w:rsidRDefault="00353E55" w:rsidP="00353E55">
                  <w:pPr>
                    <w:widowControl w:val="0"/>
                    <w:rPr>
                      <w:rFonts w:eastAsia="Arial" w:cs="Arial"/>
                      <w:sz w:val="14"/>
                      <w:szCs w:val="14"/>
                    </w:rPr>
                  </w:pPr>
                  <w:r w:rsidRPr="00B334BA">
                    <w:rPr>
                      <w:rFonts w:ascii="Arial" w:eastAsia="Arial" w:hAnsi="Arial" w:cs="Arial"/>
                      <w:sz w:val="14"/>
                      <w:szCs w:val="14"/>
                    </w:rPr>
                    <w:t>80101500</w:t>
                  </w:r>
                  <w:r>
                    <w:rPr>
                      <w:rFonts w:ascii="Arial" w:eastAsia="Arial" w:hAnsi="Arial" w:cs="Arial"/>
                      <w:sz w:val="14"/>
                      <w:szCs w:val="14"/>
                    </w:rPr>
                    <w:t xml:space="preserve"> - </w:t>
                  </w:r>
                  <w:r w:rsidRPr="00B334BA">
                    <w:rPr>
                      <w:rFonts w:ascii="Arial" w:eastAsia="Arial" w:hAnsi="Arial" w:cs="Arial"/>
                      <w:sz w:val="14"/>
                      <w:szCs w:val="14"/>
                    </w:rPr>
                    <w:t>Servicios de consultoría de negocios y administración corporativa</w:t>
                  </w:r>
                </w:p>
                <w:p w14:paraId="4DB19051" w14:textId="77777777" w:rsidR="00353E55" w:rsidRPr="00B334BA" w:rsidRDefault="00353E55" w:rsidP="00353E55">
                  <w:pPr>
                    <w:widowControl w:val="0"/>
                    <w:rPr>
                      <w:rFonts w:eastAsia="Arial" w:cs="Arial"/>
                      <w:sz w:val="14"/>
                      <w:szCs w:val="14"/>
                    </w:rPr>
                  </w:pPr>
                  <w:r>
                    <w:rPr>
                      <w:rFonts w:ascii="Arial" w:eastAsia="Arial" w:hAnsi="Arial" w:cs="Arial"/>
                      <w:sz w:val="14"/>
                      <w:szCs w:val="14"/>
                    </w:rPr>
                    <w:t>8</w:t>
                  </w:r>
                  <w:r w:rsidRPr="00B334BA">
                    <w:rPr>
                      <w:rFonts w:ascii="Arial" w:eastAsia="Arial" w:hAnsi="Arial" w:cs="Arial"/>
                      <w:sz w:val="14"/>
                      <w:szCs w:val="14"/>
                    </w:rPr>
                    <w:t>0101600</w:t>
                  </w:r>
                  <w:r>
                    <w:rPr>
                      <w:rFonts w:ascii="Arial" w:eastAsia="Arial" w:hAnsi="Arial" w:cs="Arial"/>
                      <w:sz w:val="14"/>
                      <w:szCs w:val="14"/>
                    </w:rPr>
                    <w:t xml:space="preserve"> - </w:t>
                  </w:r>
                  <w:r w:rsidRPr="00B334BA">
                    <w:rPr>
                      <w:rFonts w:ascii="Arial" w:eastAsia="Arial" w:hAnsi="Arial" w:cs="Arial"/>
                      <w:sz w:val="14"/>
                      <w:szCs w:val="14"/>
                    </w:rPr>
                    <w:t>Gerencia de proyectos</w:t>
                  </w:r>
                </w:p>
                <w:p w14:paraId="2FFA52D0" w14:textId="77777777" w:rsidR="00353E55" w:rsidRDefault="00353E55" w:rsidP="00353E55">
                  <w:pPr>
                    <w:widowControl w:val="0"/>
                    <w:rPr>
                      <w:rFonts w:eastAsia="Arial" w:cs="Arial"/>
                      <w:sz w:val="14"/>
                      <w:szCs w:val="14"/>
                    </w:rPr>
                  </w:pPr>
                  <w:r w:rsidRPr="00B334BA">
                    <w:rPr>
                      <w:rFonts w:ascii="Arial" w:eastAsia="Arial" w:hAnsi="Arial" w:cs="Arial"/>
                      <w:sz w:val="14"/>
                      <w:szCs w:val="14"/>
                    </w:rPr>
                    <w:t>81101500</w:t>
                  </w:r>
                  <w:r>
                    <w:rPr>
                      <w:rFonts w:ascii="Arial" w:eastAsia="Arial" w:hAnsi="Arial" w:cs="Arial"/>
                      <w:sz w:val="14"/>
                      <w:szCs w:val="14"/>
                    </w:rPr>
                    <w:t xml:space="preserve"> - </w:t>
                  </w:r>
                  <w:r w:rsidRPr="00B334BA">
                    <w:rPr>
                      <w:rFonts w:ascii="Arial" w:eastAsia="Arial" w:hAnsi="Arial" w:cs="Arial"/>
                      <w:sz w:val="14"/>
                      <w:szCs w:val="14"/>
                    </w:rPr>
                    <w:t>Ingeniería civil y arquitectura</w:t>
                  </w:r>
                </w:p>
              </w:tc>
            </w:tr>
            <w:tr w:rsidR="00353E55" w14:paraId="16805077" w14:textId="77777777" w:rsidTr="00082D1C">
              <w:trPr>
                <w:jc w:val="center"/>
              </w:trPr>
              <w:tc>
                <w:tcPr>
                  <w:tcW w:w="2045" w:type="dxa"/>
                  <w:tcMar>
                    <w:top w:w="100" w:type="dxa"/>
                    <w:left w:w="100" w:type="dxa"/>
                    <w:bottom w:w="100" w:type="dxa"/>
                    <w:right w:w="100" w:type="dxa"/>
                  </w:tcMar>
                </w:tcPr>
                <w:p w14:paraId="267D072D" w14:textId="77777777" w:rsidR="00353E55" w:rsidRPr="00C83D9A" w:rsidRDefault="00353E55" w:rsidP="00353E55">
                  <w:pPr>
                    <w:widowControl w:val="0"/>
                    <w:rPr>
                      <w:rFonts w:eastAsia="Arial" w:cs="Arial"/>
                      <w:sz w:val="14"/>
                      <w:szCs w:val="14"/>
                    </w:rPr>
                  </w:pPr>
                  <w:r w:rsidRPr="00C83D9A">
                    <w:rPr>
                      <w:rFonts w:ascii="Arial" w:eastAsia="Arial" w:hAnsi="Arial" w:cs="Arial"/>
                      <w:sz w:val="14"/>
                      <w:szCs w:val="14"/>
                    </w:rPr>
                    <w:t>Garantías exigidas</w:t>
                  </w:r>
                </w:p>
              </w:tc>
              <w:tc>
                <w:tcPr>
                  <w:tcW w:w="2268" w:type="dxa"/>
                  <w:tcMar>
                    <w:top w:w="100" w:type="dxa"/>
                    <w:left w:w="100" w:type="dxa"/>
                    <w:bottom w:w="100" w:type="dxa"/>
                    <w:right w:w="100" w:type="dxa"/>
                  </w:tcMar>
                </w:tcPr>
                <w:p w14:paraId="25890CEF" w14:textId="77777777" w:rsidR="00353E55" w:rsidRPr="00C83D9A" w:rsidRDefault="00353E55" w:rsidP="00353E55">
                  <w:pPr>
                    <w:widowControl w:val="0"/>
                    <w:pBdr>
                      <w:top w:val="nil"/>
                      <w:left w:val="nil"/>
                      <w:bottom w:val="nil"/>
                      <w:right w:val="nil"/>
                      <w:between w:val="nil"/>
                    </w:pBdr>
                    <w:rPr>
                      <w:rFonts w:eastAsia="Arial" w:cs="Arial"/>
                      <w:sz w:val="14"/>
                      <w:szCs w:val="14"/>
                    </w:rPr>
                  </w:pPr>
                  <w:r w:rsidRPr="00C83D9A">
                    <w:rPr>
                      <w:rFonts w:ascii="Arial" w:eastAsia="Arial" w:hAnsi="Arial" w:cs="Arial"/>
                      <w:sz w:val="14"/>
                      <w:szCs w:val="14"/>
                    </w:rPr>
                    <w:t>Cumplimiento: 20% Por el plazo del contrato y hasta la liquidación del contrato.</w:t>
                  </w:r>
                </w:p>
                <w:p w14:paraId="15C20086" w14:textId="77777777" w:rsidR="00353E55" w:rsidRPr="00C83D9A" w:rsidRDefault="00353E55" w:rsidP="00353E55">
                  <w:pPr>
                    <w:widowControl w:val="0"/>
                    <w:pBdr>
                      <w:top w:val="nil"/>
                      <w:left w:val="nil"/>
                      <w:bottom w:val="nil"/>
                      <w:right w:val="nil"/>
                      <w:between w:val="nil"/>
                    </w:pBdr>
                    <w:rPr>
                      <w:rFonts w:eastAsia="Arial" w:cs="Arial"/>
                      <w:sz w:val="14"/>
                      <w:szCs w:val="14"/>
                    </w:rPr>
                  </w:pPr>
                  <w:r w:rsidRPr="00C83D9A">
                    <w:rPr>
                      <w:rFonts w:ascii="Arial" w:eastAsia="Arial" w:hAnsi="Arial" w:cs="Arial"/>
                      <w:sz w:val="14"/>
                      <w:szCs w:val="14"/>
                    </w:rPr>
                    <w:t>Pago de salarios y prestaciones sociales: 20% con una vigencia igual al término de la duración del contrato y tres (3) años más.</w:t>
                  </w:r>
                </w:p>
                <w:p w14:paraId="4E9AC409" w14:textId="77777777" w:rsidR="00353E55" w:rsidRPr="00C83D9A" w:rsidRDefault="00353E55" w:rsidP="00353E55">
                  <w:pPr>
                    <w:widowControl w:val="0"/>
                    <w:pBdr>
                      <w:top w:val="nil"/>
                      <w:left w:val="nil"/>
                      <w:bottom w:val="nil"/>
                      <w:right w:val="nil"/>
                      <w:between w:val="nil"/>
                    </w:pBdr>
                    <w:rPr>
                      <w:rFonts w:eastAsia="Arial" w:cs="Arial"/>
                      <w:sz w:val="14"/>
                      <w:szCs w:val="14"/>
                    </w:rPr>
                  </w:pPr>
                  <w:r w:rsidRPr="00C83D9A">
                    <w:rPr>
                      <w:rFonts w:ascii="Arial" w:eastAsia="Arial" w:hAnsi="Arial" w:cs="Arial"/>
                      <w:sz w:val="14"/>
                      <w:szCs w:val="14"/>
                    </w:rPr>
                    <w:t>Calidad del servicio por los perjuicios derivados de la deficiente calidad del servicio prestado: 15 % del valor del contrato, La vigencia de este amparo debe ser igual al plazo de la Garantía de estabilidad del contrato principal, en cumplimiento del parágrafo del artículo 85 de la Ley 1474 de 2011.</w:t>
                  </w:r>
                </w:p>
              </w:tc>
              <w:tc>
                <w:tcPr>
                  <w:tcW w:w="2268" w:type="dxa"/>
                  <w:tcMar>
                    <w:top w:w="100" w:type="dxa"/>
                    <w:left w:w="100" w:type="dxa"/>
                    <w:bottom w:w="100" w:type="dxa"/>
                    <w:right w:w="100" w:type="dxa"/>
                  </w:tcMar>
                </w:tcPr>
                <w:p w14:paraId="225F5F51" w14:textId="77777777" w:rsidR="00353E55" w:rsidRPr="00C83D9A" w:rsidRDefault="00353E55" w:rsidP="00353E55">
                  <w:pPr>
                    <w:widowControl w:val="0"/>
                    <w:pBdr>
                      <w:top w:val="nil"/>
                      <w:left w:val="nil"/>
                      <w:bottom w:val="nil"/>
                      <w:right w:val="nil"/>
                      <w:between w:val="nil"/>
                    </w:pBdr>
                    <w:rPr>
                      <w:rFonts w:eastAsia="Arial" w:cs="Arial"/>
                      <w:sz w:val="14"/>
                      <w:szCs w:val="14"/>
                    </w:rPr>
                  </w:pPr>
                  <w:r w:rsidRPr="00C83D9A">
                    <w:rPr>
                      <w:rFonts w:ascii="Arial" w:eastAsia="Arial" w:hAnsi="Arial" w:cs="Arial"/>
                      <w:sz w:val="14"/>
                      <w:szCs w:val="14"/>
                    </w:rPr>
                    <w:t>Cumplimiento: 20% del valor del contrato, hasta su liquidación.</w:t>
                  </w:r>
                </w:p>
                <w:p w14:paraId="3FD87C4B" w14:textId="77777777" w:rsidR="00353E55" w:rsidRPr="00C83D9A" w:rsidRDefault="00353E55" w:rsidP="00353E55">
                  <w:pPr>
                    <w:widowControl w:val="0"/>
                    <w:pBdr>
                      <w:top w:val="nil"/>
                      <w:left w:val="nil"/>
                      <w:bottom w:val="nil"/>
                      <w:right w:val="nil"/>
                      <w:between w:val="nil"/>
                    </w:pBdr>
                    <w:rPr>
                      <w:rFonts w:eastAsia="Arial" w:cs="Arial"/>
                      <w:sz w:val="14"/>
                      <w:szCs w:val="14"/>
                    </w:rPr>
                  </w:pPr>
                  <w:r w:rsidRPr="00C83D9A">
                    <w:rPr>
                      <w:rFonts w:ascii="Arial" w:eastAsia="Arial" w:hAnsi="Arial" w:cs="Arial"/>
                      <w:sz w:val="14"/>
                      <w:szCs w:val="14"/>
                    </w:rPr>
                    <w:t>Pago de salarios y prestaciones sociales: 20% con una vigencia igual al término de la duración del contrato y tres (3) años más.</w:t>
                  </w:r>
                </w:p>
                <w:p w14:paraId="6F25293A" w14:textId="77777777" w:rsidR="00353E55" w:rsidRPr="00C83D9A" w:rsidRDefault="00353E55" w:rsidP="00353E55">
                  <w:pPr>
                    <w:widowControl w:val="0"/>
                    <w:pBdr>
                      <w:top w:val="nil"/>
                      <w:left w:val="nil"/>
                      <w:bottom w:val="nil"/>
                      <w:right w:val="nil"/>
                      <w:between w:val="nil"/>
                    </w:pBdr>
                    <w:rPr>
                      <w:rFonts w:eastAsia="Arial" w:cs="Arial"/>
                      <w:sz w:val="14"/>
                      <w:szCs w:val="14"/>
                    </w:rPr>
                  </w:pPr>
                  <w:r w:rsidRPr="00C83D9A">
                    <w:rPr>
                      <w:rFonts w:ascii="Arial" w:eastAsia="Arial" w:hAnsi="Arial" w:cs="Arial"/>
                      <w:sz w:val="14"/>
                      <w:szCs w:val="14"/>
                    </w:rPr>
                    <w:t>Calidad del servicio:20% vigencia duración del contrato y cinco (5) años.</w:t>
                  </w:r>
                </w:p>
                <w:p w14:paraId="7FAB8A0E" w14:textId="77777777" w:rsidR="00353E55" w:rsidRPr="00C83D9A" w:rsidRDefault="00353E55" w:rsidP="00353E55">
                  <w:pPr>
                    <w:widowControl w:val="0"/>
                    <w:rPr>
                      <w:rFonts w:eastAsia="Arial" w:cs="Arial"/>
                      <w:sz w:val="14"/>
                      <w:szCs w:val="14"/>
                    </w:rPr>
                  </w:pPr>
                  <w:r w:rsidRPr="00C83D9A">
                    <w:rPr>
                      <w:rFonts w:ascii="Arial" w:eastAsia="Arial" w:hAnsi="Arial" w:cs="Arial"/>
                      <w:sz w:val="14"/>
                      <w:szCs w:val="14"/>
                    </w:rPr>
                    <w:t>Responsabilidad Civil Extra Contractual: 200SMMLV con una vigencia igual al término del contrato.</w:t>
                  </w:r>
                </w:p>
              </w:tc>
              <w:tc>
                <w:tcPr>
                  <w:tcW w:w="2655" w:type="dxa"/>
                  <w:tcMar>
                    <w:top w:w="100" w:type="dxa"/>
                    <w:left w:w="100" w:type="dxa"/>
                    <w:bottom w:w="100" w:type="dxa"/>
                    <w:right w:w="100" w:type="dxa"/>
                  </w:tcMar>
                </w:tcPr>
                <w:p w14:paraId="72DC422E" w14:textId="77777777" w:rsidR="00353E55" w:rsidRPr="00C83D9A" w:rsidRDefault="00353E55" w:rsidP="00353E55">
                  <w:pPr>
                    <w:widowControl w:val="0"/>
                    <w:rPr>
                      <w:rFonts w:eastAsia="Arial" w:cs="Arial"/>
                      <w:sz w:val="14"/>
                      <w:szCs w:val="14"/>
                    </w:rPr>
                  </w:pPr>
                  <w:r w:rsidRPr="00C83D9A">
                    <w:rPr>
                      <w:rFonts w:ascii="Arial" w:eastAsia="Arial" w:hAnsi="Arial" w:cs="Arial"/>
                      <w:sz w:val="14"/>
                      <w:szCs w:val="14"/>
                    </w:rPr>
                    <w:t>Cumplimiento general del contrato, multas y cláusula penal: 10% del valor del contrato, Hasta la liquidación</w:t>
                  </w:r>
                </w:p>
                <w:p w14:paraId="06E3CBBC" w14:textId="77777777" w:rsidR="00353E55" w:rsidRPr="00C83D9A" w:rsidRDefault="00353E55" w:rsidP="00353E55">
                  <w:pPr>
                    <w:widowControl w:val="0"/>
                    <w:jc w:val="both"/>
                    <w:rPr>
                      <w:rFonts w:eastAsia="Arial" w:cs="Arial"/>
                      <w:sz w:val="14"/>
                      <w:szCs w:val="14"/>
                    </w:rPr>
                  </w:pPr>
                  <w:r w:rsidRPr="00C83D9A">
                    <w:rPr>
                      <w:rFonts w:ascii="Arial" w:eastAsia="Arial" w:hAnsi="Arial" w:cs="Arial"/>
                      <w:sz w:val="14"/>
                      <w:szCs w:val="14"/>
                    </w:rPr>
                    <w:t>Pago de salarios, prestaciones sociales e indemnizaciones laborales: 10% del valor del contrato, Plazo del contrato + 3 años</w:t>
                  </w:r>
                </w:p>
                <w:p w14:paraId="6C0BA9DC" w14:textId="77777777" w:rsidR="00353E55" w:rsidRPr="00C83D9A" w:rsidRDefault="00353E55" w:rsidP="00353E55">
                  <w:pPr>
                    <w:widowControl w:val="0"/>
                    <w:rPr>
                      <w:rFonts w:eastAsia="Arial" w:cs="Arial"/>
                      <w:sz w:val="14"/>
                      <w:szCs w:val="14"/>
                    </w:rPr>
                  </w:pPr>
                  <w:r w:rsidRPr="00C83D9A">
                    <w:rPr>
                      <w:rFonts w:ascii="Arial" w:eastAsia="Arial" w:hAnsi="Arial" w:cs="Arial"/>
                      <w:sz w:val="14"/>
                      <w:szCs w:val="14"/>
                    </w:rPr>
                    <w:t>Calidad del servicio: 20% del valor del contrato, Igual al plazo de la garantía de estabilidad del contrato principal</w:t>
                  </w:r>
                </w:p>
              </w:tc>
            </w:tr>
            <w:tr w:rsidR="00353E55" w14:paraId="17AC182A" w14:textId="77777777" w:rsidTr="00082D1C">
              <w:trPr>
                <w:trHeight w:val="321"/>
                <w:jc w:val="center"/>
              </w:trPr>
              <w:tc>
                <w:tcPr>
                  <w:tcW w:w="2045" w:type="dxa"/>
                  <w:tcMar>
                    <w:top w:w="100" w:type="dxa"/>
                    <w:left w:w="100" w:type="dxa"/>
                    <w:bottom w:w="100" w:type="dxa"/>
                    <w:right w:w="100" w:type="dxa"/>
                  </w:tcMar>
                </w:tcPr>
                <w:p w14:paraId="539B9C4D" w14:textId="77777777" w:rsidR="00353E55" w:rsidRDefault="00353E55" w:rsidP="00353E55">
                  <w:pPr>
                    <w:widowControl w:val="0"/>
                    <w:rPr>
                      <w:rFonts w:eastAsia="Arial" w:cs="Arial"/>
                      <w:sz w:val="14"/>
                      <w:szCs w:val="14"/>
                    </w:rPr>
                  </w:pPr>
                  <w:r>
                    <w:rPr>
                      <w:rFonts w:ascii="Arial" w:eastAsia="Arial" w:hAnsi="Arial" w:cs="Arial"/>
                      <w:sz w:val="14"/>
                      <w:szCs w:val="14"/>
                    </w:rPr>
                    <w:t>Criterios de evaluación</w:t>
                  </w:r>
                </w:p>
              </w:tc>
              <w:tc>
                <w:tcPr>
                  <w:tcW w:w="2268" w:type="dxa"/>
                  <w:tcMar>
                    <w:top w:w="100" w:type="dxa"/>
                    <w:left w:w="100" w:type="dxa"/>
                    <w:bottom w:w="100" w:type="dxa"/>
                    <w:right w:w="100" w:type="dxa"/>
                  </w:tcMar>
                </w:tcPr>
                <w:p w14:paraId="13C82339"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Experiencia del Proponente</w:t>
                  </w:r>
                  <w:r>
                    <w:rPr>
                      <w:rFonts w:ascii="Arial" w:eastAsia="Arial" w:hAnsi="Arial" w:cs="Arial"/>
                      <w:sz w:val="14"/>
                      <w:szCs w:val="14"/>
                    </w:rPr>
                    <w:t xml:space="preserve">: </w:t>
                  </w:r>
                  <w:r w:rsidRPr="00266FF9">
                    <w:rPr>
                      <w:rFonts w:ascii="Arial" w:eastAsia="Arial" w:hAnsi="Arial" w:cs="Arial"/>
                      <w:sz w:val="14"/>
                      <w:szCs w:val="14"/>
                    </w:rPr>
                    <w:t>67,5</w:t>
                  </w:r>
                </w:p>
                <w:p w14:paraId="7FFBEEBC"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Equipo de trabajo (Personal Clave Evaluable)</w:t>
                  </w:r>
                  <w:r>
                    <w:rPr>
                      <w:rFonts w:ascii="Arial" w:eastAsia="Arial" w:hAnsi="Arial" w:cs="Arial"/>
                      <w:sz w:val="14"/>
                      <w:szCs w:val="14"/>
                    </w:rPr>
                    <w:t>:</w:t>
                  </w:r>
                  <w:r w:rsidRPr="00266FF9">
                    <w:rPr>
                      <w:rFonts w:ascii="Arial" w:eastAsia="Arial" w:hAnsi="Arial" w:cs="Arial"/>
                      <w:sz w:val="14"/>
                      <w:szCs w:val="14"/>
                    </w:rPr>
                    <w:tab/>
                    <w:t>10</w:t>
                  </w:r>
                </w:p>
                <w:p w14:paraId="7F02A8DD"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Factor de sostenibilidad</w:t>
                  </w:r>
                  <w:r>
                    <w:rPr>
                      <w:rFonts w:ascii="Arial" w:eastAsia="Arial" w:hAnsi="Arial" w:cs="Arial"/>
                      <w:sz w:val="14"/>
                      <w:szCs w:val="14"/>
                    </w:rPr>
                    <w:t xml:space="preserve">: </w:t>
                  </w:r>
                  <w:r w:rsidRPr="00266FF9">
                    <w:rPr>
                      <w:rFonts w:ascii="Arial" w:eastAsia="Arial" w:hAnsi="Arial" w:cs="Arial"/>
                      <w:sz w:val="14"/>
                      <w:szCs w:val="14"/>
                    </w:rPr>
                    <w:t>1</w:t>
                  </w:r>
                </w:p>
                <w:p w14:paraId="24152F2E"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Apoyo a la industria nacional</w:t>
                  </w:r>
                  <w:r>
                    <w:rPr>
                      <w:rFonts w:ascii="Arial" w:eastAsia="Arial" w:hAnsi="Arial" w:cs="Arial"/>
                      <w:sz w:val="14"/>
                      <w:szCs w:val="14"/>
                    </w:rPr>
                    <w:t xml:space="preserve">: </w:t>
                  </w:r>
                  <w:r w:rsidRPr="00266FF9">
                    <w:rPr>
                      <w:rFonts w:ascii="Arial" w:eastAsia="Arial" w:hAnsi="Arial" w:cs="Arial"/>
                      <w:sz w:val="14"/>
                      <w:szCs w:val="14"/>
                    </w:rPr>
                    <w:t>20</w:t>
                  </w:r>
                </w:p>
                <w:p w14:paraId="5BBFCC27"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Vinculación de personas con discapacidad</w:t>
                  </w:r>
                  <w:r>
                    <w:rPr>
                      <w:rFonts w:ascii="Arial" w:eastAsia="Arial" w:hAnsi="Arial" w:cs="Arial"/>
                      <w:sz w:val="14"/>
                      <w:szCs w:val="14"/>
                    </w:rPr>
                    <w:t xml:space="preserve">: </w:t>
                  </w:r>
                  <w:r w:rsidRPr="00266FF9">
                    <w:rPr>
                      <w:rFonts w:ascii="Arial" w:eastAsia="Arial" w:hAnsi="Arial" w:cs="Arial"/>
                      <w:sz w:val="14"/>
                      <w:szCs w:val="14"/>
                    </w:rPr>
                    <w:t>1</w:t>
                  </w:r>
                </w:p>
                <w:p w14:paraId="6807E934"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Emprendimientos y empresas de mujeres</w:t>
                  </w:r>
                  <w:r>
                    <w:rPr>
                      <w:rFonts w:ascii="Arial" w:eastAsia="Arial" w:hAnsi="Arial" w:cs="Arial"/>
                      <w:sz w:val="14"/>
                      <w:szCs w:val="14"/>
                    </w:rPr>
                    <w:t xml:space="preserve">: </w:t>
                  </w:r>
                  <w:r w:rsidRPr="00266FF9">
                    <w:rPr>
                      <w:rFonts w:ascii="Arial" w:eastAsia="Arial" w:hAnsi="Arial" w:cs="Arial"/>
                      <w:sz w:val="14"/>
                      <w:szCs w:val="14"/>
                    </w:rPr>
                    <w:t>0.25</w:t>
                  </w:r>
                </w:p>
                <w:p w14:paraId="128A6575"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Mipyme</w:t>
                  </w:r>
                  <w:r>
                    <w:rPr>
                      <w:rFonts w:ascii="Arial" w:eastAsia="Arial" w:hAnsi="Arial" w:cs="Arial"/>
                      <w:sz w:val="14"/>
                      <w:szCs w:val="14"/>
                    </w:rPr>
                    <w:t xml:space="preserve">: </w:t>
                  </w:r>
                  <w:r w:rsidRPr="00266FF9">
                    <w:rPr>
                      <w:rFonts w:ascii="Arial" w:eastAsia="Arial" w:hAnsi="Arial" w:cs="Arial"/>
                      <w:sz w:val="14"/>
                      <w:szCs w:val="14"/>
                    </w:rPr>
                    <w:t>0.25</w:t>
                  </w:r>
                </w:p>
                <w:p w14:paraId="6262ECC1" w14:textId="77777777" w:rsidR="00353E55"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Total</w:t>
                  </w:r>
                  <w:r>
                    <w:rPr>
                      <w:rFonts w:ascii="Arial" w:eastAsia="Arial" w:hAnsi="Arial" w:cs="Arial"/>
                      <w:sz w:val="14"/>
                      <w:szCs w:val="14"/>
                    </w:rPr>
                    <w:t xml:space="preserve">: </w:t>
                  </w:r>
                  <w:r w:rsidRPr="00266FF9">
                    <w:rPr>
                      <w:rFonts w:ascii="Arial" w:eastAsia="Arial" w:hAnsi="Arial" w:cs="Arial"/>
                      <w:sz w:val="14"/>
                      <w:szCs w:val="14"/>
                    </w:rPr>
                    <w:t>100</w:t>
                  </w:r>
                </w:p>
              </w:tc>
              <w:tc>
                <w:tcPr>
                  <w:tcW w:w="2268" w:type="dxa"/>
                  <w:tcMar>
                    <w:top w:w="100" w:type="dxa"/>
                    <w:left w:w="100" w:type="dxa"/>
                    <w:bottom w:w="100" w:type="dxa"/>
                    <w:right w:w="100" w:type="dxa"/>
                  </w:tcMar>
                </w:tcPr>
                <w:p w14:paraId="08218B3F"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Experiencia del Proponente</w:t>
                  </w:r>
                  <w:r>
                    <w:rPr>
                      <w:rFonts w:ascii="Arial" w:eastAsia="Arial" w:hAnsi="Arial" w:cs="Arial"/>
                      <w:sz w:val="14"/>
                      <w:szCs w:val="14"/>
                    </w:rPr>
                    <w:t>:</w:t>
                  </w:r>
                  <w:r w:rsidRPr="00266FF9">
                    <w:rPr>
                      <w:rFonts w:ascii="Arial" w:eastAsia="Arial" w:hAnsi="Arial" w:cs="Arial"/>
                      <w:sz w:val="14"/>
                      <w:szCs w:val="14"/>
                    </w:rPr>
                    <w:t>67,</w:t>
                  </w:r>
                  <w:r>
                    <w:rPr>
                      <w:rFonts w:ascii="Arial" w:eastAsia="Arial" w:hAnsi="Arial" w:cs="Arial"/>
                      <w:sz w:val="14"/>
                      <w:szCs w:val="14"/>
                    </w:rPr>
                    <w:t>7</w:t>
                  </w:r>
                  <w:r w:rsidRPr="00266FF9">
                    <w:rPr>
                      <w:rFonts w:ascii="Arial" w:eastAsia="Arial" w:hAnsi="Arial" w:cs="Arial"/>
                      <w:sz w:val="14"/>
                      <w:szCs w:val="14"/>
                    </w:rPr>
                    <w:t>5</w:t>
                  </w:r>
                </w:p>
                <w:p w14:paraId="09E7AF48"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Equipo de trabajo (Personal Clave Evaluable)</w:t>
                  </w:r>
                  <w:r>
                    <w:rPr>
                      <w:rFonts w:ascii="Arial" w:eastAsia="Arial" w:hAnsi="Arial" w:cs="Arial"/>
                      <w:sz w:val="14"/>
                      <w:szCs w:val="14"/>
                    </w:rPr>
                    <w:t>:</w:t>
                  </w:r>
                  <w:r w:rsidRPr="00266FF9">
                    <w:rPr>
                      <w:rFonts w:ascii="Arial" w:eastAsia="Arial" w:hAnsi="Arial" w:cs="Arial"/>
                      <w:sz w:val="14"/>
                      <w:szCs w:val="14"/>
                    </w:rPr>
                    <w:tab/>
                    <w:t>10</w:t>
                  </w:r>
                </w:p>
                <w:p w14:paraId="183C03E6"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Factor de sostenibilidad</w:t>
                  </w:r>
                  <w:r>
                    <w:rPr>
                      <w:rFonts w:ascii="Arial" w:eastAsia="Arial" w:hAnsi="Arial" w:cs="Arial"/>
                      <w:sz w:val="14"/>
                      <w:szCs w:val="14"/>
                    </w:rPr>
                    <w:t xml:space="preserve">: </w:t>
                  </w:r>
                  <w:r w:rsidRPr="00266FF9">
                    <w:rPr>
                      <w:rFonts w:ascii="Arial" w:eastAsia="Arial" w:hAnsi="Arial" w:cs="Arial"/>
                      <w:sz w:val="14"/>
                      <w:szCs w:val="14"/>
                    </w:rPr>
                    <w:t>1</w:t>
                  </w:r>
                </w:p>
                <w:p w14:paraId="516E3E82"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Apoyo a la industria nacional</w:t>
                  </w:r>
                  <w:r>
                    <w:rPr>
                      <w:rFonts w:ascii="Arial" w:eastAsia="Arial" w:hAnsi="Arial" w:cs="Arial"/>
                      <w:sz w:val="14"/>
                      <w:szCs w:val="14"/>
                    </w:rPr>
                    <w:t xml:space="preserve">: </w:t>
                  </w:r>
                  <w:r w:rsidRPr="00266FF9">
                    <w:rPr>
                      <w:rFonts w:ascii="Arial" w:eastAsia="Arial" w:hAnsi="Arial" w:cs="Arial"/>
                      <w:sz w:val="14"/>
                      <w:szCs w:val="14"/>
                    </w:rPr>
                    <w:t>20</w:t>
                  </w:r>
                </w:p>
                <w:p w14:paraId="0D60E4A9"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Vinculación de personas con discapacidad</w:t>
                  </w:r>
                  <w:r>
                    <w:rPr>
                      <w:rFonts w:ascii="Arial" w:eastAsia="Arial" w:hAnsi="Arial" w:cs="Arial"/>
                      <w:sz w:val="14"/>
                      <w:szCs w:val="14"/>
                    </w:rPr>
                    <w:t xml:space="preserve">: </w:t>
                  </w:r>
                  <w:r w:rsidRPr="00266FF9">
                    <w:rPr>
                      <w:rFonts w:ascii="Arial" w:eastAsia="Arial" w:hAnsi="Arial" w:cs="Arial"/>
                      <w:sz w:val="14"/>
                      <w:szCs w:val="14"/>
                    </w:rPr>
                    <w:t>1</w:t>
                  </w:r>
                </w:p>
                <w:p w14:paraId="5930DC4B" w14:textId="77777777" w:rsidR="00353E55" w:rsidRPr="00266FF9" w:rsidRDefault="00353E55" w:rsidP="00353E55">
                  <w:pPr>
                    <w:widowControl w:val="0"/>
                    <w:pBdr>
                      <w:top w:val="nil"/>
                      <w:left w:val="nil"/>
                      <w:bottom w:val="nil"/>
                      <w:right w:val="nil"/>
                      <w:between w:val="nil"/>
                    </w:pBdr>
                    <w:rPr>
                      <w:rFonts w:eastAsia="Arial" w:cs="Arial"/>
                      <w:sz w:val="14"/>
                      <w:szCs w:val="14"/>
                    </w:rPr>
                  </w:pPr>
                  <w:r w:rsidRPr="00266FF9">
                    <w:rPr>
                      <w:rFonts w:ascii="Arial" w:eastAsia="Arial" w:hAnsi="Arial" w:cs="Arial"/>
                      <w:sz w:val="14"/>
                      <w:szCs w:val="14"/>
                    </w:rPr>
                    <w:t>Emprendimientos y empresas de mujeres</w:t>
                  </w:r>
                  <w:r>
                    <w:rPr>
                      <w:rFonts w:ascii="Arial" w:eastAsia="Arial" w:hAnsi="Arial" w:cs="Arial"/>
                      <w:sz w:val="14"/>
                      <w:szCs w:val="14"/>
                    </w:rPr>
                    <w:t xml:space="preserve">: </w:t>
                  </w:r>
                  <w:r w:rsidRPr="00266FF9">
                    <w:rPr>
                      <w:rFonts w:ascii="Arial" w:eastAsia="Arial" w:hAnsi="Arial" w:cs="Arial"/>
                      <w:sz w:val="14"/>
                      <w:szCs w:val="14"/>
                    </w:rPr>
                    <w:t>0.25</w:t>
                  </w:r>
                </w:p>
                <w:p w14:paraId="42800C3A" w14:textId="77777777" w:rsidR="00353E55" w:rsidRDefault="00353E55" w:rsidP="00353E55">
                  <w:pPr>
                    <w:widowControl w:val="0"/>
                    <w:rPr>
                      <w:rFonts w:eastAsia="Arial" w:cs="Arial"/>
                      <w:sz w:val="14"/>
                      <w:szCs w:val="14"/>
                    </w:rPr>
                  </w:pPr>
                  <w:r w:rsidRPr="00266FF9">
                    <w:rPr>
                      <w:rFonts w:ascii="Arial" w:eastAsia="Arial" w:hAnsi="Arial" w:cs="Arial"/>
                      <w:sz w:val="14"/>
                      <w:szCs w:val="14"/>
                    </w:rPr>
                    <w:t>Total</w:t>
                  </w:r>
                  <w:r>
                    <w:rPr>
                      <w:rFonts w:ascii="Arial" w:eastAsia="Arial" w:hAnsi="Arial" w:cs="Arial"/>
                      <w:sz w:val="14"/>
                      <w:szCs w:val="14"/>
                    </w:rPr>
                    <w:t xml:space="preserve">: </w:t>
                  </w:r>
                  <w:r w:rsidRPr="00266FF9">
                    <w:rPr>
                      <w:rFonts w:ascii="Arial" w:eastAsia="Arial" w:hAnsi="Arial" w:cs="Arial"/>
                      <w:sz w:val="14"/>
                      <w:szCs w:val="14"/>
                    </w:rPr>
                    <w:t>100</w:t>
                  </w:r>
                </w:p>
              </w:tc>
              <w:tc>
                <w:tcPr>
                  <w:tcW w:w="2655" w:type="dxa"/>
                  <w:tcMar>
                    <w:top w:w="100" w:type="dxa"/>
                    <w:left w:w="100" w:type="dxa"/>
                    <w:bottom w:w="100" w:type="dxa"/>
                    <w:right w:w="100" w:type="dxa"/>
                  </w:tcMar>
                </w:tcPr>
                <w:p w14:paraId="4561E4E3" w14:textId="77777777" w:rsidR="00353E55" w:rsidRPr="00B334BA" w:rsidRDefault="00353E55" w:rsidP="00353E55">
                  <w:pPr>
                    <w:widowControl w:val="0"/>
                    <w:rPr>
                      <w:rFonts w:eastAsia="Arial" w:cs="Arial"/>
                      <w:sz w:val="14"/>
                      <w:szCs w:val="14"/>
                    </w:rPr>
                  </w:pPr>
                  <w:r w:rsidRPr="00B334BA">
                    <w:rPr>
                      <w:rFonts w:ascii="Arial" w:eastAsia="Arial" w:hAnsi="Arial" w:cs="Arial"/>
                      <w:sz w:val="14"/>
                      <w:szCs w:val="14"/>
                    </w:rPr>
                    <w:t>Experiencia del Proponente: 67,5</w:t>
                  </w:r>
                </w:p>
                <w:p w14:paraId="5796ADCF" w14:textId="77777777" w:rsidR="00353E55" w:rsidRPr="00B334BA" w:rsidRDefault="00353E55" w:rsidP="00353E55">
                  <w:pPr>
                    <w:widowControl w:val="0"/>
                    <w:rPr>
                      <w:rFonts w:eastAsia="Arial" w:cs="Arial"/>
                      <w:sz w:val="14"/>
                      <w:szCs w:val="14"/>
                    </w:rPr>
                  </w:pPr>
                  <w:r w:rsidRPr="00B334BA">
                    <w:rPr>
                      <w:rFonts w:ascii="Arial" w:eastAsia="Arial" w:hAnsi="Arial" w:cs="Arial"/>
                      <w:sz w:val="14"/>
                      <w:szCs w:val="14"/>
                    </w:rPr>
                    <w:t>Equipo de trabajo (Personal Clave Evaluable):</w:t>
                  </w:r>
                  <w:r w:rsidRPr="00B334BA">
                    <w:rPr>
                      <w:rFonts w:ascii="Arial" w:eastAsia="Arial" w:hAnsi="Arial" w:cs="Arial"/>
                      <w:sz w:val="14"/>
                      <w:szCs w:val="14"/>
                    </w:rPr>
                    <w:tab/>
                    <w:t>10</w:t>
                  </w:r>
                </w:p>
                <w:p w14:paraId="4A96B3C4" w14:textId="77777777" w:rsidR="00353E55" w:rsidRPr="00B334BA" w:rsidRDefault="00353E55" w:rsidP="00353E55">
                  <w:pPr>
                    <w:widowControl w:val="0"/>
                    <w:rPr>
                      <w:rFonts w:eastAsia="Arial" w:cs="Arial"/>
                      <w:sz w:val="14"/>
                      <w:szCs w:val="14"/>
                    </w:rPr>
                  </w:pPr>
                  <w:r w:rsidRPr="00B334BA">
                    <w:rPr>
                      <w:rFonts w:ascii="Arial" w:eastAsia="Arial" w:hAnsi="Arial" w:cs="Arial"/>
                      <w:sz w:val="14"/>
                      <w:szCs w:val="14"/>
                    </w:rPr>
                    <w:t>Factor de sostenibilidad: 1</w:t>
                  </w:r>
                </w:p>
                <w:p w14:paraId="127B50AE" w14:textId="77777777" w:rsidR="00353E55" w:rsidRPr="00B334BA" w:rsidRDefault="00353E55" w:rsidP="00353E55">
                  <w:pPr>
                    <w:widowControl w:val="0"/>
                    <w:rPr>
                      <w:rFonts w:eastAsia="Arial" w:cs="Arial"/>
                      <w:sz w:val="14"/>
                      <w:szCs w:val="14"/>
                    </w:rPr>
                  </w:pPr>
                  <w:r w:rsidRPr="00B334BA">
                    <w:rPr>
                      <w:rFonts w:ascii="Arial" w:eastAsia="Arial" w:hAnsi="Arial" w:cs="Arial"/>
                      <w:sz w:val="14"/>
                      <w:szCs w:val="14"/>
                    </w:rPr>
                    <w:t>Apoyo a la industria nacional: 20</w:t>
                  </w:r>
                </w:p>
                <w:p w14:paraId="1FD2DAF6" w14:textId="77777777" w:rsidR="00353E55" w:rsidRPr="00B334BA" w:rsidRDefault="00353E55" w:rsidP="00353E55">
                  <w:pPr>
                    <w:widowControl w:val="0"/>
                    <w:rPr>
                      <w:rFonts w:eastAsia="Arial" w:cs="Arial"/>
                      <w:sz w:val="14"/>
                      <w:szCs w:val="14"/>
                    </w:rPr>
                  </w:pPr>
                  <w:r w:rsidRPr="00B334BA">
                    <w:rPr>
                      <w:rFonts w:ascii="Arial" w:eastAsia="Arial" w:hAnsi="Arial" w:cs="Arial"/>
                      <w:sz w:val="14"/>
                      <w:szCs w:val="14"/>
                    </w:rPr>
                    <w:t>Vinculación de personas con discapacidad: 1</w:t>
                  </w:r>
                </w:p>
                <w:p w14:paraId="7726C83C" w14:textId="77777777" w:rsidR="00353E55" w:rsidRPr="00B334BA" w:rsidRDefault="00353E55" w:rsidP="00353E55">
                  <w:pPr>
                    <w:widowControl w:val="0"/>
                    <w:rPr>
                      <w:rFonts w:eastAsia="Arial" w:cs="Arial"/>
                      <w:sz w:val="14"/>
                      <w:szCs w:val="14"/>
                    </w:rPr>
                  </w:pPr>
                  <w:r w:rsidRPr="00B334BA">
                    <w:rPr>
                      <w:rFonts w:ascii="Arial" w:eastAsia="Arial" w:hAnsi="Arial" w:cs="Arial"/>
                      <w:sz w:val="14"/>
                      <w:szCs w:val="14"/>
                    </w:rPr>
                    <w:t>Emprendimientos y empresas de mujeres: 0.25</w:t>
                  </w:r>
                </w:p>
                <w:p w14:paraId="25DCA0D5" w14:textId="77777777" w:rsidR="00353E55" w:rsidRDefault="00353E55" w:rsidP="00353E55">
                  <w:pPr>
                    <w:widowControl w:val="0"/>
                    <w:rPr>
                      <w:rFonts w:eastAsia="Arial" w:cs="Arial"/>
                      <w:sz w:val="14"/>
                      <w:szCs w:val="14"/>
                    </w:rPr>
                  </w:pPr>
                  <w:r w:rsidRPr="00B334BA">
                    <w:rPr>
                      <w:rFonts w:ascii="Arial" w:eastAsia="Arial" w:hAnsi="Arial" w:cs="Arial"/>
                      <w:sz w:val="14"/>
                      <w:szCs w:val="14"/>
                    </w:rPr>
                    <w:t>Mipyme: 0.25</w:t>
                  </w:r>
                </w:p>
                <w:p w14:paraId="1C12C8BF" w14:textId="77777777" w:rsidR="00353E55" w:rsidRDefault="00353E55" w:rsidP="00353E55">
                  <w:pPr>
                    <w:widowControl w:val="0"/>
                    <w:rPr>
                      <w:rFonts w:eastAsia="Arial" w:cs="Arial"/>
                      <w:sz w:val="14"/>
                      <w:szCs w:val="14"/>
                    </w:rPr>
                  </w:pPr>
                  <w:r w:rsidRPr="00266FF9">
                    <w:rPr>
                      <w:rFonts w:ascii="Arial" w:eastAsia="Arial" w:hAnsi="Arial" w:cs="Arial"/>
                      <w:sz w:val="14"/>
                      <w:szCs w:val="14"/>
                    </w:rPr>
                    <w:t>Total</w:t>
                  </w:r>
                  <w:r>
                    <w:rPr>
                      <w:rFonts w:ascii="Arial" w:eastAsia="Arial" w:hAnsi="Arial" w:cs="Arial"/>
                      <w:sz w:val="14"/>
                      <w:szCs w:val="14"/>
                    </w:rPr>
                    <w:t xml:space="preserve">: </w:t>
                  </w:r>
                  <w:r w:rsidRPr="00266FF9">
                    <w:rPr>
                      <w:rFonts w:ascii="Arial" w:eastAsia="Arial" w:hAnsi="Arial" w:cs="Arial"/>
                      <w:sz w:val="14"/>
                      <w:szCs w:val="14"/>
                    </w:rPr>
                    <w:t>100</w:t>
                  </w:r>
                </w:p>
              </w:tc>
            </w:tr>
          </w:tbl>
          <w:p w14:paraId="1B08FFFB" w14:textId="0219C795" w:rsidR="00D768A3" w:rsidRDefault="00A0753E" w:rsidP="00353E55">
            <w:pPr>
              <w:jc w:val="center"/>
              <w:rPr>
                <w:rFonts w:ascii="Arial" w:eastAsia="Arial" w:hAnsi="Arial" w:cs="Arial"/>
                <w:color w:val="000000"/>
              </w:rPr>
            </w:pPr>
            <w:r>
              <w:rPr>
                <w:rFonts w:ascii="Arial" w:eastAsia="Arial" w:hAnsi="Arial" w:cs="Arial"/>
                <w:color w:val="000000"/>
              </w:rPr>
              <w:t xml:space="preserve">Fuente: </w:t>
            </w:r>
            <w:r w:rsidR="00F1375B">
              <w:rPr>
                <w:rFonts w:ascii="Arial" w:eastAsia="Arial" w:hAnsi="Arial" w:cs="Arial"/>
                <w:color w:val="000000"/>
              </w:rPr>
              <w:t xml:space="preserve">Datos abiertos - </w:t>
            </w:r>
            <w:r>
              <w:rPr>
                <w:rFonts w:ascii="Arial" w:eastAsia="Arial" w:hAnsi="Arial" w:cs="Arial"/>
                <w:color w:val="000000"/>
              </w:rPr>
              <w:t>SECOP II</w:t>
            </w:r>
          </w:p>
          <w:p w14:paraId="43510E7C" w14:textId="46EF6CA3" w:rsidR="00D768A3" w:rsidRDefault="00D768A3">
            <w:pPr>
              <w:rPr>
                <w:rFonts w:ascii="Arial" w:eastAsia="Arial" w:hAnsi="Arial" w:cs="Arial"/>
                <w:color w:val="000000"/>
              </w:rPr>
            </w:pPr>
          </w:p>
        </w:tc>
      </w:tr>
      <w:tr w:rsidR="00D768A3" w14:paraId="42212E7E"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2D6B66C" w14:textId="77777777" w:rsidR="00D768A3" w:rsidRPr="00D67D8A" w:rsidRDefault="00A0753E">
            <w:pPr>
              <w:widowControl/>
              <w:numPr>
                <w:ilvl w:val="1"/>
                <w:numId w:val="1"/>
              </w:numPr>
              <w:pBdr>
                <w:top w:val="nil"/>
                <w:left w:val="nil"/>
                <w:bottom w:val="nil"/>
                <w:right w:val="nil"/>
                <w:between w:val="nil"/>
              </w:pBdr>
              <w:spacing w:before="60" w:after="60"/>
              <w:ind w:left="454" w:hanging="454"/>
              <w:jc w:val="both"/>
              <w:rPr>
                <w:rFonts w:ascii="Arial" w:eastAsia="Arial" w:hAnsi="Arial" w:cs="Arial"/>
                <w:color w:val="000000"/>
                <w:sz w:val="8"/>
                <w:szCs w:val="8"/>
                <w:lang w:val="es-CO"/>
              </w:rPr>
            </w:pPr>
            <w:r w:rsidRPr="00D67D8A">
              <w:rPr>
                <w:rFonts w:ascii="Arial" w:eastAsia="Arial" w:hAnsi="Arial" w:cs="Arial"/>
                <w:color w:val="000000"/>
                <w:sz w:val="24"/>
                <w:szCs w:val="24"/>
                <w:lang w:val="es-CO"/>
              </w:rPr>
              <w:lastRenderedPageBreak/>
              <w:t>CONSULTA DE PROCESOS DE CONTRATACIÓN DE OTRAS ENTIDADES ESTATALES A TRAVÉS DEL MODELO DE ABASTECIMIENTO ESTRATÉGICO</w:t>
            </w:r>
          </w:p>
        </w:tc>
      </w:tr>
      <w:tr w:rsidR="00D768A3" w14:paraId="034A2EB0"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E0168C6" w14:textId="77777777" w:rsidR="00D768A3" w:rsidRDefault="00A0753E">
            <w:pPr>
              <w:widowControl/>
              <w:numPr>
                <w:ilvl w:val="0"/>
                <w:numId w:val="4"/>
              </w:num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Estudio de la Demanda </w:t>
            </w:r>
          </w:p>
          <w:p w14:paraId="671D34F7" w14:textId="77777777" w:rsidR="00D768A3" w:rsidRPr="00D67D8A" w:rsidRDefault="00A0753E">
            <w:pP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 xml:space="preserve">En este apartado se analizan los factores que impactan en el sector a evaluar, con el fin </w:t>
            </w:r>
            <w:r w:rsidRPr="00D67D8A">
              <w:rPr>
                <w:rFonts w:ascii="Arial" w:eastAsia="Arial" w:hAnsi="Arial" w:cs="Arial"/>
                <w:color w:val="000000"/>
                <w:sz w:val="24"/>
                <w:szCs w:val="24"/>
                <w:lang w:val="es-CO"/>
              </w:rPr>
              <w:lastRenderedPageBreak/>
              <w:t>de identificar las modalidades de selección comúnmente utilizadas, como ha sido la compra en los últimos años de esta categoría, que oferentes existen y como participan. Lo anterior con el fin de obtener información relevante para el proceso de contratación. Se analizó el histórico de contratación con base en información del Modelo de Abastecimiento Estratégico de CCE (MAE).</w:t>
            </w:r>
          </w:p>
          <w:p w14:paraId="6685DB0B" w14:textId="77777777" w:rsidR="00D768A3" w:rsidRPr="00D67D8A" w:rsidRDefault="00D768A3">
            <w:pPr>
              <w:jc w:val="both"/>
              <w:rPr>
                <w:rFonts w:ascii="Arial" w:eastAsia="Arial" w:hAnsi="Arial" w:cs="Arial"/>
                <w:color w:val="000000"/>
                <w:sz w:val="24"/>
                <w:szCs w:val="24"/>
                <w:lang w:val="es-CO"/>
              </w:rPr>
            </w:pPr>
          </w:p>
          <w:p w14:paraId="0A4BEAA4" w14:textId="5881D357" w:rsidR="00DC239A" w:rsidRDefault="00A0753E">
            <w:pP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Se filtro la información durante el periodo 01/01/202</w:t>
            </w:r>
            <w:r w:rsidR="00B42ACF">
              <w:rPr>
                <w:rFonts w:ascii="Arial" w:eastAsia="Arial" w:hAnsi="Arial" w:cs="Arial"/>
                <w:color w:val="000000"/>
                <w:sz w:val="24"/>
                <w:szCs w:val="24"/>
                <w:lang w:val="es-CO"/>
              </w:rPr>
              <w:t>1</w:t>
            </w:r>
            <w:r w:rsidRPr="00D67D8A">
              <w:rPr>
                <w:rFonts w:ascii="Arial" w:eastAsia="Arial" w:hAnsi="Arial" w:cs="Arial"/>
                <w:color w:val="000000"/>
                <w:sz w:val="24"/>
                <w:szCs w:val="24"/>
                <w:lang w:val="es-CO"/>
              </w:rPr>
              <w:t xml:space="preserve"> - </w:t>
            </w:r>
            <w:r w:rsidR="00B42ACF">
              <w:rPr>
                <w:rFonts w:ascii="Arial" w:eastAsia="Arial" w:hAnsi="Arial" w:cs="Arial"/>
                <w:color w:val="000000"/>
                <w:sz w:val="24"/>
                <w:szCs w:val="24"/>
                <w:lang w:val="es-CO"/>
              </w:rPr>
              <w:t>0</w:t>
            </w:r>
            <w:r w:rsidRPr="00D67D8A">
              <w:rPr>
                <w:rFonts w:ascii="Arial" w:eastAsia="Arial" w:hAnsi="Arial" w:cs="Arial"/>
                <w:color w:val="000000"/>
                <w:sz w:val="24"/>
                <w:szCs w:val="24"/>
                <w:lang w:val="es-CO"/>
              </w:rPr>
              <w:t>1/</w:t>
            </w:r>
            <w:r w:rsidR="00B42ACF">
              <w:rPr>
                <w:rFonts w:ascii="Arial" w:eastAsia="Arial" w:hAnsi="Arial" w:cs="Arial"/>
                <w:color w:val="000000"/>
                <w:sz w:val="24"/>
                <w:szCs w:val="24"/>
                <w:lang w:val="es-CO"/>
              </w:rPr>
              <w:t>01</w:t>
            </w:r>
            <w:r w:rsidRPr="00D67D8A">
              <w:rPr>
                <w:rFonts w:ascii="Arial" w:eastAsia="Arial" w:hAnsi="Arial" w:cs="Arial"/>
                <w:color w:val="000000"/>
                <w:sz w:val="24"/>
                <w:szCs w:val="24"/>
                <w:lang w:val="es-CO"/>
              </w:rPr>
              <w:t>/202</w:t>
            </w:r>
            <w:r w:rsidR="00B42ACF">
              <w:rPr>
                <w:rFonts w:ascii="Arial" w:eastAsia="Arial" w:hAnsi="Arial" w:cs="Arial"/>
                <w:color w:val="000000"/>
                <w:sz w:val="24"/>
                <w:szCs w:val="24"/>
                <w:lang w:val="es-CO"/>
              </w:rPr>
              <w:t>6</w:t>
            </w:r>
            <w:r w:rsidRPr="00D67D8A">
              <w:rPr>
                <w:rFonts w:ascii="Arial" w:eastAsia="Arial" w:hAnsi="Arial" w:cs="Arial"/>
                <w:color w:val="000000"/>
                <w:sz w:val="24"/>
                <w:szCs w:val="24"/>
                <w:lang w:val="es-CO"/>
              </w:rPr>
              <w:t xml:space="preserve"> (últimos </w:t>
            </w:r>
            <w:r w:rsidR="00A33199">
              <w:rPr>
                <w:rFonts w:ascii="Arial" w:eastAsia="Arial" w:hAnsi="Arial" w:cs="Arial"/>
                <w:color w:val="000000"/>
                <w:sz w:val="24"/>
                <w:szCs w:val="24"/>
                <w:lang w:val="es-CO"/>
              </w:rPr>
              <w:t>5</w:t>
            </w:r>
            <w:r w:rsidRPr="00D67D8A">
              <w:rPr>
                <w:rFonts w:ascii="Arial" w:eastAsia="Arial" w:hAnsi="Arial" w:cs="Arial"/>
                <w:color w:val="000000"/>
                <w:sz w:val="24"/>
                <w:szCs w:val="24"/>
                <w:lang w:val="es-CO"/>
              </w:rPr>
              <w:t xml:space="preserve"> años), identificado con el código UNSPSC 80101600-Gerencia de Proyectos</w:t>
            </w:r>
            <w:r w:rsidR="009F464A">
              <w:rPr>
                <w:rFonts w:ascii="Arial" w:eastAsia="Arial" w:hAnsi="Arial" w:cs="Arial"/>
                <w:color w:val="000000"/>
                <w:sz w:val="24"/>
                <w:szCs w:val="24"/>
                <w:lang w:val="es-CO"/>
              </w:rPr>
              <w:t xml:space="preserve">, 811015 </w:t>
            </w:r>
            <w:r w:rsidR="00DC239A">
              <w:rPr>
                <w:rFonts w:ascii="Arial" w:eastAsia="Arial" w:hAnsi="Arial" w:cs="Arial"/>
                <w:color w:val="000000"/>
                <w:sz w:val="24"/>
                <w:szCs w:val="24"/>
                <w:lang w:val="es-CO"/>
              </w:rPr>
              <w:t>ingeniería</w:t>
            </w:r>
            <w:r w:rsidR="009F464A">
              <w:rPr>
                <w:rFonts w:ascii="Arial" w:eastAsia="Arial" w:hAnsi="Arial" w:cs="Arial"/>
                <w:color w:val="000000"/>
                <w:sz w:val="24"/>
                <w:szCs w:val="24"/>
                <w:lang w:val="es-CO"/>
              </w:rPr>
              <w:t>.</w:t>
            </w:r>
          </w:p>
          <w:p w14:paraId="3774F047" w14:textId="77777777" w:rsidR="00DC239A" w:rsidRDefault="00DC239A">
            <w:pPr>
              <w:jc w:val="both"/>
              <w:rPr>
                <w:rFonts w:ascii="Arial" w:eastAsia="Arial" w:hAnsi="Arial" w:cs="Arial"/>
                <w:color w:val="000000"/>
                <w:sz w:val="24"/>
                <w:szCs w:val="24"/>
                <w:lang w:val="es-CO"/>
              </w:rPr>
            </w:pPr>
          </w:p>
          <w:p w14:paraId="383123BE" w14:textId="1C32974E" w:rsidR="00D768A3" w:rsidRPr="00D67D8A" w:rsidRDefault="00A0753E">
            <w:pP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A continuación, se presentan las gráficas resultantes de los filtros aplicados:</w:t>
            </w:r>
          </w:p>
          <w:p w14:paraId="5034F555" w14:textId="77777777" w:rsidR="00D768A3" w:rsidRPr="00D67D8A" w:rsidRDefault="00D768A3">
            <w:pPr>
              <w:jc w:val="both"/>
              <w:rPr>
                <w:rFonts w:ascii="Arial" w:eastAsia="Arial" w:hAnsi="Arial" w:cs="Arial"/>
                <w:color w:val="000000"/>
                <w:sz w:val="24"/>
                <w:szCs w:val="24"/>
                <w:lang w:val="es-CO"/>
              </w:rPr>
            </w:pPr>
          </w:p>
          <w:p w14:paraId="1AB49865" w14:textId="3D5BA355" w:rsidR="00D768A3" w:rsidRDefault="00DC239A">
            <w:pPr>
              <w:jc w:val="center"/>
              <w:rPr>
                <w:rFonts w:ascii="Arial" w:eastAsia="Arial" w:hAnsi="Arial" w:cs="Arial"/>
                <w:color w:val="000000"/>
                <w:sz w:val="24"/>
                <w:szCs w:val="24"/>
              </w:rPr>
            </w:pPr>
            <w:r w:rsidRPr="00DC239A">
              <w:rPr>
                <w:rFonts w:ascii="Arial" w:eastAsia="Arial" w:hAnsi="Arial" w:cs="Arial"/>
                <w:noProof/>
                <w:color w:val="000000"/>
                <w:sz w:val="24"/>
                <w:szCs w:val="24"/>
              </w:rPr>
              <w:drawing>
                <wp:inline distT="0" distB="0" distL="0" distR="0" wp14:anchorId="7F95D37C" wp14:editId="32F426A1">
                  <wp:extent cx="5829300" cy="3766185"/>
                  <wp:effectExtent l="0" t="0" r="0" b="5715"/>
                  <wp:docPr id="3298166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16611" name=""/>
                          <pic:cNvPicPr/>
                        </pic:nvPicPr>
                        <pic:blipFill>
                          <a:blip r:embed="rId32"/>
                          <a:stretch>
                            <a:fillRect/>
                          </a:stretch>
                        </pic:blipFill>
                        <pic:spPr>
                          <a:xfrm>
                            <a:off x="0" y="0"/>
                            <a:ext cx="5829300" cy="3766185"/>
                          </a:xfrm>
                          <a:prstGeom prst="rect">
                            <a:avLst/>
                          </a:prstGeom>
                        </pic:spPr>
                      </pic:pic>
                    </a:graphicData>
                  </a:graphic>
                </wp:inline>
              </w:drawing>
            </w:r>
          </w:p>
          <w:p w14:paraId="1D471E5B" w14:textId="77777777" w:rsidR="00D768A3" w:rsidRPr="00D67D8A" w:rsidRDefault="00A0753E" w:rsidP="00DC239A">
            <w:pPr>
              <w:jc w:val="center"/>
              <w:rPr>
                <w:rFonts w:ascii="Arial" w:eastAsia="Arial" w:hAnsi="Arial" w:cs="Arial"/>
                <w:color w:val="000000"/>
                <w:sz w:val="16"/>
                <w:szCs w:val="16"/>
                <w:lang w:val="es-CO"/>
              </w:rPr>
            </w:pPr>
            <w:r w:rsidRPr="00D67D8A">
              <w:rPr>
                <w:rFonts w:ascii="Arial" w:eastAsia="Arial" w:hAnsi="Arial" w:cs="Arial"/>
                <w:color w:val="000000"/>
                <w:sz w:val="16"/>
                <w:szCs w:val="16"/>
                <w:lang w:val="es-CO"/>
              </w:rPr>
              <w:t>Fuente: Agencia Colombiana para la Contratación Pública – Colombia Compra Eficiente – CCE, Modelo de Abastecimiento Estratégico, Herramienta de Análisis de la Demanda.</w:t>
            </w:r>
          </w:p>
          <w:p w14:paraId="443F42D3" w14:textId="77777777" w:rsidR="003C3695" w:rsidRDefault="003C3695">
            <w:pPr>
              <w:jc w:val="both"/>
              <w:rPr>
                <w:rFonts w:ascii="Arial" w:eastAsia="Arial" w:hAnsi="Arial" w:cs="Arial"/>
                <w:color w:val="000000"/>
                <w:sz w:val="24"/>
                <w:szCs w:val="24"/>
                <w:lang w:val="es"/>
              </w:rPr>
            </w:pPr>
          </w:p>
          <w:p w14:paraId="4C643D5C" w14:textId="56638DAE" w:rsidR="00D768A3" w:rsidRPr="00D67D8A" w:rsidRDefault="003C3695">
            <w:pPr>
              <w:jc w:val="both"/>
              <w:rPr>
                <w:rFonts w:ascii="Arial" w:eastAsia="Arial" w:hAnsi="Arial" w:cs="Arial"/>
                <w:color w:val="000000"/>
                <w:sz w:val="24"/>
                <w:szCs w:val="24"/>
                <w:lang w:val="es-CO"/>
              </w:rPr>
            </w:pPr>
            <w:r w:rsidRPr="003C3695">
              <w:rPr>
                <w:rFonts w:ascii="Arial" w:eastAsia="Arial" w:hAnsi="Arial" w:cs="Arial"/>
                <w:color w:val="000000"/>
                <w:sz w:val="24"/>
                <w:szCs w:val="24"/>
                <w:lang w:val="es"/>
              </w:rPr>
              <w:t xml:space="preserve">El análisis del comportamiento histórico de la demanda evidencia que la contratación </w:t>
            </w:r>
            <w:r w:rsidRPr="003C3695">
              <w:rPr>
                <w:rFonts w:ascii="Arial" w:eastAsia="Arial" w:hAnsi="Arial" w:cs="Arial"/>
                <w:color w:val="000000"/>
                <w:sz w:val="24"/>
                <w:szCs w:val="24"/>
                <w:lang w:val="es"/>
              </w:rPr>
              <w:lastRenderedPageBreak/>
              <w:t>asociada a los códigos UNSPSC objeto de consulta ha presentado una dinámica constante durante el período analizado, observándose variaciones tanto en el valor contratado como en el número de contratos celebrados. Particularmente, se identifica un incremento significativo del gasto durante el último año del período analizado, lo que refleja una mayor inversión de las entidades estatales en servicios relacionados con la gerencia de proyectos y la ingeniería. De igual manera, el número de contratos presenta una tendencia creciente, evidenciando una demanda sostenida por este tipo de servicios en el Sistema de Compra Pública.</w:t>
            </w:r>
          </w:p>
          <w:p w14:paraId="3C92C405" w14:textId="77777777" w:rsidR="00D768A3" w:rsidRPr="00D67D8A" w:rsidRDefault="00D768A3">
            <w:pPr>
              <w:jc w:val="both"/>
              <w:rPr>
                <w:rFonts w:ascii="Arial" w:eastAsia="Arial" w:hAnsi="Arial" w:cs="Arial"/>
                <w:color w:val="000000"/>
                <w:sz w:val="24"/>
                <w:szCs w:val="24"/>
                <w:lang w:val="es-CO"/>
              </w:rPr>
            </w:pPr>
          </w:p>
          <w:p w14:paraId="6576C63C" w14:textId="3DEA62DC" w:rsidR="00D768A3" w:rsidRDefault="008C5C4D">
            <w:pPr>
              <w:jc w:val="center"/>
              <w:rPr>
                <w:rFonts w:ascii="Arial" w:eastAsia="Arial" w:hAnsi="Arial" w:cs="Arial"/>
                <w:color w:val="000000"/>
                <w:sz w:val="24"/>
                <w:szCs w:val="24"/>
              </w:rPr>
            </w:pPr>
            <w:r w:rsidRPr="008C5C4D">
              <w:rPr>
                <w:rFonts w:ascii="Arial" w:eastAsia="Arial" w:hAnsi="Arial" w:cs="Arial"/>
                <w:noProof/>
                <w:color w:val="000000"/>
                <w:sz w:val="24"/>
                <w:szCs w:val="24"/>
              </w:rPr>
              <w:drawing>
                <wp:inline distT="0" distB="0" distL="0" distR="0" wp14:anchorId="63DF6624" wp14:editId="31ED0454">
                  <wp:extent cx="5848350" cy="2863850"/>
                  <wp:effectExtent l="0" t="0" r="0" b="0"/>
                  <wp:docPr id="6542066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06690" name=""/>
                          <pic:cNvPicPr/>
                        </pic:nvPicPr>
                        <pic:blipFill>
                          <a:blip r:embed="rId33"/>
                          <a:stretch>
                            <a:fillRect/>
                          </a:stretch>
                        </pic:blipFill>
                        <pic:spPr>
                          <a:xfrm>
                            <a:off x="0" y="0"/>
                            <a:ext cx="5848350" cy="2863850"/>
                          </a:xfrm>
                          <a:prstGeom prst="rect">
                            <a:avLst/>
                          </a:prstGeom>
                        </pic:spPr>
                      </pic:pic>
                    </a:graphicData>
                  </a:graphic>
                </wp:inline>
              </w:drawing>
            </w:r>
          </w:p>
          <w:p w14:paraId="0C56FF56" w14:textId="77777777" w:rsidR="008C49A9" w:rsidRDefault="008C49A9" w:rsidP="008C5C4D">
            <w:pPr>
              <w:jc w:val="center"/>
              <w:rPr>
                <w:rFonts w:ascii="Arial" w:eastAsia="Arial" w:hAnsi="Arial" w:cs="Arial"/>
                <w:color w:val="000000"/>
                <w:sz w:val="16"/>
                <w:szCs w:val="16"/>
                <w:lang w:val="es-CO"/>
              </w:rPr>
            </w:pPr>
          </w:p>
          <w:p w14:paraId="4F2010BF" w14:textId="77777777" w:rsidR="002348E0" w:rsidRDefault="002348E0" w:rsidP="002348E0">
            <w:pPr>
              <w:jc w:val="both"/>
              <w:rPr>
                <w:rFonts w:ascii="Arial" w:eastAsia="Arial" w:hAnsi="Arial" w:cs="Arial"/>
                <w:color w:val="000000"/>
                <w:sz w:val="24"/>
                <w:szCs w:val="24"/>
                <w:lang w:val="es"/>
              </w:rPr>
            </w:pPr>
            <w:r w:rsidRPr="003C3695">
              <w:rPr>
                <w:rFonts w:ascii="Arial" w:eastAsia="Arial" w:hAnsi="Arial" w:cs="Arial"/>
                <w:color w:val="000000"/>
                <w:sz w:val="24"/>
                <w:szCs w:val="24"/>
                <w:lang w:val="es"/>
              </w:rPr>
              <w:t xml:space="preserve">El análisis por familia de bienes y servicios evidencia que el código </w:t>
            </w:r>
            <w:r w:rsidRPr="003C3695">
              <w:rPr>
                <w:rFonts w:ascii="Arial" w:eastAsia="Arial" w:hAnsi="Arial" w:cs="Arial"/>
                <w:b/>
                <w:bCs/>
                <w:color w:val="000000"/>
                <w:sz w:val="24"/>
                <w:szCs w:val="24"/>
                <w:lang w:val="es"/>
              </w:rPr>
              <w:t>801016 – Gerencia de proyectos</w:t>
            </w:r>
            <w:r w:rsidRPr="003C3695">
              <w:rPr>
                <w:rFonts w:ascii="Arial" w:eastAsia="Arial" w:hAnsi="Arial" w:cs="Arial"/>
                <w:color w:val="000000"/>
                <w:sz w:val="24"/>
                <w:szCs w:val="24"/>
                <w:lang w:val="es"/>
              </w:rPr>
              <w:t xml:space="preserve"> concentra la mayor participación del valor contratado, seguido por la familia </w:t>
            </w:r>
            <w:r w:rsidRPr="003C3695">
              <w:rPr>
                <w:rFonts w:ascii="Arial" w:eastAsia="Arial" w:hAnsi="Arial" w:cs="Arial"/>
                <w:b/>
                <w:bCs/>
                <w:color w:val="000000"/>
                <w:sz w:val="24"/>
                <w:szCs w:val="24"/>
                <w:lang w:val="es"/>
              </w:rPr>
              <w:t>811015 – Ingeniería civil</w:t>
            </w:r>
            <w:r w:rsidRPr="003C3695">
              <w:rPr>
                <w:rFonts w:ascii="Arial" w:eastAsia="Arial" w:hAnsi="Arial" w:cs="Arial"/>
                <w:color w:val="000000"/>
                <w:sz w:val="24"/>
                <w:szCs w:val="24"/>
                <w:lang w:val="es"/>
              </w:rPr>
              <w:t>. Este comportamiento demuestra que las entidades estatales demandan principalmente servicios relacionados con la planeación, administración y gestión integral de proyectos, sin desconocer la importancia de los servicios especializados de ingeniería para la ejecución y supervisión de proyectos de infraestructura. Lo anterior confirma que ambos códigos representan adecuadamente el mercado asociado al objeto del presente proceso contractual.</w:t>
            </w:r>
          </w:p>
          <w:p w14:paraId="6ABF1FB9" w14:textId="15702E4D" w:rsidR="008C49A9" w:rsidRPr="002348E0" w:rsidRDefault="008C49A9" w:rsidP="008C5C4D">
            <w:pPr>
              <w:jc w:val="center"/>
              <w:rPr>
                <w:rFonts w:ascii="Arial" w:eastAsia="Arial" w:hAnsi="Arial" w:cs="Arial"/>
                <w:color w:val="000000"/>
                <w:sz w:val="16"/>
                <w:szCs w:val="16"/>
                <w:lang w:val="es"/>
              </w:rPr>
            </w:pPr>
          </w:p>
          <w:p w14:paraId="0A651DEE" w14:textId="4C28958F" w:rsidR="008C49A9" w:rsidRDefault="002348E0" w:rsidP="008C5C4D">
            <w:pPr>
              <w:jc w:val="center"/>
              <w:rPr>
                <w:rFonts w:ascii="Arial" w:eastAsia="Arial" w:hAnsi="Arial" w:cs="Arial"/>
                <w:color w:val="000000"/>
                <w:sz w:val="16"/>
                <w:szCs w:val="16"/>
                <w:lang w:val="es-CO"/>
              </w:rPr>
            </w:pPr>
            <w:r w:rsidRPr="006101D3">
              <w:rPr>
                <w:rFonts w:ascii="Arial" w:eastAsia="Arial" w:hAnsi="Arial" w:cs="Arial"/>
                <w:noProof/>
                <w:color w:val="000000"/>
                <w:sz w:val="16"/>
                <w:szCs w:val="16"/>
                <w:lang w:val="es-CO"/>
              </w:rPr>
              <w:lastRenderedPageBreak/>
              <w:drawing>
                <wp:inline distT="0" distB="0" distL="0" distR="0" wp14:anchorId="4BFE74ED" wp14:editId="7BD88A1A">
                  <wp:extent cx="5838825" cy="944245"/>
                  <wp:effectExtent l="0" t="0" r="9525" b="8255"/>
                  <wp:docPr id="2903572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357258" name=""/>
                          <pic:cNvPicPr/>
                        </pic:nvPicPr>
                        <pic:blipFill>
                          <a:blip r:embed="rId34"/>
                          <a:stretch>
                            <a:fillRect/>
                          </a:stretch>
                        </pic:blipFill>
                        <pic:spPr>
                          <a:xfrm>
                            <a:off x="0" y="0"/>
                            <a:ext cx="5838825" cy="944245"/>
                          </a:xfrm>
                          <a:prstGeom prst="rect">
                            <a:avLst/>
                          </a:prstGeom>
                        </pic:spPr>
                      </pic:pic>
                    </a:graphicData>
                  </a:graphic>
                </wp:inline>
              </w:drawing>
            </w:r>
          </w:p>
          <w:p w14:paraId="189FE482" w14:textId="65F1E7EF" w:rsidR="00D768A3" w:rsidRPr="00D67D8A" w:rsidRDefault="00A0753E" w:rsidP="008C5C4D">
            <w:pPr>
              <w:jc w:val="center"/>
              <w:rPr>
                <w:rFonts w:ascii="Arial" w:eastAsia="Arial" w:hAnsi="Arial" w:cs="Arial"/>
                <w:color w:val="000000"/>
                <w:sz w:val="16"/>
                <w:szCs w:val="16"/>
                <w:lang w:val="es-CO"/>
              </w:rPr>
            </w:pPr>
            <w:r w:rsidRPr="00D67D8A">
              <w:rPr>
                <w:rFonts w:ascii="Arial" w:eastAsia="Arial" w:hAnsi="Arial" w:cs="Arial"/>
                <w:color w:val="000000"/>
                <w:sz w:val="16"/>
                <w:szCs w:val="16"/>
                <w:lang w:val="es-CO"/>
              </w:rPr>
              <w:t>Fuente: Agencia Colombiana para la Contratación Pública – Colombia Compra Eficiente – CCE, Modelo de Abastecimiento Estratégico, Herramienta de Análisis de la Demanda.</w:t>
            </w:r>
          </w:p>
          <w:p w14:paraId="4A955836" w14:textId="77777777" w:rsidR="003C3695" w:rsidRDefault="003C3695">
            <w:pPr>
              <w:jc w:val="both"/>
              <w:rPr>
                <w:rFonts w:ascii="Arial" w:eastAsia="Arial" w:hAnsi="Arial" w:cs="Arial"/>
                <w:color w:val="000000"/>
                <w:sz w:val="24"/>
                <w:szCs w:val="24"/>
                <w:lang w:val="es"/>
              </w:rPr>
            </w:pPr>
          </w:p>
          <w:p w14:paraId="075B4AAE" w14:textId="77777777" w:rsidR="00391FA1" w:rsidRPr="00391FA1" w:rsidRDefault="00391FA1" w:rsidP="00391FA1">
            <w:pPr>
              <w:jc w:val="both"/>
              <w:rPr>
                <w:rFonts w:ascii="Arial" w:eastAsia="Arial" w:hAnsi="Arial" w:cs="Arial"/>
                <w:color w:val="000000"/>
                <w:sz w:val="24"/>
                <w:szCs w:val="24"/>
                <w:lang w:val="es-CO"/>
              </w:rPr>
            </w:pPr>
            <w:r w:rsidRPr="00391FA1">
              <w:rPr>
                <w:rFonts w:ascii="Arial" w:eastAsia="Arial" w:hAnsi="Arial" w:cs="Arial"/>
                <w:color w:val="000000"/>
                <w:sz w:val="24"/>
                <w:szCs w:val="24"/>
                <w:lang w:val="es-CO"/>
              </w:rPr>
              <w:t xml:space="preserve">La información consolidada evidencia que los códigos </w:t>
            </w:r>
            <w:r w:rsidRPr="00391FA1">
              <w:rPr>
                <w:rFonts w:ascii="Arial" w:eastAsia="Arial" w:hAnsi="Arial" w:cs="Arial"/>
                <w:b/>
                <w:bCs/>
                <w:color w:val="000000"/>
                <w:sz w:val="24"/>
                <w:szCs w:val="24"/>
                <w:lang w:val="es-CO"/>
              </w:rPr>
              <w:t>80101600 – Gerencia de proyectos</w:t>
            </w:r>
            <w:r w:rsidRPr="00391FA1">
              <w:rPr>
                <w:rFonts w:ascii="Arial" w:eastAsia="Arial" w:hAnsi="Arial" w:cs="Arial"/>
                <w:color w:val="000000"/>
                <w:sz w:val="24"/>
                <w:szCs w:val="24"/>
                <w:lang w:val="es-CO"/>
              </w:rPr>
              <w:t xml:space="preserve"> y </w:t>
            </w:r>
            <w:r w:rsidRPr="00391FA1">
              <w:rPr>
                <w:rFonts w:ascii="Arial" w:eastAsia="Arial" w:hAnsi="Arial" w:cs="Arial"/>
                <w:b/>
                <w:bCs/>
                <w:color w:val="000000"/>
                <w:sz w:val="24"/>
                <w:szCs w:val="24"/>
                <w:lang w:val="es-CO"/>
              </w:rPr>
              <w:t>81101500 – Ingeniería</w:t>
            </w:r>
            <w:r w:rsidRPr="00391FA1">
              <w:rPr>
                <w:rFonts w:ascii="Arial" w:eastAsia="Arial" w:hAnsi="Arial" w:cs="Arial"/>
                <w:color w:val="000000"/>
                <w:sz w:val="24"/>
                <w:szCs w:val="24"/>
                <w:lang w:val="es-CO"/>
              </w:rPr>
              <w:t xml:space="preserve"> concentran la mayor parte de la contratación pública relacionada con el objeto analizado, tanto en número de contratos como en valor contratado. Este comportamiento refleja que las entidades estatales recurren de manera permanente a la contratación de servicios especializados de consultoría, gerencia de proyectos e ingeniería para apoyar la estructuración, supervisión y ejecución de proyectos de infraestructura, evidenciando un mercado consolidado y con demanda constante.</w:t>
            </w:r>
          </w:p>
          <w:p w14:paraId="6840078A" w14:textId="77777777" w:rsidR="003C3695" w:rsidRDefault="003C3695">
            <w:pPr>
              <w:jc w:val="both"/>
              <w:rPr>
                <w:rFonts w:ascii="Arial" w:eastAsia="Arial" w:hAnsi="Arial" w:cs="Arial"/>
                <w:color w:val="000000"/>
                <w:sz w:val="24"/>
                <w:szCs w:val="24"/>
                <w:lang w:val="es-CO"/>
              </w:rPr>
            </w:pPr>
          </w:p>
          <w:p w14:paraId="1642C7DF" w14:textId="77777777" w:rsidR="00391FA1" w:rsidRPr="00391FA1" w:rsidRDefault="00391FA1">
            <w:pPr>
              <w:jc w:val="both"/>
              <w:rPr>
                <w:rFonts w:ascii="Arial" w:eastAsia="Arial" w:hAnsi="Arial" w:cs="Arial"/>
                <w:color w:val="000000"/>
                <w:sz w:val="24"/>
                <w:szCs w:val="24"/>
                <w:lang w:val="es-CO"/>
              </w:rPr>
            </w:pPr>
          </w:p>
          <w:p w14:paraId="1B63421D" w14:textId="450AE506" w:rsidR="008C49A9" w:rsidRDefault="0031549D">
            <w:pPr>
              <w:jc w:val="both"/>
              <w:rPr>
                <w:rFonts w:ascii="Arial" w:eastAsia="Arial" w:hAnsi="Arial" w:cs="Arial"/>
                <w:color w:val="000000"/>
                <w:sz w:val="24"/>
                <w:szCs w:val="24"/>
                <w:lang w:val="es-CO"/>
              </w:rPr>
            </w:pPr>
            <w:r w:rsidRPr="0031549D">
              <w:rPr>
                <w:rFonts w:ascii="Arial" w:eastAsia="Arial" w:hAnsi="Arial" w:cs="Arial"/>
                <w:noProof/>
                <w:color w:val="000000"/>
                <w:sz w:val="24"/>
                <w:szCs w:val="24"/>
                <w:lang w:val="es-CO"/>
              </w:rPr>
              <w:drawing>
                <wp:inline distT="0" distB="0" distL="0" distR="0" wp14:anchorId="4E00E82D" wp14:editId="13D7EDC0">
                  <wp:extent cx="5972810" cy="3449320"/>
                  <wp:effectExtent l="0" t="0" r="8890" b="0"/>
                  <wp:docPr id="1394276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76360" name=""/>
                          <pic:cNvPicPr/>
                        </pic:nvPicPr>
                        <pic:blipFill>
                          <a:blip r:embed="rId35"/>
                          <a:stretch>
                            <a:fillRect/>
                          </a:stretch>
                        </pic:blipFill>
                        <pic:spPr>
                          <a:xfrm>
                            <a:off x="0" y="0"/>
                            <a:ext cx="5972810" cy="3449320"/>
                          </a:xfrm>
                          <a:prstGeom prst="rect">
                            <a:avLst/>
                          </a:prstGeom>
                        </pic:spPr>
                      </pic:pic>
                    </a:graphicData>
                  </a:graphic>
                </wp:inline>
              </w:drawing>
            </w:r>
          </w:p>
          <w:p w14:paraId="7BDD8352" w14:textId="77777777" w:rsidR="00D768A3" w:rsidRPr="00D67D8A" w:rsidRDefault="00A0753E" w:rsidP="008C49A9">
            <w:pPr>
              <w:jc w:val="center"/>
              <w:rPr>
                <w:rFonts w:ascii="Arial" w:eastAsia="Arial" w:hAnsi="Arial" w:cs="Arial"/>
                <w:color w:val="000000"/>
                <w:sz w:val="16"/>
                <w:szCs w:val="16"/>
                <w:lang w:val="es-CO"/>
              </w:rPr>
            </w:pPr>
            <w:r w:rsidRPr="00D67D8A">
              <w:rPr>
                <w:rFonts w:ascii="Arial" w:eastAsia="Arial" w:hAnsi="Arial" w:cs="Arial"/>
                <w:color w:val="000000"/>
                <w:sz w:val="16"/>
                <w:szCs w:val="16"/>
                <w:lang w:val="es-CO"/>
              </w:rPr>
              <w:lastRenderedPageBreak/>
              <w:t>Fuente: Agencia Colombiana para la Contratación Pública – Colombia Compra Eficiente – CCE, Modelo de Abastecimiento Estratégico, Herramienta de Análisis de la Demanda.</w:t>
            </w:r>
          </w:p>
          <w:p w14:paraId="7C03D9CB" w14:textId="77777777" w:rsidR="00D768A3" w:rsidRDefault="00D768A3">
            <w:pPr>
              <w:jc w:val="both"/>
              <w:rPr>
                <w:rFonts w:ascii="Arial" w:eastAsia="Arial" w:hAnsi="Arial" w:cs="Arial"/>
                <w:color w:val="000000"/>
                <w:sz w:val="16"/>
                <w:szCs w:val="16"/>
                <w:lang w:val="es-CO"/>
              </w:rPr>
            </w:pPr>
          </w:p>
          <w:p w14:paraId="3AC74E70" w14:textId="1DE1E5A9" w:rsidR="00D768A3" w:rsidRDefault="00B842F1">
            <w:pPr>
              <w:jc w:val="both"/>
              <w:rPr>
                <w:rFonts w:ascii="Arial" w:eastAsia="Arial" w:hAnsi="Arial" w:cs="Arial"/>
                <w:color w:val="000000"/>
                <w:sz w:val="24"/>
                <w:szCs w:val="24"/>
                <w:lang w:val="es"/>
              </w:rPr>
            </w:pPr>
            <w:r w:rsidRPr="00B842F1">
              <w:rPr>
                <w:rFonts w:ascii="Arial" w:eastAsia="Arial" w:hAnsi="Arial" w:cs="Arial"/>
                <w:color w:val="000000"/>
                <w:sz w:val="24"/>
                <w:szCs w:val="24"/>
                <w:lang w:val="es"/>
              </w:rPr>
              <w:t>El análisis por proveedor evidencia la existencia de empresas con una participación relevante dentro del mercado, tanto por el valor acumulado de los contratos adjudicados como por el número de procesos ejecutados. Esta situación demuestra que existen proveedores con amplia trayectoria y experiencia en la prestación de servicios de consultoría e ingeniería. No obstante, también se observa la participación de múltiples empresas con diferentes niveles de contratación, lo que permite concluir que el mercado presenta condiciones de competencia y pluralidad de oferentes, sin evidenciar una concentración absoluta en un reducido número de proveedores.</w:t>
            </w:r>
          </w:p>
          <w:p w14:paraId="1670DC0F" w14:textId="77777777" w:rsidR="00B842F1" w:rsidRDefault="00B842F1">
            <w:pPr>
              <w:jc w:val="both"/>
              <w:rPr>
                <w:rFonts w:ascii="Arial" w:eastAsia="Arial" w:hAnsi="Arial" w:cs="Arial"/>
                <w:color w:val="000000"/>
                <w:sz w:val="24"/>
                <w:szCs w:val="24"/>
                <w:lang w:val="es"/>
              </w:rPr>
            </w:pPr>
          </w:p>
          <w:p w14:paraId="3F6D1AEC" w14:textId="3D8B3559" w:rsidR="00B842F1" w:rsidRDefault="00B842F1">
            <w:pPr>
              <w:jc w:val="both"/>
              <w:rPr>
                <w:rFonts w:ascii="Arial" w:eastAsia="Arial" w:hAnsi="Arial" w:cs="Arial"/>
                <w:color w:val="000000"/>
                <w:sz w:val="24"/>
                <w:szCs w:val="24"/>
                <w:lang w:val="es"/>
              </w:rPr>
            </w:pPr>
            <w:r w:rsidRPr="00B842F1">
              <w:rPr>
                <w:rFonts w:ascii="Arial" w:eastAsia="Arial" w:hAnsi="Arial" w:cs="Arial"/>
                <w:color w:val="000000"/>
                <w:sz w:val="24"/>
                <w:szCs w:val="24"/>
                <w:lang w:val="es"/>
              </w:rPr>
              <w:t xml:space="preserve">La distribución geográfica de los proveedores evidencia una importante concentración de empresas en </w:t>
            </w:r>
            <w:r w:rsidRPr="00B842F1">
              <w:rPr>
                <w:rFonts w:ascii="Arial" w:eastAsia="Arial" w:hAnsi="Arial" w:cs="Arial"/>
                <w:b/>
                <w:bCs/>
                <w:color w:val="000000"/>
                <w:sz w:val="24"/>
                <w:szCs w:val="24"/>
                <w:lang w:val="es"/>
              </w:rPr>
              <w:t>Bogotá D.C.</w:t>
            </w:r>
            <w:r w:rsidRPr="00B842F1">
              <w:rPr>
                <w:rFonts w:ascii="Arial" w:eastAsia="Arial" w:hAnsi="Arial" w:cs="Arial"/>
                <w:color w:val="000000"/>
                <w:sz w:val="24"/>
                <w:szCs w:val="24"/>
                <w:lang w:val="es"/>
              </w:rPr>
              <w:t xml:space="preserve">, seguida por departamentos como </w:t>
            </w:r>
            <w:r w:rsidRPr="00B842F1">
              <w:rPr>
                <w:rFonts w:ascii="Arial" w:eastAsia="Arial" w:hAnsi="Arial" w:cs="Arial"/>
                <w:b/>
                <w:bCs/>
                <w:color w:val="000000"/>
                <w:sz w:val="24"/>
                <w:szCs w:val="24"/>
                <w:lang w:val="es"/>
              </w:rPr>
              <w:t>Antioquia</w:t>
            </w:r>
            <w:r w:rsidRPr="00B842F1">
              <w:rPr>
                <w:rFonts w:ascii="Arial" w:eastAsia="Arial" w:hAnsi="Arial" w:cs="Arial"/>
                <w:color w:val="000000"/>
                <w:sz w:val="24"/>
                <w:szCs w:val="24"/>
                <w:lang w:val="es"/>
              </w:rPr>
              <w:t xml:space="preserve">, </w:t>
            </w:r>
            <w:r w:rsidRPr="00B842F1">
              <w:rPr>
                <w:rFonts w:ascii="Arial" w:eastAsia="Arial" w:hAnsi="Arial" w:cs="Arial"/>
                <w:b/>
                <w:bCs/>
                <w:color w:val="000000"/>
                <w:sz w:val="24"/>
                <w:szCs w:val="24"/>
                <w:lang w:val="es"/>
              </w:rPr>
              <w:t>Cundinamarca</w:t>
            </w:r>
            <w:r w:rsidRPr="00B842F1">
              <w:rPr>
                <w:rFonts w:ascii="Arial" w:eastAsia="Arial" w:hAnsi="Arial" w:cs="Arial"/>
                <w:color w:val="000000"/>
                <w:sz w:val="24"/>
                <w:szCs w:val="24"/>
                <w:lang w:val="es"/>
              </w:rPr>
              <w:t xml:space="preserve">, </w:t>
            </w:r>
            <w:r w:rsidRPr="00B842F1">
              <w:rPr>
                <w:rFonts w:ascii="Arial" w:eastAsia="Arial" w:hAnsi="Arial" w:cs="Arial"/>
                <w:b/>
                <w:bCs/>
                <w:color w:val="000000"/>
                <w:sz w:val="24"/>
                <w:szCs w:val="24"/>
                <w:lang w:val="es"/>
              </w:rPr>
              <w:t>Valle del Cauca</w:t>
            </w:r>
            <w:r w:rsidRPr="00B842F1">
              <w:rPr>
                <w:rFonts w:ascii="Arial" w:eastAsia="Arial" w:hAnsi="Arial" w:cs="Arial"/>
                <w:color w:val="000000"/>
                <w:sz w:val="24"/>
                <w:szCs w:val="24"/>
                <w:lang w:val="es"/>
              </w:rPr>
              <w:t xml:space="preserve"> y </w:t>
            </w:r>
            <w:r w:rsidRPr="00B842F1">
              <w:rPr>
                <w:rFonts w:ascii="Arial" w:eastAsia="Arial" w:hAnsi="Arial" w:cs="Arial"/>
                <w:b/>
                <w:bCs/>
                <w:color w:val="000000"/>
                <w:sz w:val="24"/>
                <w:szCs w:val="24"/>
                <w:lang w:val="es"/>
              </w:rPr>
              <w:t>Santander</w:t>
            </w:r>
            <w:r w:rsidRPr="00B842F1">
              <w:rPr>
                <w:rFonts w:ascii="Arial" w:eastAsia="Arial" w:hAnsi="Arial" w:cs="Arial"/>
                <w:color w:val="000000"/>
                <w:sz w:val="24"/>
                <w:szCs w:val="24"/>
                <w:lang w:val="es"/>
              </w:rPr>
              <w:t>, entre otros. Esta distribución demuestra que el mercado cuenta con una oferta amplia y especializada en diferentes regiones del país, favoreciendo la participación de proveedores tanto nacionales como regionales. Para el presente proceso, esta condición resulta favorable al garantizar la existencia de potenciales oferentes con capacidad para atender las necesidades de la Entidad.</w:t>
            </w:r>
          </w:p>
          <w:p w14:paraId="6698D6A4" w14:textId="77777777" w:rsidR="00B842F1" w:rsidRDefault="00B842F1">
            <w:pPr>
              <w:jc w:val="both"/>
              <w:rPr>
                <w:rFonts w:ascii="Arial" w:eastAsia="Arial" w:hAnsi="Arial" w:cs="Arial"/>
                <w:color w:val="000000"/>
                <w:sz w:val="16"/>
                <w:szCs w:val="16"/>
                <w:lang w:val="es-CO"/>
              </w:rPr>
            </w:pPr>
          </w:p>
          <w:p w14:paraId="7635F4A0" w14:textId="0A03E129" w:rsidR="0031549D" w:rsidRDefault="0031549D" w:rsidP="0031549D">
            <w:pPr>
              <w:jc w:val="center"/>
              <w:rPr>
                <w:rFonts w:ascii="Arial" w:eastAsia="Arial" w:hAnsi="Arial" w:cs="Arial"/>
                <w:color w:val="000000"/>
                <w:sz w:val="16"/>
                <w:szCs w:val="16"/>
                <w:lang w:val="es-CO"/>
              </w:rPr>
            </w:pPr>
            <w:r w:rsidRPr="0031549D">
              <w:rPr>
                <w:rFonts w:ascii="Arial" w:eastAsia="Arial" w:hAnsi="Arial" w:cs="Arial"/>
                <w:noProof/>
                <w:color w:val="000000"/>
                <w:sz w:val="16"/>
                <w:szCs w:val="16"/>
                <w:lang w:val="es-CO"/>
              </w:rPr>
              <w:drawing>
                <wp:inline distT="0" distB="0" distL="0" distR="0" wp14:anchorId="51E1985E" wp14:editId="569F2A02">
                  <wp:extent cx="5268060" cy="2133898"/>
                  <wp:effectExtent l="0" t="0" r="0" b="0"/>
                  <wp:docPr id="14881600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60059" name=""/>
                          <pic:cNvPicPr/>
                        </pic:nvPicPr>
                        <pic:blipFill>
                          <a:blip r:embed="rId36"/>
                          <a:stretch>
                            <a:fillRect/>
                          </a:stretch>
                        </pic:blipFill>
                        <pic:spPr>
                          <a:xfrm>
                            <a:off x="0" y="0"/>
                            <a:ext cx="5268060" cy="2133898"/>
                          </a:xfrm>
                          <a:prstGeom prst="rect">
                            <a:avLst/>
                          </a:prstGeom>
                        </pic:spPr>
                      </pic:pic>
                    </a:graphicData>
                  </a:graphic>
                </wp:inline>
              </w:drawing>
            </w:r>
          </w:p>
          <w:p w14:paraId="0B18E4C0" w14:textId="77777777" w:rsidR="00D768A3" w:rsidRPr="00D67D8A" w:rsidRDefault="00A0753E" w:rsidP="0031549D">
            <w:pPr>
              <w:jc w:val="center"/>
              <w:rPr>
                <w:rFonts w:ascii="Arial" w:eastAsia="Arial" w:hAnsi="Arial" w:cs="Arial"/>
                <w:color w:val="000000"/>
                <w:sz w:val="16"/>
                <w:szCs w:val="16"/>
                <w:lang w:val="es-CO"/>
              </w:rPr>
            </w:pPr>
            <w:r w:rsidRPr="00D67D8A">
              <w:rPr>
                <w:rFonts w:ascii="Arial" w:eastAsia="Arial" w:hAnsi="Arial" w:cs="Arial"/>
                <w:color w:val="000000"/>
                <w:sz w:val="16"/>
                <w:szCs w:val="16"/>
                <w:lang w:val="es-CO"/>
              </w:rPr>
              <w:t>Fuente: Agencia Colombiana para la Contratación Pública – Colombia Compra Eficiente – CCE, Modelo de Abastecimiento Estratégico, Herramienta de Análisis de la Demanda.</w:t>
            </w:r>
          </w:p>
          <w:p w14:paraId="550C46DB" w14:textId="77777777" w:rsidR="00D768A3" w:rsidRPr="00D67D8A" w:rsidRDefault="00D768A3">
            <w:pPr>
              <w:jc w:val="both"/>
              <w:rPr>
                <w:rFonts w:ascii="Arial" w:eastAsia="Arial" w:hAnsi="Arial" w:cs="Arial"/>
                <w:color w:val="000000"/>
                <w:sz w:val="24"/>
                <w:szCs w:val="24"/>
                <w:lang w:val="es-CO"/>
              </w:rPr>
            </w:pPr>
          </w:p>
          <w:p w14:paraId="4B2C8D3C" w14:textId="77777777" w:rsidR="00D768A3" w:rsidRPr="00B842F1" w:rsidRDefault="00B842F1" w:rsidP="00B842F1">
            <w:pPr>
              <w:widowControl/>
              <w:pBdr>
                <w:top w:val="nil"/>
                <w:left w:val="nil"/>
                <w:bottom w:val="nil"/>
                <w:right w:val="nil"/>
                <w:between w:val="nil"/>
              </w:pBdr>
              <w:jc w:val="both"/>
              <w:rPr>
                <w:rFonts w:ascii="Arial" w:hAnsi="Arial" w:cs="Arial"/>
                <w:sz w:val="24"/>
                <w:szCs w:val="24"/>
                <w:lang w:val="es"/>
              </w:rPr>
            </w:pPr>
            <w:r w:rsidRPr="00B842F1">
              <w:rPr>
                <w:rFonts w:ascii="Arial" w:hAnsi="Arial" w:cs="Arial"/>
                <w:sz w:val="24"/>
                <w:szCs w:val="24"/>
                <w:lang w:val="es"/>
              </w:rPr>
              <w:t xml:space="preserve">El análisis de la modalidad de selección evidencia que la contratación directa concentra el mayor valor contratado dentro del período analizado, seguida por las modalidades competitivas y, en menor proporción, por los procesos adelantados bajo régimen especial. Este comportamiento obedece a que los códigos consultados agrupan una </w:t>
            </w:r>
            <w:r w:rsidRPr="00B842F1">
              <w:rPr>
                <w:rFonts w:ascii="Arial" w:hAnsi="Arial" w:cs="Arial"/>
                <w:sz w:val="24"/>
                <w:szCs w:val="24"/>
                <w:lang w:val="es"/>
              </w:rPr>
              <w:lastRenderedPageBreak/>
              <w:t>amplia variedad de servicios de consultoría, gerencia de proyectos e ingeniería que pueden contratarse mediante diferentes modalidades, dependiendo de la naturaleza del objeto, la cuantía y el régimen jurídico aplicable a cada entidad. En consecuencia, la información constituye un referente del comportamiento general del mercado, sin que ello implique que la modalidad utilizada en el presente proceso deba corresponder necesariamente a la de mayor participación histórica.</w:t>
            </w:r>
          </w:p>
          <w:p w14:paraId="4AC4C966" w14:textId="77777777" w:rsidR="00B842F1" w:rsidRDefault="00B842F1" w:rsidP="002351A5">
            <w:pPr>
              <w:widowControl/>
              <w:pBdr>
                <w:top w:val="nil"/>
                <w:left w:val="nil"/>
                <w:bottom w:val="nil"/>
                <w:right w:val="nil"/>
                <w:between w:val="nil"/>
              </w:pBdr>
              <w:rPr>
                <w:lang w:val="es"/>
              </w:rPr>
            </w:pPr>
          </w:p>
          <w:p w14:paraId="6A1D0AB9" w14:textId="4D23E53F" w:rsidR="002351A5" w:rsidRPr="002351A5" w:rsidRDefault="002351A5" w:rsidP="002351A5">
            <w:pPr>
              <w:widowControl/>
              <w:pBdr>
                <w:top w:val="nil"/>
                <w:left w:val="nil"/>
                <w:bottom w:val="nil"/>
                <w:right w:val="nil"/>
                <w:between w:val="nil"/>
              </w:pBdr>
              <w:jc w:val="both"/>
              <w:rPr>
                <w:rFonts w:ascii="Arial" w:hAnsi="Arial" w:cs="Arial"/>
                <w:sz w:val="24"/>
                <w:szCs w:val="24"/>
                <w:lang w:val="es"/>
              </w:rPr>
            </w:pPr>
            <w:r w:rsidRPr="002351A5">
              <w:rPr>
                <w:rFonts w:ascii="Arial" w:hAnsi="Arial" w:cs="Arial"/>
                <w:sz w:val="24"/>
                <w:szCs w:val="24"/>
                <w:lang w:val="es"/>
              </w:rPr>
              <w:t>Del análisis de la información obtenida mediante el Modelo de Abastecimiento Estratégico de Colombia Compra Eficiente se concluye que el mercado asociado a los códigos UNSPSC objeto de consulta presenta una demanda constante y un comportamiento dinámico durante el período analizado. Así mismo, se evidencia la existencia de un número significativo de proveedores con experiencia en la prestación de servicios de consultoría, gerencia de proyectos e ingeniería, distribuidos en diferentes regiones del país y con amplia participación en la contratación estatal. De igual forma, la información permite identificar las modalidades de contratación más utilizadas, el comportamiento del gasto público y las principales características del mercado, constituyéndose en un insumo relevante para la adecuada estructuración del presente proceso contractual y para la verificación de la existencia de pluralidad de oferentes.</w:t>
            </w:r>
          </w:p>
          <w:p w14:paraId="62376C7F" w14:textId="39CF88C1" w:rsidR="00B842F1" w:rsidRPr="00D67D8A" w:rsidRDefault="00B842F1">
            <w:pPr>
              <w:widowControl/>
              <w:pBdr>
                <w:top w:val="nil"/>
                <w:left w:val="nil"/>
                <w:bottom w:val="nil"/>
                <w:right w:val="nil"/>
                <w:between w:val="nil"/>
              </w:pBdr>
              <w:ind w:left="492"/>
              <w:rPr>
                <w:rFonts w:ascii="Arial" w:eastAsia="Arial" w:hAnsi="Arial" w:cs="Arial"/>
                <w:color w:val="000000"/>
                <w:sz w:val="8"/>
                <w:szCs w:val="8"/>
                <w:lang w:val="es-CO"/>
              </w:rPr>
            </w:pPr>
          </w:p>
        </w:tc>
      </w:tr>
      <w:tr w:rsidR="00D768A3" w14:paraId="7203E5C8"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FEDD4A7" w14:textId="77777777" w:rsidR="00D768A3" w:rsidRPr="00D67D8A" w:rsidRDefault="00A0753E">
            <w:pPr>
              <w:widowControl/>
              <w:numPr>
                <w:ilvl w:val="1"/>
                <w:numId w:val="1"/>
              </w:numPr>
              <w:pBdr>
                <w:top w:val="nil"/>
                <w:left w:val="nil"/>
                <w:bottom w:val="nil"/>
                <w:right w:val="nil"/>
                <w:between w:val="nil"/>
              </w:pBdr>
              <w:spacing w:before="60" w:after="60"/>
              <w:ind w:left="454" w:hanging="454"/>
              <w:jc w:val="both"/>
              <w:rPr>
                <w:rFonts w:ascii="Arial" w:eastAsia="Arial" w:hAnsi="Arial" w:cs="Arial"/>
                <w:color w:val="000000"/>
                <w:sz w:val="8"/>
                <w:szCs w:val="8"/>
                <w:lang w:val="es-CO"/>
              </w:rPr>
            </w:pPr>
            <w:r w:rsidRPr="00D67D8A">
              <w:rPr>
                <w:rFonts w:ascii="Arial" w:eastAsia="Arial" w:hAnsi="Arial" w:cs="Arial"/>
                <w:color w:val="000000"/>
                <w:sz w:val="24"/>
                <w:szCs w:val="24"/>
                <w:lang w:val="es-CO"/>
              </w:rPr>
              <w:lastRenderedPageBreak/>
              <w:t>PROCESOS DE CONTRATACIÓN ADELANTADOS POR OTRAS ORGANIZACIONES</w:t>
            </w:r>
          </w:p>
        </w:tc>
      </w:tr>
      <w:tr w:rsidR="00D768A3" w14:paraId="09717A23"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9315B5" w14:textId="77777777" w:rsidR="00D768A3" w:rsidRPr="00D67D8A" w:rsidRDefault="00D768A3">
            <w:pPr>
              <w:widowControl/>
              <w:pBdr>
                <w:top w:val="nil"/>
                <w:left w:val="nil"/>
                <w:bottom w:val="nil"/>
                <w:right w:val="nil"/>
                <w:between w:val="nil"/>
              </w:pBdr>
              <w:rPr>
                <w:rFonts w:ascii="Arial" w:eastAsia="Arial" w:hAnsi="Arial" w:cs="Arial"/>
                <w:color w:val="000000"/>
                <w:sz w:val="24"/>
                <w:szCs w:val="24"/>
                <w:lang w:val="es-CO"/>
              </w:rPr>
            </w:pPr>
          </w:p>
          <w:p w14:paraId="6A26B793" w14:textId="77777777" w:rsidR="00473439" w:rsidRPr="00473439" w:rsidRDefault="00473439" w:rsidP="00473439">
            <w:pPr>
              <w:jc w:val="both"/>
              <w:rPr>
                <w:rFonts w:ascii="Arial" w:eastAsia="Arial" w:hAnsi="Arial" w:cs="Arial"/>
                <w:color w:val="000000"/>
                <w:sz w:val="24"/>
                <w:szCs w:val="24"/>
              </w:rPr>
            </w:pPr>
            <w:r w:rsidRPr="00473439">
              <w:rPr>
                <w:rFonts w:ascii="Arial" w:eastAsia="Arial" w:hAnsi="Arial" w:cs="Arial"/>
                <w:color w:val="000000"/>
                <w:sz w:val="24"/>
                <w:szCs w:val="24"/>
              </w:rPr>
              <w:t>Para el presente proceso no aplica el análisis de procesos de contratación adelantados por otras organizaciones, toda vez que la Entidad cuenta con referentes de contratación propios y con la información necesaria para caracterizar el mercado y establecer las condiciones técnicas y económicas del servicio de interventoría requerido.</w:t>
            </w:r>
          </w:p>
          <w:p w14:paraId="6A5D8154" w14:textId="77777777" w:rsidR="00473439" w:rsidRPr="00473439" w:rsidRDefault="00473439" w:rsidP="00473439">
            <w:pPr>
              <w:jc w:val="both"/>
              <w:rPr>
                <w:rFonts w:ascii="Arial" w:eastAsia="Arial" w:hAnsi="Arial" w:cs="Arial"/>
                <w:color w:val="000000"/>
                <w:sz w:val="24"/>
                <w:szCs w:val="24"/>
              </w:rPr>
            </w:pPr>
          </w:p>
          <w:p w14:paraId="3B38F6C2" w14:textId="77777777" w:rsidR="00D768A3" w:rsidRDefault="00473439" w:rsidP="00473439">
            <w:pPr>
              <w:widowControl/>
              <w:pBdr>
                <w:top w:val="nil"/>
                <w:left w:val="nil"/>
                <w:bottom w:val="nil"/>
                <w:right w:val="nil"/>
                <w:between w:val="nil"/>
              </w:pBdr>
              <w:jc w:val="both"/>
              <w:rPr>
                <w:rFonts w:ascii="Arial" w:eastAsia="Arial" w:hAnsi="Arial" w:cs="Arial"/>
                <w:color w:val="000000"/>
                <w:sz w:val="24"/>
                <w:szCs w:val="24"/>
              </w:rPr>
            </w:pPr>
            <w:r w:rsidRPr="00473439">
              <w:rPr>
                <w:rFonts w:ascii="Arial" w:eastAsia="Arial" w:hAnsi="Arial" w:cs="Arial"/>
                <w:color w:val="000000"/>
                <w:sz w:val="24"/>
                <w:szCs w:val="24"/>
              </w:rPr>
              <w:t>En consecuencia, este aspecto no será desarrollado dentro del presente Análisis del Sector.</w:t>
            </w:r>
          </w:p>
          <w:p w14:paraId="007451C4" w14:textId="2037682E" w:rsidR="00473439" w:rsidRDefault="00473439" w:rsidP="00473439">
            <w:pPr>
              <w:widowControl/>
              <w:pBdr>
                <w:top w:val="nil"/>
                <w:left w:val="nil"/>
                <w:bottom w:val="nil"/>
                <w:right w:val="nil"/>
                <w:between w:val="nil"/>
              </w:pBdr>
              <w:rPr>
                <w:rFonts w:ascii="Arial" w:eastAsia="Arial" w:hAnsi="Arial" w:cs="Arial"/>
                <w:color w:val="000000"/>
                <w:sz w:val="24"/>
                <w:szCs w:val="24"/>
              </w:rPr>
            </w:pPr>
          </w:p>
        </w:tc>
      </w:tr>
      <w:tr w:rsidR="00D768A3" w14:paraId="53ACB215"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1675174" w14:textId="77777777" w:rsidR="00D768A3" w:rsidRPr="00D67D8A" w:rsidRDefault="00A0753E">
            <w:pPr>
              <w:widowControl/>
              <w:numPr>
                <w:ilvl w:val="1"/>
                <w:numId w:val="1"/>
              </w:numPr>
              <w:pBdr>
                <w:top w:val="nil"/>
                <w:left w:val="nil"/>
                <w:bottom w:val="nil"/>
                <w:right w:val="nil"/>
                <w:between w:val="nil"/>
              </w:pBdr>
              <w:spacing w:before="60" w:after="60"/>
              <w:ind w:left="454" w:hanging="454"/>
              <w:jc w:val="both"/>
              <w:rPr>
                <w:rFonts w:ascii="Arial" w:eastAsia="Arial" w:hAnsi="Arial" w:cs="Arial"/>
                <w:color w:val="000000"/>
                <w:sz w:val="8"/>
                <w:szCs w:val="8"/>
                <w:lang w:val="es-CO"/>
              </w:rPr>
            </w:pPr>
            <w:r w:rsidRPr="00D67D8A">
              <w:rPr>
                <w:rFonts w:ascii="Arial" w:eastAsia="Arial" w:hAnsi="Arial" w:cs="Arial"/>
                <w:color w:val="000000"/>
                <w:sz w:val="24"/>
                <w:szCs w:val="24"/>
                <w:lang w:val="es-CO"/>
              </w:rPr>
              <w:t xml:space="preserve">ANALISIS DE LOS PROCESOS DE CONTRATACIÓN </w:t>
            </w:r>
          </w:p>
        </w:tc>
      </w:tr>
      <w:tr w:rsidR="00D768A3" w14:paraId="09B497D6"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38B72F" w14:textId="77777777" w:rsidR="00D768A3" w:rsidRPr="00D67D8A" w:rsidRDefault="00D768A3">
            <w:pPr>
              <w:widowControl/>
              <w:pBdr>
                <w:top w:val="nil"/>
                <w:left w:val="nil"/>
                <w:bottom w:val="nil"/>
                <w:right w:val="nil"/>
                <w:between w:val="nil"/>
              </w:pBdr>
              <w:jc w:val="both"/>
              <w:rPr>
                <w:rFonts w:ascii="Arial" w:eastAsia="Arial" w:hAnsi="Arial" w:cs="Arial"/>
                <w:color w:val="000000"/>
                <w:sz w:val="8"/>
                <w:szCs w:val="8"/>
                <w:lang w:val="es-CO"/>
              </w:rPr>
            </w:pPr>
          </w:p>
          <w:p w14:paraId="2FE1BE58" w14:textId="77777777" w:rsidR="00C83D9A" w:rsidRDefault="00BC32A2" w:rsidP="00C83D9A">
            <w:pPr>
              <w:jc w:val="both"/>
              <w:rPr>
                <w:rFonts w:ascii="Arial" w:eastAsia="Arial" w:hAnsi="Arial" w:cs="Arial"/>
                <w:sz w:val="24"/>
                <w:szCs w:val="24"/>
                <w:lang w:val="es-CO"/>
              </w:rPr>
            </w:pPr>
            <w:r w:rsidRPr="00BC32A2">
              <w:rPr>
                <w:rFonts w:ascii="Arial" w:eastAsia="Arial" w:hAnsi="Arial" w:cs="Arial"/>
                <w:sz w:val="24"/>
                <w:szCs w:val="24"/>
                <w:lang w:val="es-CO"/>
              </w:rPr>
              <w:t xml:space="preserve">Con fundamento en la información obtenida del análisis de procesos de contratación similares adelantados por entidades del orden nacional y territorial, se identificaron las principales características técnicas, jurídicas, financieras y contractuales aplicadas en la contratación de servicios de consultoría e interventoría, obteniéndose las siguientes </w:t>
            </w:r>
            <w:r w:rsidRPr="006A64F6">
              <w:rPr>
                <w:rFonts w:ascii="Arial" w:eastAsia="Arial" w:hAnsi="Arial" w:cs="Arial"/>
                <w:b/>
                <w:bCs/>
                <w:sz w:val="24"/>
                <w:szCs w:val="24"/>
                <w:lang w:val="es-CO"/>
              </w:rPr>
              <w:lastRenderedPageBreak/>
              <w:t>conclusiones:</w:t>
            </w:r>
            <w:bookmarkStart w:id="1" w:name="_heading=h.17dp8vu" w:colFirst="0" w:colLast="0"/>
            <w:bookmarkEnd w:id="1"/>
          </w:p>
          <w:p w14:paraId="331F87EA" w14:textId="77777777" w:rsidR="006A64F6" w:rsidRDefault="00A0753E" w:rsidP="006A64F6">
            <w:pPr>
              <w:pStyle w:val="Prrafodelista"/>
              <w:numPr>
                <w:ilvl w:val="0"/>
                <w:numId w:val="12"/>
              </w:numPr>
              <w:rPr>
                <w:rFonts w:ascii="Arial" w:eastAsia="Arial" w:hAnsi="Arial" w:cs="Arial"/>
                <w:color w:val="000000"/>
              </w:rPr>
            </w:pPr>
            <w:r w:rsidRPr="006A64F6">
              <w:rPr>
                <w:rFonts w:ascii="Arial" w:eastAsia="Arial" w:hAnsi="Arial" w:cs="Arial"/>
                <w:b/>
                <w:bCs/>
                <w:color w:val="000000"/>
              </w:rPr>
              <w:t xml:space="preserve">Modalidad de Contratación establecida en los procesos consultados: </w:t>
            </w:r>
            <w:r w:rsidR="005E4239" w:rsidRPr="006A64F6">
              <w:rPr>
                <w:rFonts w:ascii="Arial" w:eastAsia="Arial" w:hAnsi="Arial" w:cs="Arial"/>
                <w:color w:val="000000"/>
              </w:rPr>
              <w:t>El análisis de los procesos consultados evidencia que el Concurso de Méritos Abierto constituye una modalidad utilizada de manera recurrente para la contratación de servicios de interventoría, teniendo en cuenta que se trata de servicios de consultoría especializada en los cuales resultan relevantes la experiencia, capacidad técnica e idoneidad del proponente y del equipo de trabajo.</w:t>
            </w:r>
          </w:p>
          <w:p w14:paraId="78D062D3" w14:textId="77777777" w:rsidR="006A64F6" w:rsidRDefault="005E4239" w:rsidP="006A64F6">
            <w:pPr>
              <w:pStyle w:val="Prrafodelista"/>
              <w:ind w:left="720"/>
              <w:rPr>
                <w:rFonts w:ascii="Arial" w:eastAsia="Arial" w:hAnsi="Arial" w:cs="Arial"/>
                <w:color w:val="000000"/>
              </w:rPr>
            </w:pPr>
            <w:r w:rsidRPr="006A64F6">
              <w:rPr>
                <w:rFonts w:ascii="Arial" w:eastAsia="Arial" w:hAnsi="Arial" w:cs="Arial"/>
                <w:color w:val="000000"/>
              </w:rPr>
              <w:t>Los seis (6) procesos revisados fueron adelantados mediante Concurso de Méritos Abierto, lo que constituye un referente de mercado para la definición de la modalidad aplicable al presente proceso.</w:t>
            </w:r>
          </w:p>
          <w:p w14:paraId="675267CC" w14:textId="77777777" w:rsidR="006A64F6" w:rsidRDefault="00A0753E" w:rsidP="006A64F6">
            <w:pPr>
              <w:pStyle w:val="Prrafodelista"/>
              <w:numPr>
                <w:ilvl w:val="0"/>
                <w:numId w:val="12"/>
              </w:numPr>
              <w:rPr>
                <w:rFonts w:ascii="Arial" w:eastAsia="Arial" w:hAnsi="Arial" w:cs="Arial"/>
                <w:color w:val="000000"/>
                <w:sz w:val="22"/>
                <w:szCs w:val="22"/>
                <w:lang w:val="en-US"/>
              </w:rPr>
            </w:pPr>
            <w:r w:rsidRPr="006A64F6">
              <w:rPr>
                <w:rFonts w:ascii="Arial" w:eastAsia="Arial" w:hAnsi="Arial" w:cs="Arial"/>
                <w:b/>
                <w:bCs/>
                <w:color w:val="000000"/>
                <w:sz w:val="22"/>
                <w:szCs w:val="22"/>
                <w:lang w:val="en-US"/>
              </w:rPr>
              <w:t>Plazo del contrato establecido en los procesos consultados:</w:t>
            </w:r>
            <w:r w:rsidRPr="006A64F6">
              <w:rPr>
                <w:rFonts w:ascii="Arial" w:eastAsia="Arial" w:hAnsi="Arial" w:cs="Arial"/>
                <w:color w:val="000000"/>
                <w:sz w:val="22"/>
                <w:szCs w:val="22"/>
                <w:lang w:val="en-US"/>
              </w:rPr>
              <w:t xml:space="preserve"> </w:t>
            </w:r>
            <w:r w:rsidR="0090250C" w:rsidRPr="006A64F6">
              <w:rPr>
                <w:rFonts w:ascii="Arial" w:eastAsia="Arial" w:hAnsi="Arial" w:cs="Arial"/>
                <w:color w:val="000000"/>
                <w:sz w:val="22"/>
                <w:szCs w:val="22"/>
                <w:lang w:val="en-US"/>
              </w:rPr>
              <w:t>Los procesos analizados presentan plazos de ejecución comprendidos entre tres (3) y diez (10) meses, en los procesos del Distrito de Santiago de Cali, y entre cuatro (4) meses y aproximadamente siete (7) meses en los procesos territoriales consultados.</w:t>
            </w:r>
          </w:p>
          <w:p w14:paraId="08B33C51" w14:textId="77777777" w:rsidR="006A64F6" w:rsidRDefault="0090250C" w:rsidP="006A64F6">
            <w:pPr>
              <w:pStyle w:val="Prrafodelista"/>
              <w:ind w:left="720"/>
              <w:rPr>
                <w:rFonts w:ascii="Arial" w:eastAsia="Arial" w:hAnsi="Arial" w:cs="Arial"/>
                <w:color w:val="000000"/>
              </w:rPr>
            </w:pPr>
            <w:r w:rsidRPr="006A64F6">
              <w:rPr>
                <w:rFonts w:ascii="Arial" w:eastAsia="Arial" w:hAnsi="Arial" w:cs="Arial"/>
                <w:color w:val="000000"/>
              </w:rPr>
              <w:t>Se observa que el plazo de las interventorías se encuentra directamente relacionado con la duración, complejidad, alcance y características de las obras objeto de seguimiento. En consecuencia, para el presente proceso el plazo deberá guardar correspondencia con el término de ejecución de los contratos de obra objeto de interventoría y con las actividades necesarias para realizar el seguimiento hasta su terminación y liquidación.</w:t>
            </w:r>
            <w:bookmarkStart w:id="2" w:name="_heading=h.2s8eyo1" w:colFirst="0" w:colLast="0"/>
            <w:bookmarkEnd w:id="2"/>
          </w:p>
          <w:p w14:paraId="6F9242BE" w14:textId="77777777" w:rsidR="006A64F6" w:rsidRDefault="00A0753E" w:rsidP="006A64F6">
            <w:pPr>
              <w:pStyle w:val="Prrafodelista"/>
              <w:numPr>
                <w:ilvl w:val="0"/>
                <w:numId w:val="12"/>
              </w:numPr>
              <w:rPr>
                <w:rFonts w:ascii="Arial" w:eastAsia="Arial" w:hAnsi="Arial" w:cs="Arial"/>
                <w:color w:val="000000"/>
                <w:sz w:val="22"/>
                <w:szCs w:val="22"/>
                <w:lang w:val="en-US"/>
              </w:rPr>
            </w:pPr>
            <w:r w:rsidRPr="006A64F6">
              <w:rPr>
                <w:rFonts w:ascii="Arial" w:eastAsia="Arial" w:hAnsi="Arial" w:cs="Arial"/>
                <w:b/>
                <w:bCs/>
                <w:color w:val="000000"/>
                <w:sz w:val="22"/>
                <w:szCs w:val="22"/>
                <w:lang w:val="en-US"/>
              </w:rPr>
              <w:t>Presupuesto:</w:t>
            </w:r>
            <w:r w:rsidRPr="006A64F6">
              <w:rPr>
                <w:rFonts w:ascii="Arial" w:eastAsia="Arial" w:hAnsi="Arial" w:cs="Arial"/>
                <w:color w:val="000000"/>
                <w:sz w:val="22"/>
                <w:szCs w:val="22"/>
                <w:lang w:val="en-US"/>
              </w:rPr>
              <w:t xml:space="preserve"> </w:t>
            </w:r>
            <w:r w:rsidR="0090250C" w:rsidRPr="006A64F6">
              <w:rPr>
                <w:rFonts w:ascii="Arial" w:eastAsia="Arial" w:hAnsi="Arial" w:cs="Arial"/>
                <w:color w:val="000000"/>
                <w:sz w:val="22"/>
                <w:szCs w:val="22"/>
                <w:lang w:val="en-US"/>
              </w:rPr>
              <w:t>Los valores de los contratos consultados se encuentran entre $339.222.123 y $824.287.971, evidenciándose que el valor de la interventoría guarda relación con el alcance del servicio, el número de componentes objeto de seguimiento, la duración, el equipo profesional requerido y las características de los contratos principales.</w:t>
            </w:r>
          </w:p>
          <w:p w14:paraId="18EA963E" w14:textId="77777777" w:rsidR="006A64F6" w:rsidRDefault="0090250C" w:rsidP="006A64F6">
            <w:pPr>
              <w:pStyle w:val="Prrafodelista"/>
              <w:ind w:left="720"/>
              <w:rPr>
                <w:rFonts w:ascii="Arial" w:eastAsia="Arial" w:hAnsi="Arial" w:cs="Arial"/>
                <w:color w:val="000000"/>
              </w:rPr>
            </w:pPr>
            <w:r w:rsidRPr="006A64F6">
              <w:rPr>
                <w:rFonts w:ascii="Arial" w:eastAsia="Arial" w:hAnsi="Arial" w:cs="Arial"/>
                <w:color w:val="000000"/>
              </w:rPr>
              <w:t>Los procesos adelantados por entidades del Distrito de Santiago de Cali presentan valores de $599.955.458, $592.999.584 y $824.287.971, constituyendo referentes especialmente relevantes por corresponder a procesos adelantados en el mismo territorio y bajo la modalidad de Concurso de Méritos Abierto.</w:t>
            </w:r>
          </w:p>
          <w:p w14:paraId="37EC6476" w14:textId="77777777" w:rsidR="006A64F6" w:rsidRDefault="00D347C1" w:rsidP="006A64F6">
            <w:pPr>
              <w:pStyle w:val="Prrafodelista"/>
              <w:numPr>
                <w:ilvl w:val="0"/>
                <w:numId w:val="12"/>
              </w:numPr>
              <w:rPr>
                <w:rFonts w:ascii="Arial" w:eastAsia="Arial" w:hAnsi="Arial" w:cs="Arial"/>
                <w:color w:val="000000"/>
                <w:sz w:val="22"/>
                <w:szCs w:val="22"/>
                <w:lang w:val="en-US"/>
              </w:rPr>
            </w:pPr>
            <w:r w:rsidRPr="006A64F6">
              <w:rPr>
                <w:rFonts w:ascii="Arial" w:eastAsia="Arial" w:hAnsi="Arial" w:cs="Arial"/>
                <w:b/>
                <w:bCs/>
                <w:color w:val="000000"/>
                <w:sz w:val="22"/>
                <w:szCs w:val="22"/>
                <w:lang w:val="en-US"/>
              </w:rPr>
              <w:t>Forma de pago:</w:t>
            </w:r>
            <w:r w:rsidRPr="006A64F6">
              <w:rPr>
                <w:rFonts w:ascii="Arial" w:eastAsia="Arial" w:hAnsi="Arial" w:cs="Arial"/>
                <w:color w:val="000000"/>
                <w:sz w:val="22"/>
                <w:szCs w:val="22"/>
                <w:lang w:val="en-US"/>
              </w:rPr>
              <w:t xml:space="preserve"> De la revisión efectuada se observa que existe una tendencia hacia el reconocimiento de pagos parciales durante la ejecución del contrato, sujetos a la presentación y aprobación de los informes de interventoría y al avance efectivo de las actividades.</w:t>
            </w:r>
          </w:p>
          <w:p w14:paraId="1CD45496" w14:textId="77777777" w:rsidR="006A64F6" w:rsidRDefault="00D347C1" w:rsidP="006A64F6">
            <w:pPr>
              <w:pStyle w:val="Prrafodelista"/>
              <w:ind w:left="720"/>
              <w:rPr>
                <w:rFonts w:ascii="Arial" w:eastAsia="Arial" w:hAnsi="Arial" w:cs="Arial"/>
                <w:color w:val="000000"/>
              </w:rPr>
            </w:pPr>
            <w:r w:rsidRPr="006A64F6">
              <w:rPr>
                <w:rFonts w:ascii="Arial" w:eastAsia="Arial" w:hAnsi="Arial" w:cs="Arial"/>
                <w:color w:val="000000"/>
              </w:rPr>
              <w:t>En los procesos consultados se identificaron, entre otras, las siguientes modalidades:</w:t>
            </w:r>
          </w:p>
          <w:p w14:paraId="1C6083E2" w14:textId="77777777" w:rsidR="006A64F6" w:rsidRDefault="00D347C1" w:rsidP="006A64F6">
            <w:pPr>
              <w:pStyle w:val="Prrafodelista"/>
              <w:numPr>
                <w:ilvl w:val="0"/>
                <w:numId w:val="13"/>
              </w:numPr>
              <w:rPr>
                <w:rFonts w:ascii="Arial" w:eastAsia="Arial" w:hAnsi="Arial" w:cs="Arial"/>
                <w:color w:val="000000"/>
              </w:rPr>
            </w:pPr>
            <w:r w:rsidRPr="00D347C1">
              <w:rPr>
                <w:rFonts w:ascii="Arial" w:eastAsia="Arial" w:hAnsi="Arial" w:cs="Arial"/>
                <w:color w:val="000000"/>
              </w:rPr>
              <w:lastRenderedPageBreak/>
              <w:t>Pagos parciales mensuales de acuerdo con el avance de la obra, hasta alcanzar el noventa por ciento (90%) del valor del contrato, dejando un diez por ciento (10%) para el pago final.</w:t>
            </w:r>
          </w:p>
          <w:p w14:paraId="7F999311" w14:textId="77777777" w:rsidR="006A64F6" w:rsidRDefault="00D347C1" w:rsidP="006A64F6">
            <w:pPr>
              <w:pStyle w:val="Prrafodelista"/>
              <w:numPr>
                <w:ilvl w:val="0"/>
                <w:numId w:val="13"/>
              </w:numPr>
              <w:rPr>
                <w:rFonts w:ascii="Arial" w:eastAsia="Arial" w:hAnsi="Arial" w:cs="Arial"/>
                <w:color w:val="000000"/>
              </w:rPr>
            </w:pPr>
            <w:r w:rsidRPr="00D347C1">
              <w:rPr>
                <w:rFonts w:ascii="Arial" w:eastAsia="Arial" w:hAnsi="Arial" w:cs="Arial"/>
                <w:color w:val="000000"/>
              </w:rPr>
              <w:t>Pagos parciales hasta por el noventa por ciento (90%) del valor contractual, de acuerdo con el porcentaje de obra recibido y aprobado.</w:t>
            </w:r>
          </w:p>
          <w:p w14:paraId="42C6B1E3" w14:textId="77777777" w:rsidR="006A64F6" w:rsidRDefault="00D347C1" w:rsidP="006A64F6">
            <w:pPr>
              <w:pStyle w:val="Prrafodelista"/>
              <w:numPr>
                <w:ilvl w:val="0"/>
                <w:numId w:val="13"/>
              </w:numPr>
              <w:rPr>
                <w:rFonts w:ascii="Arial" w:eastAsia="Arial" w:hAnsi="Arial" w:cs="Arial"/>
                <w:color w:val="000000"/>
              </w:rPr>
            </w:pPr>
            <w:r w:rsidRPr="00D347C1">
              <w:rPr>
                <w:rFonts w:ascii="Arial" w:eastAsia="Arial" w:hAnsi="Arial" w:cs="Arial"/>
                <w:color w:val="000000"/>
              </w:rPr>
              <w:t>Pagos mensuales correspondientes al reconocimiento de los costos directos del personal efectivamente utilizado, más otros costos directos aprobados, sujetos a la presentación y aprobación del informe mensual.</w:t>
            </w:r>
          </w:p>
          <w:p w14:paraId="1A09AD69" w14:textId="77777777" w:rsidR="006A64F6" w:rsidRDefault="00D347C1" w:rsidP="006A64F6">
            <w:pPr>
              <w:pStyle w:val="Prrafodelista"/>
              <w:numPr>
                <w:ilvl w:val="0"/>
                <w:numId w:val="13"/>
              </w:numPr>
              <w:rPr>
                <w:rFonts w:ascii="Arial" w:eastAsia="Arial" w:hAnsi="Arial" w:cs="Arial"/>
                <w:color w:val="000000"/>
              </w:rPr>
            </w:pPr>
            <w:r w:rsidRPr="00D347C1">
              <w:rPr>
                <w:rFonts w:ascii="Arial" w:eastAsia="Arial" w:hAnsi="Arial" w:cs="Arial"/>
                <w:color w:val="000000"/>
              </w:rPr>
              <w:t>Pago final del diez por ciento (10%) contra la terminación, recibo a satisfacción y liquidación del contrato de interventoría y/o del contrato de obra.</w:t>
            </w:r>
          </w:p>
          <w:p w14:paraId="27E80C6A" w14:textId="77777777" w:rsidR="006A64F6" w:rsidRDefault="00D347C1" w:rsidP="006A64F6">
            <w:pPr>
              <w:pStyle w:val="Prrafodelista"/>
              <w:ind w:left="720"/>
              <w:rPr>
                <w:rFonts w:ascii="Arial" w:eastAsia="Arial" w:hAnsi="Arial" w:cs="Arial"/>
                <w:color w:val="000000"/>
              </w:rPr>
            </w:pPr>
            <w:r w:rsidRPr="00D347C1">
              <w:rPr>
                <w:rFonts w:ascii="Arial" w:eastAsia="Arial" w:hAnsi="Arial" w:cs="Arial"/>
                <w:color w:val="000000"/>
              </w:rPr>
              <w:t>Esta estructura se evidencia en los procesos consultados, en los cuales el porcentaje más frecuente corresponde al reconocimiento del 90% durante la ejecución y 10% contra la finalización y liquidación, sujeto en todo caso a la presentación y aprobación de los informes correspondientes.</w:t>
            </w:r>
          </w:p>
          <w:p w14:paraId="78B01ABE" w14:textId="77777777" w:rsidR="006A64F6" w:rsidRDefault="00A0753E" w:rsidP="006A64F6">
            <w:pPr>
              <w:pStyle w:val="Prrafodelista"/>
              <w:numPr>
                <w:ilvl w:val="0"/>
                <w:numId w:val="12"/>
              </w:numPr>
              <w:rPr>
                <w:rFonts w:ascii="Arial" w:eastAsia="Arial" w:hAnsi="Arial" w:cs="Arial"/>
                <w:color w:val="000000"/>
                <w:sz w:val="22"/>
                <w:szCs w:val="22"/>
                <w:lang w:val="en-US"/>
              </w:rPr>
            </w:pPr>
            <w:r w:rsidRPr="006A64F6">
              <w:rPr>
                <w:rFonts w:ascii="Arial" w:eastAsia="Arial" w:hAnsi="Arial" w:cs="Arial"/>
                <w:b/>
                <w:bCs/>
                <w:color w:val="000000"/>
                <w:lang w:val="en-US"/>
              </w:rPr>
              <w:t>Experiencia exigida al proveedor en los procesos consultados:</w:t>
            </w:r>
            <w:r w:rsidRPr="006A64F6">
              <w:rPr>
                <w:rFonts w:ascii="Arial" w:eastAsia="Arial" w:hAnsi="Arial" w:cs="Arial"/>
                <w:color w:val="000000"/>
                <w:lang w:val="en-US"/>
              </w:rPr>
              <w:t xml:space="preserve"> </w:t>
            </w:r>
            <w:r w:rsidR="00274EEA" w:rsidRPr="006A64F6">
              <w:rPr>
                <w:rFonts w:ascii="Arial" w:eastAsia="Arial" w:hAnsi="Arial" w:cs="Arial"/>
                <w:color w:val="000000"/>
                <w:lang w:val="en-US"/>
              </w:rPr>
              <w:t xml:space="preserve">La experiencia constituye uno de los principales requisitos habilitantes identificados en los procesos consultados. Se observa una tendencia </w:t>
            </w:r>
            <w:proofErr w:type="gramStart"/>
            <w:r w:rsidR="00274EEA" w:rsidRPr="006A64F6">
              <w:rPr>
                <w:rFonts w:ascii="Arial" w:eastAsia="Arial" w:hAnsi="Arial" w:cs="Arial"/>
                <w:color w:val="000000"/>
                <w:lang w:val="en-US"/>
              </w:rPr>
              <w:t>a</w:t>
            </w:r>
            <w:proofErr w:type="gramEnd"/>
            <w:r w:rsidR="00274EEA" w:rsidRPr="006A64F6">
              <w:rPr>
                <w:rFonts w:ascii="Arial" w:eastAsia="Arial" w:hAnsi="Arial" w:cs="Arial"/>
                <w:color w:val="000000"/>
                <w:lang w:val="en-US"/>
              </w:rPr>
              <w:t xml:space="preserve"> exigir experiencia general relacionada con la interventoría de proyectos de construcción, adecuación, mantenimiento, mejoramiento, rehabilitación, remodelación o reparación, complementada, cuando las características del proyecto lo justifican, con experiencia específica directamente relacionada con el tipo de infraestructura objeto de intervención</w:t>
            </w:r>
            <w:r w:rsidR="00274EEA" w:rsidRPr="006A64F6">
              <w:rPr>
                <w:rFonts w:ascii="Arial" w:eastAsia="Arial" w:hAnsi="Arial" w:cs="Arial"/>
                <w:color w:val="000000"/>
                <w:sz w:val="22"/>
                <w:szCs w:val="22"/>
                <w:lang w:val="en-US"/>
              </w:rPr>
              <w:t>.</w:t>
            </w:r>
          </w:p>
          <w:p w14:paraId="3009D224" w14:textId="77777777" w:rsidR="006A64F6" w:rsidRDefault="00274EEA" w:rsidP="006A64F6">
            <w:pPr>
              <w:pStyle w:val="Prrafodelista"/>
              <w:ind w:left="720"/>
              <w:rPr>
                <w:rFonts w:ascii="Arial" w:eastAsia="Arial" w:hAnsi="Arial" w:cs="Arial"/>
                <w:color w:val="000000"/>
              </w:rPr>
            </w:pPr>
            <w:r w:rsidRPr="006A64F6">
              <w:rPr>
                <w:rFonts w:ascii="Arial" w:eastAsia="Arial" w:hAnsi="Arial" w:cs="Arial"/>
                <w:color w:val="000000"/>
              </w:rPr>
              <w:t>En los procesos consultados se identificaron, entre otras, las siguientes condiciones:</w:t>
            </w:r>
          </w:p>
          <w:p w14:paraId="4B90B57D" w14:textId="77777777" w:rsidR="006A64F6" w:rsidRPr="006A64F6" w:rsidRDefault="00274EEA" w:rsidP="006A64F6">
            <w:pPr>
              <w:pStyle w:val="Prrafodelista"/>
              <w:numPr>
                <w:ilvl w:val="0"/>
                <w:numId w:val="15"/>
              </w:numPr>
              <w:rPr>
                <w:rFonts w:ascii="Arial" w:eastAsia="Arial" w:hAnsi="Arial" w:cs="Arial"/>
                <w:color w:val="000000"/>
                <w:sz w:val="22"/>
                <w:szCs w:val="22"/>
                <w:lang w:val="en-US"/>
              </w:rPr>
            </w:pPr>
            <w:r w:rsidRPr="00274EEA">
              <w:rPr>
                <w:rFonts w:ascii="Arial" w:eastAsia="Arial" w:hAnsi="Arial" w:cs="Arial"/>
                <w:color w:val="000000"/>
              </w:rPr>
              <w:t>Infraestructura cultural: se exigió experiencia general en interventoría a construcción, terminación, ampliación, reconstrucción, remodelación, reforzamiento, adecuación, reparación, mantenimiento, mejoramiento o modificación de edificaciones, y experiencia específica en interventoría de proyectos de mantenimiento, adecuaciones o reparaciones locativas de infraestructura cultural. La sumatoria de los contratos debía ser igual o superior al 100% del presupuesto oficial y, adicionalmente, al menos uno de los contratos debía corresponder como mínimo al 50% del presupuesto oficial.</w:t>
            </w:r>
          </w:p>
          <w:p w14:paraId="2971FBA6" w14:textId="77777777" w:rsidR="006A64F6" w:rsidRPr="006A64F6" w:rsidRDefault="00274EEA" w:rsidP="006A64F6">
            <w:pPr>
              <w:pStyle w:val="Prrafodelista"/>
              <w:numPr>
                <w:ilvl w:val="0"/>
                <w:numId w:val="15"/>
              </w:numPr>
              <w:rPr>
                <w:rFonts w:ascii="Arial" w:eastAsia="Arial" w:hAnsi="Arial" w:cs="Arial"/>
                <w:color w:val="000000"/>
                <w:sz w:val="22"/>
                <w:szCs w:val="22"/>
                <w:lang w:val="en-US"/>
              </w:rPr>
            </w:pPr>
            <w:r w:rsidRPr="006A64F6">
              <w:rPr>
                <w:rFonts w:ascii="Arial" w:eastAsia="Arial" w:hAnsi="Arial" w:cs="Arial"/>
                <w:color w:val="000000"/>
              </w:rPr>
              <w:t xml:space="preserve">Equipamientos institucionales: se exigió un máximo de dos (2) contratos de interventoría a obras de construcción, remodelación, reforzamiento, mantenimiento o adecuación de edificaciones públicas, cuya sumatoria </w:t>
            </w:r>
            <w:r w:rsidRPr="006A64F6">
              <w:rPr>
                <w:rFonts w:ascii="Arial" w:eastAsia="Arial" w:hAnsi="Arial" w:cs="Arial"/>
                <w:color w:val="000000"/>
              </w:rPr>
              <w:lastRenderedPageBreak/>
              <w:t>fuera igual o superior al 100% del presupuesto oficial expresado en SMMLV. Como experiencia específica se requirió que por lo menos uno contemplara actividades relacionadas con estudios y diseños y reforzamiento estructural.</w:t>
            </w:r>
          </w:p>
          <w:p w14:paraId="67A60DED" w14:textId="77777777" w:rsidR="006A64F6" w:rsidRPr="006A64F6" w:rsidRDefault="00274EEA" w:rsidP="006A64F6">
            <w:pPr>
              <w:pStyle w:val="Prrafodelista"/>
              <w:numPr>
                <w:ilvl w:val="0"/>
                <w:numId w:val="15"/>
              </w:numPr>
              <w:rPr>
                <w:rFonts w:ascii="Arial" w:eastAsia="Arial" w:hAnsi="Arial" w:cs="Arial"/>
                <w:color w:val="000000"/>
                <w:sz w:val="22"/>
                <w:szCs w:val="22"/>
                <w:lang w:val="en-US"/>
              </w:rPr>
            </w:pPr>
            <w:r w:rsidRPr="006A64F6">
              <w:rPr>
                <w:rFonts w:ascii="Arial" w:eastAsia="Arial" w:hAnsi="Arial" w:cs="Arial"/>
                <w:color w:val="000000"/>
              </w:rPr>
              <w:t>Infraestructura tecnológica: se exigió experiencia con mínimo uno (1) y máximo dos (2) contratos de interventoría a proyectos públicos con alcance integral y/o técnico y/o administrativo y/o financiero y/o jurídico y/o ambiental, incluyendo componentes tecnológicos y/o cableado estructurado y/o cableado eléctrico y/o redes de telecomunicaciones y/o fibra óptica. La sumatoria debía ser igual o superior al 100% del presupuesto oficial expresado en SMMLV.</w:t>
            </w:r>
          </w:p>
          <w:p w14:paraId="435867C3" w14:textId="77777777" w:rsidR="006A64F6" w:rsidRPr="006A64F6" w:rsidRDefault="00274EEA" w:rsidP="006A64F6">
            <w:pPr>
              <w:pStyle w:val="Prrafodelista"/>
              <w:numPr>
                <w:ilvl w:val="0"/>
                <w:numId w:val="15"/>
              </w:numPr>
              <w:rPr>
                <w:rFonts w:ascii="Arial" w:eastAsia="Arial" w:hAnsi="Arial" w:cs="Arial"/>
                <w:color w:val="000000"/>
                <w:sz w:val="22"/>
                <w:szCs w:val="22"/>
                <w:lang w:val="en-US"/>
              </w:rPr>
            </w:pPr>
            <w:r w:rsidRPr="006A64F6">
              <w:rPr>
                <w:rFonts w:ascii="Arial" w:eastAsia="Arial" w:hAnsi="Arial" w:cs="Arial"/>
                <w:color w:val="000000"/>
              </w:rPr>
              <w:t>Infraestructura educativa: se exigió experiencia relacionada con interventoría a proyectos de adecuación, conservación, intervención, instalación, mantenimiento, mejoramiento, rehabilitación, remodelación, reparación o restauración de infraestructura educativa. Como experiencia general también se aceptó interventoría a proyectos de construcción, ampliación, reconstrucción, adecuación, mantenimiento, mejoramiento, rehabilitación, remodelación y reparación de edificaciones. Adicionalmente, se establecieron condiciones específicas relacionadas con área intervenida, redes eléctricas y valor de los contratos.</w:t>
            </w:r>
          </w:p>
          <w:p w14:paraId="296800E7" w14:textId="77777777" w:rsidR="0074021D" w:rsidRPr="0074021D" w:rsidRDefault="00274EEA" w:rsidP="006A64F6">
            <w:pPr>
              <w:pStyle w:val="Prrafodelista"/>
              <w:numPr>
                <w:ilvl w:val="0"/>
                <w:numId w:val="15"/>
              </w:numPr>
              <w:rPr>
                <w:rFonts w:ascii="Arial" w:eastAsia="Arial" w:hAnsi="Arial" w:cs="Arial"/>
                <w:color w:val="000000"/>
                <w:sz w:val="22"/>
                <w:szCs w:val="22"/>
                <w:lang w:val="en-US"/>
              </w:rPr>
            </w:pPr>
            <w:r w:rsidRPr="006A64F6">
              <w:rPr>
                <w:rFonts w:ascii="Arial" w:eastAsia="Arial" w:hAnsi="Arial" w:cs="Arial"/>
                <w:color w:val="000000"/>
              </w:rPr>
              <w:t>Otros proyectos de infraestructura: se identificó igualmente la exigencia de acreditar la sumatoria de contratos de experiencia por un valor igual o superior al 100% del presupuesto oficial, expresado en SMMLV, admitiendo entre uno (1) y cinco (5) contratos, dependiendo de las condiciones particulares del proceso.</w:t>
            </w:r>
          </w:p>
          <w:p w14:paraId="00F885C8" w14:textId="055F05A3" w:rsidR="006A64F6" w:rsidRPr="0074021D" w:rsidRDefault="00274EEA" w:rsidP="0074021D">
            <w:pPr>
              <w:ind w:left="776"/>
              <w:jc w:val="both"/>
              <w:rPr>
                <w:rFonts w:ascii="Arial" w:eastAsia="Arial" w:hAnsi="Arial" w:cs="Arial"/>
                <w:color w:val="000000"/>
                <w:sz w:val="24"/>
                <w:szCs w:val="24"/>
              </w:rPr>
            </w:pPr>
            <w:r w:rsidRPr="0074021D">
              <w:rPr>
                <w:rFonts w:ascii="Arial" w:eastAsia="Arial" w:hAnsi="Arial" w:cs="Arial"/>
                <w:color w:val="000000"/>
                <w:sz w:val="24"/>
                <w:szCs w:val="24"/>
              </w:rPr>
              <w:t>De lo anterior se evidencia que las entidades establecen la experiencia procurando una correspondencia entre las actividades objeto de interventoría y la naturaleza de la infraestructura que será intervenida, pero permitiendo en determinados casos una experiencia general más amplia en proyectos de infraestructura o edificaciones.</w:t>
            </w:r>
          </w:p>
          <w:p w14:paraId="062FBFF4" w14:textId="77777777" w:rsidR="0074021D" w:rsidRPr="0074021D" w:rsidRDefault="00A0753E" w:rsidP="0074021D">
            <w:pPr>
              <w:pStyle w:val="Prrafodelista"/>
              <w:numPr>
                <w:ilvl w:val="0"/>
                <w:numId w:val="12"/>
              </w:numPr>
              <w:rPr>
                <w:rFonts w:ascii="Arial" w:eastAsia="Arial" w:hAnsi="Arial" w:cs="Arial"/>
                <w:color w:val="000000"/>
                <w:lang w:val="en-US"/>
              </w:rPr>
            </w:pPr>
            <w:r w:rsidRPr="006A64F6">
              <w:rPr>
                <w:rFonts w:ascii="Arial" w:eastAsia="Arial" w:hAnsi="Arial" w:cs="Arial"/>
                <w:b/>
                <w:bCs/>
                <w:color w:val="000000"/>
              </w:rPr>
              <w:t>Códigos UNSPSC exigidos en los procesos consultados:</w:t>
            </w:r>
            <w:r w:rsidRPr="006A64F6">
              <w:rPr>
                <w:rFonts w:ascii="Arial" w:eastAsia="Arial" w:hAnsi="Arial" w:cs="Arial"/>
                <w:color w:val="000000"/>
              </w:rPr>
              <w:t xml:space="preserve"> </w:t>
            </w:r>
            <w:r w:rsidR="001A12BD" w:rsidRPr="006A64F6">
              <w:rPr>
                <w:rFonts w:ascii="Arial" w:eastAsia="Arial" w:hAnsi="Arial" w:cs="Arial"/>
                <w:color w:val="000000"/>
              </w:rPr>
              <w:t>En los procesos consultados se evidencia la utilización recurrente de códigos asociados a servicios de consultoría, gerencia de proyectos, ingeniería civil, arquitectura y control de calidad.</w:t>
            </w:r>
          </w:p>
          <w:p w14:paraId="5143BC8C" w14:textId="77777777" w:rsidR="0074021D" w:rsidRDefault="001A12BD" w:rsidP="0074021D">
            <w:pPr>
              <w:pStyle w:val="Prrafodelista"/>
              <w:ind w:left="720"/>
              <w:rPr>
                <w:rFonts w:ascii="Arial" w:eastAsia="Arial" w:hAnsi="Arial" w:cs="Arial"/>
                <w:color w:val="000000"/>
              </w:rPr>
            </w:pPr>
            <w:r w:rsidRPr="0074021D">
              <w:rPr>
                <w:rFonts w:ascii="Arial" w:eastAsia="Arial" w:hAnsi="Arial" w:cs="Arial"/>
                <w:color w:val="000000"/>
              </w:rPr>
              <w:t>Entre los códigos identificados se encuentran:</w:t>
            </w:r>
          </w:p>
          <w:p w14:paraId="008433B1" w14:textId="77777777" w:rsidR="0074021D" w:rsidRDefault="001A12BD" w:rsidP="0074021D">
            <w:pPr>
              <w:pStyle w:val="Prrafodelista"/>
              <w:ind w:left="720"/>
              <w:rPr>
                <w:rFonts w:ascii="Arial" w:eastAsia="Arial" w:hAnsi="Arial" w:cs="Arial"/>
                <w:color w:val="000000"/>
              </w:rPr>
            </w:pPr>
            <w:r w:rsidRPr="001A12BD">
              <w:rPr>
                <w:rFonts w:ascii="Arial" w:eastAsia="Arial" w:hAnsi="Arial" w:cs="Arial"/>
                <w:color w:val="000000"/>
              </w:rPr>
              <w:t>80101500 – Servicios de consultoría de negocios y administración corporativa.</w:t>
            </w:r>
          </w:p>
          <w:p w14:paraId="03787D9A" w14:textId="77777777" w:rsidR="0074021D" w:rsidRDefault="001A12BD" w:rsidP="0074021D">
            <w:pPr>
              <w:pStyle w:val="Prrafodelista"/>
              <w:ind w:left="720"/>
              <w:rPr>
                <w:rFonts w:ascii="Arial" w:eastAsia="Arial" w:hAnsi="Arial" w:cs="Arial"/>
                <w:color w:val="000000"/>
              </w:rPr>
            </w:pPr>
            <w:r w:rsidRPr="001A12BD">
              <w:rPr>
                <w:rFonts w:ascii="Arial" w:eastAsia="Arial" w:hAnsi="Arial" w:cs="Arial"/>
                <w:color w:val="000000"/>
              </w:rPr>
              <w:lastRenderedPageBreak/>
              <w:t>80101600 – Gerencia de proyectos.</w:t>
            </w:r>
          </w:p>
          <w:p w14:paraId="6B853DAB" w14:textId="77777777" w:rsidR="0074021D" w:rsidRDefault="001A12BD" w:rsidP="0074021D">
            <w:pPr>
              <w:pStyle w:val="Prrafodelista"/>
              <w:ind w:left="720"/>
              <w:rPr>
                <w:rFonts w:ascii="Arial" w:eastAsia="Arial" w:hAnsi="Arial" w:cs="Arial"/>
                <w:color w:val="000000"/>
              </w:rPr>
            </w:pPr>
            <w:r w:rsidRPr="001A12BD">
              <w:rPr>
                <w:rFonts w:ascii="Arial" w:eastAsia="Arial" w:hAnsi="Arial" w:cs="Arial"/>
                <w:color w:val="000000"/>
              </w:rPr>
              <w:t>81101500 – Ingeniería civil y arquitectura.</w:t>
            </w:r>
          </w:p>
          <w:p w14:paraId="297A5084" w14:textId="77777777" w:rsidR="0074021D" w:rsidRDefault="001A12BD" w:rsidP="0074021D">
            <w:pPr>
              <w:pStyle w:val="Prrafodelista"/>
              <w:ind w:left="720"/>
              <w:rPr>
                <w:rFonts w:ascii="Arial" w:eastAsia="Arial" w:hAnsi="Arial" w:cs="Arial"/>
                <w:color w:val="000000"/>
              </w:rPr>
            </w:pPr>
            <w:r w:rsidRPr="001A12BD">
              <w:rPr>
                <w:rFonts w:ascii="Arial" w:eastAsia="Arial" w:hAnsi="Arial" w:cs="Arial"/>
                <w:color w:val="000000"/>
              </w:rPr>
              <w:t>81141500 – Control de calidad.</w:t>
            </w:r>
          </w:p>
          <w:p w14:paraId="19AB73B1" w14:textId="77777777" w:rsidR="0074021D" w:rsidRDefault="001A12BD" w:rsidP="0074021D">
            <w:pPr>
              <w:pStyle w:val="Prrafodelista"/>
              <w:ind w:left="720"/>
              <w:rPr>
                <w:rFonts w:ascii="Arial" w:eastAsia="Arial" w:hAnsi="Arial" w:cs="Arial"/>
                <w:color w:val="000000"/>
              </w:rPr>
            </w:pPr>
            <w:r w:rsidRPr="001A12BD">
              <w:rPr>
                <w:rFonts w:ascii="Arial" w:eastAsia="Arial" w:hAnsi="Arial" w:cs="Arial"/>
                <w:color w:val="000000"/>
              </w:rPr>
              <w:t>81101700 – Ingeniería eléctrica y electrónica.</w:t>
            </w:r>
          </w:p>
          <w:p w14:paraId="217A13D9" w14:textId="77777777" w:rsidR="0074021D" w:rsidRDefault="001A12BD" w:rsidP="0074021D">
            <w:pPr>
              <w:pStyle w:val="Prrafodelista"/>
              <w:ind w:left="720"/>
              <w:rPr>
                <w:rFonts w:ascii="Arial" w:eastAsia="Arial" w:hAnsi="Arial" w:cs="Arial"/>
                <w:color w:val="000000"/>
              </w:rPr>
            </w:pPr>
            <w:r w:rsidRPr="001A12BD">
              <w:rPr>
                <w:rFonts w:ascii="Arial" w:eastAsia="Arial" w:hAnsi="Arial" w:cs="Arial"/>
                <w:color w:val="000000"/>
              </w:rPr>
              <w:t>81102400 – Ingeniería de transmisión de energía eléctrica.</w:t>
            </w:r>
          </w:p>
          <w:p w14:paraId="083E675F" w14:textId="77777777" w:rsidR="0074021D" w:rsidRDefault="001A12BD" w:rsidP="0074021D">
            <w:pPr>
              <w:pStyle w:val="Prrafodelista"/>
              <w:ind w:left="720"/>
              <w:rPr>
                <w:rFonts w:ascii="Arial" w:eastAsia="Arial" w:hAnsi="Arial" w:cs="Arial"/>
                <w:color w:val="000000"/>
              </w:rPr>
            </w:pPr>
            <w:r w:rsidRPr="001A12BD">
              <w:rPr>
                <w:rFonts w:ascii="Arial" w:eastAsia="Arial" w:hAnsi="Arial" w:cs="Arial"/>
                <w:color w:val="000000"/>
              </w:rPr>
              <w:t>84111600 – Servicios de auditoría.</w:t>
            </w:r>
          </w:p>
          <w:p w14:paraId="026456C7" w14:textId="77777777" w:rsidR="0074021D" w:rsidRDefault="001A12BD" w:rsidP="0074021D">
            <w:pPr>
              <w:pStyle w:val="Prrafodelista"/>
              <w:ind w:left="720"/>
              <w:rPr>
                <w:rFonts w:ascii="Arial" w:eastAsia="Arial" w:hAnsi="Arial" w:cs="Arial"/>
                <w:color w:val="000000"/>
              </w:rPr>
            </w:pPr>
            <w:r w:rsidRPr="001A12BD">
              <w:rPr>
                <w:rFonts w:ascii="Arial" w:eastAsia="Arial" w:hAnsi="Arial" w:cs="Arial"/>
                <w:color w:val="000000"/>
              </w:rPr>
              <w:t>80111600 – Servicios de personal temporal.</w:t>
            </w:r>
          </w:p>
          <w:p w14:paraId="0259EF7D" w14:textId="77777777" w:rsidR="00CE3AE3" w:rsidRDefault="001A12BD" w:rsidP="00CE3AE3">
            <w:pPr>
              <w:pStyle w:val="Prrafodelista"/>
              <w:ind w:left="720"/>
              <w:rPr>
                <w:rFonts w:ascii="Arial" w:eastAsia="Arial" w:hAnsi="Arial" w:cs="Arial"/>
                <w:color w:val="000000"/>
              </w:rPr>
            </w:pPr>
            <w:r w:rsidRPr="001A12BD">
              <w:rPr>
                <w:rFonts w:ascii="Arial" w:eastAsia="Arial" w:hAnsi="Arial" w:cs="Arial"/>
                <w:color w:val="000000"/>
              </w:rPr>
              <w:t>Los códigos utilizados varían de acuerdo con la naturaleza y alcance del objeto contractual.</w:t>
            </w:r>
          </w:p>
          <w:p w14:paraId="26CB6BDD" w14:textId="77777777" w:rsidR="00CE3AE3" w:rsidRPr="00CE3AE3" w:rsidRDefault="00A0753E" w:rsidP="00CE3AE3">
            <w:pPr>
              <w:pStyle w:val="Prrafodelista"/>
              <w:numPr>
                <w:ilvl w:val="0"/>
                <w:numId w:val="12"/>
              </w:numPr>
              <w:rPr>
                <w:rFonts w:ascii="Arial" w:eastAsia="Arial" w:hAnsi="Arial" w:cs="Arial"/>
                <w:color w:val="000000"/>
                <w:lang w:val="en-US"/>
              </w:rPr>
            </w:pPr>
            <w:r w:rsidRPr="00345B60">
              <w:rPr>
                <w:rFonts w:ascii="Arial" w:eastAsia="Arial" w:hAnsi="Arial" w:cs="Arial"/>
                <w:b/>
                <w:bCs/>
                <w:color w:val="000000"/>
              </w:rPr>
              <w:t>Garantías exigidas en los procesos consultados:</w:t>
            </w:r>
            <w:r w:rsidRPr="00100D88">
              <w:rPr>
                <w:rFonts w:ascii="Arial" w:eastAsia="Arial" w:hAnsi="Arial" w:cs="Arial"/>
                <w:color w:val="000000"/>
              </w:rPr>
              <w:t xml:space="preserve"> </w:t>
            </w:r>
            <w:r w:rsidR="00B27AAF" w:rsidRPr="00B27AAF">
              <w:rPr>
                <w:rFonts w:ascii="Arial" w:eastAsia="Arial" w:hAnsi="Arial" w:cs="Arial"/>
                <w:color w:val="000000"/>
              </w:rPr>
              <w:t>La revisión de los procesos evidencia que las garantías exigidas con mayor frecuencia corresponden a:</w:t>
            </w:r>
          </w:p>
          <w:p w14:paraId="0AD96DF1" w14:textId="77777777" w:rsidR="00CE3AE3" w:rsidRDefault="00B27AAF" w:rsidP="00CE3AE3">
            <w:pPr>
              <w:pStyle w:val="Prrafodelista"/>
              <w:ind w:left="720"/>
              <w:rPr>
                <w:rFonts w:ascii="Arial" w:eastAsia="Arial" w:hAnsi="Arial" w:cs="Arial"/>
                <w:color w:val="000000"/>
              </w:rPr>
            </w:pPr>
            <w:r w:rsidRPr="00CE3AE3">
              <w:rPr>
                <w:rFonts w:ascii="Arial" w:eastAsia="Arial" w:hAnsi="Arial" w:cs="Arial"/>
                <w:color w:val="000000"/>
              </w:rPr>
              <w:t>Seriedad de la oferta.</w:t>
            </w:r>
          </w:p>
          <w:p w14:paraId="645BF96F" w14:textId="77777777" w:rsidR="00CE3AE3" w:rsidRDefault="00B27AAF" w:rsidP="00CE3AE3">
            <w:pPr>
              <w:pStyle w:val="Prrafodelista"/>
              <w:ind w:left="720"/>
              <w:rPr>
                <w:rFonts w:ascii="Arial" w:eastAsia="Arial" w:hAnsi="Arial" w:cs="Arial"/>
                <w:color w:val="000000"/>
              </w:rPr>
            </w:pPr>
            <w:r w:rsidRPr="00B27AAF">
              <w:rPr>
                <w:rFonts w:ascii="Arial" w:eastAsia="Arial" w:hAnsi="Arial" w:cs="Arial"/>
                <w:color w:val="000000"/>
              </w:rPr>
              <w:t>Cumplimiento del contrato.</w:t>
            </w:r>
          </w:p>
          <w:p w14:paraId="5270F90F" w14:textId="77777777" w:rsidR="00CE3AE3" w:rsidRDefault="00B27AAF" w:rsidP="00CE3AE3">
            <w:pPr>
              <w:pStyle w:val="Prrafodelista"/>
              <w:ind w:left="720"/>
              <w:rPr>
                <w:rFonts w:ascii="Arial" w:eastAsia="Arial" w:hAnsi="Arial" w:cs="Arial"/>
                <w:color w:val="000000"/>
              </w:rPr>
            </w:pPr>
            <w:r w:rsidRPr="00B27AAF">
              <w:rPr>
                <w:rFonts w:ascii="Arial" w:eastAsia="Arial" w:hAnsi="Arial" w:cs="Arial"/>
                <w:color w:val="000000"/>
              </w:rPr>
              <w:t>Pago de salarios, prestaciones sociales e indemnizaciones laborales.</w:t>
            </w:r>
          </w:p>
          <w:p w14:paraId="291E8D9F" w14:textId="77777777" w:rsidR="00CE3AE3" w:rsidRDefault="00B27AAF" w:rsidP="00CE3AE3">
            <w:pPr>
              <w:pStyle w:val="Prrafodelista"/>
              <w:ind w:left="720"/>
              <w:rPr>
                <w:rFonts w:ascii="Arial" w:eastAsia="Arial" w:hAnsi="Arial" w:cs="Arial"/>
                <w:color w:val="000000"/>
              </w:rPr>
            </w:pPr>
            <w:r w:rsidRPr="00B27AAF">
              <w:rPr>
                <w:rFonts w:ascii="Arial" w:eastAsia="Arial" w:hAnsi="Arial" w:cs="Arial"/>
                <w:color w:val="000000"/>
              </w:rPr>
              <w:t>Calidad del servicio.</w:t>
            </w:r>
          </w:p>
          <w:p w14:paraId="48EDECA5" w14:textId="77777777" w:rsidR="00CE3AE3" w:rsidRDefault="00B27AAF" w:rsidP="00CE3AE3">
            <w:pPr>
              <w:pStyle w:val="Prrafodelista"/>
              <w:ind w:left="720"/>
              <w:rPr>
                <w:rFonts w:ascii="Arial" w:eastAsia="Arial" w:hAnsi="Arial" w:cs="Arial"/>
                <w:color w:val="000000"/>
              </w:rPr>
            </w:pPr>
            <w:r w:rsidRPr="00B27AAF">
              <w:rPr>
                <w:rFonts w:ascii="Arial" w:eastAsia="Arial" w:hAnsi="Arial" w:cs="Arial"/>
                <w:color w:val="000000"/>
              </w:rPr>
              <w:t>Responsabilidad civil extracontractual.</w:t>
            </w:r>
          </w:p>
          <w:p w14:paraId="32916211" w14:textId="77777777" w:rsidR="00CE3AE3" w:rsidRDefault="00B27AAF" w:rsidP="00CE3AE3">
            <w:pPr>
              <w:pStyle w:val="Prrafodelista"/>
              <w:ind w:left="720"/>
              <w:rPr>
                <w:rFonts w:ascii="Arial" w:eastAsia="Arial" w:hAnsi="Arial" w:cs="Arial"/>
                <w:color w:val="000000"/>
              </w:rPr>
            </w:pPr>
            <w:r w:rsidRPr="00B27AAF">
              <w:rPr>
                <w:rFonts w:ascii="Arial" w:eastAsia="Arial" w:hAnsi="Arial" w:cs="Arial"/>
                <w:color w:val="000000"/>
              </w:rPr>
              <w:t>En los procesos consultados se identificaron porcentajes de cumplimiento entre el 10% y el 30%, garantías de salarios entre el 5% y el 20%, garantías de calidad del servicio entre el 15% y el 30% y amparos de responsabilidad civil extracontractual de 200 SMMLV en algunos procesos. Las vigencias varían de acuerdo con la naturaleza del contrato y con la garantía de estabilidad del contrato principal.</w:t>
            </w:r>
          </w:p>
          <w:p w14:paraId="6928AD51" w14:textId="4E5BCB41" w:rsidR="00E122D5" w:rsidRPr="00CE3AE3" w:rsidRDefault="00A0753E" w:rsidP="00CE3AE3">
            <w:pPr>
              <w:pStyle w:val="Prrafodelista"/>
              <w:numPr>
                <w:ilvl w:val="0"/>
                <w:numId w:val="12"/>
              </w:numPr>
              <w:rPr>
                <w:rFonts w:ascii="Arial" w:eastAsia="Arial" w:hAnsi="Arial" w:cs="Arial"/>
                <w:color w:val="000000"/>
                <w:lang w:val="en-US"/>
              </w:rPr>
            </w:pPr>
            <w:r w:rsidRPr="00CE3AE3">
              <w:rPr>
                <w:rFonts w:ascii="Arial" w:eastAsia="Arial" w:hAnsi="Arial" w:cs="Arial"/>
                <w:b/>
                <w:bCs/>
                <w:lang w:val="en-US"/>
              </w:rPr>
              <w:t>Criterios de evaluación establecidos en los procesos consultados:</w:t>
            </w:r>
            <w:r w:rsidRPr="00CE3AE3">
              <w:rPr>
                <w:rFonts w:ascii="Arial" w:eastAsia="Arial" w:hAnsi="Arial" w:cs="Arial"/>
                <w:lang w:val="en-US"/>
              </w:rPr>
              <w:t xml:space="preserve"> </w:t>
            </w:r>
            <w:r w:rsidR="00E122D5" w:rsidRPr="00CE3AE3">
              <w:rPr>
                <w:rFonts w:ascii="Arial" w:eastAsia="Arial" w:hAnsi="Arial" w:cs="Arial"/>
                <w:lang w:val="en-US"/>
              </w:rPr>
              <w:t>Los procesos consultados muestran que la evaluación de las ofertas se concentra principalmente en la experiencia adicional del proponente, la experiencia y formación adicional del equipo de trabajo, el apoyo a la industria nacional y los criterios de inclusión y participación establecidos en la normativa vigente.</w:t>
            </w:r>
          </w:p>
          <w:p w14:paraId="5A581BB4" w14:textId="77777777" w:rsidR="00E122D5" w:rsidRPr="00E122D5" w:rsidRDefault="00E122D5" w:rsidP="00E122D5">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t>Entre las estructuras de ponderación identificadas se encuentran:</w:t>
            </w:r>
          </w:p>
          <w:p w14:paraId="01ADE69A" w14:textId="77777777" w:rsidR="00E122D5" w:rsidRPr="00E122D5" w:rsidRDefault="00E122D5" w:rsidP="00E122D5">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t>Experiencia del proponente: hasta 67,5 puntos.</w:t>
            </w:r>
          </w:p>
          <w:p w14:paraId="07745128" w14:textId="77777777" w:rsidR="00E122D5" w:rsidRPr="00E122D5" w:rsidRDefault="00E122D5" w:rsidP="00E122D5">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t>Experiencia adicional del proponente: hasta 45 puntos.</w:t>
            </w:r>
          </w:p>
          <w:p w14:paraId="145A14C8" w14:textId="77777777" w:rsidR="00E122D5" w:rsidRPr="00E122D5" w:rsidRDefault="00E122D5" w:rsidP="00E122D5">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t>Experiencia y formación adicional del equipo de trabajo: entre 10 y 38,5 puntos, dependiendo del proceso.</w:t>
            </w:r>
          </w:p>
          <w:p w14:paraId="5EDBEC0E" w14:textId="77777777" w:rsidR="00E122D5" w:rsidRPr="00E122D5" w:rsidRDefault="00E122D5" w:rsidP="00E122D5">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t>Apoyo a la industria nacional: entre 10 y 20 puntos.</w:t>
            </w:r>
          </w:p>
          <w:p w14:paraId="35FBCD0C" w14:textId="77777777" w:rsidR="00E122D5" w:rsidRPr="00E122D5" w:rsidRDefault="00E122D5" w:rsidP="00E122D5">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t>Factores de sostenibilidad: entre 1 y 5 puntos.</w:t>
            </w:r>
          </w:p>
          <w:p w14:paraId="17F617C9" w14:textId="77777777" w:rsidR="00E122D5" w:rsidRPr="00E122D5" w:rsidRDefault="00E122D5" w:rsidP="00E122D5">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t>Vinculación de personas con discapacidad: 1 punto.</w:t>
            </w:r>
          </w:p>
          <w:p w14:paraId="56FB2600" w14:textId="77777777" w:rsidR="00E122D5" w:rsidRPr="00E122D5" w:rsidRDefault="00E122D5" w:rsidP="00E122D5">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t>Mipyme: 0,25 puntos.</w:t>
            </w:r>
          </w:p>
          <w:p w14:paraId="7BEDBFBD" w14:textId="77777777" w:rsidR="00E122D5" w:rsidRPr="00E122D5" w:rsidRDefault="00E122D5" w:rsidP="00E122D5">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t>Emprendimientos y empresas de mujeres: 0,25 puntos.</w:t>
            </w:r>
          </w:p>
          <w:p w14:paraId="17328E5F" w14:textId="77777777" w:rsidR="00DF1401" w:rsidRDefault="00E122D5" w:rsidP="00DF1401">
            <w:pPr>
              <w:pStyle w:val="Prrafodelista"/>
              <w:pBdr>
                <w:top w:val="nil"/>
                <w:left w:val="nil"/>
                <w:bottom w:val="nil"/>
                <w:right w:val="nil"/>
                <w:between w:val="nil"/>
              </w:pBdr>
              <w:ind w:left="720" w:right="363"/>
              <w:rPr>
                <w:rFonts w:ascii="Arial" w:eastAsia="Arial" w:hAnsi="Arial" w:cs="Arial"/>
                <w:lang w:val="en-US"/>
              </w:rPr>
            </w:pPr>
            <w:r w:rsidRPr="00E122D5">
              <w:rPr>
                <w:rFonts w:ascii="Arial" w:eastAsia="Arial" w:hAnsi="Arial" w:cs="Arial"/>
                <w:lang w:val="en-US"/>
              </w:rPr>
              <w:lastRenderedPageBreak/>
              <w:t>Inclusión o vinculación laboral de población vulnerable: hasta 5 puntos.</w:t>
            </w:r>
          </w:p>
          <w:p w14:paraId="34E318DA" w14:textId="317601DF" w:rsidR="00765A49" w:rsidRPr="00DF1401" w:rsidRDefault="00E122D5" w:rsidP="00DF1401">
            <w:pPr>
              <w:pStyle w:val="Prrafodelista"/>
              <w:pBdr>
                <w:top w:val="nil"/>
                <w:left w:val="nil"/>
                <w:bottom w:val="nil"/>
                <w:right w:val="nil"/>
                <w:between w:val="nil"/>
              </w:pBdr>
              <w:ind w:left="720"/>
              <w:rPr>
                <w:rFonts w:ascii="Arial" w:eastAsia="Arial" w:hAnsi="Arial" w:cs="Arial"/>
                <w:lang w:val="en-US"/>
              </w:rPr>
            </w:pPr>
            <w:r w:rsidRPr="00345B60">
              <w:rPr>
                <w:rFonts w:ascii="Arial" w:eastAsia="Arial" w:hAnsi="Arial" w:cs="Arial"/>
              </w:rPr>
              <w:t>En consecuencia, se evidencia que la experiencia del proponente y la capacidad del equipo de trabajo constituyen factores relevantes en la selección de interventorías, dada la naturaleza especializada del servicio.</w:t>
            </w:r>
          </w:p>
          <w:p w14:paraId="659CEB57" w14:textId="07CF4051" w:rsidR="00D768A3" w:rsidRPr="00765A49" w:rsidRDefault="00E122D5" w:rsidP="00765A49">
            <w:pPr>
              <w:pStyle w:val="Prrafodelista"/>
              <w:numPr>
                <w:ilvl w:val="0"/>
                <w:numId w:val="12"/>
              </w:numPr>
              <w:pBdr>
                <w:top w:val="nil"/>
                <w:left w:val="nil"/>
                <w:bottom w:val="nil"/>
                <w:right w:val="nil"/>
                <w:between w:val="nil"/>
              </w:pBdr>
              <w:rPr>
                <w:rFonts w:ascii="Arial" w:eastAsia="Arial" w:hAnsi="Arial" w:cs="Arial"/>
                <w:color w:val="000000"/>
              </w:rPr>
            </w:pPr>
            <w:r w:rsidRPr="00765A49">
              <w:rPr>
                <w:rFonts w:ascii="Arial" w:eastAsia="Arial" w:hAnsi="Arial" w:cs="Arial"/>
                <w:b/>
                <w:bCs/>
                <w:color w:val="000000"/>
              </w:rPr>
              <w:t>Criterios diferenciales identificados en los procesos consultados:</w:t>
            </w:r>
            <w:r w:rsidRPr="00765A49">
              <w:rPr>
                <w:rFonts w:ascii="Arial" w:eastAsia="Arial" w:hAnsi="Arial" w:cs="Arial"/>
                <w:color w:val="000000"/>
              </w:rPr>
              <w:t xml:space="preserve"> </w:t>
            </w:r>
            <w:r w:rsidR="001601C4" w:rsidRPr="00765A49">
              <w:rPr>
                <w:rFonts w:ascii="Arial" w:eastAsia="Arial" w:hAnsi="Arial" w:cs="Arial"/>
                <w:color w:val="000000"/>
              </w:rPr>
              <w:t>Criterios diferenciales: Respecto de los criterios diferenciales, el análisis evidencia que un porcentaje reducido de los procesos incorpora factores orientados a promover la participación de emprendimientos y empresas de mujeres dentro del Sistema de Compra Pública. No obstante, se observa una tendencia creciente hacia la inclusión de este tipo de criterios, en cumplimiento de las políticas públicas orientadas a fortalecer la participación de poblaciones y grupos empresariales objeto de especial protección.</w:t>
            </w:r>
          </w:p>
          <w:p w14:paraId="4FFD5A1F" w14:textId="77777777" w:rsidR="00D768A3" w:rsidRPr="00D67D8A" w:rsidRDefault="00D768A3">
            <w:pPr>
              <w:keepNext/>
              <w:keepLines/>
              <w:widowControl/>
              <w:pBdr>
                <w:top w:val="nil"/>
                <w:left w:val="nil"/>
                <w:bottom w:val="nil"/>
                <w:right w:val="nil"/>
                <w:between w:val="nil"/>
              </w:pBdr>
              <w:ind w:left="714" w:right="54"/>
              <w:jc w:val="both"/>
              <w:rPr>
                <w:rFonts w:ascii="Arial" w:eastAsia="Arial" w:hAnsi="Arial" w:cs="Arial"/>
                <w:color w:val="000000"/>
                <w:sz w:val="8"/>
                <w:szCs w:val="8"/>
                <w:lang w:val="es-CO"/>
              </w:rPr>
            </w:pPr>
          </w:p>
          <w:p w14:paraId="45773838" w14:textId="77777777" w:rsidR="00D768A3" w:rsidRPr="00D67D8A" w:rsidRDefault="00D768A3">
            <w:pPr>
              <w:keepNext/>
              <w:keepLines/>
              <w:widowControl/>
              <w:pBdr>
                <w:top w:val="nil"/>
                <w:left w:val="nil"/>
                <w:bottom w:val="nil"/>
                <w:right w:val="nil"/>
                <w:between w:val="nil"/>
              </w:pBdr>
              <w:ind w:left="714" w:right="54"/>
              <w:jc w:val="both"/>
              <w:rPr>
                <w:rFonts w:ascii="Arial" w:eastAsia="Arial" w:hAnsi="Arial" w:cs="Arial"/>
                <w:color w:val="000000"/>
                <w:sz w:val="8"/>
                <w:szCs w:val="8"/>
                <w:lang w:val="es-CO"/>
              </w:rPr>
            </w:pPr>
          </w:p>
        </w:tc>
      </w:tr>
      <w:tr w:rsidR="00D768A3" w14:paraId="399D445F"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03197E6" w14:textId="77777777" w:rsidR="00D768A3" w:rsidRDefault="00A0753E">
            <w:pPr>
              <w:widowControl/>
              <w:numPr>
                <w:ilvl w:val="1"/>
                <w:numId w:val="1"/>
              </w:numPr>
              <w:pBdr>
                <w:top w:val="nil"/>
                <w:left w:val="nil"/>
                <w:bottom w:val="nil"/>
                <w:right w:val="nil"/>
                <w:between w:val="nil"/>
              </w:pBdr>
              <w:spacing w:before="60" w:after="60"/>
              <w:ind w:left="454" w:hanging="454"/>
              <w:jc w:val="both"/>
              <w:rPr>
                <w:rFonts w:ascii="Arial" w:eastAsia="Arial" w:hAnsi="Arial" w:cs="Arial"/>
                <w:color w:val="000000"/>
                <w:sz w:val="24"/>
                <w:szCs w:val="24"/>
              </w:rPr>
            </w:pPr>
            <w:r w:rsidRPr="00D67D8A">
              <w:rPr>
                <w:rFonts w:ascii="Arial" w:eastAsia="Arial" w:hAnsi="Arial" w:cs="Arial"/>
                <w:color w:val="000000"/>
                <w:sz w:val="24"/>
                <w:szCs w:val="24"/>
                <w:lang w:val="es-CO"/>
              </w:rPr>
              <w:lastRenderedPageBreak/>
              <w:t xml:space="preserve"> </w:t>
            </w:r>
            <w:r>
              <w:rPr>
                <w:rFonts w:ascii="Arial" w:eastAsia="Arial" w:hAnsi="Arial" w:cs="Arial"/>
                <w:color w:val="000000"/>
                <w:sz w:val="24"/>
                <w:szCs w:val="24"/>
              </w:rPr>
              <w:t xml:space="preserve">OTRAS CONSULTAS </w:t>
            </w:r>
          </w:p>
        </w:tc>
      </w:tr>
      <w:tr w:rsidR="00D768A3" w14:paraId="69FBB66F"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54C70D" w14:textId="77777777" w:rsidR="00D768A3" w:rsidRDefault="00D768A3">
            <w:pPr>
              <w:widowControl/>
              <w:pBdr>
                <w:top w:val="nil"/>
                <w:left w:val="nil"/>
                <w:bottom w:val="nil"/>
                <w:right w:val="nil"/>
                <w:between w:val="nil"/>
              </w:pBdr>
              <w:tabs>
                <w:tab w:val="left" w:pos="362"/>
              </w:tabs>
              <w:rPr>
                <w:rFonts w:ascii="Arial" w:eastAsia="Arial" w:hAnsi="Arial" w:cs="Arial"/>
                <w:color w:val="000000"/>
                <w:sz w:val="24"/>
                <w:szCs w:val="24"/>
              </w:rPr>
            </w:pPr>
          </w:p>
          <w:p w14:paraId="497D207A" w14:textId="77777777" w:rsidR="00D768A3" w:rsidRDefault="008666BC">
            <w:pPr>
              <w:jc w:val="both"/>
              <w:rPr>
                <w:rFonts w:ascii="Arial" w:eastAsia="Arial" w:hAnsi="Arial" w:cs="Arial"/>
                <w:color w:val="000000"/>
                <w:sz w:val="24"/>
                <w:szCs w:val="24"/>
              </w:rPr>
            </w:pPr>
            <w:r w:rsidRPr="008666BC">
              <w:rPr>
                <w:rFonts w:ascii="Arial" w:eastAsia="Arial" w:hAnsi="Arial" w:cs="Arial"/>
                <w:color w:val="000000"/>
                <w:sz w:val="24"/>
                <w:szCs w:val="24"/>
              </w:rPr>
              <w:t>No aplica. Para el presente proceso no se identifican otras consultas adicionales que resulten necesarias para complementar el análisis del sector, por cuanto la información requerida para la estructuración del proceso se encuentra soportada en las fuentes y análisis desarrollados en los apartados anteriores.</w:t>
            </w:r>
          </w:p>
          <w:p w14:paraId="21D7AC5A" w14:textId="519B3DF9" w:rsidR="004B5863" w:rsidRDefault="004B5863">
            <w:pPr>
              <w:jc w:val="both"/>
              <w:rPr>
                <w:rFonts w:ascii="Arial" w:eastAsia="Arial" w:hAnsi="Arial" w:cs="Arial"/>
              </w:rPr>
            </w:pPr>
          </w:p>
        </w:tc>
      </w:tr>
      <w:tr w:rsidR="00D768A3" w14:paraId="2F0DE271"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892B3EF" w14:textId="77777777" w:rsidR="00D768A3" w:rsidRDefault="00A0753E">
            <w:pPr>
              <w:widowControl/>
              <w:numPr>
                <w:ilvl w:val="0"/>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t>ESTUDIO DE LA OFERTA</w:t>
            </w:r>
          </w:p>
        </w:tc>
      </w:tr>
      <w:tr w:rsidR="00D768A3" w14:paraId="68DA0E1B"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B4E463" w14:textId="77777777" w:rsidR="00D768A3" w:rsidRDefault="00D768A3">
            <w:pPr>
              <w:jc w:val="both"/>
              <w:rPr>
                <w:rFonts w:ascii="Arial" w:eastAsia="Arial" w:hAnsi="Arial" w:cs="Arial"/>
                <w:sz w:val="24"/>
                <w:szCs w:val="24"/>
              </w:rPr>
            </w:pPr>
          </w:p>
          <w:p w14:paraId="211E9D6F" w14:textId="77777777" w:rsidR="00D768A3" w:rsidRDefault="00631DE3">
            <w:pPr>
              <w:jc w:val="both"/>
              <w:rPr>
                <w:rFonts w:ascii="Arial" w:eastAsia="Arial" w:hAnsi="Arial" w:cs="Arial"/>
                <w:sz w:val="24"/>
                <w:szCs w:val="24"/>
                <w:lang w:val="es-CO"/>
              </w:rPr>
            </w:pPr>
            <w:r w:rsidRPr="00631DE3">
              <w:rPr>
                <w:rFonts w:ascii="Arial" w:eastAsia="Arial" w:hAnsi="Arial" w:cs="Arial"/>
                <w:sz w:val="24"/>
                <w:szCs w:val="24"/>
                <w:lang w:val="es-CO"/>
              </w:rPr>
              <w:t>El estudio de la oferta tiene como finalidad caracterizar el mercado relacionado con la prestación de servicios de interventoría integral, mediante la identificación de potenciales proveedores con capacidad para ejecutar el objeto contractual. Para ello, se analiza la existencia de pluralidad de oferentes, su capacidad técnica, jurídica, financiera y organizacional, la dinámica del mercado, los precios de referencia y la razonabilidad del presupuesto oficial, así como la identificación de alternativas, buenas prácticas e innovaciones que puedan fortalecer la estructuración del presente proceso de contratación. Este análisis permite verificar que existen las condiciones necesarias para adelantar el proceso cuyo objeto consiste en realizar la interventoría integral: técnica, administrativa, financiera, jurídica, social y ambiental al contrato de obra derivado del proceso de Licitación Pública.</w:t>
            </w:r>
          </w:p>
          <w:p w14:paraId="1AF94BB5" w14:textId="0B840564" w:rsidR="00631DE3" w:rsidRPr="00D67D8A" w:rsidRDefault="00631DE3">
            <w:pPr>
              <w:jc w:val="both"/>
              <w:rPr>
                <w:rFonts w:ascii="Arial" w:eastAsia="Arial" w:hAnsi="Arial" w:cs="Arial"/>
                <w:lang w:val="es-CO"/>
              </w:rPr>
            </w:pPr>
          </w:p>
        </w:tc>
      </w:tr>
      <w:tr w:rsidR="00D768A3" w14:paraId="3866AC36"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05C1A39" w14:textId="77777777" w:rsidR="00D768A3" w:rsidRPr="00D67D8A" w:rsidRDefault="00A0753E">
            <w:pPr>
              <w:widowControl/>
              <w:numPr>
                <w:ilvl w:val="1"/>
                <w:numId w:val="1"/>
              </w:numPr>
              <w:pBdr>
                <w:top w:val="nil"/>
                <w:left w:val="nil"/>
                <w:bottom w:val="nil"/>
                <w:right w:val="nil"/>
                <w:between w:val="nil"/>
              </w:pBdr>
              <w:spacing w:before="60" w:after="60"/>
              <w:ind w:left="454" w:hanging="454"/>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PROVEEDORES QUE PROVEEN EL BIEN, OBRA O SERVICIO</w:t>
            </w:r>
          </w:p>
        </w:tc>
      </w:tr>
      <w:tr w:rsidR="00D768A3" w14:paraId="04220CA0"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E97399" w14:textId="77777777" w:rsidR="00D768A3" w:rsidRPr="00D67D8A" w:rsidRDefault="00D768A3">
            <w:pPr>
              <w:jc w:val="both"/>
              <w:rPr>
                <w:rFonts w:ascii="Arial" w:eastAsia="Arial" w:hAnsi="Arial" w:cs="Arial"/>
                <w:sz w:val="24"/>
                <w:szCs w:val="24"/>
                <w:lang w:val="es-CO"/>
              </w:rPr>
            </w:pPr>
          </w:p>
          <w:p w14:paraId="65C3C9C5" w14:textId="745908D6" w:rsidR="00D768A3" w:rsidRDefault="00D32514">
            <w:pPr>
              <w:jc w:val="both"/>
              <w:rPr>
                <w:rFonts w:ascii="Arial" w:eastAsia="Arial" w:hAnsi="Arial" w:cs="Arial"/>
                <w:sz w:val="24"/>
                <w:szCs w:val="24"/>
                <w:lang w:val="es-CO"/>
              </w:rPr>
            </w:pPr>
            <w:r w:rsidRPr="00D32514">
              <w:rPr>
                <w:rFonts w:ascii="Arial" w:eastAsia="Arial" w:hAnsi="Arial" w:cs="Arial"/>
                <w:sz w:val="24"/>
                <w:szCs w:val="24"/>
                <w:lang w:val="es-CO"/>
              </w:rPr>
              <w:lastRenderedPageBreak/>
              <w:t>El análisis de la oferta tiene como propósito identificar los potenciales proveedores con capacidad técnica, jurídica, financiera y organizacional para ejecutar el objeto del presente proceso contractual, así como caracterizar el mercado desde la perspectiva de la oferta disponible y verificar la existencia de pluralidad de posibles oferentes. Para ello, la Entidad consultó diversas fuentes oficiales de información que permiten identificar empresas con experiencia en la prestación de servicios de consultoría e interventoría.</w:t>
            </w:r>
          </w:p>
          <w:p w14:paraId="7D0B87BF" w14:textId="77777777" w:rsidR="00A24C1F" w:rsidRDefault="00A24C1F">
            <w:pPr>
              <w:jc w:val="both"/>
              <w:rPr>
                <w:rFonts w:ascii="Arial" w:eastAsia="Arial" w:hAnsi="Arial" w:cs="Arial"/>
                <w:sz w:val="24"/>
                <w:szCs w:val="24"/>
                <w:lang w:val="es-CO"/>
              </w:rPr>
            </w:pPr>
          </w:p>
          <w:p w14:paraId="36824851" w14:textId="77777777" w:rsidR="00A24C1F" w:rsidRPr="00A24C1F" w:rsidRDefault="00A24C1F" w:rsidP="00A24C1F">
            <w:pPr>
              <w:jc w:val="both"/>
              <w:rPr>
                <w:rFonts w:ascii="Arial" w:eastAsia="Arial" w:hAnsi="Arial" w:cs="Arial"/>
                <w:sz w:val="24"/>
                <w:szCs w:val="24"/>
                <w:lang w:val="es-CO"/>
              </w:rPr>
            </w:pPr>
            <w:r w:rsidRPr="00A24C1F">
              <w:rPr>
                <w:rFonts w:ascii="Arial" w:eastAsia="Arial" w:hAnsi="Arial" w:cs="Arial"/>
                <w:sz w:val="24"/>
                <w:szCs w:val="24"/>
                <w:lang w:val="es-CO"/>
              </w:rPr>
              <w:t>Para la identificación de los potenciales proveedores se consultaron las siguientes fuentes oficiales:</w:t>
            </w:r>
          </w:p>
          <w:p w14:paraId="3F1D0F76" w14:textId="77777777" w:rsidR="00A24C1F" w:rsidRPr="00A24C1F" w:rsidRDefault="00A24C1F">
            <w:pPr>
              <w:numPr>
                <w:ilvl w:val="0"/>
                <w:numId w:val="9"/>
              </w:numPr>
              <w:jc w:val="both"/>
              <w:rPr>
                <w:rFonts w:ascii="Arial" w:eastAsia="Arial" w:hAnsi="Arial" w:cs="Arial"/>
                <w:sz w:val="24"/>
                <w:szCs w:val="24"/>
                <w:lang w:val="es-CO"/>
              </w:rPr>
            </w:pPr>
            <w:r w:rsidRPr="00A24C1F">
              <w:rPr>
                <w:rFonts w:ascii="Arial" w:eastAsia="Arial" w:hAnsi="Arial" w:cs="Arial"/>
                <w:b/>
                <w:bCs/>
                <w:sz w:val="24"/>
                <w:szCs w:val="24"/>
                <w:lang w:val="es-CO"/>
              </w:rPr>
              <w:t>Sistema Integrado de Información Societaria (SIIS)</w:t>
            </w:r>
            <w:r w:rsidRPr="00A24C1F">
              <w:rPr>
                <w:rFonts w:ascii="Arial" w:eastAsia="Arial" w:hAnsi="Arial" w:cs="Arial"/>
                <w:sz w:val="24"/>
                <w:szCs w:val="24"/>
                <w:lang w:val="es-CO"/>
              </w:rPr>
              <w:t xml:space="preserve"> de la Superintendencia de Sociedades, mediante la consulta de empresas clasificadas bajo el código CIIU 7112 – Actividades de ingeniería y otras actividades conexas de consultoría técnica. </w:t>
            </w:r>
          </w:p>
          <w:p w14:paraId="58E6F902" w14:textId="77777777" w:rsidR="00A24C1F" w:rsidRPr="00A24C1F" w:rsidRDefault="00A24C1F">
            <w:pPr>
              <w:numPr>
                <w:ilvl w:val="0"/>
                <w:numId w:val="9"/>
              </w:numPr>
              <w:jc w:val="both"/>
              <w:rPr>
                <w:rFonts w:ascii="Arial" w:eastAsia="Arial" w:hAnsi="Arial" w:cs="Arial"/>
                <w:sz w:val="24"/>
                <w:szCs w:val="24"/>
                <w:lang w:val="es-CO"/>
              </w:rPr>
            </w:pPr>
            <w:r w:rsidRPr="00A24C1F">
              <w:rPr>
                <w:rFonts w:ascii="Arial" w:eastAsia="Arial" w:hAnsi="Arial" w:cs="Arial"/>
                <w:b/>
                <w:bCs/>
                <w:sz w:val="24"/>
                <w:szCs w:val="24"/>
                <w:lang w:val="es-CO"/>
              </w:rPr>
              <w:t>SECOP I y SECOP II</w:t>
            </w:r>
            <w:r w:rsidRPr="00A24C1F">
              <w:rPr>
                <w:rFonts w:ascii="Arial" w:eastAsia="Arial" w:hAnsi="Arial" w:cs="Arial"/>
                <w:sz w:val="24"/>
                <w:szCs w:val="24"/>
                <w:lang w:val="es-CO"/>
              </w:rPr>
              <w:t xml:space="preserve">, mediante la identificación de contratistas y participantes en procesos relacionados con consultoría e interventoría. </w:t>
            </w:r>
          </w:p>
          <w:p w14:paraId="2FEBA515" w14:textId="77777777" w:rsidR="00A24C1F" w:rsidRPr="00A24C1F" w:rsidRDefault="00A24C1F">
            <w:pPr>
              <w:numPr>
                <w:ilvl w:val="0"/>
                <w:numId w:val="9"/>
              </w:numPr>
              <w:jc w:val="both"/>
              <w:rPr>
                <w:rFonts w:ascii="Arial" w:eastAsia="Arial" w:hAnsi="Arial" w:cs="Arial"/>
                <w:sz w:val="24"/>
                <w:szCs w:val="24"/>
                <w:lang w:val="es-CO"/>
              </w:rPr>
            </w:pPr>
            <w:r w:rsidRPr="00A24C1F">
              <w:rPr>
                <w:rFonts w:ascii="Arial" w:eastAsia="Arial" w:hAnsi="Arial" w:cs="Arial"/>
                <w:b/>
                <w:bCs/>
                <w:sz w:val="24"/>
                <w:szCs w:val="24"/>
                <w:lang w:val="es-CO"/>
              </w:rPr>
              <w:t>Registro de Proveedores de SECOP II</w:t>
            </w:r>
            <w:r w:rsidRPr="00A24C1F">
              <w:rPr>
                <w:rFonts w:ascii="Arial" w:eastAsia="Arial" w:hAnsi="Arial" w:cs="Arial"/>
                <w:sz w:val="24"/>
                <w:szCs w:val="24"/>
                <w:lang w:val="es-CO"/>
              </w:rPr>
              <w:t xml:space="preserve">, utilizando los códigos UNSPSC relacionados con el objeto contractual, principalmente el código </w:t>
            </w:r>
            <w:r w:rsidRPr="00A24C1F">
              <w:rPr>
                <w:rFonts w:ascii="Arial" w:eastAsia="Arial" w:hAnsi="Arial" w:cs="Arial"/>
                <w:b/>
                <w:bCs/>
                <w:sz w:val="24"/>
                <w:szCs w:val="24"/>
                <w:lang w:val="es-CO"/>
              </w:rPr>
              <w:t>80101600 – Gerencia de proyectos</w:t>
            </w:r>
            <w:r w:rsidRPr="00A24C1F">
              <w:rPr>
                <w:rFonts w:ascii="Arial" w:eastAsia="Arial" w:hAnsi="Arial" w:cs="Arial"/>
                <w:sz w:val="24"/>
                <w:szCs w:val="24"/>
                <w:lang w:val="es-CO"/>
              </w:rPr>
              <w:t xml:space="preserve">. </w:t>
            </w:r>
          </w:p>
          <w:p w14:paraId="7E28EAEB" w14:textId="77777777" w:rsidR="00A24C1F" w:rsidRPr="00A24C1F" w:rsidRDefault="00A24C1F">
            <w:pPr>
              <w:numPr>
                <w:ilvl w:val="0"/>
                <w:numId w:val="9"/>
              </w:numPr>
              <w:jc w:val="both"/>
              <w:rPr>
                <w:rFonts w:ascii="Arial" w:eastAsia="Arial" w:hAnsi="Arial" w:cs="Arial"/>
                <w:sz w:val="24"/>
                <w:szCs w:val="24"/>
                <w:lang w:val="es-CO"/>
              </w:rPr>
            </w:pPr>
            <w:r w:rsidRPr="00A24C1F">
              <w:rPr>
                <w:rFonts w:ascii="Arial" w:eastAsia="Arial" w:hAnsi="Arial" w:cs="Arial"/>
                <w:b/>
                <w:bCs/>
                <w:sz w:val="24"/>
                <w:szCs w:val="24"/>
                <w:lang w:val="es-CO"/>
              </w:rPr>
              <w:t>Directorio Empresarial de Datos Abiertos</w:t>
            </w:r>
            <w:r w:rsidRPr="00A24C1F">
              <w:rPr>
                <w:rFonts w:ascii="Arial" w:eastAsia="Arial" w:hAnsi="Arial" w:cs="Arial"/>
                <w:sz w:val="24"/>
                <w:szCs w:val="24"/>
                <w:lang w:val="es-CO"/>
              </w:rPr>
              <w:t>, para la caracterización de empresas clasificadas bajo el código CIIU correspondiente.</w:t>
            </w:r>
          </w:p>
          <w:p w14:paraId="78037E10" w14:textId="77777777" w:rsidR="00D768A3" w:rsidRPr="00D67D8A" w:rsidRDefault="00D768A3">
            <w:pPr>
              <w:jc w:val="both"/>
              <w:rPr>
                <w:rFonts w:ascii="Arial" w:eastAsia="Arial" w:hAnsi="Arial" w:cs="Arial"/>
                <w:sz w:val="28"/>
                <w:szCs w:val="28"/>
                <w:lang w:val="es-CO"/>
              </w:rPr>
            </w:pPr>
          </w:p>
          <w:p w14:paraId="39083156"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Se utilizó el directorio de empresas colombianas suministrada por la plataforma de Datos Abiertos, donde se filtró por Actividades Económicas con los códigos CIIU (Clasificación Internacional Industrial Uniforme) referentes al proyecto en estudio:</w:t>
            </w:r>
          </w:p>
          <w:p w14:paraId="0A597E19" w14:textId="77777777" w:rsidR="00D768A3" w:rsidRPr="00D67D8A" w:rsidRDefault="00D768A3">
            <w:pPr>
              <w:jc w:val="both"/>
              <w:rPr>
                <w:rFonts w:ascii="Arial" w:eastAsia="Arial" w:hAnsi="Arial" w:cs="Arial"/>
                <w:color w:val="808080"/>
                <w:lang w:val="es-CO"/>
              </w:rPr>
            </w:pPr>
          </w:p>
          <w:tbl>
            <w:tblPr>
              <w:tblStyle w:val="ad"/>
              <w:tblW w:w="91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05"/>
              <w:gridCol w:w="8187"/>
            </w:tblGrid>
            <w:tr w:rsidR="00D768A3" w14:paraId="3A95E1CE" w14:textId="77777777" w:rsidTr="005D14C3">
              <w:trPr>
                <w:trHeight w:val="20"/>
                <w:jc w:val="center"/>
              </w:trPr>
              <w:tc>
                <w:tcPr>
                  <w:tcW w:w="1005" w:type="dxa"/>
                  <w:shd w:val="clear" w:color="auto" w:fill="D9E0F1"/>
                  <w:vAlign w:val="center"/>
                </w:tcPr>
                <w:p w14:paraId="26472DFF" w14:textId="77777777" w:rsidR="00D768A3" w:rsidRDefault="00A0753E">
                  <w:pPr>
                    <w:rPr>
                      <w:rFonts w:ascii="Arial" w:eastAsia="Arial" w:hAnsi="Arial" w:cs="Arial"/>
                      <w:sz w:val="24"/>
                      <w:szCs w:val="24"/>
                    </w:rPr>
                  </w:pPr>
                  <w:r>
                    <w:rPr>
                      <w:rFonts w:ascii="Arial" w:eastAsia="Arial" w:hAnsi="Arial" w:cs="Arial"/>
                      <w:sz w:val="24"/>
                      <w:szCs w:val="24"/>
                    </w:rPr>
                    <w:t>CIIU</w:t>
                  </w:r>
                </w:p>
              </w:tc>
              <w:tc>
                <w:tcPr>
                  <w:tcW w:w="8187" w:type="dxa"/>
                  <w:shd w:val="clear" w:color="auto" w:fill="D9E0F1"/>
                  <w:vAlign w:val="center"/>
                </w:tcPr>
                <w:p w14:paraId="13BC49DC" w14:textId="77777777" w:rsidR="00D768A3" w:rsidRPr="00D67D8A" w:rsidRDefault="00A0753E">
                  <w:pPr>
                    <w:rPr>
                      <w:rFonts w:ascii="Arial" w:eastAsia="Arial" w:hAnsi="Arial" w:cs="Arial"/>
                      <w:sz w:val="24"/>
                      <w:szCs w:val="24"/>
                      <w:lang w:val="es-CO"/>
                    </w:rPr>
                  </w:pPr>
                  <w:r w:rsidRPr="00D67D8A">
                    <w:rPr>
                      <w:rFonts w:ascii="Arial" w:eastAsia="Arial" w:hAnsi="Arial" w:cs="Arial"/>
                      <w:sz w:val="24"/>
                      <w:szCs w:val="24"/>
                      <w:lang w:val="es-CO"/>
                    </w:rPr>
                    <w:t>Descripción Código CIIU-Clasificación Industrial Internacional Uniforme Versión 4</w:t>
                  </w:r>
                </w:p>
                <w:p w14:paraId="396A3592" w14:textId="77777777" w:rsidR="00D768A3" w:rsidRDefault="00A0753E">
                  <w:pPr>
                    <w:rPr>
                      <w:rFonts w:ascii="Arial" w:eastAsia="Arial" w:hAnsi="Arial" w:cs="Arial"/>
                      <w:sz w:val="24"/>
                      <w:szCs w:val="24"/>
                    </w:rPr>
                  </w:pPr>
                  <w:r>
                    <w:rPr>
                      <w:rFonts w:ascii="Arial" w:eastAsia="Arial" w:hAnsi="Arial" w:cs="Arial"/>
                      <w:sz w:val="24"/>
                      <w:szCs w:val="24"/>
                    </w:rPr>
                    <w:t>A.C2</w:t>
                  </w:r>
                </w:p>
              </w:tc>
            </w:tr>
            <w:tr w:rsidR="00D768A3" w14:paraId="5298E86E" w14:textId="77777777" w:rsidTr="005D14C3">
              <w:trPr>
                <w:trHeight w:val="20"/>
                <w:jc w:val="center"/>
              </w:trPr>
              <w:tc>
                <w:tcPr>
                  <w:tcW w:w="1005" w:type="dxa"/>
                  <w:vAlign w:val="center"/>
                </w:tcPr>
                <w:p w14:paraId="2304656B" w14:textId="77777777" w:rsidR="00D768A3" w:rsidRDefault="00A0753E">
                  <w:pPr>
                    <w:rPr>
                      <w:rFonts w:ascii="Arial" w:eastAsia="Arial" w:hAnsi="Arial" w:cs="Arial"/>
                      <w:sz w:val="24"/>
                      <w:szCs w:val="24"/>
                    </w:rPr>
                  </w:pPr>
                  <w:bookmarkStart w:id="3" w:name="_heading=h.89ip3j3zyz5m" w:colFirst="0" w:colLast="0"/>
                  <w:bookmarkEnd w:id="3"/>
                  <w:r>
                    <w:rPr>
                      <w:rFonts w:ascii="Arial" w:eastAsia="Arial" w:hAnsi="Arial" w:cs="Arial"/>
                      <w:sz w:val="24"/>
                      <w:szCs w:val="24"/>
                    </w:rPr>
                    <w:t>7112</w:t>
                  </w:r>
                </w:p>
              </w:tc>
              <w:tc>
                <w:tcPr>
                  <w:tcW w:w="8187" w:type="dxa"/>
                </w:tcPr>
                <w:p w14:paraId="7AB37B94" w14:textId="77777777" w:rsidR="00D768A3" w:rsidRPr="00D67D8A" w:rsidRDefault="00A0753E">
                  <w:pPr>
                    <w:rPr>
                      <w:rFonts w:ascii="Arial" w:eastAsia="Arial" w:hAnsi="Arial" w:cs="Arial"/>
                      <w:sz w:val="24"/>
                      <w:szCs w:val="24"/>
                      <w:lang w:val="es-CO"/>
                    </w:rPr>
                  </w:pPr>
                  <w:r w:rsidRPr="00D67D8A">
                    <w:rPr>
                      <w:rFonts w:ascii="Arial" w:eastAsia="Arial" w:hAnsi="Arial" w:cs="Arial"/>
                      <w:sz w:val="24"/>
                      <w:szCs w:val="24"/>
                      <w:lang w:val="es-CO"/>
                    </w:rPr>
                    <w:t>Actividades de ingeniería y otras actividades conexas de consultoría técnica).</w:t>
                  </w:r>
                </w:p>
              </w:tc>
            </w:tr>
          </w:tbl>
          <w:p w14:paraId="4F19B3FA" w14:textId="77777777" w:rsidR="00D768A3" w:rsidRPr="00D67D8A" w:rsidRDefault="00D768A3">
            <w:pPr>
              <w:jc w:val="both"/>
              <w:rPr>
                <w:rFonts w:ascii="Arial" w:eastAsia="Arial" w:hAnsi="Arial" w:cs="Arial"/>
                <w:color w:val="808080"/>
                <w:sz w:val="24"/>
                <w:szCs w:val="24"/>
                <w:lang w:val="es-CO"/>
              </w:rPr>
            </w:pPr>
          </w:p>
          <w:p w14:paraId="281A6CDE" w14:textId="77777777" w:rsidR="00D768A3" w:rsidRPr="00D67D8A" w:rsidRDefault="00A0753E">
            <w:pPr>
              <w:jc w:val="center"/>
              <w:rPr>
                <w:rFonts w:ascii="Arial" w:eastAsia="Arial" w:hAnsi="Arial" w:cs="Arial"/>
                <w:b/>
                <w:color w:val="000000"/>
                <w:sz w:val="24"/>
                <w:szCs w:val="24"/>
                <w:lang w:val="es-CO"/>
              </w:rPr>
            </w:pPr>
            <w:r w:rsidRPr="00D67D8A">
              <w:rPr>
                <w:rFonts w:ascii="Arial" w:eastAsia="Arial" w:hAnsi="Arial" w:cs="Arial"/>
                <w:b/>
                <w:color w:val="000000"/>
                <w:sz w:val="24"/>
                <w:szCs w:val="24"/>
                <w:lang w:val="es-CO"/>
              </w:rPr>
              <w:t>Tabla N°6. Proveedores que proveen el bien, obra o servicio</w:t>
            </w:r>
          </w:p>
          <w:p w14:paraId="18CF3B78" w14:textId="77777777" w:rsidR="00D768A3" w:rsidRPr="00D67D8A" w:rsidRDefault="00D768A3">
            <w:pPr>
              <w:jc w:val="both"/>
              <w:rPr>
                <w:rFonts w:ascii="Arial" w:eastAsia="Arial" w:hAnsi="Arial" w:cs="Arial"/>
                <w:color w:val="808080"/>
                <w:sz w:val="24"/>
                <w:szCs w:val="24"/>
                <w:lang w:val="es-CO"/>
              </w:rPr>
            </w:pPr>
          </w:p>
          <w:tbl>
            <w:tblPr>
              <w:tblStyle w:val="ae"/>
              <w:tblW w:w="89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930"/>
              <w:gridCol w:w="2470"/>
              <w:gridCol w:w="2189"/>
              <w:gridCol w:w="2348"/>
            </w:tblGrid>
            <w:tr w:rsidR="00D768A3" w14:paraId="445C5389" w14:textId="77777777" w:rsidTr="005D14C3">
              <w:trPr>
                <w:trHeight w:val="300"/>
                <w:jc w:val="center"/>
              </w:trPr>
              <w:tc>
                <w:tcPr>
                  <w:tcW w:w="1763" w:type="dxa"/>
                  <w:shd w:val="clear" w:color="auto" w:fill="D9D9D9"/>
                  <w:vAlign w:val="center"/>
                </w:tcPr>
                <w:p w14:paraId="6129349F" w14:textId="77777777" w:rsidR="00D768A3" w:rsidRDefault="00A0753E">
                  <w:pPr>
                    <w:jc w:val="center"/>
                    <w:rPr>
                      <w:rFonts w:ascii="Arial" w:eastAsia="Arial" w:hAnsi="Arial" w:cs="Arial"/>
                      <w:color w:val="000000"/>
                    </w:rPr>
                  </w:pPr>
                  <w:r>
                    <w:rPr>
                      <w:rFonts w:ascii="Arial" w:eastAsia="Arial" w:hAnsi="Arial" w:cs="Arial"/>
                      <w:color w:val="000000"/>
                    </w:rPr>
                    <w:t>Variable</w:t>
                  </w:r>
                </w:p>
              </w:tc>
              <w:tc>
                <w:tcPr>
                  <w:tcW w:w="2568" w:type="dxa"/>
                  <w:shd w:val="clear" w:color="auto" w:fill="D9D9D9"/>
                  <w:vAlign w:val="center"/>
                </w:tcPr>
                <w:p w14:paraId="04D4A34A" w14:textId="77777777" w:rsidR="00D768A3" w:rsidRDefault="00A0753E">
                  <w:pPr>
                    <w:jc w:val="center"/>
                    <w:rPr>
                      <w:rFonts w:ascii="Arial" w:eastAsia="Arial" w:hAnsi="Arial" w:cs="Arial"/>
                      <w:color w:val="000000"/>
                    </w:rPr>
                  </w:pPr>
                  <w:r>
                    <w:rPr>
                      <w:rFonts w:ascii="Arial" w:eastAsia="Arial" w:hAnsi="Arial" w:cs="Arial"/>
                      <w:color w:val="000000"/>
                    </w:rPr>
                    <w:t>Proveedor 1</w:t>
                  </w:r>
                </w:p>
              </w:tc>
              <w:tc>
                <w:tcPr>
                  <w:tcW w:w="2238" w:type="dxa"/>
                  <w:shd w:val="clear" w:color="auto" w:fill="D9D9D9"/>
                  <w:vAlign w:val="center"/>
                </w:tcPr>
                <w:p w14:paraId="6C88F418" w14:textId="77777777" w:rsidR="00D768A3" w:rsidRDefault="00A0753E">
                  <w:pPr>
                    <w:jc w:val="center"/>
                    <w:rPr>
                      <w:rFonts w:ascii="Arial" w:eastAsia="Arial" w:hAnsi="Arial" w:cs="Arial"/>
                      <w:color w:val="000000"/>
                    </w:rPr>
                  </w:pPr>
                  <w:r>
                    <w:rPr>
                      <w:rFonts w:ascii="Arial" w:eastAsia="Arial" w:hAnsi="Arial" w:cs="Arial"/>
                      <w:color w:val="000000"/>
                    </w:rPr>
                    <w:t>Proveedor 2</w:t>
                  </w:r>
                </w:p>
              </w:tc>
              <w:tc>
                <w:tcPr>
                  <w:tcW w:w="2368" w:type="dxa"/>
                  <w:shd w:val="clear" w:color="auto" w:fill="D9D9D9"/>
                  <w:vAlign w:val="center"/>
                </w:tcPr>
                <w:p w14:paraId="5D092EFC" w14:textId="77777777" w:rsidR="00D768A3" w:rsidRDefault="00A0753E">
                  <w:pPr>
                    <w:jc w:val="center"/>
                    <w:rPr>
                      <w:rFonts w:ascii="Arial" w:eastAsia="Arial" w:hAnsi="Arial" w:cs="Arial"/>
                      <w:color w:val="000000"/>
                    </w:rPr>
                  </w:pPr>
                  <w:r>
                    <w:rPr>
                      <w:rFonts w:ascii="Arial" w:eastAsia="Arial" w:hAnsi="Arial" w:cs="Arial"/>
                      <w:color w:val="000000"/>
                    </w:rPr>
                    <w:t>Proveedor 3</w:t>
                  </w:r>
                </w:p>
              </w:tc>
            </w:tr>
            <w:tr w:rsidR="00D768A3" w14:paraId="55286178" w14:textId="77777777" w:rsidTr="005D14C3">
              <w:trPr>
                <w:trHeight w:val="594"/>
                <w:jc w:val="center"/>
              </w:trPr>
              <w:tc>
                <w:tcPr>
                  <w:tcW w:w="1763" w:type="dxa"/>
                  <w:shd w:val="clear" w:color="auto" w:fill="D9D9D9"/>
                  <w:vAlign w:val="center"/>
                </w:tcPr>
                <w:p w14:paraId="24FD8E61" w14:textId="77777777" w:rsidR="00D768A3" w:rsidRDefault="00A0753E">
                  <w:pPr>
                    <w:jc w:val="center"/>
                    <w:rPr>
                      <w:rFonts w:ascii="Arial" w:eastAsia="Arial" w:hAnsi="Arial" w:cs="Arial"/>
                      <w:color w:val="000000"/>
                    </w:rPr>
                  </w:pPr>
                  <w:r>
                    <w:rPr>
                      <w:rFonts w:ascii="Arial" w:eastAsia="Arial" w:hAnsi="Arial" w:cs="Arial"/>
                    </w:rPr>
                    <w:t>Identificación</w:t>
                  </w:r>
                </w:p>
              </w:tc>
              <w:tc>
                <w:tcPr>
                  <w:tcW w:w="2568" w:type="dxa"/>
                  <w:shd w:val="clear" w:color="auto" w:fill="FFFFFF"/>
                  <w:vAlign w:val="center"/>
                </w:tcPr>
                <w:p w14:paraId="2E4BF063" w14:textId="77777777" w:rsidR="00D768A3" w:rsidRDefault="00A0753E">
                  <w:pPr>
                    <w:jc w:val="center"/>
                    <w:rPr>
                      <w:rFonts w:ascii="Arial" w:eastAsia="Arial" w:hAnsi="Arial" w:cs="Arial"/>
                      <w:color w:val="000000"/>
                    </w:rPr>
                  </w:pPr>
                  <w:r>
                    <w:rPr>
                      <w:rFonts w:ascii="Arial" w:eastAsia="Arial" w:hAnsi="Arial" w:cs="Arial"/>
                      <w:color w:val="000000"/>
                    </w:rPr>
                    <w:t>901506984</w:t>
                  </w:r>
                </w:p>
              </w:tc>
              <w:tc>
                <w:tcPr>
                  <w:tcW w:w="2238" w:type="dxa"/>
                  <w:shd w:val="clear" w:color="auto" w:fill="FFFFFF"/>
                  <w:vAlign w:val="center"/>
                </w:tcPr>
                <w:p w14:paraId="3251D4F1" w14:textId="77777777" w:rsidR="00D768A3" w:rsidRDefault="00A0753E">
                  <w:pPr>
                    <w:jc w:val="center"/>
                    <w:rPr>
                      <w:rFonts w:ascii="Arial" w:eastAsia="Arial" w:hAnsi="Arial" w:cs="Arial"/>
                      <w:color w:val="000000"/>
                    </w:rPr>
                  </w:pPr>
                  <w:r>
                    <w:rPr>
                      <w:rFonts w:ascii="Arial" w:eastAsia="Arial" w:hAnsi="Arial" w:cs="Arial"/>
                      <w:color w:val="000000"/>
                    </w:rPr>
                    <w:t>830058737</w:t>
                  </w:r>
                </w:p>
              </w:tc>
              <w:tc>
                <w:tcPr>
                  <w:tcW w:w="2368" w:type="dxa"/>
                  <w:shd w:val="clear" w:color="auto" w:fill="FFFFFF"/>
                  <w:vAlign w:val="center"/>
                </w:tcPr>
                <w:p w14:paraId="0862E644" w14:textId="77777777" w:rsidR="00D768A3" w:rsidRDefault="00A0753E">
                  <w:pPr>
                    <w:jc w:val="center"/>
                    <w:rPr>
                      <w:rFonts w:ascii="Arial" w:eastAsia="Arial" w:hAnsi="Arial" w:cs="Arial"/>
                      <w:color w:val="000000"/>
                    </w:rPr>
                  </w:pPr>
                  <w:r>
                    <w:rPr>
                      <w:rFonts w:ascii="Arial" w:eastAsia="Arial" w:hAnsi="Arial" w:cs="Arial"/>
                      <w:color w:val="000000"/>
                    </w:rPr>
                    <w:t>900282246</w:t>
                  </w:r>
                </w:p>
              </w:tc>
            </w:tr>
            <w:tr w:rsidR="00D768A3" w14:paraId="1C5E2C4C" w14:textId="77777777" w:rsidTr="005D14C3">
              <w:trPr>
                <w:trHeight w:val="594"/>
                <w:jc w:val="center"/>
              </w:trPr>
              <w:tc>
                <w:tcPr>
                  <w:tcW w:w="1763" w:type="dxa"/>
                  <w:shd w:val="clear" w:color="auto" w:fill="D9D9D9"/>
                  <w:vAlign w:val="center"/>
                </w:tcPr>
                <w:p w14:paraId="09301D3A" w14:textId="77777777" w:rsidR="00D768A3" w:rsidRDefault="00A0753E">
                  <w:pPr>
                    <w:jc w:val="center"/>
                    <w:rPr>
                      <w:rFonts w:ascii="Arial" w:eastAsia="Arial" w:hAnsi="Arial" w:cs="Arial"/>
                    </w:rPr>
                  </w:pPr>
                  <w:r>
                    <w:rPr>
                      <w:rFonts w:ascii="Arial" w:eastAsia="Arial" w:hAnsi="Arial" w:cs="Arial"/>
                    </w:rPr>
                    <w:lastRenderedPageBreak/>
                    <w:t>Razón Social</w:t>
                  </w:r>
                </w:p>
              </w:tc>
              <w:tc>
                <w:tcPr>
                  <w:tcW w:w="2568" w:type="dxa"/>
                  <w:shd w:val="clear" w:color="auto" w:fill="FFFFFF"/>
                  <w:vAlign w:val="center"/>
                </w:tcPr>
                <w:p w14:paraId="15DDEB60" w14:textId="77777777" w:rsidR="00D768A3" w:rsidRDefault="00A0753E">
                  <w:pPr>
                    <w:jc w:val="center"/>
                    <w:rPr>
                      <w:rFonts w:ascii="Arial" w:eastAsia="Arial" w:hAnsi="Arial" w:cs="Arial"/>
                      <w:color w:val="000000"/>
                    </w:rPr>
                  </w:pPr>
                  <w:r>
                    <w:rPr>
                      <w:rFonts w:ascii="Arial" w:eastAsia="Arial" w:hAnsi="Arial" w:cs="Arial"/>
                      <w:color w:val="000000"/>
                    </w:rPr>
                    <w:t>KALPA INGENIERIA SAS</w:t>
                  </w:r>
                </w:p>
              </w:tc>
              <w:tc>
                <w:tcPr>
                  <w:tcW w:w="2238" w:type="dxa"/>
                  <w:shd w:val="clear" w:color="auto" w:fill="FFFFFF"/>
                  <w:vAlign w:val="center"/>
                </w:tcPr>
                <w:p w14:paraId="7D9B8947" w14:textId="77777777" w:rsidR="00D768A3" w:rsidRDefault="00A0753E">
                  <w:pPr>
                    <w:jc w:val="center"/>
                    <w:rPr>
                      <w:rFonts w:ascii="Arial" w:eastAsia="Arial" w:hAnsi="Arial" w:cs="Arial"/>
                      <w:color w:val="000000"/>
                    </w:rPr>
                  </w:pPr>
                  <w:r>
                    <w:rPr>
                      <w:rFonts w:ascii="Arial" w:eastAsia="Arial" w:hAnsi="Arial" w:cs="Arial"/>
                      <w:color w:val="000000"/>
                    </w:rPr>
                    <w:t>VQ INGENIERIA</w:t>
                  </w:r>
                </w:p>
              </w:tc>
              <w:tc>
                <w:tcPr>
                  <w:tcW w:w="2368" w:type="dxa"/>
                  <w:shd w:val="clear" w:color="auto" w:fill="FFFFFF"/>
                  <w:vAlign w:val="center"/>
                </w:tcPr>
                <w:p w14:paraId="52EE6CF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COING CONSTRUCTORES Y CONSULTORES DE INGENIERIA</w:t>
                  </w:r>
                </w:p>
                <w:p w14:paraId="1FD72975" w14:textId="77777777" w:rsidR="00D768A3" w:rsidRPr="00D67D8A" w:rsidRDefault="00D768A3">
                  <w:pPr>
                    <w:jc w:val="center"/>
                    <w:rPr>
                      <w:rFonts w:ascii="Arial" w:eastAsia="Arial" w:hAnsi="Arial" w:cs="Arial"/>
                      <w:color w:val="000000"/>
                      <w:lang w:val="es-CO"/>
                    </w:rPr>
                  </w:pPr>
                </w:p>
              </w:tc>
            </w:tr>
            <w:tr w:rsidR="00D768A3" w14:paraId="1AA44840" w14:textId="77777777" w:rsidTr="005D14C3">
              <w:trPr>
                <w:trHeight w:val="560"/>
                <w:jc w:val="center"/>
              </w:trPr>
              <w:tc>
                <w:tcPr>
                  <w:tcW w:w="1763" w:type="dxa"/>
                  <w:shd w:val="clear" w:color="auto" w:fill="D9D9D9"/>
                  <w:vAlign w:val="center"/>
                </w:tcPr>
                <w:p w14:paraId="63D61B53" w14:textId="77777777" w:rsidR="00D768A3" w:rsidRDefault="00A0753E">
                  <w:pPr>
                    <w:jc w:val="center"/>
                    <w:rPr>
                      <w:rFonts w:ascii="Arial" w:eastAsia="Arial" w:hAnsi="Arial" w:cs="Arial"/>
                      <w:color w:val="000000"/>
                    </w:rPr>
                  </w:pPr>
                  <w:r>
                    <w:rPr>
                      <w:rFonts w:ascii="Arial" w:eastAsia="Arial" w:hAnsi="Arial" w:cs="Arial"/>
                    </w:rPr>
                    <w:t>Tipo de organización</w:t>
                  </w:r>
                </w:p>
              </w:tc>
              <w:tc>
                <w:tcPr>
                  <w:tcW w:w="2568" w:type="dxa"/>
                  <w:vAlign w:val="center"/>
                </w:tcPr>
                <w:p w14:paraId="27E3367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SOCIEDADES POR ACCIONES SIMPLIFICADAS SAS</w:t>
                  </w:r>
                </w:p>
              </w:tc>
              <w:tc>
                <w:tcPr>
                  <w:tcW w:w="2238" w:type="dxa"/>
                  <w:vAlign w:val="center"/>
                </w:tcPr>
                <w:p w14:paraId="52AC471F"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SOCIEDADES POR ACCIONES SIMPLIFICADAS SAS</w:t>
                  </w:r>
                </w:p>
              </w:tc>
              <w:tc>
                <w:tcPr>
                  <w:tcW w:w="2368" w:type="dxa"/>
                  <w:vAlign w:val="center"/>
                </w:tcPr>
                <w:p w14:paraId="36314156" w14:textId="77777777" w:rsidR="00D768A3" w:rsidRDefault="00A0753E">
                  <w:pPr>
                    <w:jc w:val="center"/>
                    <w:rPr>
                      <w:rFonts w:ascii="Arial" w:eastAsia="Arial" w:hAnsi="Arial" w:cs="Arial"/>
                      <w:color w:val="000000"/>
                    </w:rPr>
                  </w:pPr>
                  <w:r>
                    <w:rPr>
                      <w:rFonts w:ascii="Arial" w:eastAsia="Arial" w:hAnsi="Arial" w:cs="Arial"/>
                      <w:color w:val="000000"/>
                    </w:rPr>
                    <w:t>SOCIEDAD LIMITADA</w:t>
                  </w:r>
                </w:p>
              </w:tc>
            </w:tr>
            <w:tr w:rsidR="00D768A3" w14:paraId="79DE92C9" w14:textId="77777777" w:rsidTr="005D14C3">
              <w:trPr>
                <w:trHeight w:val="568"/>
                <w:jc w:val="center"/>
              </w:trPr>
              <w:tc>
                <w:tcPr>
                  <w:tcW w:w="1763" w:type="dxa"/>
                  <w:shd w:val="clear" w:color="auto" w:fill="D9D9D9"/>
                  <w:vAlign w:val="center"/>
                </w:tcPr>
                <w:p w14:paraId="2B748815" w14:textId="77777777" w:rsidR="00D768A3" w:rsidRDefault="00A0753E">
                  <w:pPr>
                    <w:jc w:val="center"/>
                    <w:rPr>
                      <w:rFonts w:ascii="Arial" w:eastAsia="Arial" w:hAnsi="Arial" w:cs="Arial"/>
                      <w:color w:val="000000"/>
                    </w:rPr>
                  </w:pPr>
                  <w:r>
                    <w:rPr>
                      <w:rFonts w:ascii="Arial" w:eastAsia="Arial" w:hAnsi="Arial" w:cs="Arial"/>
                      <w:color w:val="000000"/>
                    </w:rPr>
                    <w:t>Ciudad</w:t>
                  </w:r>
                </w:p>
              </w:tc>
              <w:tc>
                <w:tcPr>
                  <w:tcW w:w="2568" w:type="dxa"/>
                  <w:vAlign w:val="center"/>
                </w:tcPr>
                <w:p w14:paraId="30955663" w14:textId="77777777" w:rsidR="00D768A3" w:rsidRDefault="00A0753E">
                  <w:pPr>
                    <w:jc w:val="center"/>
                    <w:rPr>
                      <w:rFonts w:ascii="Arial" w:eastAsia="Arial" w:hAnsi="Arial" w:cs="Arial"/>
                      <w:color w:val="000000"/>
                    </w:rPr>
                  </w:pPr>
                  <w:r>
                    <w:rPr>
                      <w:rFonts w:ascii="Arial" w:eastAsia="Arial" w:hAnsi="Arial" w:cs="Arial"/>
                      <w:color w:val="000000"/>
                    </w:rPr>
                    <w:t>Bogotá</w:t>
                  </w:r>
                </w:p>
              </w:tc>
              <w:tc>
                <w:tcPr>
                  <w:tcW w:w="2238" w:type="dxa"/>
                  <w:vAlign w:val="center"/>
                </w:tcPr>
                <w:p w14:paraId="6C1FD5C0" w14:textId="77777777" w:rsidR="00D768A3" w:rsidRDefault="00A0753E">
                  <w:pPr>
                    <w:jc w:val="center"/>
                    <w:rPr>
                      <w:rFonts w:ascii="Arial" w:eastAsia="Arial" w:hAnsi="Arial" w:cs="Arial"/>
                      <w:color w:val="000000"/>
                    </w:rPr>
                  </w:pPr>
                  <w:r>
                    <w:rPr>
                      <w:rFonts w:ascii="Arial" w:eastAsia="Arial" w:hAnsi="Arial" w:cs="Arial"/>
                      <w:color w:val="000000"/>
                    </w:rPr>
                    <w:t>Bogotá</w:t>
                  </w:r>
                </w:p>
              </w:tc>
              <w:tc>
                <w:tcPr>
                  <w:tcW w:w="2368" w:type="dxa"/>
                  <w:vAlign w:val="center"/>
                </w:tcPr>
                <w:p w14:paraId="1C581306" w14:textId="77777777" w:rsidR="00D768A3" w:rsidRDefault="00A0753E">
                  <w:pPr>
                    <w:jc w:val="center"/>
                    <w:rPr>
                      <w:rFonts w:ascii="Arial" w:eastAsia="Arial" w:hAnsi="Arial" w:cs="Arial"/>
                      <w:color w:val="000000"/>
                    </w:rPr>
                  </w:pPr>
                  <w:r>
                    <w:rPr>
                      <w:rFonts w:ascii="Arial" w:eastAsia="Arial" w:hAnsi="Arial" w:cs="Arial"/>
                      <w:color w:val="000000"/>
                    </w:rPr>
                    <w:t>Cali</w:t>
                  </w:r>
                </w:p>
              </w:tc>
            </w:tr>
            <w:tr w:rsidR="00D768A3" w14:paraId="6938C5C3" w14:textId="77777777" w:rsidTr="005D14C3">
              <w:trPr>
                <w:trHeight w:val="548"/>
                <w:jc w:val="center"/>
              </w:trPr>
              <w:tc>
                <w:tcPr>
                  <w:tcW w:w="1763" w:type="dxa"/>
                  <w:shd w:val="clear" w:color="auto" w:fill="D9D9D9"/>
                  <w:vAlign w:val="center"/>
                </w:tcPr>
                <w:p w14:paraId="6AB21F67" w14:textId="77777777" w:rsidR="00D768A3" w:rsidRDefault="00A0753E">
                  <w:pPr>
                    <w:jc w:val="center"/>
                    <w:rPr>
                      <w:rFonts w:ascii="Arial" w:eastAsia="Arial" w:hAnsi="Arial" w:cs="Arial"/>
                      <w:color w:val="000000"/>
                    </w:rPr>
                  </w:pPr>
                  <w:r>
                    <w:rPr>
                      <w:rFonts w:ascii="Arial" w:eastAsia="Arial" w:hAnsi="Arial" w:cs="Arial"/>
                    </w:rPr>
                    <w:t>Código CIIU</w:t>
                  </w:r>
                </w:p>
              </w:tc>
              <w:tc>
                <w:tcPr>
                  <w:tcW w:w="2568" w:type="dxa"/>
                  <w:vAlign w:val="center"/>
                </w:tcPr>
                <w:p w14:paraId="4E6BB252" w14:textId="77777777" w:rsidR="00D768A3" w:rsidRPr="00D67D8A" w:rsidRDefault="00A0753E">
                  <w:pPr>
                    <w:jc w:val="both"/>
                    <w:rPr>
                      <w:rFonts w:ascii="Arial" w:eastAsia="Arial" w:hAnsi="Arial" w:cs="Arial"/>
                      <w:color w:val="000000"/>
                      <w:lang w:val="es-CO"/>
                    </w:rPr>
                  </w:pPr>
                  <w:r w:rsidRPr="00D67D8A">
                    <w:rPr>
                      <w:rFonts w:ascii="Arial" w:eastAsia="Arial" w:hAnsi="Arial" w:cs="Arial"/>
                      <w:color w:val="000000"/>
                      <w:lang w:val="es-CO"/>
                    </w:rPr>
                    <w:t>7112 Actividades de ingeniería y otras actividades conexas de consultoría técnica</w:t>
                  </w:r>
                </w:p>
                <w:p w14:paraId="14A4CFF4" w14:textId="77777777" w:rsidR="00D768A3" w:rsidRPr="00D67D8A" w:rsidRDefault="00A0753E">
                  <w:pPr>
                    <w:jc w:val="both"/>
                    <w:rPr>
                      <w:rFonts w:ascii="Arial" w:eastAsia="Arial" w:hAnsi="Arial" w:cs="Arial"/>
                      <w:color w:val="000000"/>
                      <w:lang w:val="es-CO"/>
                    </w:rPr>
                  </w:pPr>
                  <w:r w:rsidRPr="00D67D8A">
                    <w:rPr>
                      <w:rFonts w:ascii="Arial" w:eastAsia="Arial" w:hAnsi="Arial" w:cs="Arial"/>
                      <w:color w:val="000000"/>
                      <w:lang w:val="es-CO"/>
                    </w:rPr>
                    <w:t>4390 Otras actividades especializadas para la construcción de edificios y obras de ingeniería civil</w:t>
                  </w:r>
                </w:p>
                <w:p w14:paraId="11CA8727" w14:textId="77777777" w:rsidR="00D768A3" w:rsidRPr="00D67D8A" w:rsidRDefault="00A0753E">
                  <w:pPr>
                    <w:jc w:val="both"/>
                    <w:rPr>
                      <w:rFonts w:ascii="Arial" w:eastAsia="Arial" w:hAnsi="Arial" w:cs="Arial"/>
                      <w:color w:val="000000"/>
                      <w:lang w:val="es-CO"/>
                    </w:rPr>
                  </w:pPr>
                  <w:r w:rsidRPr="00D67D8A">
                    <w:rPr>
                      <w:rFonts w:ascii="Arial" w:eastAsia="Arial" w:hAnsi="Arial" w:cs="Arial"/>
                      <w:color w:val="000000"/>
                      <w:lang w:val="es-CO"/>
                    </w:rPr>
                    <w:t>4210 Construcción de carreteras y vías de ferrocarril</w:t>
                  </w:r>
                </w:p>
              </w:tc>
              <w:tc>
                <w:tcPr>
                  <w:tcW w:w="2238" w:type="dxa"/>
                  <w:vAlign w:val="center"/>
                </w:tcPr>
                <w:p w14:paraId="21AFAFE6"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7112 Actividades de ingeniería y otras actividades conexas de consultoría técnica</w:t>
                  </w:r>
                </w:p>
                <w:p w14:paraId="6BFBBE0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7490 Otras actividades profesionales, científicas y técnicas n.c.p.</w:t>
                  </w:r>
                </w:p>
                <w:p w14:paraId="33B60A9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6810 Actividades inmobiliarias realizadas con bienes propios o arrendados</w:t>
                  </w:r>
                </w:p>
                <w:p w14:paraId="69C0A94D"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6619 Otras actividades auxiliares de las actividades de servicios financieros n.c.p</w:t>
                  </w:r>
                </w:p>
              </w:tc>
              <w:tc>
                <w:tcPr>
                  <w:tcW w:w="2368" w:type="dxa"/>
                  <w:vAlign w:val="center"/>
                </w:tcPr>
                <w:p w14:paraId="1F2BF18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7112 Actividades de ingeniería y otras actividades conexas de consultoría técnica</w:t>
                  </w:r>
                </w:p>
                <w:p w14:paraId="73DC7F02"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4290 Construcción de otras obras de ingeniería civil</w:t>
                  </w:r>
                </w:p>
                <w:p w14:paraId="6D0162D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4390 Otras actividades especializadas para la construcción de edificios y obras de ingeniería civil</w:t>
                  </w:r>
                </w:p>
              </w:tc>
            </w:tr>
            <w:tr w:rsidR="00D768A3" w:rsidRPr="007D17A7" w14:paraId="2DFFD2D4" w14:textId="77777777" w:rsidTr="005D14C3">
              <w:trPr>
                <w:trHeight w:val="556"/>
                <w:jc w:val="center"/>
              </w:trPr>
              <w:tc>
                <w:tcPr>
                  <w:tcW w:w="1763" w:type="dxa"/>
                  <w:shd w:val="clear" w:color="auto" w:fill="D9D9D9"/>
                  <w:vAlign w:val="center"/>
                </w:tcPr>
                <w:p w14:paraId="4207C1F3" w14:textId="77777777" w:rsidR="00D768A3" w:rsidRPr="00E45020" w:rsidRDefault="00A0753E">
                  <w:pPr>
                    <w:jc w:val="center"/>
                    <w:rPr>
                      <w:rFonts w:ascii="Arial" w:eastAsia="Arial" w:hAnsi="Arial" w:cs="Arial"/>
                      <w:color w:val="000000"/>
                      <w:lang w:val="pt-PT"/>
                    </w:rPr>
                  </w:pPr>
                  <w:r w:rsidRPr="00E45020">
                    <w:rPr>
                      <w:rFonts w:ascii="Arial" w:eastAsia="Arial" w:hAnsi="Arial" w:cs="Arial"/>
                      <w:lang w:val="pt-PT"/>
                    </w:rPr>
                    <w:t>Indicadores financieros</w:t>
                  </w:r>
                </w:p>
              </w:tc>
              <w:tc>
                <w:tcPr>
                  <w:tcW w:w="2568" w:type="dxa"/>
                  <w:vAlign w:val="center"/>
                </w:tcPr>
                <w:p w14:paraId="3EA867A3" w14:textId="77777777" w:rsidR="00D768A3" w:rsidRPr="00E45020" w:rsidRDefault="00A0753E">
                  <w:pPr>
                    <w:jc w:val="center"/>
                    <w:rPr>
                      <w:rFonts w:ascii="Arial" w:eastAsia="Arial" w:hAnsi="Arial" w:cs="Arial"/>
                      <w:color w:val="000000"/>
                      <w:lang w:val="pt-PT"/>
                    </w:rPr>
                  </w:pPr>
                  <w:r w:rsidRPr="00E45020">
                    <w:rPr>
                      <w:rFonts w:ascii="Arial" w:eastAsia="Arial" w:hAnsi="Arial" w:cs="Arial"/>
                      <w:color w:val="000000"/>
                      <w:lang w:val="pt-PT"/>
                    </w:rPr>
                    <w:t>N/A</w:t>
                  </w:r>
                </w:p>
              </w:tc>
              <w:tc>
                <w:tcPr>
                  <w:tcW w:w="2238" w:type="dxa"/>
                  <w:vAlign w:val="center"/>
                </w:tcPr>
                <w:p w14:paraId="5D9CA251" w14:textId="77777777" w:rsidR="00D768A3" w:rsidRPr="00E45020" w:rsidRDefault="00A0753E">
                  <w:pPr>
                    <w:jc w:val="center"/>
                    <w:rPr>
                      <w:rFonts w:ascii="Arial" w:eastAsia="Arial" w:hAnsi="Arial" w:cs="Arial"/>
                      <w:color w:val="000000"/>
                      <w:lang w:val="pt-PT"/>
                    </w:rPr>
                  </w:pPr>
                  <w:r w:rsidRPr="00E45020">
                    <w:rPr>
                      <w:rFonts w:ascii="Arial" w:eastAsia="Arial" w:hAnsi="Arial" w:cs="Arial"/>
                      <w:color w:val="000000"/>
                      <w:lang w:val="pt-PT"/>
                    </w:rPr>
                    <w:t>N/A</w:t>
                  </w:r>
                </w:p>
              </w:tc>
              <w:tc>
                <w:tcPr>
                  <w:tcW w:w="2368" w:type="dxa"/>
                  <w:vAlign w:val="center"/>
                </w:tcPr>
                <w:p w14:paraId="5D0BEFEA" w14:textId="77777777" w:rsidR="00D768A3" w:rsidRPr="00E45020" w:rsidRDefault="00A0753E">
                  <w:pPr>
                    <w:jc w:val="center"/>
                    <w:rPr>
                      <w:rFonts w:ascii="Arial" w:eastAsia="Arial" w:hAnsi="Arial" w:cs="Arial"/>
                      <w:color w:val="000000"/>
                      <w:lang w:val="pt-PT"/>
                    </w:rPr>
                  </w:pPr>
                  <w:r w:rsidRPr="00E45020">
                    <w:rPr>
                      <w:rFonts w:ascii="Arial" w:eastAsia="Arial" w:hAnsi="Arial" w:cs="Arial"/>
                      <w:color w:val="000000"/>
                      <w:lang w:val="pt-PT"/>
                    </w:rPr>
                    <w:t>N/A</w:t>
                  </w:r>
                </w:p>
              </w:tc>
            </w:tr>
            <w:tr w:rsidR="00D768A3" w:rsidRPr="007D17A7" w14:paraId="207C0DB0" w14:textId="77777777" w:rsidTr="005D14C3">
              <w:trPr>
                <w:trHeight w:val="564"/>
                <w:jc w:val="center"/>
              </w:trPr>
              <w:tc>
                <w:tcPr>
                  <w:tcW w:w="1763" w:type="dxa"/>
                  <w:shd w:val="clear" w:color="auto" w:fill="D9D9D9"/>
                  <w:vAlign w:val="center"/>
                </w:tcPr>
                <w:p w14:paraId="4A47DB4B" w14:textId="77777777" w:rsidR="00D768A3" w:rsidRPr="00E45020" w:rsidRDefault="00A0753E">
                  <w:pPr>
                    <w:jc w:val="center"/>
                    <w:rPr>
                      <w:rFonts w:ascii="Arial" w:eastAsia="Arial" w:hAnsi="Arial" w:cs="Arial"/>
                      <w:lang w:val="pt-PT"/>
                    </w:rPr>
                  </w:pPr>
                  <w:r w:rsidRPr="00E45020">
                    <w:rPr>
                      <w:rFonts w:ascii="Arial" w:eastAsia="Arial" w:hAnsi="Arial" w:cs="Arial"/>
                      <w:lang w:val="pt-PT"/>
                    </w:rPr>
                    <w:t>Indicadores</w:t>
                  </w:r>
                </w:p>
                <w:p w14:paraId="41B4A2A3" w14:textId="77777777" w:rsidR="00D768A3" w:rsidRPr="00E45020" w:rsidRDefault="00A0753E">
                  <w:pPr>
                    <w:jc w:val="center"/>
                    <w:rPr>
                      <w:rFonts w:ascii="Arial" w:eastAsia="Arial" w:hAnsi="Arial" w:cs="Arial"/>
                      <w:color w:val="000000"/>
                      <w:lang w:val="pt-PT"/>
                    </w:rPr>
                  </w:pPr>
                  <w:r w:rsidRPr="00E45020">
                    <w:rPr>
                      <w:rFonts w:ascii="Arial" w:eastAsia="Arial" w:hAnsi="Arial" w:cs="Arial"/>
                      <w:lang w:val="pt-PT"/>
                    </w:rPr>
                    <w:t>Organizacionales</w:t>
                  </w:r>
                </w:p>
              </w:tc>
              <w:tc>
                <w:tcPr>
                  <w:tcW w:w="2568" w:type="dxa"/>
                  <w:shd w:val="clear" w:color="auto" w:fill="FFFFFF"/>
                  <w:vAlign w:val="center"/>
                </w:tcPr>
                <w:p w14:paraId="49D0319D" w14:textId="77777777" w:rsidR="00D768A3" w:rsidRPr="00E45020" w:rsidRDefault="00A0753E">
                  <w:pPr>
                    <w:jc w:val="center"/>
                    <w:rPr>
                      <w:rFonts w:ascii="Arial" w:eastAsia="Arial" w:hAnsi="Arial" w:cs="Arial"/>
                      <w:color w:val="000000"/>
                      <w:lang w:val="pt-PT"/>
                    </w:rPr>
                  </w:pPr>
                  <w:r w:rsidRPr="00E45020">
                    <w:rPr>
                      <w:rFonts w:ascii="Arial" w:eastAsia="Arial" w:hAnsi="Arial" w:cs="Arial"/>
                      <w:color w:val="000000"/>
                      <w:lang w:val="pt-PT"/>
                    </w:rPr>
                    <w:t>N/A</w:t>
                  </w:r>
                </w:p>
              </w:tc>
              <w:tc>
                <w:tcPr>
                  <w:tcW w:w="2238" w:type="dxa"/>
                  <w:shd w:val="clear" w:color="auto" w:fill="FFFFFF"/>
                  <w:vAlign w:val="center"/>
                </w:tcPr>
                <w:p w14:paraId="530C2B2D" w14:textId="77777777" w:rsidR="00D768A3" w:rsidRPr="00E45020" w:rsidRDefault="00A0753E">
                  <w:pPr>
                    <w:jc w:val="center"/>
                    <w:rPr>
                      <w:rFonts w:ascii="Arial" w:eastAsia="Arial" w:hAnsi="Arial" w:cs="Arial"/>
                      <w:color w:val="000000"/>
                      <w:lang w:val="pt-PT"/>
                    </w:rPr>
                  </w:pPr>
                  <w:r w:rsidRPr="00E45020">
                    <w:rPr>
                      <w:rFonts w:ascii="Arial" w:eastAsia="Arial" w:hAnsi="Arial" w:cs="Arial"/>
                      <w:color w:val="000000"/>
                      <w:lang w:val="pt-PT"/>
                    </w:rPr>
                    <w:t>N/A</w:t>
                  </w:r>
                </w:p>
              </w:tc>
              <w:tc>
                <w:tcPr>
                  <w:tcW w:w="2368" w:type="dxa"/>
                  <w:shd w:val="clear" w:color="auto" w:fill="FFFFFF"/>
                  <w:vAlign w:val="center"/>
                </w:tcPr>
                <w:p w14:paraId="14E140B5" w14:textId="77777777" w:rsidR="00D768A3" w:rsidRPr="00E45020" w:rsidRDefault="00A0753E">
                  <w:pPr>
                    <w:jc w:val="center"/>
                    <w:rPr>
                      <w:rFonts w:ascii="Arial" w:eastAsia="Arial" w:hAnsi="Arial" w:cs="Arial"/>
                      <w:color w:val="554F4F"/>
                      <w:lang w:val="pt-PT"/>
                    </w:rPr>
                  </w:pPr>
                  <w:r w:rsidRPr="00E45020">
                    <w:rPr>
                      <w:rFonts w:ascii="Arial" w:eastAsia="Arial" w:hAnsi="Arial" w:cs="Arial"/>
                      <w:color w:val="000000"/>
                      <w:lang w:val="pt-PT"/>
                    </w:rPr>
                    <w:t>N/A</w:t>
                  </w:r>
                </w:p>
              </w:tc>
            </w:tr>
          </w:tbl>
          <w:p w14:paraId="5225D9AD" w14:textId="77777777" w:rsidR="00D768A3" w:rsidRPr="00E45020" w:rsidRDefault="00A0753E">
            <w:pPr>
              <w:jc w:val="center"/>
              <w:rPr>
                <w:rFonts w:ascii="Arial" w:eastAsia="Arial" w:hAnsi="Arial" w:cs="Arial"/>
                <w:color w:val="000000"/>
                <w:lang w:val="pt-PT"/>
              </w:rPr>
            </w:pPr>
            <w:r w:rsidRPr="00E45020">
              <w:rPr>
                <w:rFonts w:ascii="Arial" w:eastAsia="Arial" w:hAnsi="Arial" w:cs="Arial"/>
                <w:color w:val="000000"/>
                <w:lang w:val="pt-PT"/>
              </w:rPr>
              <w:t>Fuente: RUES</w:t>
            </w:r>
          </w:p>
          <w:p w14:paraId="111C994B" w14:textId="77777777" w:rsidR="00D768A3" w:rsidRPr="00E45020" w:rsidRDefault="00D768A3">
            <w:pPr>
              <w:jc w:val="both"/>
              <w:rPr>
                <w:rFonts w:ascii="Arial" w:eastAsia="Arial" w:hAnsi="Arial" w:cs="Arial"/>
                <w:color w:val="000000"/>
                <w:sz w:val="24"/>
                <w:szCs w:val="24"/>
                <w:lang w:val="pt-PT"/>
              </w:rPr>
            </w:pPr>
          </w:p>
          <w:p w14:paraId="113184C0" w14:textId="77777777" w:rsidR="00D768A3" w:rsidRPr="00D67D8A" w:rsidRDefault="00A0753E">
            <w:pP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 xml:space="preserve">Adicionalmente, de acuerdo con la base de datos de empresas del sector suministrado </w:t>
            </w:r>
            <w:r w:rsidRPr="00D67D8A">
              <w:rPr>
                <w:rFonts w:ascii="Arial" w:eastAsia="Arial" w:hAnsi="Arial" w:cs="Arial"/>
                <w:color w:val="000000"/>
                <w:sz w:val="24"/>
                <w:szCs w:val="24"/>
                <w:lang w:val="es-CO"/>
              </w:rPr>
              <w:lastRenderedPageBreak/>
              <w:t>por la plataforma datos abiertos, se ilustra a continuación la participación empresarial por región:</w:t>
            </w:r>
          </w:p>
          <w:p w14:paraId="33BE7D90" w14:textId="77777777" w:rsidR="00D768A3" w:rsidRPr="00D67D8A" w:rsidRDefault="00D768A3">
            <w:pPr>
              <w:jc w:val="both"/>
              <w:rPr>
                <w:rFonts w:ascii="Arial" w:eastAsia="Arial" w:hAnsi="Arial" w:cs="Arial"/>
                <w:color w:val="808080"/>
                <w:sz w:val="24"/>
                <w:szCs w:val="24"/>
                <w:lang w:val="es-CO"/>
              </w:rPr>
            </w:pPr>
          </w:p>
          <w:p w14:paraId="2DE3BF8D" w14:textId="77777777" w:rsidR="00D768A3" w:rsidRPr="000659B2" w:rsidRDefault="00A0753E">
            <w:pPr>
              <w:jc w:val="center"/>
              <w:rPr>
                <w:rFonts w:ascii="Arial" w:eastAsia="Arial" w:hAnsi="Arial" w:cs="Arial"/>
                <w:b/>
                <w:bCs/>
                <w:color w:val="000000"/>
                <w:sz w:val="20"/>
                <w:szCs w:val="20"/>
                <w:lang w:val="es-CO"/>
              </w:rPr>
            </w:pPr>
            <w:r w:rsidRPr="000659B2">
              <w:rPr>
                <w:rFonts w:ascii="Arial" w:eastAsia="Arial" w:hAnsi="Arial" w:cs="Arial"/>
                <w:b/>
                <w:bCs/>
                <w:color w:val="000000"/>
                <w:sz w:val="20"/>
                <w:szCs w:val="20"/>
                <w:lang w:val="es-CO"/>
              </w:rPr>
              <w:t>Tabla N°7. Proveedores que prestan el servicio a contratar por región</w:t>
            </w:r>
          </w:p>
          <w:tbl>
            <w:tblPr>
              <w:tblStyle w:val="af"/>
              <w:tblW w:w="6140" w:type="dxa"/>
              <w:jc w:val="center"/>
              <w:tblLook w:val="0400" w:firstRow="0" w:lastRow="0" w:firstColumn="0" w:lastColumn="0" w:noHBand="0" w:noVBand="1"/>
            </w:tblPr>
            <w:tblGrid>
              <w:gridCol w:w="2221"/>
              <w:gridCol w:w="2207"/>
              <w:gridCol w:w="1712"/>
            </w:tblGrid>
            <w:tr w:rsidR="00D768A3" w14:paraId="3B5EA54E" w14:textId="77777777" w:rsidTr="005D14C3">
              <w:trPr>
                <w:trHeight w:val="300"/>
                <w:jc w:val="center"/>
              </w:trPr>
              <w:tc>
                <w:tcPr>
                  <w:tcW w:w="2221" w:type="dxa"/>
                  <w:tcBorders>
                    <w:top w:val="single" w:sz="4" w:space="0" w:color="000000"/>
                    <w:left w:val="single" w:sz="4" w:space="0" w:color="000000"/>
                    <w:bottom w:val="single" w:sz="4" w:space="0" w:color="000000"/>
                    <w:right w:val="single" w:sz="4" w:space="0" w:color="000000"/>
                  </w:tcBorders>
                  <w:vAlign w:val="center"/>
                </w:tcPr>
                <w:p w14:paraId="15384D95"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Etiquetas de fila</w:t>
                  </w:r>
                </w:p>
              </w:tc>
              <w:tc>
                <w:tcPr>
                  <w:tcW w:w="2208" w:type="dxa"/>
                  <w:tcBorders>
                    <w:top w:val="single" w:sz="4" w:space="0" w:color="000000"/>
                    <w:left w:val="nil"/>
                    <w:bottom w:val="single" w:sz="4" w:space="0" w:color="000000"/>
                    <w:right w:val="single" w:sz="4" w:space="0" w:color="000000"/>
                  </w:tcBorders>
                  <w:vAlign w:val="center"/>
                </w:tcPr>
                <w:p w14:paraId="2C04F9F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Cuenta de Región</w:t>
                  </w:r>
                </w:p>
              </w:tc>
              <w:tc>
                <w:tcPr>
                  <w:tcW w:w="1712" w:type="dxa"/>
                  <w:tcBorders>
                    <w:top w:val="single" w:sz="4" w:space="0" w:color="000000"/>
                    <w:left w:val="nil"/>
                    <w:bottom w:val="single" w:sz="4" w:space="0" w:color="000000"/>
                    <w:right w:val="single" w:sz="4" w:space="0" w:color="000000"/>
                  </w:tcBorders>
                  <w:vAlign w:val="center"/>
                </w:tcPr>
                <w:p w14:paraId="55F5377D"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 Participación región</w:t>
                  </w:r>
                </w:p>
              </w:tc>
            </w:tr>
            <w:tr w:rsidR="00D768A3" w14:paraId="131E39A3"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38F87495"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Bogotá, D.C.</w:t>
                  </w:r>
                </w:p>
              </w:tc>
              <w:tc>
                <w:tcPr>
                  <w:tcW w:w="2208" w:type="dxa"/>
                  <w:tcBorders>
                    <w:top w:val="nil"/>
                    <w:left w:val="nil"/>
                    <w:bottom w:val="single" w:sz="4" w:space="0" w:color="000000"/>
                    <w:right w:val="single" w:sz="4" w:space="0" w:color="000000"/>
                  </w:tcBorders>
                  <w:vAlign w:val="center"/>
                </w:tcPr>
                <w:p w14:paraId="2E9D4A6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360973</w:t>
                  </w:r>
                </w:p>
              </w:tc>
              <w:tc>
                <w:tcPr>
                  <w:tcW w:w="1712" w:type="dxa"/>
                  <w:tcBorders>
                    <w:top w:val="nil"/>
                    <w:left w:val="nil"/>
                    <w:bottom w:val="single" w:sz="4" w:space="0" w:color="000000"/>
                    <w:right w:val="single" w:sz="4" w:space="0" w:color="000000"/>
                  </w:tcBorders>
                  <w:vAlign w:val="center"/>
                </w:tcPr>
                <w:p w14:paraId="633C15D3"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35,00%</w:t>
                  </w:r>
                </w:p>
              </w:tc>
            </w:tr>
            <w:tr w:rsidR="00D768A3" w14:paraId="3271B9DE"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0995F0F8"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Antioquia</w:t>
                  </w:r>
                </w:p>
              </w:tc>
              <w:tc>
                <w:tcPr>
                  <w:tcW w:w="2208" w:type="dxa"/>
                  <w:tcBorders>
                    <w:top w:val="nil"/>
                    <w:left w:val="nil"/>
                    <w:bottom w:val="single" w:sz="4" w:space="0" w:color="000000"/>
                    <w:right w:val="single" w:sz="4" w:space="0" w:color="000000"/>
                  </w:tcBorders>
                  <w:vAlign w:val="center"/>
                </w:tcPr>
                <w:p w14:paraId="584A09E6"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152909</w:t>
                  </w:r>
                </w:p>
              </w:tc>
              <w:tc>
                <w:tcPr>
                  <w:tcW w:w="1712" w:type="dxa"/>
                  <w:tcBorders>
                    <w:top w:val="nil"/>
                    <w:left w:val="nil"/>
                    <w:bottom w:val="single" w:sz="4" w:space="0" w:color="000000"/>
                    <w:right w:val="single" w:sz="4" w:space="0" w:color="000000"/>
                  </w:tcBorders>
                  <w:vAlign w:val="center"/>
                </w:tcPr>
                <w:p w14:paraId="2B6A920D"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14,83%</w:t>
                  </w:r>
                </w:p>
              </w:tc>
            </w:tr>
            <w:tr w:rsidR="00D768A3" w14:paraId="4BF633EF"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4FF4358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Valle del Cauca</w:t>
                  </w:r>
                </w:p>
              </w:tc>
              <w:tc>
                <w:tcPr>
                  <w:tcW w:w="2208" w:type="dxa"/>
                  <w:tcBorders>
                    <w:top w:val="nil"/>
                    <w:left w:val="nil"/>
                    <w:bottom w:val="single" w:sz="4" w:space="0" w:color="000000"/>
                    <w:right w:val="single" w:sz="4" w:space="0" w:color="000000"/>
                  </w:tcBorders>
                  <w:vAlign w:val="center"/>
                </w:tcPr>
                <w:p w14:paraId="66B5E7CF"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96046</w:t>
                  </w:r>
                </w:p>
              </w:tc>
              <w:tc>
                <w:tcPr>
                  <w:tcW w:w="1712" w:type="dxa"/>
                  <w:tcBorders>
                    <w:top w:val="nil"/>
                    <w:left w:val="nil"/>
                    <w:bottom w:val="single" w:sz="4" w:space="0" w:color="000000"/>
                    <w:right w:val="single" w:sz="4" w:space="0" w:color="000000"/>
                  </w:tcBorders>
                  <w:vAlign w:val="center"/>
                </w:tcPr>
                <w:p w14:paraId="6B8AEEC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9,31%</w:t>
                  </w:r>
                </w:p>
              </w:tc>
            </w:tr>
            <w:tr w:rsidR="00D768A3" w14:paraId="49C0686B"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3F333F2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Atlántico</w:t>
                  </w:r>
                </w:p>
              </w:tc>
              <w:tc>
                <w:tcPr>
                  <w:tcW w:w="2208" w:type="dxa"/>
                  <w:tcBorders>
                    <w:top w:val="nil"/>
                    <w:left w:val="nil"/>
                    <w:bottom w:val="single" w:sz="4" w:space="0" w:color="000000"/>
                    <w:right w:val="single" w:sz="4" w:space="0" w:color="000000"/>
                  </w:tcBorders>
                  <w:vAlign w:val="center"/>
                </w:tcPr>
                <w:p w14:paraId="2C0A812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60648</w:t>
                  </w:r>
                </w:p>
              </w:tc>
              <w:tc>
                <w:tcPr>
                  <w:tcW w:w="1712" w:type="dxa"/>
                  <w:tcBorders>
                    <w:top w:val="nil"/>
                    <w:left w:val="nil"/>
                    <w:bottom w:val="single" w:sz="4" w:space="0" w:color="000000"/>
                    <w:right w:val="single" w:sz="4" w:space="0" w:color="000000"/>
                  </w:tcBorders>
                  <w:vAlign w:val="center"/>
                </w:tcPr>
                <w:p w14:paraId="2A0981AC"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5,88%</w:t>
                  </w:r>
                </w:p>
              </w:tc>
            </w:tr>
            <w:tr w:rsidR="00D768A3" w14:paraId="2B820C41"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7572AEE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Santander</w:t>
                  </w:r>
                </w:p>
              </w:tc>
              <w:tc>
                <w:tcPr>
                  <w:tcW w:w="2208" w:type="dxa"/>
                  <w:tcBorders>
                    <w:top w:val="nil"/>
                    <w:left w:val="nil"/>
                    <w:bottom w:val="single" w:sz="4" w:space="0" w:color="000000"/>
                    <w:right w:val="single" w:sz="4" w:space="0" w:color="000000"/>
                  </w:tcBorders>
                  <w:vAlign w:val="center"/>
                </w:tcPr>
                <w:p w14:paraId="4BACD28C"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48381</w:t>
                  </w:r>
                </w:p>
              </w:tc>
              <w:tc>
                <w:tcPr>
                  <w:tcW w:w="1712" w:type="dxa"/>
                  <w:tcBorders>
                    <w:top w:val="nil"/>
                    <w:left w:val="nil"/>
                    <w:bottom w:val="single" w:sz="4" w:space="0" w:color="000000"/>
                    <w:right w:val="single" w:sz="4" w:space="0" w:color="000000"/>
                  </w:tcBorders>
                  <w:vAlign w:val="center"/>
                </w:tcPr>
                <w:p w14:paraId="40161DCD"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4,69%</w:t>
                  </w:r>
                </w:p>
              </w:tc>
            </w:tr>
            <w:tr w:rsidR="00D768A3" w14:paraId="5C40B1D7"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371CD7BB"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Cundinamarca</w:t>
                  </w:r>
                </w:p>
              </w:tc>
              <w:tc>
                <w:tcPr>
                  <w:tcW w:w="2208" w:type="dxa"/>
                  <w:tcBorders>
                    <w:top w:val="nil"/>
                    <w:left w:val="nil"/>
                    <w:bottom w:val="single" w:sz="4" w:space="0" w:color="000000"/>
                    <w:right w:val="single" w:sz="4" w:space="0" w:color="000000"/>
                  </w:tcBorders>
                  <w:vAlign w:val="center"/>
                </w:tcPr>
                <w:p w14:paraId="688CEAA9"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44647</w:t>
                  </w:r>
                </w:p>
              </w:tc>
              <w:tc>
                <w:tcPr>
                  <w:tcW w:w="1712" w:type="dxa"/>
                  <w:tcBorders>
                    <w:top w:val="nil"/>
                    <w:left w:val="nil"/>
                    <w:bottom w:val="single" w:sz="4" w:space="0" w:color="000000"/>
                    <w:right w:val="single" w:sz="4" w:space="0" w:color="000000"/>
                  </w:tcBorders>
                  <w:vAlign w:val="center"/>
                </w:tcPr>
                <w:p w14:paraId="01134B69"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4,33%</w:t>
                  </w:r>
                </w:p>
              </w:tc>
            </w:tr>
            <w:tr w:rsidR="00D768A3" w14:paraId="07DE4DA6"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38F375E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Bolívar</w:t>
                  </w:r>
                </w:p>
              </w:tc>
              <w:tc>
                <w:tcPr>
                  <w:tcW w:w="2208" w:type="dxa"/>
                  <w:tcBorders>
                    <w:top w:val="nil"/>
                    <w:left w:val="nil"/>
                    <w:bottom w:val="single" w:sz="4" w:space="0" w:color="000000"/>
                    <w:right w:val="single" w:sz="4" w:space="0" w:color="000000"/>
                  </w:tcBorders>
                  <w:vAlign w:val="center"/>
                </w:tcPr>
                <w:p w14:paraId="6EFDDF79"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35915</w:t>
                  </w:r>
                </w:p>
              </w:tc>
              <w:tc>
                <w:tcPr>
                  <w:tcW w:w="1712" w:type="dxa"/>
                  <w:tcBorders>
                    <w:top w:val="nil"/>
                    <w:left w:val="nil"/>
                    <w:bottom w:val="single" w:sz="4" w:space="0" w:color="000000"/>
                    <w:right w:val="single" w:sz="4" w:space="0" w:color="000000"/>
                  </w:tcBorders>
                  <w:vAlign w:val="center"/>
                </w:tcPr>
                <w:p w14:paraId="1C7321A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3,48%</w:t>
                  </w:r>
                </w:p>
              </w:tc>
            </w:tr>
            <w:tr w:rsidR="00D768A3" w14:paraId="235A0F3B"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76558E33"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Meta</w:t>
                  </w:r>
                </w:p>
              </w:tc>
              <w:tc>
                <w:tcPr>
                  <w:tcW w:w="2208" w:type="dxa"/>
                  <w:tcBorders>
                    <w:top w:val="nil"/>
                    <w:left w:val="nil"/>
                    <w:bottom w:val="single" w:sz="4" w:space="0" w:color="000000"/>
                    <w:right w:val="single" w:sz="4" w:space="0" w:color="000000"/>
                  </w:tcBorders>
                  <w:vAlign w:val="center"/>
                </w:tcPr>
                <w:p w14:paraId="4B3D43DF"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19241</w:t>
                  </w:r>
                </w:p>
              </w:tc>
              <w:tc>
                <w:tcPr>
                  <w:tcW w:w="1712" w:type="dxa"/>
                  <w:tcBorders>
                    <w:top w:val="nil"/>
                    <w:left w:val="nil"/>
                    <w:bottom w:val="single" w:sz="4" w:space="0" w:color="000000"/>
                    <w:right w:val="single" w:sz="4" w:space="0" w:color="000000"/>
                  </w:tcBorders>
                  <w:vAlign w:val="center"/>
                </w:tcPr>
                <w:p w14:paraId="086199E8"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1,87%</w:t>
                  </w:r>
                </w:p>
              </w:tc>
            </w:tr>
            <w:tr w:rsidR="00D768A3" w14:paraId="3BF68A42"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51071BE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Boyacá</w:t>
                  </w:r>
                </w:p>
              </w:tc>
              <w:tc>
                <w:tcPr>
                  <w:tcW w:w="2208" w:type="dxa"/>
                  <w:tcBorders>
                    <w:top w:val="nil"/>
                    <w:left w:val="nil"/>
                    <w:bottom w:val="single" w:sz="4" w:space="0" w:color="000000"/>
                    <w:right w:val="single" w:sz="4" w:space="0" w:color="000000"/>
                  </w:tcBorders>
                  <w:vAlign w:val="center"/>
                </w:tcPr>
                <w:p w14:paraId="18C5719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18518</w:t>
                  </w:r>
                </w:p>
              </w:tc>
              <w:tc>
                <w:tcPr>
                  <w:tcW w:w="1712" w:type="dxa"/>
                  <w:tcBorders>
                    <w:top w:val="nil"/>
                    <w:left w:val="nil"/>
                    <w:bottom w:val="single" w:sz="4" w:space="0" w:color="000000"/>
                    <w:right w:val="single" w:sz="4" w:space="0" w:color="000000"/>
                  </w:tcBorders>
                  <w:vAlign w:val="center"/>
                </w:tcPr>
                <w:p w14:paraId="69A3621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1,80%</w:t>
                  </w:r>
                </w:p>
              </w:tc>
            </w:tr>
            <w:tr w:rsidR="00D768A3" w14:paraId="35E1D981"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7C22DC8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Norte de Santander</w:t>
                  </w:r>
                </w:p>
              </w:tc>
              <w:tc>
                <w:tcPr>
                  <w:tcW w:w="2208" w:type="dxa"/>
                  <w:tcBorders>
                    <w:top w:val="nil"/>
                    <w:left w:val="nil"/>
                    <w:bottom w:val="single" w:sz="4" w:space="0" w:color="000000"/>
                    <w:right w:val="single" w:sz="4" w:space="0" w:color="000000"/>
                  </w:tcBorders>
                  <w:vAlign w:val="center"/>
                </w:tcPr>
                <w:p w14:paraId="6072AC49"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17907</w:t>
                  </w:r>
                </w:p>
              </w:tc>
              <w:tc>
                <w:tcPr>
                  <w:tcW w:w="1712" w:type="dxa"/>
                  <w:tcBorders>
                    <w:top w:val="nil"/>
                    <w:left w:val="nil"/>
                    <w:bottom w:val="single" w:sz="4" w:space="0" w:color="000000"/>
                    <w:right w:val="single" w:sz="4" w:space="0" w:color="000000"/>
                  </w:tcBorders>
                  <w:vAlign w:val="center"/>
                </w:tcPr>
                <w:p w14:paraId="2A4861EF"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1,74%</w:t>
                  </w:r>
                </w:p>
              </w:tc>
            </w:tr>
            <w:tr w:rsidR="00D768A3" w14:paraId="5778D5BF"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3461EEE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Tolima</w:t>
                  </w:r>
                </w:p>
              </w:tc>
              <w:tc>
                <w:tcPr>
                  <w:tcW w:w="2208" w:type="dxa"/>
                  <w:tcBorders>
                    <w:top w:val="nil"/>
                    <w:left w:val="nil"/>
                    <w:bottom w:val="single" w:sz="4" w:space="0" w:color="000000"/>
                    <w:right w:val="single" w:sz="4" w:space="0" w:color="000000"/>
                  </w:tcBorders>
                  <w:vAlign w:val="center"/>
                </w:tcPr>
                <w:p w14:paraId="2C15C60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16642</w:t>
                  </w:r>
                </w:p>
              </w:tc>
              <w:tc>
                <w:tcPr>
                  <w:tcW w:w="1712" w:type="dxa"/>
                  <w:tcBorders>
                    <w:top w:val="nil"/>
                    <w:left w:val="nil"/>
                    <w:bottom w:val="single" w:sz="4" w:space="0" w:color="000000"/>
                    <w:right w:val="single" w:sz="4" w:space="0" w:color="000000"/>
                  </w:tcBorders>
                  <w:vAlign w:val="center"/>
                </w:tcPr>
                <w:p w14:paraId="5A5A5B99"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1,61%</w:t>
                  </w:r>
                </w:p>
              </w:tc>
            </w:tr>
            <w:tr w:rsidR="00D768A3" w14:paraId="10193EA0"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51ACE012"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Huila</w:t>
                  </w:r>
                </w:p>
              </w:tc>
              <w:tc>
                <w:tcPr>
                  <w:tcW w:w="2208" w:type="dxa"/>
                  <w:tcBorders>
                    <w:top w:val="nil"/>
                    <w:left w:val="nil"/>
                    <w:bottom w:val="single" w:sz="4" w:space="0" w:color="000000"/>
                    <w:right w:val="single" w:sz="4" w:space="0" w:color="000000"/>
                  </w:tcBorders>
                  <w:vAlign w:val="center"/>
                </w:tcPr>
                <w:p w14:paraId="701CEAA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15806</w:t>
                  </w:r>
                </w:p>
              </w:tc>
              <w:tc>
                <w:tcPr>
                  <w:tcW w:w="1712" w:type="dxa"/>
                  <w:tcBorders>
                    <w:top w:val="nil"/>
                    <w:left w:val="nil"/>
                    <w:bottom w:val="single" w:sz="4" w:space="0" w:color="000000"/>
                    <w:right w:val="single" w:sz="4" w:space="0" w:color="000000"/>
                  </w:tcBorders>
                  <w:vAlign w:val="center"/>
                </w:tcPr>
                <w:p w14:paraId="2062F9E3"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1,53%</w:t>
                  </w:r>
                </w:p>
              </w:tc>
            </w:tr>
            <w:tr w:rsidR="00D768A3" w14:paraId="30DD8189"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33844CB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Risaralda</w:t>
                  </w:r>
                </w:p>
              </w:tc>
              <w:tc>
                <w:tcPr>
                  <w:tcW w:w="2208" w:type="dxa"/>
                  <w:tcBorders>
                    <w:top w:val="nil"/>
                    <w:left w:val="nil"/>
                    <w:bottom w:val="single" w:sz="4" w:space="0" w:color="000000"/>
                    <w:right w:val="single" w:sz="4" w:space="0" w:color="000000"/>
                  </w:tcBorders>
                  <w:vAlign w:val="center"/>
                </w:tcPr>
                <w:p w14:paraId="757F614A"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15757</w:t>
                  </w:r>
                </w:p>
              </w:tc>
              <w:tc>
                <w:tcPr>
                  <w:tcW w:w="1712" w:type="dxa"/>
                  <w:tcBorders>
                    <w:top w:val="nil"/>
                    <w:left w:val="nil"/>
                    <w:bottom w:val="single" w:sz="4" w:space="0" w:color="000000"/>
                    <w:right w:val="single" w:sz="4" w:space="0" w:color="000000"/>
                  </w:tcBorders>
                  <w:vAlign w:val="center"/>
                </w:tcPr>
                <w:p w14:paraId="32C45429"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1,53%</w:t>
                  </w:r>
                </w:p>
              </w:tc>
            </w:tr>
            <w:tr w:rsidR="00D768A3" w14:paraId="10383848"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3CBF3A0A"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Magdalena</w:t>
                  </w:r>
                </w:p>
              </w:tc>
              <w:tc>
                <w:tcPr>
                  <w:tcW w:w="2208" w:type="dxa"/>
                  <w:tcBorders>
                    <w:top w:val="nil"/>
                    <w:left w:val="nil"/>
                    <w:bottom w:val="single" w:sz="4" w:space="0" w:color="000000"/>
                    <w:right w:val="single" w:sz="4" w:space="0" w:color="000000"/>
                  </w:tcBorders>
                  <w:vAlign w:val="center"/>
                </w:tcPr>
                <w:p w14:paraId="0F22603C"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14532</w:t>
                  </w:r>
                </w:p>
              </w:tc>
              <w:tc>
                <w:tcPr>
                  <w:tcW w:w="1712" w:type="dxa"/>
                  <w:tcBorders>
                    <w:top w:val="nil"/>
                    <w:left w:val="nil"/>
                    <w:bottom w:val="single" w:sz="4" w:space="0" w:color="000000"/>
                    <w:right w:val="single" w:sz="4" w:space="0" w:color="000000"/>
                  </w:tcBorders>
                  <w:vAlign w:val="center"/>
                </w:tcPr>
                <w:p w14:paraId="34D2A60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1,41%</w:t>
                  </w:r>
                </w:p>
              </w:tc>
            </w:tr>
            <w:tr w:rsidR="00D768A3" w14:paraId="41363FE5"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57D3DE8C"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Cesar</w:t>
                  </w:r>
                </w:p>
              </w:tc>
              <w:tc>
                <w:tcPr>
                  <w:tcW w:w="2208" w:type="dxa"/>
                  <w:tcBorders>
                    <w:top w:val="nil"/>
                    <w:left w:val="nil"/>
                    <w:bottom w:val="single" w:sz="4" w:space="0" w:color="000000"/>
                    <w:right w:val="single" w:sz="4" w:space="0" w:color="000000"/>
                  </w:tcBorders>
                  <w:vAlign w:val="center"/>
                </w:tcPr>
                <w:p w14:paraId="760D8A2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13244</w:t>
                  </w:r>
                </w:p>
              </w:tc>
              <w:tc>
                <w:tcPr>
                  <w:tcW w:w="1712" w:type="dxa"/>
                  <w:tcBorders>
                    <w:top w:val="nil"/>
                    <w:left w:val="nil"/>
                    <w:bottom w:val="single" w:sz="4" w:space="0" w:color="000000"/>
                    <w:right w:val="single" w:sz="4" w:space="0" w:color="000000"/>
                  </w:tcBorders>
                  <w:vAlign w:val="center"/>
                </w:tcPr>
                <w:p w14:paraId="00791C1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1,28%</w:t>
                  </w:r>
                </w:p>
              </w:tc>
            </w:tr>
            <w:tr w:rsidR="00D768A3" w14:paraId="7C9C5CD0"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593E02DE"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Córdoba</w:t>
                  </w:r>
                </w:p>
              </w:tc>
              <w:tc>
                <w:tcPr>
                  <w:tcW w:w="2208" w:type="dxa"/>
                  <w:tcBorders>
                    <w:top w:val="nil"/>
                    <w:left w:val="nil"/>
                    <w:bottom w:val="single" w:sz="4" w:space="0" w:color="000000"/>
                    <w:right w:val="single" w:sz="4" w:space="0" w:color="000000"/>
                  </w:tcBorders>
                  <w:vAlign w:val="center"/>
                </w:tcPr>
                <w:p w14:paraId="3B00D95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12963</w:t>
                  </w:r>
                </w:p>
              </w:tc>
              <w:tc>
                <w:tcPr>
                  <w:tcW w:w="1712" w:type="dxa"/>
                  <w:tcBorders>
                    <w:top w:val="nil"/>
                    <w:left w:val="nil"/>
                    <w:bottom w:val="single" w:sz="4" w:space="0" w:color="000000"/>
                    <w:right w:val="single" w:sz="4" w:space="0" w:color="000000"/>
                  </w:tcBorders>
                  <w:vAlign w:val="center"/>
                </w:tcPr>
                <w:p w14:paraId="2A9DA3A9"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1,26%</w:t>
                  </w:r>
                </w:p>
              </w:tc>
            </w:tr>
            <w:tr w:rsidR="00D768A3" w14:paraId="6BE96831"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15A19046"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Caldas</w:t>
                  </w:r>
                </w:p>
              </w:tc>
              <w:tc>
                <w:tcPr>
                  <w:tcW w:w="2208" w:type="dxa"/>
                  <w:tcBorders>
                    <w:top w:val="nil"/>
                    <w:left w:val="nil"/>
                    <w:bottom w:val="single" w:sz="4" w:space="0" w:color="000000"/>
                    <w:right w:val="single" w:sz="4" w:space="0" w:color="000000"/>
                  </w:tcBorders>
                  <w:vAlign w:val="center"/>
                </w:tcPr>
                <w:p w14:paraId="722898E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12473</w:t>
                  </w:r>
                </w:p>
              </w:tc>
              <w:tc>
                <w:tcPr>
                  <w:tcW w:w="1712" w:type="dxa"/>
                  <w:tcBorders>
                    <w:top w:val="nil"/>
                    <w:left w:val="nil"/>
                    <w:bottom w:val="single" w:sz="4" w:space="0" w:color="000000"/>
                    <w:right w:val="single" w:sz="4" w:space="0" w:color="000000"/>
                  </w:tcBorders>
                  <w:vAlign w:val="center"/>
                </w:tcPr>
                <w:p w14:paraId="1A7DEC92"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1,21%</w:t>
                  </w:r>
                </w:p>
              </w:tc>
            </w:tr>
            <w:tr w:rsidR="00D768A3" w14:paraId="56CDB2B8"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744F00C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Nariño</w:t>
                  </w:r>
                </w:p>
              </w:tc>
              <w:tc>
                <w:tcPr>
                  <w:tcW w:w="2208" w:type="dxa"/>
                  <w:tcBorders>
                    <w:top w:val="nil"/>
                    <w:left w:val="nil"/>
                    <w:bottom w:val="single" w:sz="4" w:space="0" w:color="000000"/>
                    <w:right w:val="single" w:sz="4" w:space="0" w:color="000000"/>
                  </w:tcBorders>
                  <w:vAlign w:val="center"/>
                </w:tcPr>
                <w:p w14:paraId="15DCEE1E"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12169</w:t>
                  </w:r>
                </w:p>
              </w:tc>
              <w:tc>
                <w:tcPr>
                  <w:tcW w:w="1712" w:type="dxa"/>
                  <w:tcBorders>
                    <w:top w:val="nil"/>
                    <w:left w:val="nil"/>
                    <w:bottom w:val="single" w:sz="4" w:space="0" w:color="000000"/>
                    <w:right w:val="single" w:sz="4" w:space="0" w:color="000000"/>
                  </w:tcBorders>
                  <w:vAlign w:val="center"/>
                </w:tcPr>
                <w:p w14:paraId="57A7AE1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1,18%</w:t>
                  </w:r>
                </w:p>
              </w:tc>
            </w:tr>
            <w:tr w:rsidR="00D768A3" w14:paraId="72D532C4"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2C4E0FF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Cauca</w:t>
                  </w:r>
                </w:p>
              </w:tc>
              <w:tc>
                <w:tcPr>
                  <w:tcW w:w="2208" w:type="dxa"/>
                  <w:tcBorders>
                    <w:top w:val="nil"/>
                    <w:left w:val="nil"/>
                    <w:bottom w:val="single" w:sz="4" w:space="0" w:color="000000"/>
                    <w:right w:val="single" w:sz="4" w:space="0" w:color="000000"/>
                  </w:tcBorders>
                  <w:vAlign w:val="center"/>
                </w:tcPr>
                <w:p w14:paraId="49C654E3"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10349</w:t>
                  </w:r>
                </w:p>
              </w:tc>
              <w:tc>
                <w:tcPr>
                  <w:tcW w:w="1712" w:type="dxa"/>
                  <w:tcBorders>
                    <w:top w:val="nil"/>
                    <w:left w:val="nil"/>
                    <w:bottom w:val="single" w:sz="4" w:space="0" w:color="000000"/>
                    <w:right w:val="single" w:sz="4" w:space="0" w:color="000000"/>
                  </w:tcBorders>
                  <w:vAlign w:val="center"/>
                </w:tcPr>
                <w:p w14:paraId="58B3551E"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1,00%</w:t>
                  </w:r>
                </w:p>
              </w:tc>
            </w:tr>
            <w:tr w:rsidR="00D768A3" w14:paraId="7E9E8971"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7809855B"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Casanare</w:t>
                  </w:r>
                </w:p>
              </w:tc>
              <w:tc>
                <w:tcPr>
                  <w:tcW w:w="2208" w:type="dxa"/>
                  <w:tcBorders>
                    <w:top w:val="nil"/>
                    <w:left w:val="nil"/>
                    <w:bottom w:val="single" w:sz="4" w:space="0" w:color="000000"/>
                    <w:right w:val="single" w:sz="4" w:space="0" w:color="000000"/>
                  </w:tcBorders>
                  <w:vAlign w:val="center"/>
                </w:tcPr>
                <w:p w14:paraId="204DF38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9892</w:t>
                  </w:r>
                </w:p>
              </w:tc>
              <w:tc>
                <w:tcPr>
                  <w:tcW w:w="1712" w:type="dxa"/>
                  <w:tcBorders>
                    <w:top w:val="nil"/>
                    <w:left w:val="nil"/>
                    <w:bottom w:val="single" w:sz="4" w:space="0" w:color="000000"/>
                    <w:right w:val="single" w:sz="4" w:space="0" w:color="000000"/>
                  </w:tcBorders>
                  <w:vAlign w:val="center"/>
                </w:tcPr>
                <w:p w14:paraId="6983C16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0,96%</w:t>
                  </w:r>
                </w:p>
              </w:tc>
            </w:tr>
            <w:tr w:rsidR="00D768A3" w14:paraId="5C927E0A"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230BA0C6"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Sucre</w:t>
                  </w:r>
                </w:p>
              </w:tc>
              <w:tc>
                <w:tcPr>
                  <w:tcW w:w="2208" w:type="dxa"/>
                  <w:tcBorders>
                    <w:top w:val="nil"/>
                    <w:left w:val="nil"/>
                    <w:bottom w:val="single" w:sz="4" w:space="0" w:color="000000"/>
                    <w:right w:val="single" w:sz="4" w:space="0" w:color="000000"/>
                  </w:tcBorders>
                  <w:vAlign w:val="center"/>
                </w:tcPr>
                <w:p w14:paraId="102394FD"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8222</w:t>
                  </w:r>
                </w:p>
              </w:tc>
              <w:tc>
                <w:tcPr>
                  <w:tcW w:w="1712" w:type="dxa"/>
                  <w:tcBorders>
                    <w:top w:val="nil"/>
                    <w:left w:val="nil"/>
                    <w:bottom w:val="single" w:sz="4" w:space="0" w:color="000000"/>
                    <w:right w:val="single" w:sz="4" w:space="0" w:color="000000"/>
                  </w:tcBorders>
                  <w:vAlign w:val="center"/>
                </w:tcPr>
                <w:p w14:paraId="40176535"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0,80%</w:t>
                  </w:r>
                </w:p>
              </w:tc>
            </w:tr>
            <w:tr w:rsidR="00D768A3" w14:paraId="1F3205D5"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7AFA3306"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Quindío</w:t>
                  </w:r>
                </w:p>
              </w:tc>
              <w:tc>
                <w:tcPr>
                  <w:tcW w:w="2208" w:type="dxa"/>
                  <w:tcBorders>
                    <w:top w:val="nil"/>
                    <w:left w:val="nil"/>
                    <w:bottom w:val="single" w:sz="4" w:space="0" w:color="000000"/>
                    <w:right w:val="single" w:sz="4" w:space="0" w:color="000000"/>
                  </w:tcBorders>
                  <w:vAlign w:val="center"/>
                </w:tcPr>
                <w:p w14:paraId="6B8474DF"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7422</w:t>
                  </w:r>
                </w:p>
              </w:tc>
              <w:tc>
                <w:tcPr>
                  <w:tcW w:w="1712" w:type="dxa"/>
                  <w:tcBorders>
                    <w:top w:val="nil"/>
                    <w:left w:val="nil"/>
                    <w:bottom w:val="single" w:sz="4" w:space="0" w:color="000000"/>
                    <w:right w:val="single" w:sz="4" w:space="0" w:color="000000"/>
                  </w:tcBorders>
                  <w:vAlign w:val="center"/>
                </w:tcPr>
                <w:p w14:paraId="53848D6A"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0,72%</w:t>
                  </w:r>
                </w:p>
              </w:tc>
            </w:tr>
            <w:tr w:rsidR="00D768A3" w14:paraId="13AD808A"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5D168C8D"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La Guajira</w:t>
                  </w:r>
                </w:p>
              </w:tc>
              <w:tc>
                <w:tcPr>
                  <w:tcW w:w="2208" w:type="dxa"/>
                  <w:tcBorders>
                    <w:top w:val="nil"/>
                    <w:left w:val="nil"/>
                    <w:bottom w:val="single" w:sz="4" w:space="0" w:color="000000"/>
                    <w:right w:val="single" w:sz="4" w:space="0" w:color="000000"/>
                  </w:tcBorders>
                  <w:vAlign w:val="center"/>
                </w:tcPr>
                <w:p w14:paraId="451AE4B3"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6464</w:t>
                  </w:r>
                </w:p>
              </w:tc>
              <w:tc>
                <w:tcPr>
                  <w:tcW w:w="1712" w:type="dxa"/>
                  <w:tcBorders>
                    <w:top w:val="nil"/>
                    <w:left w:val="nil"/>
                    <w:bottom w:val="single" w:sz="4" w:space="0" w:color="000000"/>
                    <w:right w:val="single" w:sz="4" w:space="0" w:color="000000"/>
                  </w:tcBorders>
                  <w:vAlign w:val="center"/>
                </w:tcPr>
                <w:p w14:paraId="33C47AF3"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0,63%</w:t>
                  </w:r>
                </w:p>
              </w:tc>
            </w:tr>
            <w:tr w:rsidR="00D768A3" w14:paraId="363FBC00"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0228F3D2"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Putumayo</w:t>
                  </w:r>
                </w:p>
              </w:tc>
              <w:tc>
                <w:tcPr>
                  <w:tcW w:w="2208" w:type="dxa"/>
                  <w:tcBorders>
                    <w:top w:val="nil"/>
                    <w:left w:val="nil"/>
                    <w:bottom w:val="single" w:sz="4" w:space="0" w:color="000000"/>
                    <w:right w:val="single" w:sz="4" w:space="0" w:color="000000"/>
                  </w:tcBorders>
                  <w:vAlign w:val="center"/>
                </w:tcPr>
                <w:p w14:paraId="781E6FEA"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4715</w:t>
                  </w:r>
                </w:p>
              </w:tc>
              <w:tc>
                <w:tcPr>
                  <w:tcW w:w="1712" w:type="dxa"/>
                  <w:tcBorders>
                    <w:top w:val="nil"/>
                    <w:left w:val="nil"/>
                    <w:bottom w:val="single" w:sz="4" w:space="0" w:color="000000"/>
                    <w:right w:val="single" w:sz="4" w:space="0" w:color="000000"/>
                  </w:tcBorders>
                  <w:vAlign w:val="center"/>
                </w:tcPr>
                <w:p w14:paraId="42B85FCB"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0,46%</w:t>
                  </w:r>
                </w:p>
              </w:tc>
            </w:tr>
            <w:tr w:rsidR="00D768A3" w14:paraId="284E152B"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461C09E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Arauca</w:t>
                  </w:r>
                </w:p>
              </w:tc>
              <w:tc>
                <w:tcPr>
                  <w:tcW w:w="2208" w:type="dxa"/>
                  <w:tcBorders>
                    <w:top w:val="nil"/>
                    <w:left w:val="nil"/>
                    <w:bottom w:val="single" w:sz="4" w:space="0" w:color="000000"/>
                    <w:right w:val="single" w:sz="4" w:space="0" w:color="000000"/>
                  </w:tcBorders>
                  <w:vAlign w:val="center"/>
                </w:tcPr>
                <w:p w14:paraId="3CB44B0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4279</w:t>
                  </w:r>
                </w:p>
              </w:tc>
              <w:tc>
                <w:tcPr>
                  <w:tcW w:w="1712" w:type="dxa"/>
                  <w:tcBorders>
                    <w:top w:val="nil"/>
                    <w:left w:val="nil"/>
                    <w:bottom w:val="single" w:sz="4" w:space="0" w:color="000000"/>
                    <w:right w:val="single" w:sz="4" w:space="0" w:color="000000"/>
                  </w:tcBorders>
                  <w:vAlign w:val="center"/>
                </w:tcPr>
                <w:p w14:paraId="6BAEB476"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0,41%</w:t>
                  </w:r>
                </w:p>
              </w:tc>
            </w:tr>
            <w:tr w:rsidR="00D768A3" w14:paraId="49E1FCED"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568EE7AA"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Caquetá</w:t>
                  </w:r>
                </w:p>
              </w:tc>
              <w:tc>
                <w:tcPr>
                  <w:tcW w:w="2208" w:type="dxa"/>
                  <w:tcBorders>
                    <w:top w:val="nil"/>
                    <w:left w:val="nil"/>
                    <w:bottom w:val="single" w:sz="4" w:space="0" w:color="000000"/>
                    <w:right w:val="single" w:sz="4" w:space="0" w:color="000000"/>
                  </w:tcBorders>
                  <w:vAlign w:val="center"/>
                </w:tcPr>
                <w:p w14:paraId="435A44D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3943</w:t>
                  </w:r>
                </w:p>
              </w:tc>
              <w:tc>
                <w:tcPr>
                  <w:tcW w:w="1712" w:type="dxa"/>
                  <w:tcBorders>
                    <w:top w:val="nil"/>
                    <w:left w:val="nil"/>
                    <w:bottom w:val="single" w:sz="4" w:space="0" w:color="000000"/>
                    <w:right w:val="single" w:sz="4" w:space="0" w:color="000000"/>
                  </w:tcBorders>
                  <w:vAlign w:val="center"/>
                </w:tcPr>
                <w:p w14:paraId="790EDA8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0,38%</w:t>
                  </w:r>
                </w:p>
              </w:tc>
            </w:tr>
            <w:tr w:rsidR="00D768A3" w14:paraId="6BBC81BF"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7DB0FD6A"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Chocó</w:t>
                  </w:r>
                </w:p>
              </w:tc>
              <w:tc>
                <w:tcPr>
                  <w:tcW w:w="2208" w:type="dxa"/>
                  <w:tcBorders>
                    <w:top w:val="nil"/>
                    <w:left w:val="nil"/>
                    <w:bottom w:val="single" w:sz="4" w:space="0" w:color="000000"/>
                    <w:right w:val="single" w:sz="4" w:space="0" w:color="000000"/>
                  </w:tcBorders>
                  <w:vAlign w:val="center"/>
                </w:tcPr>
                <w:p w14:paraId="09F6CC3D"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3296</w:t>
                  </w:r>
                </w:p>
              </w:tc>
              <w:tc>
                <w:tcPr>
                  <w:tcW w:w="1712" w:type="dxa"/>
                  <w:tcBorders>
                    <w:top w:val="nil"/>
                    <w:left w:val="nil"/>
                    <w:bottom w:val="single" w:sz="4" w:space="0" w:color="000000"/>
                    <w:right w:val="single" w:sz="4" w:space="0" w:color="000000"/>
                  </w:tcBorders>
                  <w:vAlign w:val="center"/>
                </w:tcPr>
                <w:p w14:paraId="5C05F608"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0,32%</w:t>
                  </w:r>
                </w:p>
              </w:tc>
            </w:tr>
            <w:tr w:rsidR="00D768A3" w14:paraId="64A2FDCD"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39CA6B5B"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 xml:space="preserve">San Andrés y </w:t>
                  </w:r>
                  <w:r w:rsidRPr="00D67D8A">
                    <w:rPr>
                      <w:rFonts w:ascii="Arial" w:eastAsia="Arial" w:hAnsi="Arial" w:cs="Arial"/>
                      <w:color w:val="000000"/>
                      <w:lang w:val="es-CO"/>
                    </w:rPr>
                    <w:lastRenderedPageBreak/>
                    <w:t>Providencia</w:t>
                  </w:r>
                </w:p>
              </w:tc>
              <w:tc>
                <w:tcPr>
                  <w:tcW w:w="2208" w:type="dxa"/>
                  <w:tcBorders>
                    <w:top w:val="nil"/>
                    <w:left w:val="nil"/>
                    <w:bottom w:val="single" w:sz="4" w:space="0" w:color="000000"/>
                    <w:right w:val="single" w:sz="4" w:space="0" w:color="000000"/>
                  </w:tcBorders>
                  <w:vAlign w:val="center"/>
                </w:tcPr>
                <w:p w14:paraId="25855C59"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lastRenderedPageBreak/>
                    <w:t>1480</w:t>
                  </w:r>
                </w:p>
              </w:tc>
              <w:tc>
                <w:tcPr>
                  <w:tcW w:w="1712" w:type="dxa"/>
                  <w:tcBorders>
                    <w:top w:val="nil"/>
                    <w:left w:val="nil"/>
                    <w:bottom w:val="single" w:sz="4" w:space="0" w:color="000000"/>
                    <w:right w:val="single" w:sz="4" w:space="0" w:color="000000"/>
                  </w:tcBorders>
                  <w:vAlign w:val="center"/>
                </w:tcPr>
                <w:p w14:paraId="0834977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0,14%</w:t>
                  </w:r>
                </w:p>
              </w:tc>
            </w:tr>
            <w:tr w:rsidR="00D768A3" w14:paraId="197E62A3"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5BEF984F"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Guaviare</w:t>
                  </w:r>
                </w:p>
              </w:tc>
              <w:tc>
                <w:tcPr>
                  <w:tcW w:w="2208" w:type="dxa"/>
                  <w:tcBorders>
                    <w:top w:val="nil"/>
                    <w:left w:val="nil"/>
                    <w:bottom w:val="single" w:sz="4" w:space="0" w:color="000000"/>
                    <w:right w:val="single" w:sz="4" w:space="0" w:color="000000"/>
                  </w:tcBorders>
                  <w:vAlign w:val="center"/>
                </w:tcPr>
                <w:p w14:paraId="11B2EBB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872</w:t>
                  </w:r>
                </w:p>
              </w:tc>
              <w:tc>
                <w:tcPr>
                  <w:tcW w:w="1712" w:type="dxa"/>
                  <w:tcBorders>
                    <w:top w:val="nil"/>
                    <w:left w:val="nil"/>
                    <w:bottom w:val="single" w:sz="4" w:space="0" w:color="000000"/>
                    <w:right w:val="single" w:sz="4" w:space="0" w:color="000000"/>
                  </w:tcBorders>
                  <w:vAlign w:val="center"/>
                </w:tcPr>
                <w:p w14:paraId="1808826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0,08%</w:t>
                  </w:r>
                </w:p>
              </w:tc>
            </w:tr>
            <w:tr w:rsidR="00D768A3" w14:paraId="3C556436"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209ABED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Amazonas</w:t>
                  </w:r>
                </w:p>
              </w:tc>
              <w:tc>
                <w:tcPr>
                  <w:tcW w:w="2208" w:type="dxa"/>
                  <w:tcBorders>
                    <w:top w:val="nil"/>
                    <w:left w:val="nil"/>
                    <w:bottom w:val="single" w:sz="4" w:space="0" w:color="000000"/>
                    <w:right w:val="single" w:sz="4" w:space="0" w:color="000000"/>
                  </w:tcBorders>
                  <w:vAlign w:val="center"/>
                </w:tcPr>
                <w:p w14:paraId="6B9702DB"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750</w:t>
                  </w:r>
                </w:p>
              </w:tc>
              <w:tc>
                <w:tcPr>
                  <w:tcW w:w="1712" w:type="dxa"/>
                  <w:tcBorders>
                    <w:top w:val="nil"/>
                    <w:left w:val="nil"/>
                    <w:bottom w:val="single" w:sz="4" w:space="0" w:color="000000"/>
                    <w:right w:val="single" w:sz="4" w:space="0" w:color="000000"/>
                  </w:tcBorders>
                  <w:vAlign w:val="center"/>
                </w:tcPr>
                <w:p w14:paraId="1B558ED6"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0,07%</w:t>
                  </w:r>
                </w:p>
              </w:tc>
            </w:tr>
            <w:tr w:rsidR="00D768A3" w14:paraId="181C43B3"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32F2357F"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Vichada</w:t>
                  </w:r>
                </w:p>
              </w:tc>
              <w:tc>
                <w:tcPr>
                  <w:tcW w:w="2208" w:type="dxa"/>
                  <w:tcBorders>
                    <w:top w:val="nil"/>
                    <w:left w:val="nil"/>
                    <w:bottom w:val="single" w:sz="4" w:space="0" w:color="000000"/>
                    <w:right w:val="single" w:sz="4" w:space="0" w:color="000000"/>
                  </w:tcBorders>
                  <w:vAlign w:val="center"/>
                </w:tcPr>
                <w:p w14:paraId="10FB26BA"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444</w:t>
                  </w:r>
                </w:p>
              </w:tc>
              <w:tc>
                <w:tcPr>
                  <w:tcW w:w="1712" w:type="dxa"/>
                  <w:tcBorders>
                    <w:top w:val="nil"/>
                    <w:left w:val="nil"/>
                    <w:bottom w:val="single" w:sz="4" w:space="0" w:color="000000"/>
                    <w:right w:val="single" w:sz="4" w:space="0" w:color="000000"/>
                  </w:tcBorders>
                  <w:vAlign w:val="center"/>
                </w:tcPr>
                <w:p w14:paraId="0E095C0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0,04%</w:t>
                  </w:r>
                </w:p>
              </w:tc>
            </w:tr>
            <w:tr w:rsidR="00D768A3" w14:paraId="4EB41A62"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0F5DE4A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Guainía</w:t>
                  </w:r>
                </w:p>
              </w:tc>
              <w:tc>
                <w:tcPr>
                  <w:tcW w:w="2208" w:type="dxa"/>
                  <w:tcBorders>
                    <w:top w:val="nil"/>
                    <w:left w:val="nil"/>
                    <w:bottom w:val="single" w:sz="4" w:space="0" w:color="000000"/>
                    <w:right w:val="single" w:sz="4" w:space="0" w:color="000000"/>
                  </w:tcBorders>
                  <w:vAlign w:val="center"/>
                </w:tcPr>
                <w:p w14:paraId="20188340"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300</w:t>
                  </w:r>
                </w:p>
              </w:tc>
              <w:tc>
                <w:tcPr>
                  <w:tcW w:w="1712" w:type="dxa"/>
                  <w:tcBorders>
                    <w:top w:val="nil"/>
                    <w:left w:val="nil"/>
                    <w:bottom w:val="single" w:sz="4" w:space="0" w:color="000000"/>
                    <w:right w:val="single" w:sz="4" w:space="0" w:color="000000"/>
                  </w:tcBorders>
                  <w:vAlign w:val="center"/>
                </w:tcPr>
                <w:p w14:paraId="676FFFC5"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0,03%</w:t>
                  </w:r>
                </w:p>
              </w:tc>
            </w:tr>
            <w:tr w:rsidR="00D768A3" w14:paraId="5852338D"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6E64F811"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Vaupés</w:t>
                  </w:r>
                </w:p>
              </w:tc>
              <w:tc>
                <w:tcPr>
                  <w:tcW w:w="2208" w:type="dxa"/>
                  <w:tcBorders>
                    <w:top w:val="nil"/>
                    <w:left w:val="nil"/>
                    <w:bottom w:val="single" w:sz="4" w:space="0" w:color="000000"/>
                    <w:right w:val="single" w:sz="4" w:space="0" w:color="000000"/>
                  </w:tcBorders>
                  <w:vAlign w:val="center"/>
                </w:tcPr>
                <w:p w14:paraId="328D958B"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156</w:t>
                  </w:r>
                </w:p>
              </w:tc>
              <w:tc>
                <w:tcPr>
                  <w:tcW w:w="1712" w:type="dxa"/>
                  <w:tcBorders>
                    <w:top w:val="nil"/>
                    <w:left w:val="nil"/>
                    <w:bottom w:val="single" w:sz="4" w:space="0" w:color="000000"/>
                    <w:right w:val="single" w:sz="4" w:space="0" w:color="000000"/>
                  </w:tcBorders>
                  <w:vAlign w:val="center"/>
                </w:tcPr>
                <w:p w14:paraId="7CAEC897"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0,02%</w:t>
                  </w:r>
                </w:p>
              </w:tc>
            </w:tr>
            <w:tr w:rsidR="00D768A3" w14:paraId="79F58A0A" w14:textId="77777777" w:rsidTr="005D14C3">
              <w:trPr>
                <w:trHeight w:val="300"/>
                <w:jc w:val="center"/>
              </w:trPr>
              <w:tc>
                <w:tcPr>
                  <w:tcW w:w="2221" w:type="dxa"/>
                  <w:tcBorders>
                    <w:top w:val="nil"/>
                    <w:left w:val="single" w:sz="4" w:space="0" w:color="000000"/>
                    <w:bottom w:val="single" w:sz="4" w:space="0" w:color="000000"/>
                    <w:right w:val="single" w:sz="4" w:space="0" w:color="000000"/>
                  </w:tcBorders>
                  <w:vAlign w:val="center"/>
                </w:tcPr>
                <w:p w14:paraId="64909B3C"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Total general</w:t>
                  </w:r>
                </w:p>
              </w:tc>
              <w:tc>
                <w:tcPr>
                  <w:tcW w:w="2208" w:type="dxa"/>
                  <w:tcBorders>
                    <w:top w:val="nil"/>
                    <w:left w:val="nil"/>
                    <w:bottom w:val="single" w:sz="4" w:space="0" w:color="000000"/>
                    <w:right w:val="single" w:sz="4" w:space="0" w:color="000000"/>
                  </w:tcBorders>
                  <w:vAlign w:val="center"/>
                </w:tcPr>
                <w:p w14:paraId="1AA04609"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1031355</w:t>
                  </w:r>
                </w:p>
              </w:tc>
              <w:tc>
                <w:tcPr>
                  <w:tcW w:w="1712" w:type="dxa"/>
                  <w:tcBorders>
                    <w:top w:val="nil"/>
                    <w:left w:val="nil"/>
                    <w:bottom w:val="single" w:sz="4" w:space="0" w:color="000000"/>
                    <w:right w:val="single" w:sz="4" w:space="0" w:color="000000"/>
                  </w:tcBorders>
                  <w:vAlign w:val="center"/>
                </w:tcPr>
                <w:p w14:paraId="11AB76B4"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100,00%</w:t>
                  </w:r>
                </w:p>
              </w:tc>
            </w:tr>
          </w:tbl>
          <w:p w14:paraId="5BBD99BE" w14:textId="77777777" w:rsidR="00D768A3" w:rsidRPr="000659B2" w:rsidRDefault="00A0753E">
            <w:pPr>
              <w:jc w:val="center"/>
              <w:rPr>
                <w:rFonts w:ascii="Arial" w:eastAsia="Arial" w:hAnsi="Arial" w:cs="Arial"/>
                <w:color w:val="000000"/>
                <w:sz w:val="20"/>
                <w:szCs w:val="20"/>
                <w:lang w:val="es-CO"/>
              </w:rPr>
            </w:pPr>
            <w:r w:rsidRPr="000659B2">
              <w:rPr>
                <w:rFonts w:ascii="Arial" w:eastAsia="Arial" w:hAnsi="Arial" w:cs="Arial"/>
                <w:color w:val="000000"/>
                <w:sz w:val="20"/>
                <w:szCs w:val="20"/>
                <w:lang w:val="es-CO"/>
              </w:rPr>
              <w:t>Fuente: Información Datos Abiertos</w:t>
            </w:r>
          </w:p>
          <w:p w14:paraId="13BFEE76" w14:textId="77777777" w:rsidR="00D768A3" w:rsidRPr="00D67D8A" w:rsidRDefault="00A0753E">
            <w:pPr>
              <w:jc w:val="center"/>
              <w:rPr>
                <w:rFonts w:ascii="Arial" w:eastAsia="Arial" w:hAnsi="Arial" w:cs="Arial"/>
                <w:color w:val="000000"/>
                <w:lang w:val="es-CO"/>
              </w:rPr>
            </w:pPr>
            <w:r w:rsidRPr="00D67D8A">
              <w:rPr>
                <w:rFonts w:ascii="Arial" w:eastAsia="Arial" w:hAnsi="Arial" w:cs="Arial"/>
                <w:color w:val="000000"/>
                <w:lang w:val="es-CO"/>
              </w:rPr>
              <w:t xml:space="preserve"> </w:t>
            </w:r>
          </w:p>
          <w:p w14:paraId="3CC728C6" w14:textId="1C8CFB1D" w:rsidR="00D768A3" w:rsidRDefault="006263EB">
            <w:pPr>
              <w:widowControl/>
              <w:pBdr>
                <w:top w:val="nil"/>
                <w:left w:val="nil"/>
                <w:bottom w:val="nil"/>
                <w:right w:val="nil"/>
                <w:between w:val="nil"/>
              </w:pBdr>
              <w:tabs>
                <w:tab w:val="left" w:pos="6864"/>
              </w:tabs>
              <w:jc w:val="both"/>
              <w:rPr>
                <w:rFonts w:ascii="Arial" w:eastAsia="Arial" w:hAnsi="Arial" w:cs="Arial"/>
                <w:color w:val="000000"/>
                <w:sz w:val="24"/>
                <w:szCs w:val="24"/>
                <w:lang w:val="es-CO"/>
              </w:rPr>
            </w:pPr>
            <w:r w:rsidRPr="006263EB">
              <w:rPr>
                <w:rFonts w:ascii="Arial" w:eastAsia="Arial" w:hAnsi="Arial" w:cs="Arial"/>
                <w:color w:val="000000"/>
                <w:sz w:val="24"/>
                <w:szCs w:val="24"/>
                <w:lang w:val="es-CO"/>
              </w:rPr>
              <w:t>La consulta al Directorio Empresarial permitió identificar un universo de 1.031.355 registros empresariales distribuidos en el territorio nacional. Dentro de este universo se identifican empresas clasificadas en actividades económicas relacionadas con la consultoría en ingeniería, evidenciando la existencia de una oferta empresarial amplia que puede participar en procesos relacionados con el objeto contractual.</w:t>
            </w:r>
          </w:p>
          <w:p w14:paraId="60C47AFA" w14:textId="77777777" w:rsidR="006263EB" w:rsidRPr="00D67D8A" w:rsidRDefault="006263EB">
            <w:pPr>
              <w:widowControl/>
              <w:pBdr>
                <w:top w:val="nil"/>
                <w:left w:val="nil"/>
                <w:bottom w:val="nil"/>
                <w:right w:val="nil"/>
                <w:between w:val="nil"/>
              </w:pBdr>
              <w:tabs>
                <w:tab w:val="left" w:pos="6864"/>
              </w:tabs>
              <w:jc w:val="both"/>
              <w:rPr>
                <w:rFonts w:ascii="Arial" w:eastAsia="Arial" w:hAnsi="Arial" w:cs="Arial"/>
                <w:color w:val="000000"/>
                <w:sz w:val="24"/>
                <w:szCs w:val="24"/>
                <w:lang w:val="es-CO"/>
              </w:rPr>
            </w:pPr>
          </w:p>
          <w:p w14:paraId="5FB48D98" w14:textId="452EFD52" w:rsidR="00D768A3" w:rsidRDefault="000659B2">
            <w:pPr>
              <w:jc w:val="both"/>
              <w:rPr>
                <w:rFonts w:ascii="Arial" w:eastAsia="Arial" w:hAnsi="Arial" w:cs="Arial"/>
                <w:sz w:val="24"/>
                <w:szCs w:val="24"/>
                <w:lang w:val="es-CO"/>
              </w:rPr>
            </w:pPr>
            <w:r w:rsidRPr="000659B2">
              <w:rPr>
                <w:rFonts w:ascii="Arial" w:eastAsia="Arial" w:hAnsi="Arial" w:cs="Arial"/>
                <w:sz w:val="24"/>
                <w:szCs w:val="24"/>
                <w:lang w:val="es-CO"/>
              </w:rPr>
              <w:t>Del análisis realizado no se evidencia una concentración significativa del mercado en un número reducido de empresas. Por el contrario, el sector presenta una amplia participación de sociedades de diferentes tamaños, lo que evidencia condiciones de competencia y pluralidad de oferentes para la prestación de servicios de consultoría e interventoría.</w:t>
            </w:r>
          </w:p>
          <w:p w14:paraId="58FF0AF5" w14:textId="77777777" w:rsidR="000659B2" w:rsidRPr="00D67D8A" w:rsidRDefault="000659B2">
            <w:pPr>
              <w:jc w:val="both"/>
              <w:rPr>
                <w:rFonts w:ascii="Arial" w:eastAsia="Arial" w:hAnsi="Arial" w:cs="Arial"/>
                <w:sz w:val="24"/>
                <w:szCs w:val="24"/>
                <w:lang w:val="es-CO"/>
              </w:rPr>
            </w:pPr>
          </w:p>
          <w:p w14:paraId="13B2B150" w14:textId="77777777" w:rsidR="000659B2" w:rsidRDefault="000659B2">
            <w:pPr>
              <w:jc w:val="both"/>
              <w:rPr>
                <w:rFonts w:ascii="Arial" w:eastAsia="Arial" w:hAnsi="Arial" w:cs="Arial"/>
                <w:sz w:val="24"/>
                <w:szCs w:val="24"/>
                <w:lang w:val="es-CO"/>
              </w:rPr>
            </w:pPr>
            <w:r w:rsidRPr="000659B2">
              <w:rPr>
                <w:rFonts w:ascii="Arial" w:eastAsia="Arial" w:hAnsi="Arial" w:cs="Arial"/>
                <w:sz w:val="24"/>
                <w:szCs w:val="24"/>
                <w:lang w:val="es-CO"/>
              </w:rPr>
              <w:t>Así mismo, la consulta realizada en SECOP II permitió identificar 4.523 proveedores registrados bajo el código UNSPSC 80101600 – Gerencia de Proyectos, lo que confirma la existencia de un mercado amplio y especializado para la prestación de servicios relacionados con consultoría e interventoría. Esta información fortalece la conclusión de que existe una pluralidad de potenciales oferentes con capacidad para participar en el presente proceso de selección.</w:t>
            </w:r>
          </w:p>
          <w:p w14:paraId="10222995" w14:textId="77777777" w:rsidR="000659B2" w:rsidRDefault="000659B2">
            <w:pPr>
              <w:jc w:val="both"/>
              <w:rPr>
                <w:rFonts w:ascii="Arial" w:eastAsia="Arial" w:hAnsi="Arial" w:cs="Arial"/>
                <w:sz w:val="24"/>
                <w:szCs w:val="24"/>
                <w:lang w:val="es-CO"/>
              </w:rPr>
            </w:pPr>
          </w:p>
          <w:p w14:paraId="66E74A6B" w14:textId="4F631F3C" w:rsidR="00D768A3" w:rsidRPr="00D67D8A" w:rsidRDefault="000659B2">
            <w:pPr>
              <w:jc w:val="both"/>
              <w:rPr>
                <w:rFonts w:ascii="Arial" w:eastAsia="Arial" w:hAnsi="Arial" w:cs="Arial"/>
                <w:sz w:val="24"/>
                <w:szCs w:val="24"/>
                <w:lang w:val="es-CO"/>
              </w:rPr>
            </w:pPr>
            <w:r w:rsidRPr="000659B2">
              <w:rPr>
                <w:rFonts w:ascii="Arial" w:eastAsia="Arial" w:hAnsi="Arial" w:cs="Arial"/>
                <w:sz w:val="24"/>
                <w:szCs w:val="24"/>
                <w:lang w:val="es-CO"/>
              </w:rPr>
              <w:t>En conclusión, el análisis de las diferentes fuentes oficiales consultadas evidencia que el mercado relacionado con la prestación de servicios de consultoría e interventoría presenta una oferta amplia, especializada y competitiva, integrada por empresas de diferentes tamaños y con presencia en todo el territorio nacional. La información obtenida mediante el SIIS, SECOP I, SECOP II y el Directorio Empresarial permite concluir que existe una pluralidad de potenciales oferentes con capacidad técnica, jurídica, financiera y organizacional para ejecutar el objeto del presente proceso contractual, garantizando condiciones de libre concurrencia y selección objetiva</w:t>
            </w:r>
            <w:r>
              <w:rPr>
                <w:rFonts w:ascii="Arial" w:eastAsia="Arial" w:hAnsi="Arial" w:cs="Arial"/>
                <w:sz w:val="24"/>
                <w:szCs w:val="24"/>
                <w:lang w:val="es-CO"/>
              </w:rPr>
              <w:t>.</w:t>
            </w:r>
          </w:p>
          <w:p w14:paraId="521ED6C4" w14:textId="77777777" w:rsidR="00D768A3" w:rsidRPr="00D67D8A" w:rsidRDefault="00D768A3">
            <w:pPr>
              <w:jc w:val="both"/>
              <w:rPr>
                <w:rFonts w:ascii="Arial" w:eastAsia="Arial" w:hAnsi="Arial" w:cs="Arial"/>
                <w:lang w:val="es-CO"/>
              </w:rPr>
            </w:pPr>
          </w:p>
        </w:tc>
      </w:tr>
      <w:tr w:rsidR="00D768A3" w14:paraId="3F4EC406"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94B0D6C" w14:textId="77777777" w:rsidR="00D768A3" w:rsidRPr="00D67D8A" w:rsidRDefault="00A0753E">
            <w:pPr>
              <w:widowControl/>
              <w:numPr>
                <w:ilvl w:val="1"/>
                <w:numId w:val="1"/>
              </w:numPr>
              <w:pBdr>
                <w:top w:val="nil"/>
                <w:left w:val="nil"/>
                <w:bottom w:val="nil"/>
                <w:right w:val="nil"/>
                <w:between w:val="nil"/>
              </w:pBdr>
              <w:spacing w:before="60" w:after="60"/>
              <w:ind w:left="454" w:hanging="454"/>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lastRenderedPageBreak/>
              <w:t>CONSULTA DE PROVEEDORES DEL BIEN, OBRA O SERVICIO A TRAVÉS DEL MODELO DE ABASTECIMIENTO ESTRATÉGICO</w:t>
            </w:r>
          </w:p>
        </w:tc>
      </w:tr>
      <w:tr w:rsidR="00D768A3" w14:paraId="502DF01E"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C2E136" w14:textId="77777777" w:rsidR="00D768A3" w:rsidRPr="00D67D8A" w:rsidRDefault="00D768A3">
            <w:pPr>
              <w:jc w:val="both"/>
              <w:rPr>
                <w:rFonts w:ascii="Arial" w:eastAsia="Arial" w:hAnsi="Arial" w:cs="Arial"/>
                <w:sz w:val="10"/>
                <w:szCs w:val="10"/>
                <w:lang w:val="es-CO"/>
              </w:rPr>
            </w:pPr>
          </w:p>
          <w:p w14:paraId="258BD992" w14:textId="4F316C10" w:rsidR="00473A57" w:rsidRDefault="00473A57" w:rsidP="00473A57">
            <w:pPr>
              <w:jc w:val="both"/>
              <w:rPr>
                <w:rFonts w:ascii="Arial" w:hAnsi="Arial" w:cs="Arial"/>
                <w:color w:val="000000" w:themeColor="text1"/>
                <w:sz w:val="24"/>
                <w:szCs w:val="24"/>
                <w:lang w:val="es-CO"/>
              </w:rPr>
            </w:pPr>
            <w:r w:rsidRPr="009C181D">
              <w:rPr>
                <w:rFonts w:ascii="Arial" w:hAnsi="Arial" w:cs="Arial"/>
                <w:color w:val="000000" w:themeColor="text1"/>
                <w:sz w:val="24"/>
                <w:szCs w:val="24"/>
                <w:lang w:val="es-CO"/>
              </w:rPr>
              <w:t xml:space="preserve">El Equipo Estructurador realizó la consulta en el Modelo de Abastecimiento Estratégico (MAE) de Colombia Compra Eficiente </w:t>
            </w:r>
            <w:r>
              <w:rPr>
                <w:rFonts w:ascii="Arial" w:hAnsi="Arial" w:cs="Arial"/>
                <w:color w:val="000000" w:themeColor="text1"/>
                <w:sz w:val="24"/>
                <w:szCs w:val="24"/>
                <w:lang w:val="es-CO"/>
              </w:rPr>
              <w:t>herramienta análisis de la oferta</w:t>
            </w:r>
            <w:r w:rsidRPr="009C181D">
              <w:rPr>
                <w:rFonts w:ascii="Arial" w:hAnsi="Arial" w:cs="Arial"/>
                <w:color w:val="000000" w:themeColor="text1"/>
                <w:sz w:val="24"/>
                <w:szCs w:val="24"/>
                <w:lang w:val="es-CO"/>
              </w:rPr>
              <w:t xml:space="preserve"> bajo los códigos UNSPSC </w:t>
            </w:r>
            <w:r w:rsidR="004777FB">
              <w:rPr>
                <w:rFonts w:ascii="Arial" w:hAnsi="Arial" w:cs="Arial"/>
                <w:color w:val="000000" w:themeColor="text1"/>
                <w:sz w:val="24"/>
                <w:szCs w:val="24"/>
                <w:lang w:val="es-CO"/>
              </w:rPr>
              <w:t xml:space="preserve">801016 Gerencia de proyectos, 811015 Ingeniería civil, </w:t>
            </w:r>
            <w:r w:rsidRPr="009C181D">
              <w:rPr>
                <w:rFonts w:ascii="Arial" w:hAnsi="Arial" w:cs="Arial"/>
                <w:color w:val="000000" w:themeColor="text1"/>
                <w:sz w:val="24"/>
                <w:szCs w:val="24"/>
                <w:lang w:val="es-CO"/>
              </w:rPr>
              <w:t>teniendo como filtros para la consulta la fecha de contratación, la plataforma, la dependencia y la modalidad de contratación, arrojando los resultados que se presentan en la siguiente captura de pantalla:</w:t>
            </w:r>
          </w:p>
          <w:p w14:paraId="7481C595" w14:textId="77777777" w:rsidR="004777FB" w:rsidRDefault="004777FB" w:rsidP="00473A57">
            <w:pPr>
              <w:jc w:val="both"/>
              <w:rPr>
                <w:rFonts w:ascii="Arial" w:hAnsi="Arial" w:cs="Arial"/>
                <w:color w:val="000000" w:themeColor="text1"/>
                <w:sz w:val="24"/>
                <w:szCs w:val="24"/>
              </w:rPr>
            </w:pPr>
          </w:p>
          <w:p w14:paraId="273A4F62" w14:textId="1F33E54A" w:rsidR="00A505F1" w:rsidRDefault="00A505F1" w:rsidP="00B95254">
            <w:pPr>
              <w:jc w:val="center"/>
              <w:rPr>
                <w:rFonts w:ascii="Arial" w:hAnsi="Arial" w:cs="Arial"/>
                <w:color w:val="000000" w:themeColor="text1"/>
                <w:sz w:val="24"/>
                <w:szCs w:val="24"/>
              </w:rPr>
            </w:pPr>
            <w:r w:rsidRPr="00A505F1">
              <w:rPr>
                <w:rFonts w:ascii="Arial" w:hAnsi="Arial" w:cs="Arial"/>
                <w:noProof/>
                <w:color w:val="000000" w:themeColor="text1"/>
                <w:sz w:val="24"/>
                <w:szCs w:val="24"/>
              </w:rPr>
              <w:drawing>
                <wp:inline distT="0" distB="0" distL="0" distR="0" wp14:anchorId="24F00314" wp14:editId="3ED81837">
                  <wp:extent cx="5810250" cy="3788410"/>
                  <wp:effectExtent l="0" t="0" r="0" b="2540"/>
                  <wp:docPr id="18987443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44354" name=""/>
                          <pic:cNvPicPr/>
                        </pic:nvPicPr>
                        <pic:blipFill>
                          <a:blip r:embed="rId37"/>
                          <a:stretch>
                            <a:fillRect/>
                          </a:stretch>
                        </pic:blipFill>
                        <pic:spPr>
                          <a:xfrm>
                            <a:off x="0" y="0"/>
                            <a:ext cx="5810250" cy="3788410"/>
                          </a:xfrm>
                          <a:prstGeom prst="rect">
                            <a:avLst/>
                          </a:prstGeom>
                        </pic:spPr>
                      </pic:pic>
                    </a:graphicData>
                  </a:graphic>
                </wp:inline>
              </w:drawing>
            </w:r>
          </w:p>
          <w:p w14:paraId="512F06EE" w14:textId="77777777" w:rsidR="003A05C9" w:rsidRDefault="003A05C9" w:rsidP="003A05C9">
            <w:pPr>
              <w:jc w:val="center"/>
              <w:rPr>
                <w:rFonts w:ascii="Arial" w:hAnsi="Arial" w:cs="Arial"/>
                <w:color w:val="000000" w:themeColor="text1"/>
                <w:sz w:val="16"/>
                <w:szCs w:val="16"/>
              </w:rPr>
            </w:pPr>
            <w:r w:rsidRPr="00F80729">
              <w:rPr>
                <w:rFonts w:ascii="Arial" w:hAnsi="Arial" w:cs="Arial"/>
                <w:color w:val="000000" w:themeColor="text1"/>
                <w:sz w:val="16"/>
                <w:szCs w:val="16"/>
              </w:rPr>
              <w:t xml:space="preserve">Fuente: Agencia Colombiana para la Contratación Pública – Colombia Compra Eficiente – CCE, Modelo de Abastecimiento Estratégico, Herramienta de Análisis de la </w:t>
            </w:r>
            <w:r>
              <w:rPr>
                <w:rFonts w:ascii="Arial" w:hAnsi="Arial" w:cs="Arial"/>
                <w:color w:val="000000" w:themeColor="text1"/>
                <w:sz w:val="16"/>
                <w:szCs w:val="16"/>
              </w:rPr>
              <w:t>oferta</w:t>
            </w:r>
            <w:r w:rsidRPr="00F80729">
              <w:rPr>
                <w:rFonts w:ascii="Arial" w:hAnsi="Arial" w:cs="Arial"/>
                <w:color w:val="000000" w:themeColor="text1"/>
                <w:sz w:val="16"/>
                <w:szCs w:val="16"/>
              </w:rPr>
              <w:t>.</w:t>
            </w:r>
          </w:p>
          <w:p w14:paraId="5BC54948" w14:textId="77777777" w:rsidR="00A505F1" w:rsidRDefault="00A505F1" w:rsidP="00473A57">
            <w:pPr>
              <w:jc w:val="both"/>
              <w:rPr>
                <w:rFonts w:ascii="Arial" w:hAnsi="Arial" w:cs="Arial"/>
                <w:color w:val="000000" w:themeColor="text1"/>
                <w:sz w:val="24"/>
                <w:szCs w:val="24"/>
              </w:rPr>
            </w:pPr>
          </w:p>
          <w:p w14:paraId="22F8118D" w14:textId="77777777" w:rsidR="00F20AB9" w:rsidRDefault="00F20AB9" w:rsidP="00473A57">
            <w:pPr>
              <w:jc w:val="both"/>
              <w:rPr>
                <w:rFonts w:ascii="Arial" w:hAnsi="Arial" w:cs="Arial"/>
                <w:color w:val="000000" w:themeColor="text1"/>
                <w:sz w:val="24"/>
                <w:szCs w:val="24"/>
              </w:rPr>
            </w:pPr>
          </w:p>
          <w:p w14:paraId="48FECADD" w14:textId="7F962974" w:rsidR="00F20AB9" w:rsidRDefault="00F20AB9" w:rsidP="00473A57">
            <w:pPr>
              <w:jc w:val="both"/>
              <w:rPr>
                <w:rFonts w:ascii="Arial" w:hAnsi="Arial" w:cs="Arial"/>
                <w:color w:val="000000" w:themeColor="text1"/>
                <w:sz w:val="24"/>
                <w:szCs w:val="24"/>
              </w:rPr>
            </w:pPr>
            <w:r w:rsidRPr="00F20AB9">
              <w:rPr>
                <w:rFonts w:ascii="Arial" w:hAnsi="Arial" w:cs="Arial"/>
                <w:color w:val="000000" w:themeColor="text1"/>
                <w:sz w:val="24"/>
                <w:szCs w:val="24"/>
                <w:lang w:val="es"/>
              </w:rPr>
              <w:t xml:space="preserve">El comportamiento histórico de la contratación evidencia una demanda constante de los servicios asociados a los códigos UNSPSC </w:t>
            </w:r>
            <w:r w:rsidRPr="00F20AB9">
              <w:rPr>
                <w:rFonts w:ascii="Arial" w:hAnsi="Arial" w:cs="Arial"/>
                <w:b/>
                <w:bCs/>
                <w:color w:val="000000" w:themeColor="text1"/>
                <w:sz w:val="24"/>
                <w:szCs w:val="24"/>
                <w:lang w:val="es"/>
              </w:rPr>
              <w:t>801016 – Gerencia de proyectos</w:t>
            </w:r>
            <w:r w:rsidRPr="00F20AB9">
              <w:rPr>
                <w:rFonts w:ascii="Arial" w:hAnsi="Arial" w:cs="Arial"/>
                <w:color w:val="000000" w:themeColor="text1"/>
                <w:sz w:val="24"/>
                <w:szCs w:val="24"/>
                <w:lang w:val="es"/>
              </w:rPr>
              <w:t xml:space="preserve"> y </w:t>
            </w:r>
            <w:r w:rsidRPr="00F20AB9">
              <w:rPr>
                <w:rFonts w:ascii="Arial" w:hAnsi="Arial" w:cs="Arial"/>
                <w:b/>
                <w:bCs/>
                <w:color w:val="000000" w:themeColor="text1"/>
                <w:sz w:val="24"/>
                <w:szCs w:val="24"/>
                <w:lang w:val="es"/>
              </w:rPr>
              <w:t xml:space="preserve">811015 </w:t>
            </w:r>
            <w:r w:rsidRPr="00F20AB9">
              <w:rPr>
                <w:rFonts w:ascii="Arial" w:hAnsi="Arial" w:cs="Arial"/>
                <w:b/>
                <w:bCs/>
                <w:color w:val="000000" w:themeColor="text1"/>
                <w:sz w:val="24"/>
                <w:szCs w:val="24"/>
                <w:lang w:val="es"/>
              </w:rPr>
              <w:lastRenderedPageBreak/>
              <w:t>– Ingeniería civil</w:t>
            </w:r>
            <w:r w:rsidRPr="00F20AB9">
              <w:rPr>
                <w:rFonts w:ascii="Arial" w:hAnsi="Arial" w:cs="Arial"/>
                <w:color w:val="000000" w:themeColor="text1"/>
                <w:sz w:val="24"/>
                <w:szCs w:val="24"/>
                <w:lang w:val="es"/>
              </w:rPr>
              <w:t>, observándose un crecimiento en el valor contratado y en el número de contratos durante el período analizado. Este comportamiento refleja que las entidades estatales requieren de manera permanente servicios de consultoría e interventoría para apoyar la ejecución y el seguimiento de proyectos de infraestructura, lo que demuestra la estabilidad y consolidación de este mercado dentro de la contratación pública.</w:t>
            </w:r>
          </w:p>
          <w:p w14:paraId="21CC248B" w14:textId="77777777" w:rsidR="00A505F1" w:rsidRDefault="00A505F1" w:rsidP="00473A57">
            <w:pPr>
              <w:jc w:val="both"/>
              <w:rPr>
                <w:rFonts w:ascii="Arial" w:hAnsi="Arial" w:cs="Arial"/>
                <w:color w:val="000000" w:themeColor="text1"/>
                <w:sz w:val="24"/>
                <w:szCs w:val="24"/>
              </w:rPr>
            </w:pPr>
          </w:p>
          <w:p w14:paraId="0D7FC309" w14:textId="6474AE1B" w:rsidR="00A505F1" w:rsidRDefault="00C1376A" w:rsidP="00B95254">
            <w:pPr>
              <w:jc w:val="center"/>
              <w:rPr>
                <w:rFonts w:ascii="Arial" w:hAnsi="Arial" w:cs="Arial"/>
                <w:color w:val="000000" w:themeColor="text1"/>
                <w:sz w:val="24"/>
                <w:szCs w:val="24"/>
              </w:rPr>
            </w:pPr>
            <w:r w:rsidRPr="00C1376A">
              <w:rPr>
                <w:rFonts w:ascii="Arial" w:hAnsi="Arial" w:cs="Arial"/>
                <w:noProof/>
                <w:color w:val="000000" w:themeColor="text1"/>
                <w:sz w:val="24"/>
                <w:szCs w:val="24"/>
              </w:rPr>
              <w:drawing>
                <wp:inline distT="0" distB="0" distL="0" distR="0" wp14:anchorId="6B482862" wp14:editId="2FB9320F">
                  <wp:extent cx="5695950" cy="2976880"/>
                  <wp:effectExtent l="0" t="0" r="0" b="0"/>
                  <wp:docPr id="9553890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389034" name=""/>
                          <pic:cNvPicPr/>
                        </pic:nvPicPr>
                        <pic:blipFill>
                          <a:blip r:embed="rId38"/>
                          <a:stretch>
                            <a:fillRect/>
                          </a:stretch>
                        </pic:blipFill>
                        <pic:spPr>
                          <a:xfrm>
                            <a:off x="0" y="0"/>
                            <a:ext cx="5695950" cy="2976880"/>
                          </a:xfrm>
                          <a:prstGeom prst="rect">
                            <a:avLst/>
                          </a:prstGeom>
                        </pic:spPr>
                      </pic:pic>
                    </a:graphicData>
                  </a:graphic>
                </wp:inline>
              </w:drawing>
            </w:r>
          </w:p>
          <w:p w14:paraId="31B2B38D" w14:textId="77777777" w:rsidR="003A05C9" w:rsidRDefault="003A05C9" w:rsidP="003A05C9">
            <w:pPr>
              <w:jc w:val="center"/>
              <w:rPr>
                <w:rFonts w:ascii="Arial" w:hAnsi="Arial" w:cs="Arial"/>
                <w:color w:val="000000" w:themeColor="text1"/>
                <w:sz w:val="16"/>
                <w:szCs w:val="16"/>
              </w:rPr>
            </w:pPr>
            <w:r w:rsidRPr="00F80729">
              <w:rPr>
                <w:rFonts w:ascii="Arial" w:hAnsi="Arial" w:cs="Arial"/>
                <w:color w:val="000000" w:themeColor="text1"/>
                <w:sz w:val="16"/>
                <w:szCs w:val="16"/>
              </w:rPr>
              <w:t xml:space="preserve">Fuente: Agencia Colombiana para la Contratación Pública – Colombia Compra Eficiente – CCE, Modelo de Abastecimiento Estratégico, Herramienta de Análisis de la </w:t>
            </w:r>
            <w:r>
              <w:rPr>
                <w:rFonts w:ascii="Arial" w:hAnsi="Arial" w:cs="Arial"/>
                <w:color w:val="000000" w:themeColor="text1"/>
                <w:sz w:val="16"/>
                <w:szCs w:val="16"/>
              </w:rPr>
              <w:t>oferta</w:t>
            </w:r>
            <w:r w:rsidRPr="00F80729">
              <w:rPr>
                <w:rFonts w:ascii="Arial" w:hAnsi="Arial" w:cs="Arial"/>
                <w:color w:val="000000" w:themeColor="text1"/>
                <w:sz w:val="16"/>
                <w:szCs w:val="16"/>
              </w:rPr>
              <w:t>.</w:t>
            </w:r>
          </w:p>
          <w:p w14:paraId="2D6470D4" w14:textId="77777777" w:rsidR="00633279" w:rsidRDefault="00633279" w:rsidP="00473A57">
            <w:pPr>
              <w:jc w:val="both"/>
              <w:rPr>
                <w:rFonts w:ascii="Arial" w:hAnsi="Arial" w:cs="Arial"/>
                <w:color w:val="000000" w:themeColor="text1"/>
                <w:sz w:val="24"/>
                <w:szCs w:val="24"/>
                <w:lang w:val="es"/>
              </w:rPr>
            </w:pPr>
          </w:p>
          <w:p w14:paraId="72047484" w14:textId="64885D30" w:rsidR="00633279" w:rsidRDefault="00633279" w:rsidP="00473A57">
            <w:pPr>
              <w:jc w:val="both"/>
              <w:rPr>
                <w:rFonts w:ascii="Arial" w:hAnsi="Arial" w:cs="Arial"/>
                <w:color w:val="000000" w:themeColor="text1"/>
                <w:sz w:val="24"/>
                <w:szCs w:val="24"/>
                <w:lang w:val="es"/>
              </w:rPr>
            </w:pPr>
            <w:r w:rsidRPr="00633279">
              <w:rPr>
                <w:rFonts w:ascii="Arial" w:hAnsi="Arial" w:cs="Arial"/>
                <w:color w:val="000000" w:themeColor="text1"/>
                <w:sz w:val="24"/>
                <w:szCs w:val="24"/>
                <w:lang w:val="es"/>
              </w:rPr>
              <w:t xml:space="preserve">La información consolidada evidencia un mercado altamente competitivo, conformado por aproximadamente </w:t>
            </w:r>
            <w:r w:rsidRPr="00633279">
              <w:rPr>
                <w:rFonts w:ascii="Arial" w:hAnsi="Arial" w:cs="Arial"/>
                <w:b/>
                <w:bCs/>
                <w:color w:val="000000" w:themeColor="text1"/>
                <w:sz w:val="24"/>
                <w:szCs w:val="24"/>
                <w:lang w:val="es"/>
              </w:rPr>
              <w:t>35.440 proveedores</w:t>
            </w:r>
            <w:r w:rsidRPr="00633279">
              <w:rPr>
                <w:rFonts w:ascii="Arial" w:hAnsi="Arial" w:cs="Arial"/>
                <w:color w:val="000000" w:themeColor="text1"/>
                <w:sz w:val="24"/>
                <w:szCs w:val="24"/>
                <w:lang w:val="es"/>
              </w:rPr>
              <w:t xml:space="preserve"> que han celebrado cerca de </w:t>
            </w:r>
            <w:r w:rsidRPr="00633279">
              <w:rPr>
                <w:rFonts w:ascii="Arial" w:hAnsi="Arial" w:cs="Arial"/>
                <w:b/>
                <w:bCs/>
                <w:color w:val="000000" w:themeColor="text1"/>
                <w:sz w:val="24"/>
                <w:szCs w:val="24"/>
                <w:lang w:val="es"/>
              </w:rPr>
              <w:t>69.990 contratos</w:t>
            </w:r>
            <w:r w:rsidRPr="00633279">
              <w:rPr>
                <w:rFonts w:ascii="Arial" w:hAnsi="Arial" w:cs="Arial"/>
                <w:color w:val="000000" w:themeColor="text1"/>
                <w:sz w:val="24"/>
                <w:szCs w:val="24"/>
                <w:lang w:val="es"/>
              </w:rPr>
              <w:t xml:space="preserve">, alcanzando un valor total contratado aproximado de </w:t>
            </w:r>
            <w:r w:rsidRPr="00633279">
              <w:rPr>
                <w:rFonts w:ascii="Arial" w:hAnsi="Arial" w:cs="Arial"/>
                <w:b/>
                <w:bCs/>
                <w:color w:val="000000" w:themeColor="text1"/>
                <w:sz w:val="24"/>
                <w:szCs w:val="24"/>
                <w:lang w:val="es"/>
              </w:rPr>
              <w:t>$53,53 billones</w:t>
            </w:r>
            <w:r w:rsidRPr="00633279">
              <w:rPr>
                <w:rFonts w:ascii="Arial" w:hAnsi="Arial" w:cs="Arial"/>
                <w:color w:val="000000" w:themeColor="text1"/>
                <w:sz w:val="24"/>
                <w:szCs w:val="24"/>
                <w:lang w:val="es"/>
              </w:rPr>
              <w:t>. Estos resultados permiten concluir que existe una amplia oferta de empresas con experiencia en la prestación de servicios de consultoría e interventoría, garantizando condiciones de pluralidad de oferentes y favoreciendo la libre concurrencia en el presente proceso de selección.</w:t>
            </w:r>
          </w:p>
          <w:p w14:paraId="55C0CE65" w14:textId="77777777" w:rsidR="00ED35F4" w:rsidRDefault="00ED35F4" w:rsidP="00473A57">
            <w:pPr>
              <w:jc w:val="both"/>
              <w:rPr>
                <w:rFonts w:ascii="Arial" w:hAnsi="Arial" w:cs="Arial"/>
                <w:color w:val="000000" w:themeColor="text1"/>
                <w:sz w:val="24"/>
                <w:szCs w:val="24"/>
              </w:rPr>
            </w:pPr>
          </w:p>
          <w:p w14:paraId="678D321C" w14:textId="3BB7E44A" w:rsidR="003C042C" w:rsidRDefault="003C042C" w:rsidP="00B95254">
            <w:pPr>
              <w:jc w:val="center"/>
              <w:rPr>
                <w:rFonts w:ascii="Arial" w:hAnsi="Arial" w:cs="Arial"/>
                <w:color w:val="000000" w:themeColor="text1"/>
                <w:sz w:val="24"/>
                <w:szCs w:val="24"/>
              </w:rPr>
            </w:pPr>
            <w:r w:rsidRPr="003C042C">
              <w:rPr>
                <w:rFonts w:ascii="Arial" w:hAnsi="Arial" w:cs="Arial"/>
                <w:noProof/>
                <w:color w:val="000000" w:themeColor="text1"/>
                <w:sz w:val="24"/>
                <w:szCs w:val="24"/>
              </w:rPr>
              <w:lastRenderedPageBreak/>
              <w:drawing>
                <wp:inline distT="0" distB="0" distL="0" distR="0" wp14:anchorId="18BDB896" wp14:editId="239C9FAA">
                  <wp:extent cx="5791200" cy="1750695"/>
                  <wp:effectExtent l="0" t="0" r="0" b="1905"/>
                  <wp:docPr id="11487095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709514" name=""/>
                          <pic:cNvPicPr/>
                        </pic:nvPicPr>
                        <pic:blipFill>
                          <a:blip r:embed="rId39"/>
                          <a:stretch>
                            <a:fillRect/>
                          </a:stretch>
                        </pic:blipFill>
                        <pic:spPr>
                          <a:xfrm>
                            <a:off x="0" y="0"/>
                            <a:ext cx="5791200" cy="1750695"/>
                          </a:xfrm>
                          <a:prstGeom prst="rect">
                            <a:avLst/>
                          </a:prstGeom>
                        </pic:spPr>
                      </pic:pic>
                    </a:graphicData>
                  </a:graphic>
                </wp:inline>
              </w:drawing>
            </w:r>
          </w:p>
          <w:p w14:paraId="0146570B" w14:textId="77777777" w:rsidR="00AD436A" w:rsidRDefault="00AD436A" w:rsidP="00473A57">
            <w:pPr>
              <w:jc w:val="both"/>
              <w:rPr>
                <w:rFonts w:ascii="Arial" w:hAnsi="Arial" w:cs="Arial"/>
                <w:color w:val="000000" w:themeColor="text1"/>
                <w:sz w:val="24"/>
                <w:szCs w:val="24"/>
              </w:rPr>
            </w:pPr>
          </w:p>
          <w:p w14:paraId="6154C09E" w14:textId="77777777" w:rsidR="00ED35F4" w:rsidRDefault="00ED35F4" w:rsidP="00ED35F4">
            <w:pPr>
              <w:jc w:val="both"/>
              <w:rPr>
                <w:rFonts w:ascii="Arial" w:hAnsi="Arial" w:cs="Arial"/>
                <w:color w:val="000000" w:themeColor="text1"/>
                <w:sz w:val="24"/>
                <w:szCs w:val="24"/>
                <w:lang w:val="es"/>
              </w:rPr>
            </w:pPr>
            <w:r w:rsidRPr="00B95254">
              <w:rPr>
                <w:rFonts w:ascii="Arial" w:hAnsi="Arial" w:cs="Arial"/>
                <w:color w:val="000000" w:themeColor="text1"/>
                <w:sz w:val="24"/>
                <w:szCs w:val="24"/>
                <w:lang w:val="es"/>
              </w:rPr>
              <w:t>El análisis por proveedor evidencia que el mercado presenta una concentración moderada del valor contratado en empresas con amplia trayectoria y experiencia en la ejecución de contratos de consultoría e interventoría; sin embargo, el número de contratos se distribuye entre un conjunto significativo de proveedores, lo que demuestra que el mercado mantiene condiciones de competencia y permite la participación de múltiples empresas especializadas. Este comportamiento evidencia que, si bien existen proveedores con alta participación, no se configura una concentración que limite la concurrencia de potenciales oferentes.</w:t>
            </w:r>
          </w:p>
          <w:p w14:paraId="684B5444" w14:textId="77777777" w:rsidR="00AD436A" w:rsidRDefault="00AD436A" w:rsidP="00473A57">
            <w:pPr>
              <w:jc w:val="both"/>
              <w:rPr>
                <w:rFonts w:ascii="Arial" w:hAnsi="Arial" w:cs="Arial"/>
                <w:color w:val="000000" w:themeColor="text1"/>
                <w:sz w:val="24"/>
                <w:szCs w:val="24"/>
              </w:rPr>
            </w:pPr>
          </w:p>
          <w:p w14:paraId="0CFDD46C" w14:textId="79C48EF9" w:rsidR="00AD436A" w:rsidRDefault="00AD436A" w:rsidP="00B95254">
            <w:pPr>
              <w:jc w:val="center"/>
              <w:rPr>
                <w:rFonts w:ascii="Arial" w:hAnsi="Arial" w:cs="Arial"/>
                <w:color w:val="000000" w:themeColor="text1"/>
                <w:sz w:val="24"/>
                <w:szCs w:val="24"/>
              </w:rPr>
            </w:pPr>
            <w:r w:rsidRPr="00AD436A">
              <w:rPr>
                <w:rFonts w:ascii="Arial" w:hAnsi="Arial" w:cs="Arial"/>
                <w:noProof/>
                <w:color w:val="000000" w:themeColor="text1"/>
                <w:sz w:val="24"/>
                <w:szCs w:val="24"/>
              </w:rPr>
              <w:drawing>
                <wp:inline distT="0" distB="0" distL="0" distR="0" wp14:anchorId="04ADDAD3" wp14:editId="1CB08794">
                  <wp:extent cx="4086795" cy="2257740"/>
                  <wp:effectExtent l="0" t="0" r="9525" b="9525"/>
                  <wp:docPr id="20720761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76104" name=""/>
                          <pic:cNvPicPr/>
                        </pic:nvPicPr>
                        <pic:blipFill>
                          <a:blip r:embed="rId40"/>
                          <a:stretch>
                            <a:fillRect/>
                          </a:stretch>
                        </pic:blipFill>
                        <pic:spPr>
                          <a:xfrm>
                            <a:off x="0" y="0"/>
                            <a:ext cx="4086795" cy="2257740"/>
                          </a:xfrm>
                          <a:prstGeom prst="rect">
                            <a:avLst/>
                          </a:prstGeom>
                        </pic:spPr>
                      </pic:pic>
                    </a:graphicData>
                  </a:graphic>
                </wp:inline>
              </w:drawing>
            </w:r>
          </w:p>
          <w:p w14:paraId="4B48289D" w14:textId="77777777" w:rsidR="003A05C9" w:rsidRDefault="003A05C9" w:rsidP="003A05C9">
            <w:pPr>
              <w:jc w:val="center"/>
              <w:rPr>
                <w:rFonts w:ascii="Arial" w:hAnsi="Arial" w:cs="Arial"/>
                <w:color w:val="000000" w:themeColor="text1"/>
                <w:sz w:val="16"/>
                <w:szCs w:val="16"/>
              </w:rPr>
            </w:pPr>
            <w:r w:rsidRPr="00F80729">
              <w:rPr>
                <w:rFonts w:ascii="Arial" w:hAnsi="Arial" w:cs="Arial"/>
                <w:color w:val="000000" w:themeColor="text1"/>
                <w:sz w:val="16"/>
                <w:szCs w:val="16"/>
              </w:rPr>
              <w:t xml:space="preserve">Fuente: Agencia Colombiana para la Contratación Pública – Colombia Compra Eficiente – CCE, Modelo de Abastecimiento Estratégico, Herramienta de Análisis de la </w:t>
            </w:r>
            <w:r>
              <w:rPr>
                <w:rFonts w:ascii="Arial" w:hAnsi="Arial" w:cs="Arial"/>
                <w:color w:val="000000" w:themeColor="text1"/>
                <w:sz w:val="16"/>
                <w:szCs w:val="16"/>
              </w:rPr>
              <w:t>oferta</w:t>
            </w:r>
            <w:r w:rsidRPr="00F80729">
              <w:rPr>
                <w:rFonts w:ascii="Arial" w:hAnsi="Arial" w:cs="Arial"/>
                <w:color w:val="000000" w:themeColor="text1"/>
                <w:sz w:val="16"/>
                <w:szCs w:val="16"/>
              </w:rPr>
              <w:t>.</w:t>
            </w:r>
          </w:p>
          <w:p w14:paraId="08CD528B" w14:textId="77777777" w:rsidR="00B95254" w:rsidRDefault="00B95254" w:rsidP="00473A57">
            <w:pPr>
              <w:jc w:val="both"/>
              <w:rPr>
                <w:rFonts w:ascii="Arial" w:hAnsi="Arial" w:cs="Arial"/>
                <w:color w:val="000000" w:themeColor="text1"/>
                <w:sz w:val="24"/>
                <w:szCs w:val="24"/>
                <w:lang w:val="es"/>
              </w:rPr>
            </w:pPr>
          </w:p>
          <w:p w14:paraId="3DDFF156" w14:textId="3803C786" w:rsidR="00ED35F4" w:rsidRDefault="00ED35F4" w:rsidP="00473A57">
            <w:pPr>
              <w:jc w:val="both"/>
              <w:rPr>
                <w:rFonts w:ascii="Arial" w:hAnsi="Arial" w:cs="Arial"/>
                <w:color w:val="000000" w:themeColor="text1"/>
                <w:sz w:val="24"/>
                <w:szCs w:val="24"/>
              </w:rPr>
            </w:pPr>
            <w:r w:rsidRPr="00ED35F4">
              <w:rPr>
                <w:rFonts w:ascii="Arial" w:hAnsi="Arial" w:cs="Arial"/>
                <w:color w:val="000000" w:themeColor="text1"/>
                <w:sz w:val="24"/>
                <w:szCs w:val="24"/>
                <w:lang w:val="es"/>
              </w:rPr>
              <w:t xml:space="preserve">El análisis de la participación de proveedores plurales evidencia que la mayor parte de los contratos han sido adjudicados a proponentes individuales, mientras que una menor </w:t>
            </w:r>
            <w:r w:rsidRPr="00ED35F4">
              <w:rPr>
                <w:rFonts w:ascii="Arial" w:hAnsi="Arial" w:cs="Arial"/>
                <w:color w:val="000000" w:themeColor="text1"/>
                <w:sz w:val="24"/>
                <w:szCs w:val="24"/>
                <w:lang w:val="es"/>
              </w:rPr>
              <w:lastRenderedPageBreak/>
              <w:t>proporción corresponde a estructuras plurales como consorcios y uniones temporales. No obstante, estas últimas mantienen una participación representativa en términos del valor contratado, lo cual demuestra que, para proyectos de mayor complejidad técnica, es frecuente la asociación de empresas con el fin de complementar capacidades técnicas, financieras y de experiencia. Esta dinámica resulta consistente con la naturaleza de los contratos de consultoría e interventoría.</w:t>
            </w:r>
          </w:p>
          <w:p w14:paraId="5BB0B6D5" w14:textId="77777777" w:rsidR="00522D03" w:rsidRDefault="00522D03" w:rsidP="00473A57">
            <w:pPr>
              <w:jc w:val="both"/>
              <w:rPr>
                <w:rFonts w:ascii="Arial" w:hAnsi="Arial" w:cs="Arial"/>
                <w:color w:val="000000" w:themeColor="text1"/>
                <w:sz w:val="24"/>
                <w:szCs w:val="24"/>
              </w:rPr>
            </w:pPr>
          </w:p>
          <w:p w14:paraId="6131A4CB" w14:textId="5BBDEEDF" w:rsidR="00522D03" w:rsidRDefault="00522D03" w:rsidP="00473A57">
            <w:pPr>
              <w:jc w:val="both"/>
              <w:rPr>
                <w:rFonts w:ascii="Arial" w:hAnsi="Arial" w:cs="Arial"/>
                <w:color w:val="000000" w:themeColor="text1"/>
                <w:sz w:val="24"/>
                <w:szCs w:val="24"/>
              </w:rPr>
            </w:pPr>
            <w:r w:rsidRPr="00522D03">
              <w:rPr>
                <w:rFonts w:ascii="Arial" w:hAnsi="Arial" w:cs="Arial"/>
                <w:noProof/>
                <w:color w:val="000000" w:themeColor="text1"/>
                <w:sz w:val="24"/>
                <w:szCs w:val="24"/>
              </w:rPr>
              <w:drawing>
                <wp:inline distT="0" distB="0" distL="0" distR="0" wp14:anchorId="2081C5B8" wp14:editId="2D8ADC1E">
                  <wp:extent cx="5772956" cy="2886478"/>
                  <wp:effectExtent l="0" t="0" r="0" b="9525"/>
                  <wp:docPr id="7219075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07544" name=""/>
                          <pic:cNvPicPr/>
                        </pic:nvPicPr>
                        <pic:blipFill>
                          <a:blip r:embed="rId41"/>
                          <a:stretch>
                            <a:fillRect/>
                          </a:stretch>
                        </pic:blipFill>
                        <pic:spPr>
                          <a:xfrm>
                            <a:off x="0" y="0"/>
                            <a:ext cx="5772956" cy="2886478"/>
                          </a:xfrm>
                          <a:prstGeom prst="rect">
                            <a:avLst/>
                          </a:prstGeom>
                        </pic:spPr>
                      </pic:pic>
                    </a:graphicData>
                  </a:graphic>
                </wp:inline>
              </w:drawing>
            </w:r>
          </w:p>
          <w:p w14:paraId="2827E3C8" w14:textId="77777777" w:rsidR="00C1376A" w:rsidRDefault="00C1376A" w:rsidP="00473A57">
            <w:pPr>
              <w:jc w:val="both"/>
              <w:rPr>
                <w:rFonts w:ascii="Arial" w:hAnsi="Arial" w:cs="Arial"/>
                <w:color w:val="000000" w:themeColor="text1"/>
                <w:sz w:val="24"/>
                <w:szCs w:val="24"/>
              </w:rPr>
            </w:pPr>
          </w:p>
          <w:p w14:paraId="46E317F4" w14:textId="058FFF30" w:rsidR="00DB4764" w:rsidRDefault="00DB4764" w:rsidP="00473A57">
            <w:pPr>
              <w:jc w:val="both"/>
              <w:rPr>
                <w:rFonts w:ascii="Arial" w:hAnsi="Arial" w:cs="Arial"/>
                <w:color w:val="000000" w:themeColor="text1"/>
                <w:sz w:val="24"/>
                <w:szCs w:val="24"/>
                <w:lang w:val="es"/>
              </w:rPr>
            </w:pPr>
            <w:r w:rsidRPr="00DB4764">
              <w:rPr>
                <w:rFonts w:ascii="Arial" w:hAnsi="Arial" w:cs="Arial"/>
                <w:color w:val="000000" w:themeColor="text1"/>
                <w:sz w:val="24"/>
                <w:szCs w:val="24"/>
                <w:lang w:val="es"/>
              </w:rPr>
              <w:t>El comportamiento de la contratación por entidad estatal evidencia que existe una distribución del mercado entre diversas entidades públicas del orden nacional y territorial, observándose una mayor participación de organismos encargados de desarrollar proyectos de infraestructura y obras públicas. Este comportamiento demuestra que la contratación de servicios de consultoría e interventoría constituye una necesidad recurrente dentro de la gestión pública y confirma la existencia de un mercado consolidado con múltiples entidades demandantes de este tipo de servicios.</w:t>
            </w:r>
          </w:p>
          <w:p w14:paraId="517850C3" w14:textId="77777777" w:rsidR="00DB4764" w:rsidRDefault="00DB4764" w:rsidP="00473A57">
            <w:pPr>
              <w:jc w:val="both"/>
              <w:rPr>
                <w:rFonts w:ascii="Arial" w:hAnsi="Arial" w:cs="Arial"/>
                <w:color w:val="000000" w:themeColor="text1"/>
                <w:sz w:val="24"/>
                <w:szCs w:val="24"/>
              </w:rPr>
            </w:pPr>
          </w:p>
          <w:p w14:paraId="0E195C1A" w14:textId="02920DB0" w:rsidR="00F020BB" w:rsidRDefault="00F020BB" w:rsidP="00C04020">
            <w:pPr>
              <w:jc w:val="center"/>
              <w:rPr>
                <w:rFonts w:ascii="Arial" w:hAnsi="Arial" w:cs="Arial"/>
                <w:color w:val="000000" w:themeColor="text1"/>
                <w:sz w:val="24"/>
                <w:szCs w:val="24"/>
              </w:rPr>
            </w:pPr>
            <w:r w:rsidRPr="00F020BB">
              <w:rPr>
                <w:rFonts w:ascii="Arial" w:hAnsi="Arial" w:cs="Arial"/>
                <w:noProof/>
                <w:color w:val="000000" w:themeColor="text1"/>
                <w:sz w:val="24"/>
                <w:szCs w:val="24"/>
              </w:rPr>
              <w:lastRenderedPageBreak/>
              <w:drawing>
                <wp:inline distT="0" distB="0" distL="0" distR="0" wp14:anchorId="3823C7D8" wp14:editId="438BF1AB">
                  <wp:extent cx="5772785" cy="1066800"/>
                  <wp:effectExtent l="0" t="0" r="0" b="0"/>
                  <wp:docPr id="3070986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98686" name=""/>
                          <pic:cNvPicPr/>
                        </pic:nvPicPr>
                        <pic:blipFill>
                          <a:blip r:embed="rId42"/>
                          <a:stretch>
                            <a:fillRect/>
                          </a:stretch>
                        </pic:blipFill>
                        <pic:spPr>
                          <a:xfrm>
                            <a:off x="0" y="0"/>
                            <a:ext cx="5772785" cy="1066800"/>
                          </a:xfrm>
                          <a:prstGeom prst="rect">
                            <a:avLst/>
                          </a:prstGeom>
                        </pic:spPr>
                      </pic:pic>
                    </a:graphicData>
                  </a:graphic>
                </wp:inline>
              </w:drawing>
            </w:r>
          </w:p>
          <w:p w14:paraId="7E788667" w14:textId="77777777" w:rsidR="003A05C9" w:rsidRDefault="003A05C9" w:rsidP="003A05C9">
            <w:pPr>
              <w:jc w:val="center"/>
              <w:rPr>
                <w:rFonts w:ascii="Arial" w:hAnsi="Arial" w:cs="Arial"/>
                <w:color w:val="000000" w:themeColor="text1"/>
                <w:sz w:val="16"/>
                <w:szCs w:val="16"/>
              </w:rPr>
            </w:pPr>
            <w:r w:rsidRPr="00F80729">
              <w:rPr>
                <w:rFonts w:ascii="Arial" w:hAnsi="Arial" w:cs="Arial"/>
                <w:color w:val="000000" w:themeColor="text1"/>
                <w:sz w:val="16"/>
                <w:szCs w:val="16"/>
              </w:rPr>
              <w:t xml:space="preserve">Fuente: Agencia Colombiana para la Contratación Pública – Colombia Compra Eficiente – CCE, Modelo de Abastecimiento Estratégico, Herramienta de Análisis de la </w:t>
            </w:r>
            <w:r>
              <w:rPr>
                <w:rFonts w:ascii="Arial" w:hAnsi="Arial" w:cs="Arial"/>
                <w:color w:val="000000" w:themeColor="text1"/>
                <w:sz w:val="16"/>
                <w:szCs w:val="16"/>
              </w:rPr>
              <w:t>oferta</w:t>
            </w:r>
            <w:r w:rsidRPr="00F80729">
              <w:rPr>
                <w:rFonts w:ascii="Arial" w:hAnsi="Arial" w:cs="Arial"/>
                <w:color w:val="000000" w:themeColor="text1"/>
                <w:sz w:val="16"/>
                <w:szCs w:val="16"/>
              </w:rPr>
              <w:t>.</w:t>
            </w:r>
          </w:p>
          <w:p w14:paraId="28CB80F4" w14:textId="77777777" w:rsidR="00C1376A" w:rsidRPr="006A21E7" w:rsidRDefault="00C1376A" w:rsidP="00473A57">
            <w:pPr>
              <w:jc w:val="both"/>
              <w:rPr>
                <w:rFonts w:ascii="Arial" w:hAnsi="Arial" w:cs="Arial"/>
                <w:color w:val="000000" w:themeColor="text1"/>
                <w:sz w:val="24"/>
                <w:szCs w:val="24"/>
              </w:rPr>
            </w:pPr>
          </w:p>
          <w:p w14:paraId="3FEC44CE" w14:textId="7B3D86B7" w:rsidR="00D768A3" w:rsidRDefault="00433CF2" w:rsidP="00433CF2">
            <w:pPr>
              <w:jc w:val="both"/>
              <w:rPr>
                <w:rFonts w:ascii="Arial" w:hAnsi="Arial" w:cs="Arial"/>
                <w:sz w:val="24"/>
                <w:szCs w:val="24"/>
                <w:lang w:val="es"/>
              </w:rPr>
            </w:pPr>
            <w:r w:rsidRPr="00433CF2">
              <w:rPr>
                <w:rFonts w:ascii="Arial" w:hAnsi="Arial" w:cs="Arial"/>
                <w:sz w:val="24"/>
                <w:szCs w:val="24"/>
                <w:lang w:val="es"/>
              </w:rPr>
              <w:t xml:space="preserve">El análisis por clasificación UNSPSC evidencia que los códigos </w:t>
            </w:r>
            <w:r w:rsidRPr="00433CF2">
              <w:rPr>
                <w:rFonts w:ascii="Arial" w:hAnsi="Arial" w:cs="Arial"/>
                <w:b/>
                <w:bCs/>
                <w:sz w:val="24"/>
                <w:szCs w:val="24"/>
                <w:lang w:val="es"/>
              </w:rPr>
              <w:t>801016 – Gerencia de proyectos</w:t>
            </w:r>
            <w:r w:rsidRPr="00433CF2">
              <w:rPr>
                <w:rFonts w:ascii="Arial" w:hAnsi="Arial" w:cs="Arial"/>
                <w:sz w:val="24"/>
                <w:szCs w:val="24"/>
                <w:lang w:val="es"/>
              </w:rPr>
              <w:t xml:space="preserve"> y </w:t>
            </w:r>
            <w:r w:rsidRPr="00433CF2">
              <w:rPr>
                <w:rFonts w:ascii="Arial" w:hAnsi="Arial" w:cs="Arial"/>
                <w:b/>
                <w:bCs/>
                <w:sz w:val="24"/>
                <w:szCs w:val="24"/>
                <w:lang w:val="es"/>
              </w:rPr>
              <w:t>811015 – Ingeniería civil</w:t>
            </w:r>
            <w:r w:rsidRPr="00433CF2">
              <w:rPr>
                <w:rFonts w:ascii="Arial" w:hAnsi="Arial" w:cs="Arial"/>
                <w:sz w:val="24"/>
                <w:szCs w:val="24"/>
                <w:lang w:val="es"/>
              </w:rPr>
              <w:t xml:space="preserve"> concentran la mayor participación del mercado, tanto en número de contratos como en valor contratado, seguidos por los servicios profesionales de ingeniería. Este comportamiento confirma que dichos códigos representan adecuadamente el objeto del presente proceso contractual, al corresponder a actividades relacionadas con la consultoría, gerencia de proyectos e interventoría de obras, evidenciando además la existencia de un mercado amplio y especializado para la prestación de estos servicios.</w:t>
            </w:r>
          </w:p>
          <w:p w14:paraId="4C7AF956" w14:textId="77777777" w:rsidR="00C04020" w:rsidRDefault="00C04020" w:rsidP="00433CF2">
            <w:pPr>
              <w:jc w:val="both"/>
              <w:rPr>
                <w:rFonts w:ascii="Arial" w:hAnsi="Arial" w:cs="Arial"/>
                <w:sz w:val="24"/>
                <w:szCs w:val="24"/>
              </w:rPr>
            </w:pPr>
          </w:p>
          <w:p w14:paraId="633BDCE7" w14:textId="7CCA402D" w:rsidR="00C04020" w:rsidRPr="00C04020" w:rsidRDefault="00C04020" w:rsidP="00433CF2">
            <w:pPr>
              <w:jc w:val="both"/>
              <w:rPr>
                <w:rFonts w:ascii="Arial" w:hAnsi="Arial" w:cs="Arial"/>
                <w:sz w:val="24"/>
                <w:szCs w:val="24"/>
              </w:rPr>
            </w:pPr>
            <w:r w:rsidRPr="00C04020">
              <w:rPr>
                <w:rFonts w:ascii="Arial" w:hAnsi="Arial" w:cs="Arial"/>
                <w:sz w:val="24"/>
                <w:szCs w:val="24"/>
                <w:lang w:val="es"/>
              </w:rPr>
              <w:t>Del análisis de la información obtenida mediante el Modelo de Abastecimiento Estratégico (MAE) de Colombia Compra Eficiente se concluye que el mercado asociado a los códigos UNSPSC objeto del presente proceso presenta una oferta amplia, dinámica y altamente competitiva, caracterizada por la participación de un número significativo de proveedores con experiencia en la prestación de servicios de consultoría e interventoría. Así mismo, el comportamiento histórico de la contratación evidencia una demanda constante por parte de las entidades estatales, una distribución territorial de los proveedores que favorece la libre concurrencia y una adecuada pluralidad de oferentes, condiciones que permiten a la Entidad adelantar el presente proceso con la expectativa de obtener una participación amplia del mercado y seleccionar la oferta más favorable para el cumplimiento de los fines institucionales.</w:t>
            </w:r>
          </w:p>
          <w:p w14:paraId="66186029" w14:textId="77777777" w:rsidR="00D768A3" w:rsidRDefault="00D768A3">
            <w:pPr>
              <w:jc w:val="both"/>
              <w:rPr>
                <w:rFonts w:ascii="Arial" w:eastAsia="Arial" w:hAnsi="Arial" w:cs="Arial"/>
                <w:color w:val="808080"/>
                <w:sz w:val="24"/>
                <w:szCs w:val="24"/>
              </w:rPr>
            </w:pPr>
          </w:p>
        </w:tc>
      </w:tr>
      <w:tr w:rsidR="00D768A3" w14:paraId="715D311D"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D6185F8" w14:textId="77777777" w:rsidR="00D768A3" w:rsidRPr="00D67D8A" w:rsidRDefault="00A0753E">
            <w:pPr>
              <w:widowControl/>
              <w:numPr>
                <w:ilvl w:val="1"/>
                <w:numId w:val="1"/>
              </w:numPr>
              <w:pBdr>
                <w:top w:val="nil"/>
                <w:left w:val="nil"/>
                <w:bottom w:val="nil"/>
                <w:right w:val="nil"/>
                <w:between w:val="nil"/>
              </w:pBdr>
              <w:spacing w:before="60" w:after="60"/>
              <w:ind w:left="454" w:hanging="454"/>
              <w:rPr>
                <w:rFonts w:ascii="Arial" w:eastAsia="Arial" w:hAnsi="Arial" w:cs="Arial"/>
                <w:color w:val="000000"/>
                <w:sz w:val="24"/>
                <w:szCs w:val="24"/>
                <w:lang w:val="es-CO"/>
              </w:rPr>
            </w:pPr>
            <w:r w:rsidRPr="00D67D8A">
              <w:rPr>
                <w:rFonts w:ascii="Arial" w:eastAsia="Arial" w:hAnsi="Arial" w:cs="Arial"/>
                <w:color w:val="000000"/>
                <w:sz w:val="24"/>
                <w:szCs w:val="24"/>
                <w:lang w:val="es-CO"/>
              </w:rPr>
              <w:lastRenderedPageBreak/>
              <w:t>IDENTIFICACIÓN DE MIPYMES, EMPRENDIMIENTOS Y EMPRESAS DE MUJERES</w:t>
            </w:r>
          </w:p>
        </w:tc>
      </w:tr>
      <w:tr w:rsidR="00D768A3" w14:paraId="06506557"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6CC85A" w14:textId="77777777" w:rsidR="00DD3830" w:rsidRDefault="00DD3830" w:rsidP="00DD3830">
            <w:pPr>
              <w:widowControl/>
              <w:pBdr>
                <w:top w:val="nil"/>
                <w:left w:val="nil"/>
                <w:bottom w:val="nil"/>
                <w:right w:val="nil"/>
                <w:between w:val="nil"/>
              </w:pBdr>
              <w:jc w:val="both"/>
              <w:rPr>
                <w:rFonts w:ascii="Arial" w:eastAsia="Arial" w:hAnsi="Arial" w:cs="Arial"/>
                <w:color w:val="000000"/>
                <w:sz w:val="24"/>
                <w:szCs w:val="24"/>
                <w:lang w:val="es-CO"/>
              </w:rPr>
            </w:pPr>
            <w:r w:rsidRPr="009E6A49">
              <w:rPr>
                <w:rFonts w:ascii="Arial" w:eastAsia="Arial" w:hAnsi="Arial" w:cs="Arial"/>
                <w:color w:val="000000"/>
                <w:sz w:val="24"/>
                <w:szCs w:val="24"/>
                <w:lang w:val="es-CO"/>
              </w:rPr>
              <w:t xml:space="preserve">Con el propósito de identificar la participación de las micro, pequeñas y medianas empresas (MiPymes), los emprendimientos y las empresas de mujeres en el mercado relacionado con el objeto del presente proceso contractual, se realizó el análisis de la oferta disponible, con el fin de establecer la existencia de </w:t>
            </w:r>
            <w:r w:rsidRPr="00243B9E">
              <w:rPr>
                <w:rFonts w:ascii="Arial" w:eastAsia="Arial" w:hAnsi="Arial" w:cs="Arial"/>
                <w:color w:val="000000"/>
                <w:sz w:val="24"/>
                <w:szCs w:val="24"/>
                <w:lang w:val="es-CO"/>
              </w:rPr>
              <w:t>potenciales oferentes</w:t>
            </w:r>
            <w:r w:rsidRPr="009E6A49">
              <w:rPr>
                <w:rFonts w:ascii="Arial" w:eastAsia="Arial" w:hAnsi="Arial" w:cs="Arial"/>
                <w:color w:val="000000"/>
                <w:sz w:val="24"/>
                <w:szCs w:val="24"/>
                <w:lang w:val="es-CO"/>
              </w:rPr>
              <w:t xml:space="preserve"> con capacidad técnica, jurídica, financiera y organizacional para ejecutar el contrato.</w:t>
            </w:r>
          </w:p>
          <w:p w14:paraId="22E3D46D" w14:textId="77777777" w:rsidR="00DD3830" w:rsidRDefault="00DD3830" w:rsidP="00DD3830">
            <w:pPr>
              <w:rPr>
                <w:rFonts w:ascii="Arial" w:eastAsia="Arial" w:hAnsi="Arial" w:cs="Arial"/>
                <w:sz w:val="24"/>
                <w:szCs w:val="24"/>
                <w:lang w:val="es-CO"/>
              </w:rPr>
            </w:pPr>
          </w:p>
          <w:p w14:paraId="69C6A34B" w14:textId="3F4AF303" w:rsidR="005A0D36" w:rsidRDefault="00DA347E" w:rsidP="00DA347E">
            <w:pPr>
              <w:jc w:val="both"/>
              <w:rPr>
                <w:rFonts w:ascii="Arial" w:eastAsia="Arial" w:hAnsi="Arial" w:cs="Arial"/>
                <w:sz w:val="24"/>
                <w:szCs w:val="24"/>
                <w:lang w:val="es"/>
              </w:rPr>
            </w:pPr>
            <w:r w:rsidRPr="00DA347E">
              <w:rPr>
                <w:rFonts w:ascii="Arial" w:eastAsia="Arial" w:hAnsi="Arial" w:cs="Arial"/>
                <w:sz w:val="24"/>
                <w:szCs w:val="24"/>
                <w:lang w:val="es"/>
              </w:rPr>
              <w:t>Para el desarrollo del presente análisis, la Entidad consultó la herramienta "Tamaño Empresarial de los Proveedores del SECOP", dispuesta por la Agencia Nacional de Contratación Pública – Colombia Compra Eficiente, la cual permite caracterizar los proveedores que han participado en la contratación estatal de acuerdo con su tamaño empresarial, actividad económica y comportamiento contractual.</w:t>
            </w:r>
          </w:p>
          <w:p w14:paraId="21B69A47" w14:textId="77777777" w:rsidR="00DA347E" w:rsidRDefault="00DA347E" w:rsidP="0092123C">
            <w:pPr>
              <w:rPr>
                <w:rFonts w:ascii="Arial" w:eastAsia="Arial" w:hAnsi="Arial" w:cs="Arial"/>
                <w:lang w:val="es-CO"/>
              </w:rPr>
            </w:pPr>
          </w:p>
          <w:p w14:paraId="5A6A06EA" w14:textId="0291E421" w:rsidR="005A0D36" w:rsidRPr="005A0D36" w:rsidRDefault="005A0D36" w:rsidP="005A0D36">
            <w:pPr>
              <w:jc w:val="both"/>
              <w:rPr>
                <w:rFonts w:ascii="Arial" w:eastAsia="Arial" w:hAnsi="Arial" w:cs="Arial"/>
                <w:sz w:val="24"/>
                <w:szCs w:val="24"/>
                <w:lang w:val="es-CO"/>
              </w:rPr>
            </w:pPr>
            <w:r w:rsidRPr="005A0D36">
              <w:rPr>
                <w:rFonts w:ascii="Arial" w:eastAsia="Arial" w:hAnsi="Arial" w:cs="Arial"/>
                <w:sz w:val="24"/>
                <w:szCs w:val="24"/>
                <w:lang w:val="es"/>
              </w:rPr>
              <w:t xml:space="preserve">La consulta realizada en </w:t>
            </w:r>
            <w:r w:rsidRPr="005A0D36">
              <w:rPr>
                <w:rFonts w:ascii="Arial" w:eastAsia="Arial" w:hAnsi="Arial" w:cs="Arial"/>
                <w:b/>
                <w:bCs/>
                <w:sz w:val="24"/>
                <w:szCs w:val="24"/>
                <w:lang w:val="es"/>
              </w:rPr>
              <w:t>SECOP II</w:t>
            </w:r>
            <w:r w:rsidRPr="005A0D36">
              <w:rPr>
                <w:rFonts w:ascii="Arial" w:eastAsia="Arial" w:hAnsi="Arial" w:cs="Arial"/>
                <w:sz w:val="24"/>
                <w:szCs w:val="24"/>
                <w:lang w:val="es"/>
              </w:rPr>
              <w:t xml:space="preserve">, para la actividad económica </w:t>
            </w:r>
            <w:r w:rsidRPr="005A0D36">
              <w:rPr>
                <w:rFonts w:ascii="Arial" w:eastAsia="Arial" w:hAnsi="Arial" w:cs="Arial"/>
                <w:b/>
                <w:bCs/>
                <w:sz w:val="24"/>
                <w:szCs w:val="24"/>
                <w:lang w:val="es"/>
              </w:rPr>
              <w:t>CIIU 7112 – Actividades de ingeniería y otras actividades conexas de consultoría técnica</w:t>
            </w:r>
            <w:r w:rsidRPr="005A0D36">
              <w:rPr>
                <w:rFonts w:ascii="Arial" w:eastAsia="Arial" w:hAnsi="Arial" w:cs="Arial"/>
                <w:sz w:val="24"/>
                <w:szCs w:val="24"/>
                <w:lang w:val="es"/>
              </w:rPr>
              <w:t xml:space="preserve">, evidencia la existencia de un mercado amplio y competitivo para la prestación de servicios de interventoría. Se identificaron </w:t>
            </w:r>
            <w:r w:rsidRPr="005A0D36">
              <w:rPr>
                <w:rFonts w:ascii="Arial" w:eastAsia="Arial" w:hAnsi="Arial" w:cs="Arial"/>
                <w:b/>
                <w:bCs/>
                <w:sz w:val="24"/>
                <w:szCs w:val="24"/>
                <w:lang w:val="es"/>
              </w:rPr>
              <w:t>1.660 proveedores</w:t>
            </w:r>
            <w:r w:rsidRPr="005A0D36">
              <w:rPr>
                <w:rFonts w:ascii="Arial" w:eastAsia="Arial" w:hAnsi="Arial" w:cs="Arial"/>
                <w:sz w:val="24"/>
                <w:szCs w:val="24"/>
                <w:lang w:val="es"/>
              </w:rPr>
              <w:t xml:space="preserve">, con un valor acumulado de contratación cercano a </w:t>
            </w:r>
            <w:r w:rsidRPr="005A0D36">
              <w:rPr>
                <w:rFonts w:ascii="Arial" w:eastAsia="Arial" w:hAnsi="Arial" w:cs="Arial"/>
                <w:b/>
                <w:bCs/>
                <w:sz w:val="24"/>
                <w:szCs w:val="24"/>
                <w:lang w:val="es"/>
              </w:rPr>
              <w:t>$3,57 billones</w:t>
            </w:r>
            <w:r w:rsidRPr="005A0D36">
              <w:rPr>
                <w:rFonts w:ascii="Arial" w:eastAsia="Arial" w:hAnsi="Arial" w:cs="Arial"/>
                <w:sz w:val="24"/>
                <w:szCs w:val="24"/>
                <w:lang w:val="es"/>
              </w:rPr>
              <w:t xml:space="preserve">, de los cuales </w:t>
            </w:r>
            <w:r w:rsidRPr="005A0D36">
              <w:rPr>
                <w:rFonts w:ascii="Arial" w:eastAsia="Arial" w:hAnsi="Arial" w:cs="Arial"/>
                <w:b/>
                <w:bCs/>
                <w:sz w:val="24"/>
                <w:szCs w:val="24"/>
                <w:lang w:val="es"/>
              </w:rPr>
              <w:t>68 cuentan con contratos vigentes</w:t>
            </w:r>
            <w:r w:rsidRPr="005A0D36">
              <w:rPr>
                <w:rFonts w:ascii="Arial" w:eastAsia="Arial" w:hAnsi="Arial" w:cs="Arial"/>
                <w:sz w:val="24"/>
                <w:szCs w:val="24"/>
                <w:lang w:val="es"/>
              </w:rPr>
              <w:t>, lo que demuestra una oferta consolidada y con experiencia en la ejecución de contratos de consultoría e interventoría.</w:t>
            </w:r>
          </w:p>
          <w:p w14:paraId="267120E0" w14:textId="58029E70" w:rsidR="0092123C" w:rsidRDefault="0092123C" w:rsidP="00DD3830">
            <w:pPr>
              <w:rPr>
                <w:rFonts w:ascii="Arial" w:eastAsia="Arial" w:hAnsi="Arial" w:cs="Arial"/>
                <w:sz w:val="24"/>
                <w:szCs w:val="24"/>
                <w:lang w:val="es-CO"/>
              </w:rPr>
            </w:pPr>
          </w:p>
          <w:p w14:paraId="49BA0402" w14:textId="77777777" w:rsidR="00473C52" w:rsidRDefault="00473C52" w:rsidP="00DA5567">
            <w:pPr>
              <w:jc w:val="center"/>
            </w:pPr>
            <w:r w:rsidRPr="00D34585">
              <w:rPr>
                <w:noProof/>
              </w:rPr>
              <w:drawing>
                <wp:inline distT="0" distB="0" distL="0" distR="0" wp14:anchorId="7AAA0CA8" wp14:editId="68B49359">
                  <wp:extent cx="4010585" cy="819264"/>
                  <wp:effectExtent l="0" t="0" r="9525" b="0"/>
                  <wp:docPr id="1898712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1204" name=""/>
                          <pic:cNvPicPr/>
                        </pic:nvPicPr>
                        <pic:blipFill>
                          <a:blip r:embed="rId43"/>
                          <a:stretch>
                            <a:fillRect/>
                          </a:stretch>
                        </pic:blipFill>
                        <pic:spPr>
                          <a:xfrm>
                            <a:off x="0" y="0"/>
                            <a:ext cx="4010585" cy="819264"/>
                          </a:xfrm>
                          <a:prstGeom prst="rect">
                            <a:avLst/>
                          </a:prstGeom>
                        </pic:spPr>
                      </pic:pic>
                    </a:graphicData>
                  </a:graphic>
                </wp:inline>
              </w:drawing>
            </w:r>
          </w:p>
          <w:p w14:paraId="32121485" w14:textId="47C04316" w:rsidR="00473C52" w:rsidRDefault="00473C52" w:rsidP="00DA5567">
            <w:pPr>
              <w:jc w:val="center"/>
            </w:pPr>
            <w:r w:rsidRPr="00D34585">
              <w:rPr>
                <w:noProof/>
              </w:rPr>
              <w:drawing>
                <wp:inline distT="0" distB="0" distL="0" distR="0" wp14:anchorId="7285A328" wp14:editId="2A509C3D">
                  <wp:extent cx="2545710" cy="1724025"/>
                  <wp:effectExtent l="0" t="0" r="7620" b="0"/>
                  <wp:docPr id="19379975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997547" name=""/>
                          <pic:cNvPicPr/>
                        </pic:nvPicPr>
                        <pic:blipFill>
                          <a:blip r:embed="rId44"/>
                          <a:stretch>
                            <a:fillRect/>
                          </a:stretch>
                        </pic:blipFill>
                        <pic:spPr>
                          <a:xfrm>
                            <a:off x="0" y="0"/>
                            <a:ext cx="2557764" cy="1732188"/>
                          </a:xfrm>
                          <a:prstGeom prst="rect">
                            <a:avLst/>
                          </a:prstGeom>
                        </pic:spPr>
                      </pic:pic>
                    </a:graphicData>
                  </a:graphic>
                </wp:inline>
              </w:drawing>
            </w:r>
            <w:r w:rsidRPr="00D34585">
              <w:rPr>
                <w:noProof/>
              </w:rPr>
              <w:drawing>
                <wp:inline distT="0" distB="0" distL="0" distR="0" wp14:anchorId="7329E913" wp14:editId="791D66F9">
                  <wp:extent cx="2466975" cy="1743075"/>
                  <wp:effectExtent l="0" t="0" r="9525" b="9525"/>
                  <wp:docPr id="6520520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52021" name=""/>
                          <pic:cNvPicPr/>
                        </pic:nvPicPr>
                        <pic:blipFill rotWithShape="1">
                          <a:blip r:embed="rId45"/>
                          <a:srcRect r="18112"/>
                          <a:stretch>
                            <a:fillRect/>
                          </a:stretch>
                        </pic:blipFill>
                        <pic:spPr bwMode="auto">
                          <a:xfrm>
                            <a:off x="0" y="0"/>
                            <a:ext cx="2467320" cy="1743319"/>
                          </a:xfrm>
                          <a:prstGeom prst="rect">
                            <a:avLst/>
                          </a:prstGeom>
                          <a:ln>
                            <a:noFill/>
                          </a:ln>
                          <a:extLst>
                            <a:ext uri="{53640926-AAD7-44D8-BBD7-CCE9431645EC}">
                              <a14:shadowObscured xmlns:a14="http://schemas.microsoft.com/office/drawing/2010/main"/>
                            </a:ext>
                          </a:extLst>
                        </pic:spPr>
                      </pic:pic>
                    </a:graphicData>
                  </a:graphic>
                </wp:inline>
              </w:drawing>
            </w:r>
          </w:p>
          <w:p w14:paraId="00E0C389" w14:textId="77777777" w:rsidR="00473C52" w:rsidRDefault="00473C52" w:rsidP="00DD3830">
            <w:pPr>
              <w:rPr>
                <w:rFonts w:ascii="Arial" w:eastAsia="Arial" w:hAnsi="Arial" w:cs="Arial"/>
                <w:sz w:val="24"/>
                <w:szCs w:val="24"/>
                <w:lang w:val="es-CO"/>
              </w:rPr>
            </w:pPr>
          </w:p>
          <w:p w14:paraId="24B88F70" w14:textId="7A6A2AB4" w:rsidR="008237BD" w:rsidRDefault="008237BD" w:rsidP="00DA5567">
            <w:pPr>
              <w:jc w:val="both"/>
              <w:rPr>
                <w:rFonts w:ascii="Arial" w:eastAsia="Arial" w:hAnsi="Arial" w:cs="Arial"/>
                <w:sz w:val="24"/>
                <w:szCs w:val="24"/>
                <w:lang w:val="es"/>
              </w:rPr>
            </w:pPr>
            <w:r w:rsidRPr="008237BD">
              <w:rPr>
                <w:rFonts w:ascii="Arial" w:eastAsia="Arial" w:hAnsi="Arial" w:cs="Arial"/>
                <w:sz w:val="24"/>
                <w:szCs w:val="24"/>
                <w:lang w:val="es"/>
              </w:rPr>
              <w:t xml:space="preserve">En cuanto a la naturaleza jurídica de los proveedores, se observa un predominio de las </w:t>
            </w:r>
            <w:r w:rsidRPr="008237BD">
              <w:rPr>
                <w:rFonts w:ascii="Arial" w:eastAsia="Arial" w:hAnsi="Arial" w:cs="Arial"/>
                <w:b/>
                <w:bCs/>
                <w:sz w:val="24"/>
                <w:szCs w:val="24"/>
                <w:lang w:val="es"/>
              </w:rPr>
              <w:t>sociedades comerciales</w:t>
            </w:r>
            <w:r w:rsidRPr="008237BD">
              <w:rPr>
                <w:rFonts w:ascii="Arial" w:eastAsia="Arial" w:hAnsi="Arial" w:cs="Arial"/>
                <w:sz w:val="24"/>
                <w:szCs w:val="24"/>
                <w:lang w:val="es"/>
              </w:rPr>
              <w:t>, mientras que la participación de entidades sin ánimo de lucro es marginal. Este comportamiento es consistente con la naturaleza técnica y especializada de los servicios de interventoría, los cuales son prestados principalmente por firmas de ingeniería y consultoría.</w:t>
            </w:r>
          </w:p>
          <w:p w14:paraId="20CE008B" w14:textId="77777777" w:rsidR="00A174A0" w:rsidRDefault="00A174A0" w:rsidP="00DA5567">
            <w:pPr>
              <w:jc w:val="both"/>
              <w:rPr>
                <w:rFonts w:ascii="Arial" w:eastAsia="Arial" w:hAnsi="Arial" w:cs="Arial"/>
                <w:sz w:val="24"/>
                <w:szCs w:val="24"/>
                <w:lang w:val="es"/>
              </w:rPr>
            </w:pPr>
          </w:p>
          <w:p w14:paraId="6C7E1582" w14:textId="77777777" w:rsidR="00C05172" w:rsidRDefault="00C05172" w:rsidP="00C05172">
            <w:r w:rsidRPr="00D34585">
              <w:rPr>
                <w:noProof/>
              </w:rPr>
              <w:lastRenderedPageBreak/>
              <w:drawing>
                <wp:inline distT="0" distB="0" distL="0" distR="0" wp14:anchorId="37FBF616" wp14:editId="581C8A0D">
                  <wp:extent cx="5612130" cy="1625600"/>
                  <wp:effectExtent l="0" t="0" r="7620" b="0"/>
                  <wp:docPr id="2915555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555581" name=""/>
                          <pic:cNvPicPr/>
                        </pic:nvPicPr>
                        <pic:blipFill>
                          <a:blip r:embed="rId46"/>
                          <a:stretch>
                            <a:fillRect/>
                          </a:stretch>
                        </pic:blipFill>
                        <pic:spPr>
                          <a:xfrm>
                            <a:off x="0" y="0"/>
                            <a:ext cx="5612130" cy="1625600"/>
                          </a:xfrm>
                          <a:prstGeom prst="rect">
                            <a:avLst/>
                          </a:prstGeom>
                        </pic:spPr>
                      </pic:pic>
                    </a:graphicData>
                  </a:graphic>
                </wp:inline>
              </w:drawing>
            </w:r>
          </w:p>
          <w:p w14:paraId="3C0C1E87" w14:textId="42ACDF28" w:rsidR="00C05172" w:rsidRDefault="00C05172" w:rsidP="00C05172"/>
          <w:p w14:paraId="5001FE46" w14:textId="77777777" w:rsidR="00C05172" w:rsidRDefault="00C05172" w:rsidP="00C05172">
            <w:pPr>
              <w:jc w:val="both"/>
              <w:rPr>
                <w:rFonts w:ascii="Arial" w:eastAsia="Arial" w:hAnsi="Arial" w:cs="Arial"/>
                <w:sz w:val="24"/>
                <w:szCs w:val="24"/>
                <w:lang w:val="es-CO"/>
              </w:rPr>
            </w:pPr>
            <w:r w:rsidRPr="00C05172">
              <w:rPr>
                <w:rFonts w:ascii="Arial" w:eastAsia="Arial" w:hAnsi="Arial" w:cs="Arial"/>
                <w:sz w:val="24"/>
                <w:szCs w:val="24"/>
                <w:lang w:val="es-CO"/>
              </w:rPr>
              <w:t xml:space="preserve">Del análisis por tamaño empresarial se evidencia que la oferta está conformada principalmente por </w:t>
            </w:r>
            <w:r w:rsidRPr="00C05172">
              <w:rPr>
                <w:rFonts w:ascii="Arial" w:eastAsia="Arial" w:hAnsi="Arial" w:cs="Arial"/>
                <w:b/>
                <w:bCs/>
                <w:sz w:val="24"/>
                <w:szCs w:val="24"/>
                <w:lang w:val="es-CO"/>
              </w:rPr>
              <w:t>micro y pequeñas empresas</w:t>
            </w:r>
            <w:r w:rsidRPr="00C05172">
              <w:rPr>
                <w:rFonts w:ascii="Arial" w:eastAsia="Arial" w:hAnsi="Arial" w:cs="Arial"/>
                <w:sz w:val="24"/>
                <w:szCs w:val="24"/>
                <w:lang w:val="es-CO"/>
              </w:rPr>
              <w:t xml:space="preserve">. De los 1.660 proveedores identificados, </w:t>
            </w:r>
            <w:r w:rsidRPr="00C05172">
              <w:rPr>
                <w:rFonts w:ascii="Arial" w:eastAsia="Arial" w:hAnsi="Arial" w:cs="Arial"/>
                <w:b/>
                <w:bCs/>
                <w:sz w:val="24"/>
                <w:szCs w:val="24"/>
                <w:lang w:val="es-CO"/>
              </w:rPr>
              <w:t>936 corresponden a microempresas (56,39 %)</w:t>
            </w:r>
            <w:r w:rsidRPr="00C05172">
              <w:rPr>
                <w:rFonts w:ascii="Arial" w:eastAsia="Arial" w:hAnsi="Arial" w:cs="Arial"/>
                <w:sz w:val="24"/>
                <w:szCs w:val="24"/>
                <w:lang w:val="es-CO"/>
              </w:rPr>
              <w:t xml:space="preserve"> y </w:t>
            </w:r>
            <w:r w:rsidRPr="00C05172">
              <w:rPr>
                <w:rFonts w:ascii="Arial" w:eastAsia="Arial" w:hAnsi="Arial" w:cs="Arial"/>
                <w:b/>
                <w:bCs/>
                <w:sz w:val="24"/>
                <w:szCs w:val="24"/>
                <w:lang w:val="es-CO"/>
              </w:rPr>
              <w:t>479 a pequeñas empresas (28,86 %)</w:t>
            </w:r>
            <w:r w:rsidRPr="00C05172">
              <w:rPr>
                <w:rFonts w:ascii="Arial" w:eastAsia="Arial" w:hAnsi="Arial" w:cs="Arial"/>
                <w:sz w:val="24"/>
                <w:szCs w:val="24"/>
                <w:lang w:val="es-CO"/>
              </w:rPr>
              <w:t xml:space="preserve">, mientras que las medianas y grandes empresas representan una participación significativamente menor. </w:t>
            </w:r>
          </w:p>
          <w:p w14:paraId="0F6CE6A8" w14:textId="77777777" w:rsidR="004573DB" w:rsidRPr="00C05172" w:rsidRDefault="004573DB" w:rsidP="00C05172">
            <w:pPr>
              <w:jc w:val="both"/>
              <w:rPr>
                <w:rFonts w:ascii="Arial" w:eastAsia="Arial" w:hAnsi="Arial" w:cs="Arial"/>
                <w:sz w:val="24"/>
                <w:szCs w:val="24"/>
                <w:lang w:val="es-CO"/>
              </w:rPr>
            </w:pPr>
          </w:p>
          <w:p w14:paraId="7784A775" w14:textId="77777777" w:rsidR="00C05172" w:rsidRPr="00C05172" w:rsidRDefault="00C05172" w:rsidP="00C05172">
            <w:pPr>
              <w:jc w:val="both"/>
              <w:rPr>
                <w:rFonts w:ascii="Arial" w:eastAsia="Arial" w:hAnsi="Arial" w:cs="Arial"/>
                <w:sz w:val="24"/>
                <w:szCs w:val="24"/>
                <w:lang w:val="es-CO"/>
              </w:rPr>
            </w:pPr>
            <w:r w:rsidRPr="00C05172">
              <w:rPr>
                <w:rFonts w:ascii="Arial" w:eastAsia="Arial" w:hAnsi="Arial" w:cs="Arial"/>
                <w:sz w:val="24"/>
                <w:szCs w:val="24"/>
                <w:lang w:val="es-CO"/>
              </w:rPr>
              <w:t>Lo anterior demuestra que el mercado de la consultoría e interventoría en Colombia está conformado mayoritariamente por empresas de menor tamaño, circunstancia que favorece la participación de las MiPymes en este tipo de procesos de selección.</w:t>
            </w:r>
          </w:p>
          <w:p w14:paraId="397F8780" w14:textId="77777777" w:rsidR="00C05172" w:rsidRDefault="00C05172" w:rsidP="00DA5567">
            <w:pPr>
              <w:jc w:val="both"/>
              <w:rPr>
                <w:rFonts w:ascii="Arial" w:eastAsia="Arial" w:hAnsi="Arial" w:cs="Arial"/>
                <w:sz w:val="24"/>
                <w:szCs w:val="24"/>
                <w:lang w:val="es-CO"/>
              </w:rPr>
            </w:pPr>
          </w:p>
          <w:p w14:paraId="2ABBAB7E" w14:textId="7CAED2AB" w:rsidR="0027598A" w:rsidRDefault="0027598A" w:rsidP="0027598A">
            <w:pPr>
              <w:jc w:val="center"/>
              <w:rPr>
                <w:rFonts w:ascii="Arial" w:eastAsia="Arial" w:hAnsi="Arial" w:cs="Arial"/>
                <w:sz w:val="24"/>
                <w:szCs w:val="24"/>
                <w:lang w:val="es-CO"/>
              </w:rPr>
            </w:pPr>
            <w:r w:rsidRPr="00745A99">
              <w:rPr>
                <w:noProof/>
              </w:rPr>
              <w:drawing>
                <wp:inline distT="0" distB="0" distL="0" distR="0" wp14:anchorId="59D4D86A" wp14:editId="1710CDD5">
                  <wp:extent cx="4057650" cy="1790700"/>
                  <wp:effectExtent l="0" t="0" r="0" b="0"/>
                  <wp:docPr id="9065355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75637" name=""/>
                          <pic:cNvPicPr/>
                        </pic:nvPicPr>
                        <pic:blipFill rotWithShape="1">
                          <a:blip r:embed="rId47"/>
                          <a:srcRect b="51795"/>
                          <a:stretch>
                            <a:fillRect/>
                          </a:stretch>
                        </pic:blipFill>
                        <pic:spPr bwMode="auto">
                          <a:xfrm>
                            <a:off x="0" y="0"/>
                            <a:ext cx="4058216" cy="1790950"/>
                          </a:xfrm>
                          <a:prstGeom prst="rect">
                            <a:avLst/>
                          </a:prstGeom>
                          <a:ln>
                            <a:noFill/>
                          </a:ln>
                          <a:extLst>
                            <a:ext uri="{53640926-AAD7-44D8-BBD7-CCE9431645EC}">
                              <a14:shadowObscured xmlns:a14="http://schemas.microsoft.com/office/drawing/2010/main"/>
                            </a:ext>
                          </a:extLst>
                        </pic:spPr>
                      </pic:pic>
                    </a:graphicData>
                  </a:graphic>
                </wp:inline>
              </w:drawing>
            </w:r>
          </w:p>
          <w:p w14:paraId="166A8E96" w14:textId="35944271" w:rsidR="00C05172" w:rsidRPr="00C05172" w:rsidRDefault="009068B9" w:rsidP="009068B9">
            <w:pPr>
              <w:jc w:val="center"/>
              <w:rPr>
                <w:rFonts w:ascii="Arial" w:eastAsia="Arial" w:hAnsi="Arial" w:cs="Arial"/>
                <w:sz w:val="24"/>
                <w:szCs w:val="24"/>
                <w:lang w:val="es-CO"/>
              </w:rPr>
            </w:pPr>
            <w:r w:rsidRPr="00745A99">
              <w:rPr>
                <w:noProof/>
              </w:rPr>
              <w:lastRenderedPageBreak/>
              <w:drawing>
                <wp:inline distT="0" distB="0" distL="0" distR="0" wp14:anchorId="13C5B3E8" wp14:editId="661A28EA">
                  <wp:extent cx="4057650" cy="1914525"/>
                  <wp:effectExtent l="0" t="0" r="0" b="9525"/>
                  <wp:docPr id="9643756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75637" name=""/>
                          <pic:cNvPicPr/>
                        </pic:nvPicPr>
                        <pic:blipFill rotWithShape="1">
                          <a:blip r:embed="rId47"/>
                          <a:srcRect t="48462"/>
                          <a:stretch>
                            <a:fillRect/>
                          </a:stretch>
                        </pic:blipFill>
                        <pic:spPr bwMode="auto">
                          <a:xfrm>
                            <a:off x="0" y="0"/>
                            <a:ext cx="4058216" cy="1914792"/>
                          </a:xfrm>
                          <a:prstGeom prst="rect">
                            <a:avLst/>
                          </a:prstGeom>
                          <a:ln>
                            <a:noFill/>
                          </a:ln>
                          <a:extLst>
                            <a:ext uri="{53640926-AAD7-44D8-BBD7-CCE9431645EC}">
                              <a14:shadowObscured xmlns:a14="http://schemas.microsoft.com/office/drawing/2010/main"/>
                            </a:ext>
                          </a:extLst>
                        </pic:spPr>
                      </pic:pic>
                    </a:graphicData>
                  </a:graphic>
                </wp:inline>
              </w:drawing>
            </w:r>
          </w:p>
          <w:p w14:paraId="067964C2" w14:textId="77777777" w:rsidR="008237BD" w:rsidRDefault="008237BD" w:rsidP="00DD3830">
            <w:pPr>
              <w:rPr>
                <w:rFonts w:ascii="Arial" w:eastAsia="Arial" w:hAnsi="Arial" w:cs="Arial"/>
                <w:sz w:val="24"/>
                <w:szCs w:val="24"/>
                <w:lang w:val="es-CO"/>
              </w:rPr>
            </w:pPr>
          </w:p>
          <w:p w14:paraId="08F26F0C" w14:textId="38351C66" w:rsidR="002F5A0A" w:rsidRDefault="009068B9" w:rsidP="00F81548">
            <w:pPr>
              <w:jc w:val="both"/>
              <w:rPr>
                <w:rFonts w:ascii="Arial" w:eastAsia="Arial" w:hAnsi="Arial" w:cs="Arial"/>
                <w:sz w:val="24"/>
                <w:szCs w:val="24"/>
                <w:lang w:val="es"/>
              </w:rPr>
            </w:pPr>
            <w:r w:rsidRPr="009068B9">
              <w:rPr>
                <w:rFonts w:ascii="Arial" w:eastAsia="Arial" w:hAnsi="Arial" w:cs="Arial"/>
                <w:sz w:val="24"/>
                <w:szCs w:val="24"/>
                <w:lang w:val="es"/>
              </w:rPr>
              <w:t xml:space="preserve">La distribución territorial de los proveedores evidencia una concentración importante en </w:t>
            </w:r>
            <w:r w:rsidRPr="009068B9">
              <w:rPr>
                <w:rFonts w:ascii="Arial" w:eastAsia="Arial" w:hAnsi="Arial" w:cs="Arial"/>
                <w:b/>
                <w:bCs/>
                <w:sz w:val="24"/>
                <w:szCs w:val="24"/>
                <w:lang w:val="es"/>
              </w:rPr>
              <w:t>Bogotá D.C., Antioquia, Santander, Cundinamarca y Valle del Cauca</w:t>
            </w:r>
            <w:r w:rsidRPr="009068B9">
              <w:rPr>
                <w:rFonts w:ascii="Arial" w:eastAsia="Arial" w:hAnsi="Arial" w:cs="Arial"/>
                <w:sz w:val="24"/>
                <w:szCs w:val="24"/>
                <w:lang w:val="es"/>
              </w:rPr>
              <w:t xml:space="preserve">, departamentos que reúnen el mayor número de empresas dedicadas a actividades de ingeniería y consultoría técnica. En el caso del </w:t>
            </w:r>
            <w:r w:rsidRPr="009068B9">
              <w:rPr>
                <w:rFonts w:ascii="Arial" w:eastAsia="Arial" w:hAnsi="Arial" w:cs="Arial"/>
                <w:b/>
                <w:bCs/>
                <w:sz w:val="24"/>
                <w:szCs w:val="24"/>
                <w:lang w:val="es"/>
              </w:rPr>
              <w:t>Valle del Cauca</w:t>
            </w:r>
            <w:r w:rsidRPr="009068B9">
              <w:rPr>
                <w:rFonts w:ascii="Arial" w:eastAsia="Arial" w:hAnsi="Arial" w:cs="Arial"/>
                <w:sz w:val="24"/>
                <w:szCs w:val="24"/>
                <w:lang w:val="es"/>
              </w:rPr>
              <w:t xml:space="preserve">, se identifican </w:t>
            </w:r>
            <w:r w:rsidRPr="009068B9">
              <w:rPr>
                <w:rFonts w:ascii="Arial" w:eastAsia="Arial" w:hAnsi="Arial" w:cs="Arial"/>
                <w:b/>
                <w:bCs/>
                <w:sz w:val="24"/>
                <w:szCs w:val="24"/>
                <w:lang w:val="es"/>
              </w:rPr>
              <w:t>80 proveedores</w:t>
            </w:r>
            <w:r w:rsidRPr="009068B9">
              <w:rPr>
                <w:rFonts w:ascii="Arial" w:eastAsia="Arial" w:hAnsi="Arial" w:cs="Arial"/>
                <w:sz w:val="24"/>
                <w:szCs w:val="24"/>
                <w:lang w:val="es"/>
              </w:rPr>
              <w:t>, lo que demuestra la existencia de una oferta regional suficiente para atender el presente proceso sin restringir la libre concurrencia</w:t>
            </w:r>
          </w:p>
          <w:p w14:paraId="69DDCAAE" w14:textId="77777777" w:rsidR="00506FB6" w:rsidRDefault="00506FB6" w:rsidP="00DD3830">
            <w:pPr>
              <w:rPr>
                <w:rFonts w:ascii="Arial" w:eastAsia="Arial" w:hAnsi="Arial" w:cs="Arial"/>
                <w:sz w:val="24"/>
                <w:szCs w:val="24"/>
                <w:lang w:val="es"/>
              </w:rPr>
            </w:pPr>
          </w:p>
          <w:p w14:paraId="5091A22F" w14:textId="77777777" w:rsidR="00506FB6" w:rsidRDefault="00506FB6" w:rsidP="00506FB6">
            <w:r w:rsidRPr="00745A99">
              <w:rPr>
                <w:noProof/>
              </w:rPr>
              <w:drawing>
                <wp:inline distT="0" distB="0" distL="0" distR="0" wp14:anchorId="0A45FDFA" wp14:editId="3A2D1EC3">
                  <wp:extent cx="5612130" cy="464820"/>
                  <wp:effectExtent l="0" t="0" r="7620" b="0"/>
                  <wp:docPr id="9401190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119058" name=""/>
                          <pic:cNvPicPr/>
                        </pic:nvPicPr>
                        <pic:blipFill>
                          <a:blip r:embed="rId48"/>
                          <a:stretch>
                            <a:fillRect/>
                          </a:stretch>
                        </pic:blipFill>
                        <pic:spPr>
                          <a:xfrm>
                            <a:off x="0" y="0"/>
                            <a:ext cx="5612130" cy="464820"/>
                          </a:xfrm>
                          <a:prstGeom prst="rect">
                            <a:avLst/>
                          </a:prstGeom>
                        </pic:spPr>
                      </pic:pic>
                    </a:graphicData>
                  </a:graphic>
                </wp:inline>
              </w:drawing>
            </w:r>
          </w:p>
          <w:p w14:paraId="48D1A1E5" w14:textId="77777777" w:rsidR="004C7F9D" w:rsidRDefault="004C7F9D" w:rsidP="00506FB6"/>
          <w:p w14:paraId="71096571" w14:textId="77777777" w:rsidR="004C7F9D" w:rsidRDefault="004C7F9D" w:rsidP="004C7F9D">
            <w:pPr>
              <w:jc w:val="both"/>
              <w:rPr>
                <w:rFonts w:ascii="Arial" w:eastAsia="Arial" w:hAnsi="Arial" w:cs="Arial"/>
                <w:sz w:val="24"/>
                <w:szCs w:val="24"/>
                <w:lang w:val="es"/>
              </w:rPr>
            </w:pPr>
            <w:r w:rsidRPr="004C7F9D">
              <w:rPr>
                <w:rFonts w:ascii="Arial" w:eastAsia="Arial" w:hAnsi="Arial" w:cs="Arial"/>
                <w:sz w:val="24"/>
                <w:szCs w:val="24"/>
                <w:lang w:val="es"/>
              </w:rPr>
              <w:t xml:space="preserve">El análisis histórico muestra la celebración de </w:t>
            </w:r>
            <w:r w:rsidRPr="004C7F9D">
              <w:rPr>
                <w:rFonts w:ascii="Arial" w:eastAsia="Arial" w:hAnsi="Arial" w:cs="Arial"/>
                <w:b/>
                <w:bCs/>
                <w:sz w:val="24"/>
                <w:szCs w:val="24"/>
                <w:lang w:val="es"/>
              </w:rPr>
              <w:t>7.490 contratos</w:t>
            </w:r>
            <w:r w:rsidRPr="004C7F9D">
              <w:rPr>
                <w:rFonts w:ascii="Arial" w:eastAsia="Arial" w:hAnsi="Arial" w:cs="Arial"/>
                <w:sz w:val="24"/>
                <w:szCs w:val="24"/>
                <w:lang w:val="es"/>
              </w:rPr>
              <w:t xml:space="preserve">, por un valor aproximado de </w:t>
            </w:r>
            <w:r w:rsidRPr="004C7F9D">
              <w:rPr>
                <w:rFonts w:ascii="Arial" w:eastAsia="Arial" w:hAnsi="Arial" w:cs="Arial"/>
                <w:b/>
                <w:bCs/>
                <w:sz w:val="24"/>
                <w:szCs w:val="24"/>
                <w:lang w:val="es"/>
              </w:rPr>
              <w:t>$3,57 billones</w:t>
            </w:r>
            <w:r w:rsidRPr="004C7F9D">
              <w:rPr>
                <w:rFonts w:ascii="Arial" w:eastAsia="Arial" w:hAnsi="Arial" w:cs="Arial"/>
                <w:sz w:val="24"/>
                <w:szCs w:val="24"/>
                <w:lang w:val="es"/>
              </w:rPr>
              <w:t xml:space="preserve">, con una duración promedio de </w:t>
            </w:r>
            <w:r w:rsidRPr="004C7F9D">
              <w:rPr>
                <w:rFonts w:ascii="Arial" w:eastAsia="Arial" w:hAnsi="Arial" w:cs="Arial"/>
                <w:b/>
                <w:bCs/>
                <w:sz w:val="24"/>
                <w:szCs w:val="24"/>
                <w:lang w:val="es"/>
              </w:rPr>
              <w:t>199 días</w:t>
            </w:r>
            <w:r w:rsidRPr="004C7F9D">
              <w:rPr>
                <w:rFonts w:ascii="Arial" w:eastAsia="Arial" w:hAnsi="Arial" w:cs="Arial"/>
                <w:sz w:val="24"/>
                <w:szCs w:val="24"/>
                <w:lang w:val="es"/>
              </w:rPr>
              <w:t>, lo que evidencia una demanda permanente de este tipo de servicios por parte de las entidades estatales.</w:t>
            </w:r>
          </w:p>
          <w:p w14:paraId="0CD8B7A1" w14:textId="77777777" w:rsidR="004C7F9D" w:rsidRDefault="004C7F9D" w:rsidP="00506FB6">
            <w:pPr>
              <w:rPr>
                <w:lang w:val="es"/>
              </w:rPr>
            </w:pPr>
          </w:p>
          <w:p w14:paraId="7E07C222" w14:textId="77777777" w:rsidR="00506FB6" w:rsidRDefault="00506FB6" w:rsidP="00506FB6">
            <w:r w:rsidRPr="00745A99">
              <w:rPr>
                <w:noProof/>
              </w:rPr>
              <w:lastRenderedPageBreak/>
              <w:drawing>
                <wp:inline distT="0" distB="0" distL="0" distR="0" wp14:anchorId="7001E87E" wp14:editId="144118D2">
                  <wp:extent cx="5612130" cy="3169920"/>
                  <wp:effectExtent l="0" t="0" r="7620" b="0"/>
                  <wp:docPr id="528029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2941" name=""/>
                          <pic:cNvPicPr/>
                        </pic:nvPicPr>
                        <pic:blipFill>
                          <a:blip r:embed="rId49"/>
                          <a:stretch>
                            <a:fillRect/>
                          </a:stretch>
                        </pic:blipFill>
                        <pic:spPr>
                          <a:xfrm>
                            <a:off x="0" y="0"/>
                            <a:ext cx="5612130" cy="3169920"/>
                          </a:xfrm>
                          <a:prstGeom prst="rect">
                            <a:avLst/>
                          </a:prstGeom>
                        </pic:spPr>
                      </pic:pic>
                    </a:graphicData>
                  </a:graphic>
                </wp:inline>
              </w:drawing>
            </w:r>
          </w:p>
          <w:p w14:paraId="6C208EDC" w14:textId="4DA5C90A" w:rsidR="00AE0BC9" w:rsidRDefault="009C18DB" w:rsidP="009C18DB">
            <w:pPr>
              <w:jc w:val="both"/>
              <w:rPr>
                <w:rFonts w:ascii="Arial" w:hAnsi="Arial" w:cs="Arial"/>
                <w:sz w:val="24"/>
                <w:szCs w:val="24"/>
                <w:lang w:val="es"/>
              </w:rPr>
            </w:pPr>
            <w:r w:rsidRPr="009C18DB">
              <w:rPr>
                <w:rFonts w:ascii="Arial" w:hAnsi="Arial" w:cs="Arial"/>
                <w:sz w:val="24"/>
                <w:szCs w:val="24"/>
                <w:lang w:val="es"/>
              </w:rPr>
              <w:t xml:space="preserve">El análisis específico de las micro y pequeñas empresas evidencia que este segmento ha celebrado </w:t>
            </w:r>
            <w:r w:rsidRPr="009C18DB">
              <w:rPr>
                <w:rFonts w:ascii="Arial" w:hAnsi="Arial" w:cs="Arial"/>
                <w:b/>
                <w:bCs/>
                <w:sz w:val="24"/>
                <w:szCs w:val="24"/>
                <w:lang w:val="es"/>
              </w:rPr>
              <w:t>6.088 contratos</w:t>
            </w:r>
            <w:r w:rsidRPr="009C18DB">
              <w:rPr>
                <w:rFonts w:ascii="Arial" w:hAnsi="Arial" w:cs="Arial"/>
                <w:sz w:val="24"/>
                <w:szCs w:val="24"/>
                <w:lang w:val="es"/>
              </w:rPr>
              <w:t xml:space="preserve">, por un valor aproximado de </w:t>
            </w:r>
            <w:r w:rsidRPr="009C18DB">
              <w:rPr>
                <w:rFonts w:ascii="Arial" w:hAnsi="Arial" w:cs="Arial"/>
                <w:b/>
                <w:bCs/>
                <w:sz w:val="24"/>
                <w:szCs w:val="24"/>
                <w:lang w:val="es"/>
              </w:rPr>
              <w:t>$1,44 billones</w:t>
            </w:r>
            <w:r w:rsidRPr="009C18DB">
              <w:rPr>
                <w:rFonts w:ascii="Arial" w:hAnsi="Arial" w:cs="Arial"/>
                <w:sz w:val="24"/>
                <w:szCs w:val="24"/>
                <w:lang w:val="es"/>
              </w:rPr>
              <w:t xml:space="preserve">, con la participación de </w:t>
            </w:r>
            <w:r w:rsidRPr="009C18DB">
              <w:rPr>
                <w:rFonts w:ascii="Arial" w:hAnsi="Arial" w:cs="Arial"/>
                <w:b/>
                <w:bCs/>
                <w:sz w:val="24"/>
                <w:szCs w:val="24"/>
                <w:lang w:val="es"/>
              </w:rPr>
              <w:t>1.415 proveedores</w:t>
            </w:r>
            <w:r w:rsidRPr="009C18DB">
              <w:rPr>
                <w:rFonts w:ascii="Arial" w:hAnsi="Arial" w:cs="Arial"/>
                <w:sz w:val="24"/>
                <w:szCs w:val="24"/>
                <w:lang w:val="es"/>
              </w:rPr>
              <w:t xml:space="preserve">, lo que refleja una </w:t>
            </w:r>
            <w:proofErr w:type="gramStart"/>
            <w:r w:rsidRPr="009C18DB">
              <w:rPr>
                <w:rFonts w:ascii="Arial" w:hAnsi="Arial" w:cs="Arial"/>
                <w:sz w:val="24"/>
                <w:szCs w:val="24"/>
                <w:lang w:val="es"/>
              </w:rPr>
              <w:t>participación activa</w:t>
            </w:r>
            <w:proofErr w:type="gramEnd"/>
            <w:r w:rsidRPr="009C18DB">
              <w:rPr>
                <w:rFonts w:ascii="Arial" w:hAnsi="Arial" w:cs="Arial"/>
                <w:sz w:val="24"/>
                <w:szCs w:val="24"/>
                <w:lang w:val="es"/>
              </w:rPr>
              <w:t xml:space="preserve"> de este tipo de empresas en el mercado de la consultoría e interventoría</w:t>
            </w:r>
            <w:r>
              <w:rPr>
                <w:rFonts w:ascii="Arial" w:hAnsi="Arial" w:cs="Arial"/>
                <w:sz w:val="24"/>
                <w:szCs w:val="24"/>
                <w:lang w:val="es"/>
              </w:rPr>
              <w:t>.</w:t>
            </w:r>
          </w:p>
          <w:p w14:paraId="65688AA0" w14:textId="77777777" w:rsidR="009C18DB" w:rsidRPr="009C18DB" w:rsidRDefault="009C18DB" w:rsidP="009C18DB">
            <w:pPr>
              <w:jc w:val="both"/>
              <w:rPr>
                <w:rFonts w:ascii="Arial" w:hAnsi="Arial" w:cs="Arial"/>
                <w:sz w:val="24"/>
                <w:szCs w:val="24"/>
              </w:rPr>
            </w:pPr>
          </w:p>
          <w:p w14:paraId="2AE3B6DD" w14:textId="7CEB0410" w:rsidR="00AE0BC9" w:rsidRDefault="00AE0BC9" w:rsidP="00AE0BC9">
            <w:pPr>
              <w:jc w:val="center"/>
            </w:pPr>
            <w:r w:rsidRPr="00745A99">
              <w:rPr>
                <w:noProof/>
              </w:rPr>
              <w:drawing>
                <wp:inline distT="0" distB="0" distL="0" distR="0" wp14:anchorId="5F07DA76" wp14:editId="2E153753">
                  <wp:extent cx="2505075" cy="2139469"/>
                  <wp:effectExtent l="0" t="0" r="0" b="0"/>
                  <wp:docPr id="2904158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15840" name=""/>
                          <pic:cNvPicPr/>
                        </pic:nvPicPr>
                        <pic:blipFill>
                          <a:blip r:embed="rId50"/>
                          <a:stretch>
                            <a:fillRect/>
                          </a:stretch>
                        </pic:blipFill>
                        <pic:spPr>
                          <a:xfrm>
                            <a:off x="0" y="0"/>
                            <a:ext cx="2508854" cy="2142696"/>
                          </a:xfrm>
                          <a:prstGeom prst="rect">
                            <a:avLst/>
                          </a:prstGeom>
                        </pic:spPr>
                      </pic:pic>
                    </a:graphicData>
                  </a:graphic>
                </wp:inline>
              </w:drawing>
            </w:r>
          </w:p>
          <w:p w14:paraId="248950C2" w14:textId="77777777" w:rsidR="008131FA" w:rsidRDefault="008131FA" w:rsidP="008131FA">
            <w:pPr>
              <w:jc w:val="both"/>
              <w:rPr>
                <w:rFonts w:ascii="Arial" w:eastAsia="Arial" w:hAnsi="Arial" w:cs="Arial"/>
                <w:sz w:val="24"/>
                <w:szCs w:val="24"/>
                <w:lang w:val="es-CO"/>
              </w:rPr>
            </w:pPr>
            <w:r w:rsidRPr="008131FA">
              <w:rPr>
                <w:rFonts w:ascii="Arial" w:eastAsia="Arial" w:hAnsi="Arial" w:cs="Arial"/>
                <w:sz w:val="24"/>
                <w:szCs w:val="24"/>
                <w:lang w:val="es-CO"/>
              </w:rPr>
              <w:t xml:space="preserve">En cuanto a las modalidades de selección, se observa que la </w:t>
            </w:r>
            <w:r w:rsidRPr="008131FA">
              <w:rPr>
                <w:rFonts w:ascii="Arial" w:eastAsia="Arial" w:hAnsi="Arial" w:cs="Arial"/>
                <w:b/>
                <w:bCs/>
                <w:sz w:val="24"/>
                <w:szCs w:val="24"/>
                <w:lang w:val="es-CO"/>
              </w:rPr>
              <w:t>mínima cuantía</w:t>
            </w:r>
            <w:r w:rsidRPr="008131FA">
              <w:rPr>
                <w:rFonts w:ascii="Arial" w:eastAsia="Arial" w:hAnsi="Arial" w:cs="Arial"/>
                <w:sz w:val="24"/>
                <w:szCs w:val="24"/>
                <w:lang w:val="es-CO"/>
              </w:rPr>
              <w:t xml:space="preserve"> concentra el mayor número de contratos (</w:t>
            </w:r>
            <w:r w:rsidRPr="008131FA">
              <w:rPr>
                <w:rFonts w:ascii="Arial" w:eastAsia="Arial" w:hAnsi="Arial" w:cs="Arial"/>
                <w:b/>
                <w:bCs/>
                <w:sz w:val="24"/>
                <w:szCs w:val="24"/>
                <w:lang w:val="es-CO"/>
              </w:rPr>
              <w:t>38,99 %</w:t>
            </w:r>
            <w:r w:rsidRPr="008131FA">
              <w:rPr>
                <w:rFonts w:ascii="Arial" w:eastAsia="Arial" w:hAnsi="Arial" w:cs="Arial"/>
                <w:sz w:val="24"/>
                <w:szCs w:val="24"/>
                <w:lang w:val="es-CO"/>
              </w:rPr>
              <w:t xml:space="preserve">), seguida del </w:t>
            </w:r>
            <w:r w:rsidRPr="008131FA">
              <w:rPr>
                <w:rFonts w:ascii="Arial" w:eastAsia="Arial" w:hAnsi="Arial" w:cs="Arial"/>
                <w:b/>
                <w:bCs/>
                <w:sz w:val="24"/>
                <w:szCs w:val="24"/>
                <w:lang w:val="es-CO"/>
              </w:rPr>
              <w:t>concurso de méritos abierto</w:t>
            </w:r>
            <w:r w:rsidRPr="008131FA">
              <w:rPr>
                <w:rFonts w:ascii="Arial" w:eastAsia="Arial" w:hAnsi="Arial" w:cs="Arial"/>
                <w:sz w:val="24"/>
                <w:szCs w:val="24"/>
                <w:lang w:val="es-CO"/>
              </w:rPr>
              <w:t xml:space="preserve"> </w:t>
            </w:r>
            <w:r w:rsidRPr="008131FA">
              <w:rPr>
                <w:rFonts w:ascii="Arial" w:eastAsia="Arial" w:hAnsi="Arial" w:cs="Arial"/>
                <w:sz w:val="24"/>
                <w:szCs w:val="24"/>
                <w:lang w:val="es-CO"/>
              </w:rPr>
              <w:lastRenderedPageBreak/>
              <w:t>(</w:t>
            </w:r>
            <w:r w:rsidRPr="008131FA">
              <w:rPr>
                <w:rFonts w:ascii="Arial" w:eastAsia="Arial" w:hAnsi="Arial" w:cs="Arial"/>
                <w:b/>
                <w:bCs/>
                <w:sz w:val="24"/>
                <w:szCs w:val="24"/>
                <w:lang w:val="es-CO"/>
              </w:rPr>
              <w:t>22,74 %</w:t>
            </w:r>
            <w:r w:rsidRPr="008131FA">
              <w:rPr>
                <w:rFonts w:ascii="Arial" w:eastAsia="Arial" w:hAnsi="Arial" w:cs="Arial"/>
                <w:sz w:val="24"/>
                <w:szCs w:val="24"/>
                <w:lang w:val="es-CO"/>
              </w:rPr>
              <w:t xml:space="preserve">), la </w:t>
            </w:r>
            <w:r w:rsidRPr="008131FA">
              <w:rPr>
                <w:rFonts w:ascii="Arial" w:eastAsia="Arial" w:hAnsi="Arial" w:cs="Arial"/>
                <w:b/>
                <w:bCs/>
                <w:sz w:val="24"/>
                <w:szCs w:val="24"/>
                <w:lang w:val="es-CO"/>
              </w:rPr>
              <w:t>contratación de régimen especial</w:t>
            </w:r>
            <w:r w:rsidRPr="008131FA">
              <w:rPr>
                <w:rFonts w:ascii="Arial" w:eastAsia="Arial" w:hAnsi="Arial" w:cs="Arial"/>
                <w:sz w:val="24"/>
                <w:szCs w:val="24"/>
                <w:lang w:val="es-CO"/>
              </w:rPr>
              <w:t xml:space="preserve"> (</w:t>
            </w:r>
            <w:r w:rsidRPr="008131FA">
              <w:rPr>
                <w:rFonts w:ascii="Arial" w:eastAsia="Arial" w:hAnsi="Arial" w:cs="Arial"/>
                <w:b/>
                <w:bCs/>
                <w:sz w:val="24"/>
                <w:szCs w:val="24"/>
                <w:lang w:val="es-CO"/>
              </w:rPr>
              <w:t>10,4 %</w:t>
            </w:r>
            <w:r w:rsidRPr="008131FA">
              <w:rPr>
                <w:rFonts w:ascii="Arial" w:eastAsia="Arial" w:hAnsi="Arial" w:cs="Arial"/>
                <w:sz w:val="24"/>
                <w:szCs w:val="24"/>
                <w:lang w:val="es-CO"/>
              </w:rPr>
              <w:t xml:space="preserve">), la </w:t>
            </w:r>
            <w:r w:rsidRPr="008131FA">
              <w:rPr>
                <w:rFonts w:ascii="Arial" w:eastAsia="Arial" w:hAnsi="Arial" w:cs="Arial"/>
                <w:b/>
                <w:bCs/>
                <w:sz w:val="24"/>
                <w:szCs w:val="24"/>
                <w:lang w:val="es-CO"/>
              </w:rPr>
              <w:t>contratación directa</w:t>
            </w:r>
            <w:r w:rsidRPr="008131FA">
              <w:rPr>
                <w:rFonts w:ascii="Arial" w:eastAsia="Arial" w:hAnsi="Arial" w:cs="Arial"/>
                <w:sz w:val="24"/>
                <w:szCs w:val="24"/>
                <w:lang w:val="es-CO"/>
              </w:rPr>
              <w:t xml:space="preserve"> (</w:t>
            </w:r>
            <w:r w:rsidRPr="008131FA">
              <w:rPr>
                <w:rFonts w:ascii="Arial" w:eastAsia="Arial" w:hAnsi="Arial" w:cs="Arial"/>
                <w:b/>
                <w:bCs/>
                <w:sz w:val="24"/>
                <w:szCs w:val="24"/>
                <w:lang w:val="es-CO"/>
              </w:rPr>
              <w:t>9,6 %</w:t>
            </w:r>
            <w:r w:rsidRPr="008131FA">
              <w:rPr>
                <w:rFonts w:ascii="Arial" w:eastAsia="Arial" w:hAnsi="Arial" w:cs="Arial"/>
                <w:sz w:val="24"/>
                <w:szCs w:val="24"/>
                <w:lang w:val="es-CO"/>
              </w:rPr>
              <w:t xml:space="preserve">) y la </w:t>
            </w:r>
            <w:r w:rsidRPr="008131FA">
              <w:rPr>
                <w:rFonts w:ascii="Arial" w:eastAsia="Arial" w:hAnsi="Arial" w:cs="Arial"/>
                <w:b/>
                <w:bCs/>
                <w:sz w:val="24"/>
                <w:szCs w:val="24"/>
                <w:lang w:val="es-CO"/>
              </w:rPr>
              <w:t>selección abreviada</w:t>
            </w:r>
            <w:r w:rsidRPr="008131FA">
              <w:rPr>
                <w:rFonts w:ascii="Arial" w:eastAsia="Arial" w:hAnsi="Arial" w:cs="Arial"/>
                <w:sz w:val="24"/>
                <w:szCs w:val="24"/>
                <w:lang w:val="es-CO"/>
              </w:rPr>
              <w:t xml:space="preserve"> (</w:t>
            </w:r>
            <w:r w:rsidRPr="008131FA">
              <w:rPr>
                <w:rFonts w:ascii="Arial" w:eastAsia="Arial" w:hAnsi="Arial" w:cs="Arial"/>
                <w:b/>
                <w:bCs/>
                <w:sz w:val="24"/>
                <w:szCs w:val="24"/>
                <w:lang w:val="es-CO"/>
              </w:rPr>
              <w:t>8,13 %</w:t>
            </w:r>
            <w:r w:rsidRPr="008131FA">
              <w:rPr>
                <w:rFonts w:ascii="Arial" w:eastAsia="Arial" w:hAnsi="Arial" w:cs="Arial"/>
                <w:sz w:val="24"/>
                <w:szCs w:val="24"/>
                <w:lang w:val="es-CO"/>
              </w:rPr>
              <w:t xml:space="preserve">). </w:t>
            </w:r>
          </w:p>
          <w:p w14:paraId="08963C25" w14:textId="77777777" w:rsidR="00B43585" w:rsidRPr="008131FA" w:rsidRDefault="00B43585" w:rsidP="008131FA">
            <w:pPr>
              <w:jc w:val="both"/>
              <w:rPr>
                <w:rFonts w:ascii="Arial" w:eastAsia="Arial" w:hAnsi="Arial" w:cs="Arial"/>
                <w:sz w:val="24"/>
                <w:szCs w:val="24"/>
                <w:lang w:val="es-CO"/>
              </w:rPr>
            </w:pPr>
          </w:p>
          <w:p w14:paraId="42EBDA39" w14:textId="4F3593A1" w:rsidR="008131FA" w:rsidRPr="008131FA" w:rsidRDefault="008131FA" w:rsidP="008131FA">
            <w:pPr>
              <w:jc w:val="both"/>
              <w:rPr>
                <w:rFonts w:ascii="Arial" w:eastAsia="Arial" w:hAnsi="Arial" w:cs="Arial"/>
                <w:sz w:val="24"/>
                <w:szCs w:val="24"/>
                <w:lang w:val="es-CO"/>
              </w:rPr>
            </w:pPr>
            <w:r w:rsidRPr="008131FA">
              <w:rPr>
                <w:rFonts w:ascii="Arial" w:eastAsia="Arial" w:hAnsi="Arial" w:cs="Arial"/>
                <w:sz w:val="24"/>
                <w:szCs w:val="24"/>
                <w:lang w:val="es-CO"/>
              </w:rPr>
              <w:t xml:space="preserve">Aunque la mínima cuantía representa el mayor número de contratos, el </w:t>
            </w:r>
            <w:r w:rsidRPr="008131FA">
              <w:rPr>
                <w:rFonts w:ascii="Arial" w:eastAsia="Arial" w:hAnsi="Arial" w:cs="Arial"/>
                <w:b/>
                <w:bCs/>
                <w:sz w:val="24"/>
                <w:szCs w:val="24"/>
                <w:lang w:val="es-CO"/>
              </w:rPr>
              <w:t>Concurso de Méritos Abierto</w:t>
            </w:r>
            <w:r w:rsidRPr="008131FA">
              <w:rPr>
                <w:rFonts w:ascii="Arial" w:eastAsia="Arial" w:hAnsi="Arial" w:cs="Arial"/>
                <w:sz w:val="24"/>
                <w:szCs w:val="24"/>
                <w:lang w:val="es-CO"/>
              </w:rPr>
              <w:t xml:space="preserve"> constituye la segunda modalidad más utilizada para contratar servicios de consultoría e interventoría</w:t>
            </w:r>
            <w:r w:rsidR="00AF636E">
              <w:rPr>
                <w:rFonts w:ascii="Arial" w:eastAsia="Arial" w:hAnsi="Arial" w:cs="Arial"/>
                <w:sz w:val="24"/>
                <w:szCs w:val="24"/>
                <w:lang w:val="es-CO"/>
              </w:rPr>
              <w:t xml:space="preserve">. </w:t>
            </w:r>
            <w:r w:rsidR="00AF636E" w:rsidRPr="00AF636E">
              <w:rPr>
                <w:rFonts w:ascii="Arial" w:eastAsia="Arial" w:hAnsi="Arial" w:cs="Arial"/>
                <w:sz w:val="24"/>
                <w:szCs w:val="24"/>
                <w:lang w:val="es"/>
              </w:rPr>
              <w:t>Este comportamiento confirma que el Concurso de Méritos constituye la modalidad ordinaria prevista por la legislación colombiana para la contratación de servicios de consultoría e interventoría, razón por la cual resulta consistente con la naturaleza del objeto del presente proceso.</w:t>
            </w:r>
          </w:p>
          <w:p w14:paraId="56ABCC2F" w14:textId="77777777" w:rsidR="001A09F6" w:rsidRDefault="001A09F6" w:rsidP="00DD3830">
            <w:pPr>
              <w:jc w:val="both"/>
              <w:rPr>
                <w:rFonts w:ascii="Arial" w:eastAsia="Arial" w:hAnsi="Arial" w:cs="Arial"/>
                <w:sz w:val="24"/>
                <w:szCs w:val="24"/>
                <w:lang w:val="es-CO"/>
              </w:rPr>
            </w:pPr>
          </w:p>
          <w:p w14:paraId="0DAFA605" w14:textId="2DC87D7D" w:rsidR="00DD3830" w:rsidRDefault="009F0802" w:rsidP="00DD3830">
            <w:pPr>
              <w:widowControl/>
              <w:pBdr>
                <w:top w:val="nil"/>
                <w:left w:val="nil"/>
                <w:bottom w:val="nil"/>
                <w:right w:val="nil"/>
                <w:between w:val="nil"/>
              </w:pBdr>
              <w:jc w:val="both"/>
              <w:rPr>
                <w:rFonts w:ascii="Arial" w:eastAsia="Arial" w:hAnsi="Arial" w:cs="Arial"/>
                <w:sz w:val="24"/>
                <w:szCs w:val="24"/>
                <w:lang w:val="es"/>
              </w:rPr>
            </w:pPr>
            <w:r w:rsidRPr="009F0802">
              <w:rPr>
                <w:rFonts w:ascii="Arial" w:eastAsia="Arial" w:hAnsi="Arial" w:cs="Arial"/>
                <w:sz w:val="24"/>
                <w:szCs w:val="24"/>
                <w:lang w:val="es"/>
              </w:rPr>
              <w:t>Con el fin de complementar el análisis de la oferta, se realizó una consulta al Sistema Integrado de Información Societaria (SIIS) de la Superintendencia de Sociedades, mediante la cual fue posible identificar un universo de 362 pequeñas y medianas empresas clasificadas bajo el código CIIU 7112 – Actividades de ingeniería y otras actividades conexas de consultoría técnica. Esta información evidencia la existencia de un mercado especializado con capacidad técnica y organizacional para atender procesos relacionados con la prestación de servicios de interventoría objeto del presente proceso contractual.</w:t>
            </w:r>
          </w:p>
          <w:p w14:paraId="60B7B506" w14:textId="77777777" w:rsidR="009F0802" w:rsidRDefault="009F0802" w:rsidP="00DD3830">
            <w:pPr>
              <w:widowControl/>
              <w:pBdr>
                <w:top w:val="nil"/>
                <w:left w:val="nil"/>
                <w:bottom w:val="nil"/>
                <w:right w:val="nil"/>
                <w:between w:val="nil"/>
              </w:pBdr>
              <w:jc w:val="both"/>
              <w:rPr>
                <w:rFonts w:ascii="Arial" w:eastAsia="Arial" w:hAnsi="Arial" w:cs="Arial"/>
                <w:color w:val="000000"/>
                <w:sz w:val="24"/>
                <w:szCs w:val="24"/>
                <w:lang w:val="es-CO"/>
              </w:rPr>
            </w:pPr>
          </w:p>
          <w:p w14:paraId="2680BBC0" w14:textId="77777777" w:rsidR="00DD3830" w:rsidRDefault="00DD3830" w:rsidP="00DD3830">
            <w:pPr>
              <w:widowControl/>
              <w:pBdr>
                <w:top w:val="nil"/>
                <w:left w:val="nil"/>
                <w:bottom w:val="nil"/>
                <w:right w:val="nil"/>
                <w:between w:val="nil"/>
              </w:pBdr>
              <w:jc w:val="both"/>
              <w:rPr>
                <w:rFonts w:ascii="Arial" w:eastAsia="Arial" w:hAnsi="Arial" w:cs="Arial"/>
                <w:color w:val="000000"/>
                <w:sz w:val="24"/>
                <w:szCs w:val="24"/>
                <w:lang w:val="es"/>
              </w:rPr>
            </w:pPr>
            <w:r w:rsidRPr="008C2C65">
              <w:rPr>
                <w:rFonts w:ascii="Arial" w:eastAsia="Arial" w:hAnsi="Arial" w:cs="Arial"/>
                <w:color w:val="000000"/>
                <w:sz w:val="24"/>
                <w:szCs w:val="24"/>
                <w:lang w:val="es"/>
              </w:rPr>
              <w:t>Al filtrar la información para el departamento del Valle del Cauca se identificó un número representativo de empresas con domicilio principal en esta jurisdicción, las cuales desarrollan actividades directamente relacionadas con el objeto contractual, lo que evidencia la existencia de oferta regional suficiente para atender este tipo de procesos de selección.</w:t>
            </w:r>
          </w:p>
          <w:p w14:paraId="33AF757D" w14:textId="77777777" w:rsidR="00DD3830" w:rsidRDefault="00DD3830" w:rsidP="00DD3830">
            <w:pPr>
              <w:widowControl/>
              <w:pBdr>
                <w:top w:val="nil"/>
                <w:left w:val="nil"/>
                <w:bottom w:val="nil"/>
                <w:right w:val="nil"/>
                <w:between w:val="nil"/>
              </w:pBdr>
              <w:jc w:val="both"/>
              <w:rPr>
                <w:rFonts w:ascii="Arial" w:eastAsia="Arial" w:hAnsi="Arial" w:cs="Arial"/>
                <w:color w:val="000000"/>
                <w:sz w:val="24"/>
                <w:szCs w:val="24"/>
                <w:lang w:val="es-CO"/>
              </w:rPr>
            </w:pPr>
          </w:p>
          <w:tbl>
            <w:tblPr>
              <w:tblW w:w="4374" w:type="pct"/>
              <w:tblInd w:w="485" w:type="dxa"/>
              <w:tblCellMar>
                <w:left w:w="70" w:type="dxa"/>
                <w:right w:w="70" w:type="dxa"/>
              </w:tblCellMar>
              <w:tblLook w:val="04A0" w:firstRow="1" w:lastRow="0" w:firstColumn="1" w:lastColumn="0" w:noHBand="0" w:noVBand="1"/>
            </w:tblPr>
            <w:tblGrid>
              <w:gridCol w:w="1443"/>
              <w:gridCol w:w="4216"/>
              <w:gridCol w:w="2421"/>
            </w:tblGrid>
            <w:tr w:rsidR="00DD3830" w:rsidRPr="005C47F2" w14:paraId="0EF2641B" w14:textId="77777777" w:rsidTr="002933B9">
              <w:trPr>
                <w:trHeight w:val="340"/>
              </w:trPr>
              <w:tc>
                <w:tcPr>
                  <w:tcW w:w="893" w:type="pct"/>
                  <w:tcBorders>
                    <w:top w:val="single" w:sz="8" w:space="0" w:color="000000"/>
                    <w:left w:val="single" w:sz="8" w:space="0" w:color="000000"/>
                    <w:bottom w:val="single" w:sz="8" w:space="0" w:color="000000"/>
                    <w:right w:val="single" w:sz="8" w:space="0" w:color="000000"/>
                  </w:tcBorders>
                  <w:vAlign w:val="center"/>
                  <w:hideMark/>
                </w:tcPr>
                <w:p w14:paraId="6D3B13D9" w14:textId="77777777" w:rsidR="00DD3830" w:rsidRPr="005C47F2" w:rsidRDefault="00DD3830" w:rsidP="00DD3830">
                  <w:pPr>
                    <w:jc w:val="center"/>
                    <w:rPr>
                      <w:rFonts w:ascii="Arial" w:hAnsi="Arial" w:cs="Arial"/>
                      <w:b/>
                      <w:bCs/>
                      <w:color w:val="000000"/>
                      <w:lang w:val="es-CO"/>
                    </w:rPr>
                  </w:pPr>
                  <w:r w:rsidRPr="005C47F2">
                    <w:rPr>
                      <w:rFonts w:ascii="Arial" w:eastAsia="Arial" w:hAnsi="Arial" w:cs="Arial"/>
                      <w:b/>
                      <w:bCs/>
                      <w:color w:val="000000"/>
                      <w:lang w:val="es-ES"/>
                    </w:rPr>
                    <w:t>NIT</w:t>
                  </w:r>
                </w:p>
              </w:tc>
              <w:tc>
                <w:tcPr>
                  <w:tcW w:w="2609" w:type="pct"/>
                  <w:tcBorders>
                    <w:top w:val="single" w:sz="8" w:space="0" w:color="000000"/>
                    <w:left w:val="nil"/>
                    <w:bottom w:val="single" w:sz="8" w:space="0" w:color="000000"/>
                    <w:right w:val="single" w:sz="8" w:space="0" w:color="000000"/>
                  </w:tcBorders>
                  <w:vAlign w:val="center"/>
                  <w:hideMark/>
                </w:tcPr>
                <w:p w14:paraId="0E756B10" w14:textId="77777777" w:rsidR="00DD3830" w:rsidRPr="005C47F2" w:rsidRDefault="00DD3830" w:rsidP="00DD3830">
                  <w:pPr>
                    <w:jc w:val="center"/>
                    <w:rPr>
                      <w:rFonts w:ascii="Arial" w:hAnsi="Arial" w:cs="Arial"/>
                      <w:b/>
                      <w:bCs/>
                      <w:color w:val="000000"/>
                      <w:lang w:val="es-CO"/>
                    </w:rPr>
                  </w:pPr>
                  <w:r w:rsidRPr="005C47F2">
                    <w:rPr>
                      <w:rFonts w:ascii="Arial" w:eastAsia="Arial" w:hAnsi="Arial" w:cs="Arial"/>
                      <w:b/>
                      <w:bCs/>
                      <w:color w:val="000000"/>
                      <w:lang w:val="es-CO"/>
                    </w:rPr>
                    <w:t>RAZÓN SOCIAL DE LA SOCIEDAD</w:t>
                  </w:r>
                </w:p>
              </w:tc>
              <w:tc>
                <w:tcPr>
                  <w:tcW w:w="1498" w:type="pct"/>
                  <w:tcBorders>
                    <w:top w:val="single" w:sz="8" w:space="0" w:color="000000"/>
                    <w:left w:val="nil"/>
                    <w:bottom w:val="single" w:sz="8" w:space="0" w:color="000000"/>
                    <w:right w:val="single" w:sz="8" w:space="0" w:color="000000"/>
                  </w:tcBorders>
                  <w:vAlign w:val="center"/>
                  <w:hideMark/>
                </w:tcPr>
                <w:p w14:paraId="499908C6" w14:textId="77777777" w:rsidR="00DD3830" w:rsidRPr="005C47F2" w:rsidRDefault="00DD3830" w:rsidP="00DD3830">
                  <w:pPr>
                    <w:jc w:val="center"/>
                    <w:rPr>
                      <w:rFonts w:ascii="Arial" w:hAnsi="Arial" w:cs="Arial"/>
                      <w:b/>
                      <w:bCs/>
                      <w:color w:val="000000"/>
                      <w:lang w:val="es-CO"/>
                    </w:rPr>
                  </w:pPr>
                  <w:r w:rsidRPr="005C47F2">
                    <w:rPr>
                      <w:rFonts w:ascii="Arial" w:eastAsia="Arial" w:hAnsi="Arial" w:cs="Arial"/>
                      <w:b/>
                      <w:bCs/>
                      <w:color w:val="000000"/>
                      <w:lang w:val="es-ES"/>
                    </w:rPr>
                    <w:t>DEPARTAMENTO DE DOMICILIO</w:t>
                  </w:r>
                </w:p>
              </w:tc>
            </w:tr>
            <w:tr w:rsidR="00DD3830" w:rsidRPr="005C47F2" w14:paraId="1A7DA8EF"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03F720ED"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890322204</w:t>
                  </w:r>
                </w:p>
              </w:tc>
              <w:tc>
                <w:tcPr>
                  <w:tcW w:w="2609" w:type="pct"/>
                  <w:tcBorders>
                    <w:top w:val="nil"/>
                    <w:left w:val="nil"/>
                    <w:bottom w:val="single" w:sz="8" w:space="0" w:color="000000"/>
                    <w:right w:val="single" w:sz="8" w:space="0" w:color="000000"/>
                  </w:tcBorders>
                  <w:vAlign w:val="center"/>
                  <w:hideMark/>
                </w:tcPr>
                <w:p w14:paraId="3AB6D1A8"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BOBINADOS TECNICOS INGENIERIA SA</w:t>
                  </w:r>
                </w:p>
              </w:tc>
              <w:tc>
                <w:tcPr>
                  <w:tcW w:w="1498" w:type="pct"/>
                  <w:tcBorders>
                    <w:top w:val="nil"/>
                    <w:left w:val="nil"/>
                    <w:bottom w:val="single" w:sz="8" w:space="0" w:color="000000"/>
                    <w:right w:val="single" w:sz="8" w:space="0" w:color="000000"/>
                  </w:tcBorders>
                  <w:vAlign w:val="center"/>
                  <w:hideMark/>
                </w:tcPr>
                <w:p w14:paraId="1295DE4B"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1ECD3967"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61C68973"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900126534</w:t>
                  </w:r>
                </w:p>
              </w:tc>
              <w:tc>
                <w:tcPr>
                  <w:tcW w:w="2609" w:type="pct"/>
                  <w:tcBorders>
                    <w:top w:val="nil"/>
                    <w:left w:val="nil"/>
                    <w:bottom w:val="single" w:sz="8" w:space="0" w:color="000000"/>
                    <w:right w:val="single" w:sz="8" w:space="0" w:color="000000"/>
                  </w:tcBorders>
                  <w:vAlign w:val="center"/>
                  <w:hideMark/>
                </w:tcPr>
                <w:p w14:paraId="1893FC90"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CEDING SAS</w:t>
                  </w:r>
                </w:p>
              </w:tc>
              <w:tc>
                <w:tcPr>
                  <w:tcW w:w="1498" w:type="pct"/>
                  <w:tcBorders>
                    <w:top w:val="nil"/>
                    <w:left w:val="nil"/>
                    <w:bottom w:val="single" w:sz="8" w:space="0" w:color="000000"/>
                    <w:right w:val="single" w:sz="8" w:space="0" w:color="000000"/>
                  </w:tcBorders>
                  <w:vAlign w:val="center"/>
                  <w:hideMark/>
                </w:tcPr>
                <w:p w14:paraId="004CD67D"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308132A7"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421FDC8A"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805009710</w:t>
                  </w:r>
                </w:p>
              </w:tc>
              <w:tc>
                <w:tcPr>
                  <w:tcW w:w="2609" w:type="pct"/>
                  <w:tcBorders>
                    <w:top w:val="nil"/>
                    <w:left w:val="nil"/>
                    <w:bottom w:val="single" w:sz="8" w:space="0" w:color="000000"/>
                    <w:right w:val="single" w:sz="8" w:space="0" w:color="000000"/>
                  </w:tcBorders>
                  <w:vAlign w:val="center"/>
                  <w:hideMark/>
                </w:tcPr>
                <w:p w14:paraId="5B5C843B"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CO"/>
                    </w:rPr>
                    <w:t>CIM COMPAÑIA DE INGENIERIA Y MONTAJES SAS</w:t>
                  </w:r>
                </w:p>
              </w:tc>
              <w:tc>
                <w:tcPr>
                  <w:tcW w:w="1498" w:type="pct"/>
                  <w:tcBorders>
                    <w:top w:val="nil"/>
                    <w:left w:val="nil"/>
                    <w:bottom w:val="single" w:sz="8" w:space="0" w:color="000000"/>
                    <w:right w:val="single" w:sz="8" w:space="0" w:color="000000"/>
                  </w:tcBorders>
                  <w:vAlign w:val="center"/>
                  <w:hideMark/>
                </w:tcPr>
                <w:p w14:paraId="0749AD12"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37088D14"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67810376"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900570187</w:t>
                  </w:r>
                </w:p>
              </w:tc>
              <w:tc>
                <w:tcPr>
                  <w:tcW w:w="2609" w:type="pct"/>
                  <w:tcBorders>
                    <w:top w:val="nil"/>
                    <w:left w:val="nil"/>
                    <w:bottom w:val="single" w:sz="8" w:space="0" w:color="000000"/>
                    <w:right w:val="single" w:sz="8" w:space="0" w:color="000000"/>
                  </w:tcBorders>
                  <w:vAlign w:val="center"/>
                  <w:hideMark/>
                </w:tcPr>
                <w:p w14:paraId="5B6EBB0E"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CONPANCOL INGENIEROS CONSTRUCTORES SAS</w:t>
                  </w:r>
                </w:p>
              </w:tc>
              <w:tc>
                <w:tcPr>
                  <w:tcW w:w="1498" w:type="pct"/>
                  <w:tcBorders>
                    <w:top w:val="nil"/>
                    <w:left w:val="nil"/>
                    <w:bottom w:val="single" w:sz="8" w:space="0" w:color="000000"/>
                    <w:right w:val="single" w:sz="8" w:space="0" w:color="000000"/>
                  </w:tcBorders>
                  <w:vAlign w:val="center"/>
                  <w:hideMark/>
                </w:tcPr>
                <w:p w14:paraId="420AE539"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2D02A94D"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5E191C25"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900071212</w:t>
                  </w:r>
                </w:p>
              </w:tc>
              <w:tc>
                <w:tcPr>
                  <w:tcW w:w="2609" w:type="pct"/>
                  <w:tcBorders>
                    <w:top w:val="nil"/>
                    <w:left w:val="nil"/>
                    <w:bottom w:val="single" w:sz="8" w:space="0" w:color="000000"/>
                    <w:right w:val="single" w:sz="8" w:space="0" w:color="000000"/>
                  </w:tcBorders>
                  <w:vAlign w:val="center"/>
                  <w:hideMark/>
                </w:tcPr>
                <w:p w14:paraId="04599628"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CONSTRUCTORA DOMUS SAS</w:t>
                  </w:r>
                </w:p>
              </w:tc>
              <w:tc>
                <w:tcPr>
                  <w:tcW w:w="1498" w:type="pct"/>
                  <w:tcBorders>
                    <w:top w:val="nil"/>
                    <w:left w:val="nil"/>
                    <w:bottom w:val="single" w:sz="8" w:space="0" w:color="000000"/>
                    <w:right w:val="single" w:sz="8" w:space="0" w:color="000000"/>
                  </w:tcBorders>
                  <w:vAlign w:val="center"/>
                  <w:hideMark/>
                </w:tcPr>
                <w:p w14:paraId="7BE2206B"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7FE222CB"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5A25AF56"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805030943</w:t>
                  </w:r>
                </w:p>
              </w:tc>
              <w:tc>
                <w:tcPr>
                  <w:tcW w:w="2609" w:type="pct"/>
                  <w:tcBorders>
                    <w:top w:val="nil"/>
                    <w:left w:val="nil"/>
                    <w:bottom w:val="single" w:sz="8" w:space="0" w:color="000000"/>
                    <w:right w:val="single" w:sz="8" w:space="0" w:color="000000"/>
                  </w:tcBorders>
                  <w:vAlign w:val="center"/>
                  <w:hideMark/>
                </w:tcPr>
                <w:p w14:paraId="72C45134"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CONSTRUCTORA PALMETTO S.A.</w:t>
                  </w:r>
                </w:p>
              </w:tc>
              <w:tc>
                <w:tcPr>
                  <w:tcW w:w="1498" w:type="pct"/>
                  <w:tcBorders>
                    <w:top w:val="nil"/>
                    <w:left w:val="nil"/>
                    <w:bottom w:val="single" w:sz="8" w:space="0" w:color="000000"/>
                    <w:right w:val="single" w:sz="8" w:space="0" w:color="000000"/>
                  </w:tcBorders>
                  <w:vAlign w:val="center"/>
                  <w:hideMark/>
                </w:tcPr>
                <w:p w14:paraId="706C255C"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6763BE13"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215DC700"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890300498</w:t>
                  </w:r>
                </w:p>
              </w:tc>
              <w:tc>
                <w:tcPr>
                  <w:tcW w:w="2609" w:type="pct"/>
                  <w:tcBorders>
                    <w:top w:val="nil"/>
                    <w:left w:val="nil"/>
                    <w:bottom w:val="single" w:sz="8" w:space="0" w:color="000000"/>
                    <w:right w:val="single" w:sz="8" w:space="0" w:color="000000"/>
                  </w:tcBorders>
                  <w:vAlign w:val="center"/>
                  <w:hideMark/>
                </w:tcPr>
                <w:p w14:paraId="25A80B37"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CO"/>
                    </w:rPr>
                    <w:t>CONSULTANTE PANAMERICANA DE COLOMBIA SAS</w:t>
                  </w:r>
                </w:p>
              </w:tc>
              <w:tc>
                <w:tcPr>
                  <w:tcW w:w="1498" w:type="pct"/>
                  <w:tcBorders>
                    <w:top w:val="nil"/>
                    <w:left w:val="nil"/>
                    <w:bottom w:val="single" w:sz="8" w:space="0" w:color="000000"/>
                    <w:right w:val="single" w:sz="8" w:space="0" w:color="000000"/>
                  </w:tcBorders>
                  <w:vAlign w:val="center"/>
                  <w:hideMark/>
                </w:tcPr>
                <w:p w14:paraId="3AC30A02"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012A7C4B"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787FC673"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lastRenderedPageBreak/>
                    <w:t>800122811</w:t>
                  </w:r>
                </w:p>
              </w:tc>
              <w:tc>
                <w:tcPr>
                  <w:tcW w:w="2609" w:type="pct"/>
                  <w:tcBorders>
                    <w:top w:val="nil"/>
                    <w:left w:val="nil"/>
                    <w:bottom w:val="single" w:sz="8" w:space="0" w:color="000000"/>
                    <w:right w:val="single" w:sz="8" w:space="0" w:color="000000"/>
                  </w:tcBorders>
                  <w:vAlign w:val="center"/>
                  <w:hideMark/>
                </w:tcPr>
                <w:p w14:paraId="58ED2B07"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COTEL SAS</w:t>
                  </w:r>
                </w:p>
              </w:tc>
              <w:tc>
                <w:tcPr>
                  <w:tcW w:w="1498" w:type="pct"/>
                  <w:tcBorders>
                    <w:top w:val="nil"/>
                    <w:left w:val="nil"/>
                    <w:bottom w:val="single" w:sz="8" w:space="0" w:color="000000"/>
                    <w:right w:val="single" w:sz="8" w:space="0" w:color="000000"/>
                  </w:tcBorders>
                  <w:vAlign w:val="center"/>
                  <w:hideMark/>
                </w:tcPr>
                <w:p w14:paraId="1D98921F"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65BFA30A"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55EEF23B"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805023990</w:t>
                  </w:r>
                </w:p>
              </w:tc>
              <w:tc>
                <w:tcPr>
                  <w:tcW w:w="2609" w:type="pct"/>
                  <w:tcBorders>
                    <w:top w:val="nil"/>
                    <w:left w:val="nil"/>
                    <w:bottom w:val="single" w:sz="8" w:space="0" w:color="000000"/>
                    <w:right w:val="single" w:sz="8" w:space="0" w:color="000000"/>
                  </w:tcBorders>
                  <w:vAlign w:val="center"/>
                  <w:hideMark/>
                </w:tcPr>
                <w:p w14:paraId="4ACFA8FC"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DECISIONES SOLIDAS SAS</w:t>
                  </w:r>
                </w:p>
              </w:tc>
              <w:tc>
                <w:tcPr>
                  <w:tcW w:w="1498" w:type="pct"/>
                  <w:tcBorders>
                    <w:top w:val="nil"/>
                    <w:left w:val="nil"/>
                    <w:bottom w:val="single" w:sz="8" w:space="0" w:color="000000"/>
                    <w:right w:val="single" w:sz="8" w:space="0" w:color="000000"/>
                  </w:tcBorders>
                  <w:vAlign w:val="center"/>
                  <w:hideMark/>
                </w:tcPr>
                <w:p w14:paraId="1B92B1E7"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5C936B08"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03DE9259"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800166199</w:t>
                  </w:r>
                </w:p>
              </w:tc>
              <w:tc>
                <w:tcPr>
                  <w:tcW w:w="2609" w:type="pct"/>
                  <w:tcBorders>
                    <w:top w:val="nil"/>
                    <w:left w:val="nil"/>
                    <w:bottom w:val="single" w:sz="8" w:space="0" w:color="000000"/>
                    <w:right w:val="single" w:sz="8" w:space="0" w:color="000000"/>
                  </w:tcBorders>
                  <w:vAlign w:val="center"/>
                  <w:hideMark/>
                </w:tcPr>
                <w:p w14:paraId="0CA12066"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DELTEC SA</w:t>
                  </w:r>
                </w:p>
              </w:tc>
              <w:tc>
                <w:tcPr>
                  <w:tcW w:w="1498" w:type="pct"/>
                  <w:tcBorders>
                    <w:top w:val="nil"/>
                    <w:left w:val="nil"/>
                    <w:bottom w:val="single" w:sz="8" w:space="0" w:color="000000"/>
                    <w:right w:val="single" w:sz="8" w:space="0" w:color="000000"/>
                  </w:tcBorders>
                  <w:vAlign w:val="center"/>
                  <w:hideMark/>
                </w:tcPr>
                <w:p w14:paraId="1C64A826"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4BCF4169"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1E7DF8B6"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800003429</w:t>
                  </w:r>
                </w:p>
              </w:tc>
              <w:tc>
                <w:tcPr>
                  <w:tcW w:w="2609" w:type="pct"/>
                  <w:tcBorders>
                    <w:top w:val="nil"/>
                    <w:left w:val="nil"/>
                    <w:bottom w:val="single" w:sz="8" w:space="0" w:color="000000"/>
                    <w:right w:val="single" w:sz="8" w:space="0" w:color="000000"/>
                  </w:tcBorders>
                  <w:vAlign w:val="center"/>
                  <w:hideMark/>
                </w:tcPr>
                <w:p w14:paraId="61BB19AF"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CO"/>
                    </w:rPr>
                    <w:t>DIEGO MEJIA JARAMILLO Y CIA S EN CA</w:t>
                  </w:r>
                </w:p>
              </w:tc>
              <w:tc>
                <w:tcPr>
                  <w:tcW w:w="1498" w:type="pct"/>
                  <w:tcBorders>
                    <w:top w:val="nil"/>
                    <w:left w:val="nil"/>
                    <w:bottom w:val="single" w:sz="8" w:space="0" w:color="000000"/>
                    <w:right w:val="single" w:sz="8" w:space="0" w:color="000000"/>
                  </w:tcBorders>
                  <w:vAlign w:val="center"/>
                  <w:hideMark/>
                </w:tcPr>
                <w:p w14:paraId="61D537EC"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661C50C5"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690D2977"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900198610</w:t>
                  </w:r>
                </w:p>
              </w:tc>
              <w:tc>
                <w:tcPr>
                  <w:tcW w:w="2609" w:type="pct"/>
                  <w:tcBorders>
                    <w:top w:val="nil"/>
                    <w:left w:val="nil"/>
                    <w:bottom w:val="single" w:sz="8" w:space="0" w:color="000000"/>
                    <w:right w:val="single" w:sz="8" w:space="0" w:color="000000"/>
                  </w:tcBorders>
                  <w:vAlign w:val="center"/>
                  <w:hideMark/>
                </w:tcPr>
                <w:p w14:paraId="38FCAFA5"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EI&amp;T INGENIERIA SAS</w:t>
                  </w:r>
                </w:p>
              </w:tc>
              <w:tc>
                <w:tcPr>
                  <w:tcW w:w="1498" w:type="pct"/>
                  <w:tcBorders>
                    <w:top w:val="nil"/>
                    <w:left w:val="nil"/>
                    <w:bottom w:val="single" w:sz="8" w:space="0" w:color="000000"/>
                    <w:right w:val="single" w:sz="8" w:space="0" w:color="000000"/>
                  </w:tcBorders>
                  <w:vAlign w:val="center"/>
                  <w:hideMark/>
                </w:tcPr>
                <w:p w14:paraId="50EB189E"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27FA56D8"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67537A91"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900281759</w:t>
                  </w:r>
                </w:p>
              </w:tc>
              <w:tc>
                <w:tcPr>
                  <w:tcW w:w="2609" w:type="pct"/>
                  <w:tcBorders>
                    <w:top w:val="nil"/>
                    <w:left w:val="nil"/>
                    <w:bottom w:val="single" w:sz="8" w:space="0" w:color="000000"/>
                    <w:right w:val="single" w:sz="8" w:space="0" w:color="000000"/>
                  </w:tcBorders>
                  <w:vAlign w:val="center"/>
                  <w:hideMark/>
                </w:tcPr>
                <w:p w14:paraId="08920730"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CO"/>
                    </w:rPr>
                    <w:t>ENERGIA, TELECOMUNICACIONES Y FIBRA OPTICA ENTELFO CIA LTDA</w:t>
                  </w:r>
                </w:p>
              </w:tc>
              <w:tc>
                <w:tcPr>
                  <w:tcW w:w="1498" w:type="pct"/>
                  <w:tcBorders>
                    <w:top w:val="nil"/>
                    <w:left w:val="nil"/>
                    <w:bottom w:val="single" w:sz="8" w:space="0" w:color="000000"/>
                    <w:right w:val="single" w:sz="8" w:space="0" w:color="000000"/>
                  </w:tcBorders>
                  <w:vAlign w:val="center"/>
                  <w:hideMark/>
                </w:tcPr>
                <w:p w14:paraId="652A6F3D"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1F490E7B"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49E27496"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900180705</w:t>
                  </w:r>
                </w:p>
              </w:tc>
              <w:tc>
                <w:tcPr>
                  <w:tcW w:w="2609" w:type="pct"/>
                  <w:tcBorders>
                    <w:top w:val="nil"/>
                    <w:left w:val="nil"/>
                    <w:bottom w:val="single" w:sz="8" w:space="0" w:color="000000"/>
                    <w:right w:val="single" w:sz="8" w:space="0" w:color="000000"/>
                  </w:tcBorders>
                  <w:vAlign w:val="center"/>
                  <w:hideMark/>
                </w:tcPr>
                <w:p w14:paraId="0F9F6959"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FEM INGENIERIA SAS</w:t>
                  </w:r>
                </w:p>
              </w:tc>
              <w:tc>
                <w:tcPr>
                  <w:tcW w:w="1498" w:type="pct"/>
                  <w:tcBorders>
                    <w:top w:val="nil"/>
                    <w:left w:val="nil"/>
                    <w:bottom w:val="single" w:sz="8" w:space="0" w:color="000000"/>
                    <w:right w:val="single" w:sz="8" w:space="0" w:color="000000"/>
                  </w:tcBorders>
                  <w:vAlign w:val="center"/>
                  <w:hideMark/>
                </w:tcPr>
                <w:p w14:paraId="7199406A"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5F6A09DB"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50BD54C8"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900341789</w:t>
                  </w:r>
                </w:p>
              </w:tc>
              <w:tc>
                <w:tcPr>
                  <w:tcW w:w="2609" w:type="pct"/>
                  <w:tcBorders>
                    <w:top w:val="nil"/>
                    <w:left w:val="nil"/>
                    <w:bottom w:val="single" w:sz="8" w:space="0" w:color="000000"/>
                    <w:right w:val="single" w:sz="8" w:space="0" w:color="000000"/>
                  </w:tcBorders>
                  <w:vAlign w:val="center"/>
                  <w:hideMark/>
                </w:tcPr>
                <w:p w14:paraId="0A6A5D2B"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CO"/>
                    </w:rPr>
                    <w:t>GESTION-ASESORIA Y DIESEÑO DE PROYECTOS SAS</w:t>
                  </w:r>
                </w:p>
              </w:tc>
              <w:tc>
                <w:tcPr>
                  <w:tcW w:w="1498" w:type="pct"/>
                  <w:tcBorders>
                    <w:top w:val="nil"/>
                    <w:left w:val="nil"/>
                    <w:bottom w:val="single" w:sz="8" w:space="0" w:color="000000"/>
                    <w:right w:val="single" w:sz="8" w:space="0" w:color="000000"/>
                  </w:tcBorders>
                  <w:vAlign w:val="center"/>
                  <w:hideMark/>
                </w:tcPr>
                <w:p w14:paraId="2D84EC4D"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04AE8F67"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02090622"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805012758</w:t>
                  </w:r>
                </w:p>
              </w:tc>
              <w:tc>
                <w:tcPr>
                  <w:tcW w:w="2609" w:type="pct"/>
                  <w:tcBorders>
                    <w:top w:val="nil"/>
                    <w:left w:val="nil"/>
                    <w:bottom w:val="single" w:sz="8" w:space="0" w:color="000000"/>
                    <w:right w:val="single" w:sz="8" w:space="0" w:color="000000"/>
                  </w:tcBorders>
                  <w:vAlign w:val="center"/>
                  <w:hideMark/>
                </w:tcPr>
                <w:p w14:paraId="2F3CE539"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GIRALDO &amp; SALAZAR ARQUITECTOS LTDA</w:t>
                  </w:r>
                </w:p>
              </w:tc>
              <w:tc>
                <w:tcPr>
                  <w:tcW w:w="1498" w:type="pct"/>
                  <w:tcBorders>
                    <w:top w:val="nil"/>
                    <w:left w:val="nil"/>
                    <w:bottom w:val="single" w:sz="8" w:space="0" w:color="000000"/>
                    <w:right w:val="single" w:sz="8" w:space="0" w:color="000000"/>
                  </w:tcBorders>
                  <w:vAlign w:val="center"/>
                  <w:hideMark/>
                </w:tcPr>
                <w:p w14:paraId="4E328F41"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4A7F89C1"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37C00D47"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805017818</w:t>
                  </w:r>
                </w:p>
              </w:tc>
              <w:tc>
                <w:tcPr>
                  <w:tcW w:w="2609" w:type="pct"/>
                  <w:tcBorders>
                    <w:top w:val="nil"/>
                    <w:left w:val="nil"/>
                    <w:bottom w:val="single" w:sz="8" w:space="0" w:color="000000"/>
                    <w:right w:val="single" w:sz="8" w:space="0" w:color="000000"/>
                  </w:tcBorders>
                  <w:vAlign w:val="center"/>
                  <w:hideMark/>
                </w:tcPr>
                <w:p w14:paraId="5DCA32BC"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GRIVAN INGENIERIA S.A.</w:t>
                  </w:r>
                </w:p>
              </w:tc>
              <w:tc>
                <w:tcPr>
                  <w:tcW w:w="1498" w:type="pct"/>
                  <w:tcBorders>
                    <w:top w:val="nil"/>
                    <w:left w:val="nil"/>
                    <w:bottom w:val="single" w:sz="8" w:space="0" w:color="000000"/>
                    <w:right w:val="single" w:sz="8" w:space="0" w:color="000000"/>
                  </w:tcBorders>
                  <w:vAlign w:val="center"/>
                  <w:hideMark/>
                </w:tcPr>
                <w:p w14:paraId="31093D40"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1AE8F609"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19D49239"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890329022</w:t>
                  </w:r>
                </w:p>
              </w:tc>
              <w:tc>
                <w:tcPr>
                  <w:tcW w:w="2609" w:type="pct"/>
                  <w:tcBorders>
                    <w:top w:val="nil"/>
                    <w:left w:val="nil"/>
                    <w:bottom w:val="single" w:sz="8" w:space="0" w:color="000000"/>
                    <w:right w:val="single" w:sz="8" w:space="0" w:color="000000"/>
                  </w:tcBorders>
                  <w:vAlign w:val="center"/>
                  <w:hideMark/>
                </w:tcPr>
                <w:p w14:paraId="0AFA57C5"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ISE INGENIERIA SAS</w:t>
                  </w:r>
                </w:p>
              </w:tc>
              <w:tc>
                <w:tcPr>
                  <w:tcW w:w="1498" w:type="pct"/>
                  <w:tcBorders>
                    <w:top w:val="nil"/>
                    <w:left w:val="nil"/>
                    <w:bottom w:val="single" w:sz="8" w:space="0" w:color="000000"/>
                    <w:right w:val="single" w:sz="8" w:space="0" w:color="000000"/>
                  </w:tcBorders>
                  <w:vAlign w:val="center"/>
                  <w:hideMark/>
                </w:tcPr>
                <w:p w14:paraId="4105E9D9"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0E3444D6"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763386B1"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800252568</w:t>
                  </w:r>
                </w:p>
              </w:tc>
              <w:tc>
                <w:tcPr>
                  <w:tcW w:w="2609" w:type="pct"/>
                  <w:tcBorders>
                    <w:top w:val="nil"/>
                    <w:left w:val="nil"/>
                    <w:bottom w:val="single" w:sz="8" w:space="0" w:color="000000"/>
                    <w:right w:val="single" w:sz="8" w:space="0" w:color="000000"/>
                  </w:tcBorders>
                  <w:vAlign w:val="center"/>
                  <w:hideMark/>
                </w:tcPr>
                <w:p w14:paraId="31C322D2"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KAMATI LIMITADA</w:t>
                  </w:r>
                </w:p>
              </w:tc>
              <w:tc>
                <w:tcPr>
                  <w:tcW w:w="1498" w:type="pct"/>
                  <w:tcBorders>
                    <w:top w:val="nil"/>
                    <w:left w:val="nil"/>
                    <w:bottom w:val="single" w:sz="8" w:space="0" w:color="000000"/>
                    <w:right w:val="single" w:sz="8" w:space="0" w:color="000000"/>
                  </w:tcBorders>
                  <w:vAlign w:val="center"/>
                  <w:hideMark/>
                </w:tcPr>
                <w:p w14:paraId="261BA922"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06D6174D"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06418429"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800172544</w:t>
                  </w:r>
                </w:p>
              </w:tc>
              <w:tc>
                <w:tcPr>
                  <w:tcW w:w="2609" w:type="pct"/>
                  <w:tcBorders>
                    <w:top w:val="nil"/>
                    <w:left w:val="nil"/>
                    <w:bottom w:val="single" w:sz="8" w:space="0" w:color="000000"/>
                    <w:right w:val="single" w:sz="8" w:space="0" w:color="000000"/>
                  </w:tcBorders>
                  <w:vAlign w:val="center"/>
                  <w:hideMark/>
                </w:tcPr>
                <w:p w14:paraId="1A77D823"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CO"/>
                    </w:rPr>
                    <w:t>MONTAJES DE INGENIERIA DE COLOMBIA MICOL SA</w:t>
                  </w:r>
                </w:p>
              </w:tc>
              <w:tc>
                <w:tcPr>
                  <w:tcW w:w="1498" w:type="pct"/>
                  <w:tcBorders>
                    <w:top w:val="nil"/>
                    <w:left w:val="nil"/>
                    <w:bottom w:val="single" w:sz="8" w:space="0" w:color="000000"/>
                    <w:right w:val="single" w:sz="8" w:space="0" w:color="000000"/>
                  </w:tcBorders>
                  <w:vAlign w:val="center"/>
                  <w:hideMark/>
                </w:tcPr>
                <w:p w14:paraId="02AB75E2"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254F2105"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5E48A14A"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891500627</w:t>
                  </w:r>
                </w:p>
              </w:tc>
              <w:tc>
                <w:tcPr>
                  <w:tcW w:w="2609" w:type="pct"/>
                  <w:tcBorders>
                    <w:top w:val="nil"/>
                    <w:left w:val="nil"/>
                    <w:bottom w:val="single" w:sz="8" w:space="0" w:color="000000"/>
                    <w:right w:val="single" w:sz="8" w:space="0" w:color="000000"/>
                  </w:tcBorders>
                  <w:vAlign w:val="center"/>
                  <w:hideMark/>
                </w:tcPr>
                <w:p w14:paraId="23608D2F" w14:textId="77777777" w:rsidR="00DD3830" w:rsidRPr="005C47F2" w:rsidRDefault="00DD3830" w:rsidP="00DD3830">
                  <w:pPr>
                    <w:rPr>
                      <w:rFonts w:ascii="Arial" w:hAnsi="Arial" w:cs="Arial"/>
                      <w:color w:val="000000"/>
                      <w:lang w:val="pt-PT"/>
                    </w:rPr>
                  </w:pPr>
                  <w:r w:rsidRPr="005C47F2">
                    <w:rPr>
                      <w:rFonts w:ascii="Arial" w:eastAsia="Arial" w:hAnsi="Arial" w:cs="Arial"/>
                      <w:color w:val="000000"/>
                      <w:lang w:val="pt-PT"/>
                    </w:rPr>
                    <w:t>PAULO EMILIO BRAVO CONSULTORES SAS</w:t>
                  </w:r>
                </w:p>
              </w:tc>
              <w:tc>
                <w:tcPr>
                  <w:tcW w:w="1498" w:type="pct"/>
                  <w:tcBorders>
                    <w:top w:val="nil"/>
                    <w:left w:val="nil"/>
                    <w:bottom w:val="single" w:sz="8" w:space="0" w:color="000000"/>
                    <w:right w:val="single" w:sz="8" w:space="0" w:color="000000"/>
                  </w:tcBorders>
                  <w:vAlign w:val="center"/>
                  <w:hideMark/>
                </w:tcPr>
                <w:p w14:paraId="4A15118D"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0A035F14"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67B28BA4"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890303126</w:t>
                  </w:r>
                </w:p>
              </w:tc>
              <w:tc>
                <w:tcPr>
                  <w:tcW w:w="2609" w:type="pct"/>
                  <w:tcBorders>
                    <w:top w:val="nil"/>
                    <w:left w:val="nil"/>
                    <w:bottom w:val="single" w:sz="8" w:space="0" w:color="000000"/>
                    <w:right w:val="single" w:sz="8" w:space="0" w:color="000000"/>
                  </w:tcBorders>
                  <w:vAlign w:val="center"/>
                  <w:hideMark/>
                </w:tcPr>
                <w:p w14:paraId="47A3EFB7"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PLANES SAS</w:t>
                  </w:r>
                </w:p>
              </w:tc>
              <w:tc>
                <w:tcPr>
                  <w:tcW w:w="1498" w:type="pct"/>
                  <w:tcBorders>
                    <w:top w:val="nil"/>
                    <w:left w:val="nil"/>
                    <w:bottom w:val="single" w:sz="8" w:space="0" w:color="000000"/>
                    <w:right w:val="single" w:sz="8" w:space="0" w:color="000000"/>
                  </w:tcBorders>
                  <w:vAlign w:val="center"/>
                  <w:hideMark/>
                </w:tcPr>
                <w:p w14:paraId="773010D9"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1D6065C5"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3E633AB0"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900196947</w:t>
                  </w:r>
                </w:p>
              </w:tc>
              <w:tc>
                <w:tcPr>
                  <w:tcW w:w="2609" w:type="pct"/>
                  <w:tcBorders>
                    <w:top w:val="nil"/>
                    <w:left w:val="nil"/>
                    <w:bottom w:val="single" w:sz="8" w:space="0" w:color="000000"/>
                    <w:right w:val="single" w:sz="8" w:space="0" w:color="000000"/>
                  </w:tcBorders>
                  <w:vAlign w:val="center"/>
                  <w:hideMark/>
                </w:tcPr>
                <w:p w14:paraId="7FCF4328"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ES"/>
                    </w:rPr>
                    <w:t>PROEVAL INGENIEROS SA</w:t>
                  </w:r>
                </w:p>
              </w:tc>
              <w:tc>
                <w:tcPr>
                  <w:tcW w:w="1498" w:type="pct"/>
                  <w:tcBorders>
                    <w:top w:val="nil"/>
                    <w:left w:val="nil"/>
                    <w:bottom w:val="single" w:sz="8" w:space="0" w:color="000000"/>
                    <w:right w:val="single" w:sz="8" w:space="0" w:color="000000"/>
                  </w:tcBorders>
                  <w:vAlign w:val="center"/>
                  <w:hideMark/>
                </w:tcPr>
                <w:p w14:paraId="4D5051D6"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4354A449"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162D070B"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900064086</w:t>
                  </w:r>
                </w:p>
              </w:tc>
              <w:tc>
                <w:tcPr>
                  <w:tcW w:w="2609" w:type="pct"/>
                  <w:tcBorders>
                    <w:top w:val="nil"/>
                    <w:left w:val="nil"/>
                    <w:bottom w:val="single" w:sz="8" w:space="0" w:color="000000"/>
                    <w:right w:val="single" w:sz="8" w:space="0" w:color="000000"/>
                  </w:tcBorders>
                  <w:vAlign w:val="center"/>
                  <w:hideMark/>
                </w:tcPr>
                <w:p w14:paraId="5873E79E"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CO"/>
                    </w:rPr>
                    <w:t>PROIECTUS INGENIERIA S.A.S.</w:t>
                  </w:r>
                </w:p>
              </w:tc>
              <w:tc>
                <w:tcPr>
                  <w:tcW w:w="1498" w:type="pct"/>
                  <w:tcBorders>
                    <w:top w:val="nil"/>
                    <w:left w:val="nil"/>
                    <w:bottom w:val="single" w:sz="8" w:space="0" w:color="000000"/>
                    <w:right w:val="single" w:sz="8" w:space="0" w:color="000000"/>
                  </w:tcBorders>
                  <w:vAlign w:val="center"/>
                  <w:hideMark/>
                </w:tcPr>
                <w:p w14:paraId="71898232"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4C577EC0"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212F628F"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900508366</w:t>
                  </w:r>
                </w:p>
              </w:tc>
              <w:tc>
                <w:tcPr>
                  <w:tcW w:w="2609" w:type="pct"/>
                  <w:tcBorders>
                    <w:top w:val="nil"/>
                    <w:left w:val="nil"/>
                    <w:bottom w:val="single" w:sz="8" w:space="0" w:color="000000"/>
                    <w:right w:val="single" w:sz="8" w:space="0" w:color="000000"/>
                  </w:tcBorders>
                  <w:vAlign w:val="center"/>
                  <w:hideMark/>
                </w:tcPr>
                <w:p w14:paraId="31E4B9DA"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CO"/>
                    </w:rPr>
                    <w:t>PROMOTORA SUROCCIDENTE S.A.S.</w:t>
                  </w:r>
                </w:p>
              </w:tc>
              <w:tc>
                <w:tcPr>
                  <w:tcW w:w="1498" w:type="pct"/>
                  <w:tcBorders>
                    <w:top w:val="nil"/>
                    <w:left w:val="nil"/>
                    <w:bottom w:val="single" w:sz="8" w:space="0" w:color="000000"/>
                    <w:right w:val="single" w:sz="8" w:space="0" w:color="000000"/>
                  </w:tcBorders>
                  <w:vAlign w:val="center"/>
                  <w:hideMark/>
                </w:tcPr>
                <w:p w14:paraId="2EBAB8FD"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r w:rsidR="00DD3830" w:rsidRPr="005C47F2" w14:paraId="065F22A6" w14:textId="77777777" w:rsidTr="002933B9">
              <w:trPr>
                <w:trHeight w:val="340"/>
              </w:trPr>
              <w:tc>
                <w:tcPr>
                  <w:tcW w:w="893" w:type="pct"/>
                  <w:tcBorders>
                    <w:top w:val="nil"/>
                    <w:left w:val="single" w:sz="8" w:space="0" w:color="000000"/>
                    <w:bottom w:val="single" w:sz="8" w:space="0" w:color="000000"/>
                    <w:right w:val="single" w:sz="8" w:space="0" w:color="000000"/>
                  </w:tcBorders>
                  <w:vAlign w:val="center"/>
                  <w:hideMark/>
                </w:tcPr>
                <w:p w14:paraId="53A67878"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900348917</w:t>
                  </w:r>
                </w:p>
              </w:tc>
              <w:tc>
                <w:tcPr>
                  <w:tcW w:w="2609" w:type="pct"/>
                  <w:tcBorders>
                    <w:top w:val="nil"/>
                    <w:left w:val="nil"/>
                    <w:bottom w:val="single" w:sz="8" w:space="0" w:color="000000"/>
                    <w:right w:val="single" w:sz="8" w:space="0" w:color="000000"/>
                  </w:tcBorders>
                  <w:vAlign w:val="center"/>
                  <w:hideMark/>
                </w:tcPr>
                <w:p w14:paraId="346882F0" w14:textId="77777777" w:rsidR="00DD3830" w:rsidRPr="005C47F2" w:rsidRDefault="00DD3830" w:rsidP="00DD3830">
                  <w:pPr>
                    <w:rPr>
                      <w:rFonts w:ascii="Arial" w:hAnsi="Arial" w:cs="Arial"/>
                      <w:color w:val="000000"/>
                      <w:lang w:val="es-CO"/>
                    </w:rPr>
                  </w:pPr>
                  <w:r w:rsidRPr="005C47F2">
                    <w:rPr>
                      <w:rFonts w:ascii="Arial" w:eastAsia="Arial" w:hAnsi="Arial" w:cs="Arial"/>
                      <w:color w:val="000000"/>
                      <w:lang w:val="es-CO"/>
                    </w:rPr>
                    <w:t xml:space="preserve">VIDA ZONAS FRANCAS DE SALUD SAS EN REORGANIZACION </w:t>
                  </w:r>
                </w:p>
              </w:tc>
              <w:tc>
                <w:tcPr>
                  <w:tcW w:w="1498" w:type="pct"/>
                  <w:tcBorders>
                    <w:top w:val="nil"/>
                    <w:left w:val="nil"/>
                    <w:bottom w:val="single" w:sz="8" w:space="0" w:color="000000"/>
                    <w:right w:val="single" w:sz="8" w:space="0" w:color="000000"/>
                  </w:tcBorders>
                  <w:vAlign w:val="center"/>
                  <w:hideMark/>
                </w:tcPr>
                <w:p w14:paraId="287407E2" w14:textId="77777777" w:rsidR="00DD3830" w:rsidRPr="005C47F2" w:rsidRDefault="00DD3830" w:rsidP="00DD3830">
                  <w:pPr>
                    <w:jc w:val="center"/>
                    <w:rPr>
                      <w:rFonts w:ascii="Arial" w:hAnsi="Arial" w:cs="Arial"/>
                      <w:color w:val="000000"/>
                      <w:lang w:val="es-CO"/>
                    </w:rPr>
                  </w:pPr>
                  <w:r w:rsidRPr="005C47F2">
                    <w:rPr>
                      <w:rFonts w:ascii="Arial" w:eastAsia="Arial" w:hAnsi="Arial" w:cs="Arial"/>
                      <w:color w:val="000000"/>
                      <w:lang w:val="es-ES"/>
                    </w:rPr>
                    <w:t>VALLE</w:t>
                  </w:r>
                </w:p>
              </w:tc>
            </w:tr>
          </w:tbl>
          <w:p w14:paraId="0AC100F7" w14:textId="77777777" w:rsidR="00DD3830" w:rsidRDefault="00DD3830" w:rsidP="00DD3830">
            <w:pPr>
              <w:widowControl/>
              <w:pBdr>
                <w:top w:val="nil"/>
                <w:left w:val="nil"/>
                <w:bottom w:val="nil"/>
                <w:right w:val="nil"/>
                <w:between w:val="nil"/>
              </w:pBdr>
              <w:jc w:val="both"/>
              <w:rPr>
                <w:rFonts w:ascii="Arial" w:eastAsia="Arial" w:hAnsi="Arial" w:cs="Arial"/>
                <w:color w:val="000000"/>
                <w:sz w:val="24"/>
                <w:szCs w:val="24"/>
                <w:lang w:val="es-CO"/>
              </w:rPr>
            </w:pPr>
          </w:p>
          <w:p w14:paraId="6C8ED568" w14:textId="77777777" w:rsidR="00443298" w:rsidRDefault="00443298" w:rsidP="00443298">
            <w:pPr>
              <w:widowControl/>
              <w:pBdr>
                <w:top w:val="nil"/>
                <w:left w:val="nil"/>
                <w:bottom w:val="nil"/>
                <w:right w:val="nil"/>
                <w:between w:val="nil"/>
              </w:pBdr>
              <w:jc w:val="both"/>
              <w:rPr>
                <w:rFonts w:ascii="Arial" w:eastAsia="Arial" w:hAnsi="Arial" w:cs="Arial"/>
                <w:color w:val="000000"/>
                <w:sz w:val="24"/>
                <w:szCs w:val="24"/>
                <w:lang w:val="es-CO"/>
              </w:rPr>
            </w:pPr>
            <w:r w:rsidRPr="002566BF">
              <w:rPr>
                <w:rFonts w:ascii="Arial" w:eastAsia="Arial" w:hAnsi="Arial" w:cs="Arial"/>
                <w:color w:val="000000"/>
                <w:sz w:val="24"/>
                <w:szCs w:val="24"/>
                <w:lang w:val="es-CO"/>
              </w:rPr>
              <w:t xml:space="preserve">De conformidad con lo dispuesto en el artículo 2.2.1.2.4.2.2 del Decreto 1082 de 2015 y demás normas aplicables, </w:t>
            </w:r>
            <w:r>
              <w:rPr>
                <w:rFonts w:ascii="Arial" w:eastAsia="Arial" w:hAnsi="Arial" w:cs="Arial"/>
                <w:color w:val="000000"/>
                <w:sz w:val="24"/>
                <w:szCs w:val="24"/>
                <w:lang w:val="es-CO"/>
              </w:rPr>
              <w:t>p</w:t>
            </w:r>
            <w:r w:rsidRPr="00243B9E">
              <w:rPr>
                <w:rFonts w:ascii="Arial" w:eastAsia="Arial" w:hAnsi="Arial" w:cs="Arial"/>
                <w:color w:val="000000"/>
                <w:sz w:val="24"/>
                <w:szCs w:val="24"/>
                <w:lang w:val="es-CO"/>
              </w:rPr>
              <w:t>ara la procedencia de dicha limitación deberán cumplirse, entre otros, los siguientes requisitos previstos en la normativa vigente:</w:t>
            </w:r>
          </w:p>
          <w:p w14:paraId="3E9DF88F" w14:textId="77777777" w:rsidR="00443298" w:rsidRPr="00D67D8A" w:rsidRDefault="00443298" w:rsidP="00443298">
            <w:pPr>
              <w:widowControl/>
              <w:pBdr>
                <w:top w:val="nil"/>
                <w:left w:val="nil"/>
                <w:bottom w:val="nil"/>
                <w:right w:val="nil"/>
                <w:between w:val="nil"/>
              </w:pBdr>
              <w:jc w:val="both"/>
              <w:rPr>
                <w:rFonts w:ascii="Arial" w:eastAsia="Arial" w:hAnsi="Arial" w:cs="Arial"/>
                <w:color w:val="000000"/>
                <w:sz w:val="24"/>
                <w:szCs w:val="24"/>
                <w:lang w:val="es-CO"/>
              </w:rPr>
            </w:pPr>
          </w:p>
          <w:p w14:paraId="4D555081" w14:textId="77777777" w:rsidR="00443298" w:rsidRPr="00D67D8A" w:rsidRDefault="00443298">
            <w:pPr>
              <w:widowControl/>
              <w:numPr>
                <w:ilvl w:val="0"/>
                <w:numId w:val="6"/>
              </w:numPr>
              <w:pBdr>
                <w:top w:val="nil"/>
                <w:left w:val="nil"/>
                <w:bottom w:val="nil"/>
                <w:right w:val="nil"/>
                <w:between w:val="nil"/>
              </w:pBd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Valor de proceso de contratación sea menor a ciento veinticinco mil dólares de los Estados Unidos de América (US$125.000), liquidados con la tasa de cambio que determina el Ministerio de Comercio, Industria y Turismo.</w:t>
            </w:r>
          </w:p>
          <w:p w14:paraId="5CFE3470" w14:textId="77777777" w:rsidR="00443298" w:rsidRPr="00D67D8A" w:rsidRDefault="00443298">
            <w:pPr>
              <w:widowControl/>
              <w:numPr>
                <w:ilvl w:val="0"/>
                <w:numId w:val="6"/>
              </w:numPr>
              <w:pBdr>
                <w:top w:val="nil"/>
                <w:left w:val="nil"/>
                <w:bottom w:val="nil"/>
                <w:right w:val="nil"/>
                <w:between w:val="nil"/>
              </w:pBd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lastRenderedPageBreak/>
              <w:t>Se hayan recibido solicitudes de por lo menos (2) MiPymes colombianas para limitar la convocatoria a MiPyme colombianas, estas solicitudes deben de recibirse por lo menos un (1) día antes de la expedición del acto administrativo.</w:t>
            </w:r>
          </w:p>
          <w:p w14:paraId="1A45D60B" w14:textId="77777777" w:rsidR="00443298" w:rsidRDefault="00443298" w:rsidP="00DD3830">
            <w:pPr>
              <w:widowControl/>
              <w:pBdr>
                <w:top w:val="nil"/>
                <w:left w:val="nil"/>
                <w:bottom w:val="nil"/>
                <w:right w:val="nil"/>
                <w:between w:val="nil"/>
              </w:pBdr>
              <w:jc w:val="both"/>
              <w:rPr>
                <w:rFonts w:ascii="Arial" w:eastAsia="Arial" w:hAnsi="Arial" w:cs="Arial"/>
                <w:color w:val="000000"/>
                <w:sz w:val="24"/>
                <w:szCs w:val="24"/>
                <w:lang w:val="es-CO"/>
              </w:rPr>
            </w:pPr>
          </w:p>
          <w:p w14:paraId="23993FAD" w14:textId="77777777" w:rsidR="009D23F7" w:rsidRDefault="009D23F7" w:rsidP="009D23F7">
            <w:pPr>
              <w:pBdr>
                <w:top w:val="nil"/>
                <w:left w:val="nil"/>
                <w:bottom w:val="nil"/>
                <w:right w:val="nil"/>
                <w:between w:val="nil"/>
              </w:pBdr>
              <w:jc w:val="both"/>
              <w:rPr>
                <w:rFonts w:ascii="Arial" w:eastAsia="Arial" w:hAnsi="Arial" w:cs="Arial"/>
                <w:sz w:val="24"/>
                <w:szCs w:val="24"/>
                <w:lang w:val="es-CO"/>
              </w:rPr>
            </w:pPr>
            <w:r w:rsidRPr="009D23F7">
              <w:rPr>
                <w:rFonts w:ascii="Arial" w:eastAsia="Arial" w:hAnsi="Arial" w:cs="Arial"/>
                <w:sz w:val="24"/>
                <w:szCs w:val="24"/>
                <w:lang w:val="es-CO"/>
              </w:rPr>
              <w:t>Del análisis efectuado se concluye que el mercado relacionado con los servicios de interventoría y consultoría en ingeniería presenta una oferta amplia, especializada y con cobertura nacional y regional, integrada principalmente por micro, pequeñas y medianas empresas. La información obtenida en SECOP II y en el Sistema Integrado de Información Societaria (SIIS) evidencia la existencia de una pluralidad de potenciales oferentes con capacidad técnica, jurídica, financiera y organizacional para ejecutar el objeto contractual, garantizando condiciones de competencia dentro del presente proceso de selección.</w:t>
            </w:r>
          </w:p>
          <w:p w14:paraId="29F72760" w14:textId="77777777" w:rsidR="009D23F7" w:rsidRPr="009D23F7" w:rsidRDefault="009D23F7" w:rsidP="009D23F7">
            <w:pPr>
              <w:pBdr>
                <w:top w:val="nil"/>
                <w:left w:val="nil"/>
                <w:bottom w:val="nil"/>
                <w:right w:val="nil"/>
                <w:between w:val="nil"/>
              </w:pBdr>
              <w:jc w:val="both"/>
              <w:rPr>
                <w:rFonts w:ascii="Arial" w:eastAsia="Arial" w:hAnsi="Arial" w:cs="Arial"/>
                <w:sz w:val="24"/>
                <w:szCs w:val="24"/>
                <w:lang w:val="es-CO"/>
              </w:rPr>
            </w:pPr>
          </w:p>
          <w:p w14:paraId="492C8905" w14:textId="77777777" w:rsidR="009D23F7" w:rsidRPr="009D23F7" w:rsidRDefault="009D23F7" w:rsidP="009D23F7">
            <w:pPr>
              <w:pBdr>
                <w:top w:val="nil"/>
                <w:left w:val="nil"/>
                <w:bottom w:val="nil"/>
                <w:right w:val="nil"/>
                <w:between w:val="nil"/>
              </w:pBdr>
              <w:jc w:val="both"/>
              <w:rPr>
                <w:rFonts w:ascii="Arial" w:eastAsia="Arial" w:hAnsi="Arial" w:cs="Arial"/>
                <w:sz w:val="24"/>
                <w:szCs w:val="24"/>
                <w:lang w:val="es-CO"/>
              </w:rPr>
            </w:pPr>
            <w:r w:rsidRPr="009D23F7">
              <w:rPr>
                <w:rFonts w:ascii="Arial" w:eastAsia="Arial" w:hAnsi="Arial" w:cs="Arial"/>
                <w:sz w:val="24"/>
                <w:szCs w:val="24"/>
                <w:lang w:val="es-CO"/>
              </w:rPr>
              <w:t>Así mismo, la procedencia de limitar la convocatoria a MiPymes se determinará de conformidad con el cumplimiento de los requisitos previstos en el artículo 2.2.1.2.4.2.2 del Decreto 1082 de 2015, los Documentos Tipo aplicables y las condiciones particulares del proceso de selección.</w:t>
            </w:r>
          </w:p>
          <w:p w14:paraId="68FE7EB9" w14:textId="41774ED8" w:rsidR="00707963" w:rsidRPr="009D23F7" w:rsidRDefault="00707963" w:rsidP="001A6840">
            <w:pPr>
              <w:pBdr>
                <w:top w:val="nil"/>
                <w:left w:val="nil"/>
                <w:bottom w:val="nil"/>
                <w:right w:val="nil"/>
                <w:between w:val="nil"/>
              </w:pBdr>
              <w:jc w:val="both"/>
              <w:rPr>
                <w:rFonts w:ascii="Arial" w:eastAsia="Arial" w:hAnsi="Arial" w:cs="Arial"/>
                <w:lang w:val="es-CO"/>
              </w:rPr>
            </w:pPr>
          </w:p>
        </w:tc>
      </w:tr>
      <w:tr w:rsidR="00D768A3" w14:paraId="6DB8295D"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54C5DD2" w14:textId="77777777" w:rsidR="00D768A3" w:rsidRPr="00D67D8A" w:rsidRDefault="00A0753E">
            <w:pPr>
              <w:widowControl/>
              <w:numPr>
                <w:ilvl w:val="1"/>
                <w:numId w:val="1"/>
              </w:numPr>
              <w:pBdr>
                <w:top w:val="nil"/>
                <w:left w:val="nil"/>
                <w:bottom w:val="nil"/>
                <w:right w:val="nil"/>
                <w:between w:val="nil"/>
              </w:pBdr>
              <w:spacing w:before="60" w:after="60"/>
              <w:ind w:left="454" w:hanging="454"/>
              <w:rPr>
                <w:rFonts w:ascii="Arial" w:eastAsia="Arial" w:hAnsi="Arial" w:cs="Arial"/>
                <w:color w:val="000000"/>
                <w:sz w:val="24"/>
                <w:szCs w:val="24"/>
                <w:lang w:val="es-CO"/>
              </w:rPr>
            </w:pPr>
            <w:r w:rsidRPr="00D67D8A">
              <w:rPr>
                <w:rFonts w:ascii="Arial" w:eastAsia="Arial" w:hAnsi="Arial" w:cs="Arial"/>
                <w:color w:val="000000"/>
                <w:sz w:val="24"/>
                <w:szCs w:val="24"/>
                <w:lang w:val="es-CO"/>
              </w:rPr>
              <w:lastRenderedPageBreak/>
              <w:t>IDENTIFICACIÓN DE CRITERIOS QUE PROMUEVEN LA INCLUSIÓN SOCIAL E INCORPORACIÓN DE POBLACIÓN VULNERABLE</w:t>
            </w:r>
          </w:p>
        </w:tc>
      </w:tr>
      <w:tr w:rsidR="00D768A3" w14:paraId="4B663DB4"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9CCA2E" w14:textId="77777777" w:rsid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p>
          <w:p w14:paraId="6F284F4B" w14:textId="7B4CFD42" w:rsid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r w:rsidRPr="00D06709">
              <w:rPr>
                <w:rFonts w:ascii="Arial" w:eastAsia="Arial" w:hAnsi="Arial" w:cs="Arial"/>
                <w:color w:val="000000"/>
                <w:sz w:val="24"/>
                <w:szCs w:val="24"/>
                <w:lang w:val="es-CO"/>
              </w:rPr>
              <w:t>En cumplimiento de los principios constitucionales de igualdad, inclusión, participación y no discriminación, así como de las políticas públicas orientadas a promover la inclusión social mediante la contratación pública, la Entidad analizó la procedencia de incorporar criterios que favorezcan la participación de población en condición de vulnerabilidad dentro del presente proceso de selección.</w:t>
            </w:r>
          </w:p>
          <w:p w14:paraId="790621D6" w14:textId="77777777" w:rsidR="00D06709" w:rsidRP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p>
          <w:p w14:paraId="7876D492" w14:textId="77777777" w:rsid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r w:rsidRPr="00D06709">
              <w:rPr>
                <w:rFonts w:ascii="Arial" w:eastAsia="Arial" w:hAnsi="Arial" w:cs="Arial"/>
                <w:color w:val="000000"/>
                <w:sz w:val="24"/>
                <w:szCs w:val="24"/>
                <w:lang w:val="es-CO"/>
              </w:rPr>
              <w:t xml:space="preserve">Para tal efecto, se tomó como referencia el </w:t>
            </w:r>
            <w:r w:rsidRPr="00D06709">
              <w:rPr>
                <w:rFonts w:ascii="Arial" w:eastAsia="Arial" w:hAnsi="Arial" w:cs="Arial"/>
                <w:b/>
                <w:bCs/>
                <w:color w:val="000000"/>
                <w:sz w:val="24"/>
                <w:szCs w:val="24"/>
                <w:lang w:val="es-CO"/>
              </w:rPr>
              <w:t>Decreto Distrital No. 4112.010.20.0145 del 19 de marzo de 2019</w:t>
            </w:r>
            <w:r w:rsidRPr="00D06709">
              <w:rPr>
                <w:rFonts w:ascii="Arial" w:eastAsia="Arial" w:hAnsi="Arial" w:cs="Arial"/>
                <w:color w:val="000000"/>
                <w:sz w:val="24"/>
                <w:szCs w:val="24"/>
                <w:lang w:val="es-CO"/>
              </w:rPr>
              <w:t xml:space="preserve">, mediante el cual el Distrito Especial de Santiago de Cali adoptó la Política Pública de Compras Públicas Sostenibles y Responsables, así como la </w:t>
            </w:r>
            <w:r w:rsidRPr="00D06709">
              <w:rPr>
                <w:rFonts w:ascii="Arial" w:eastAsia="Arial" w:hAnsi="Arial" w:cs="Arial"/>
                <w:b/>
                <w:bCs/>
                <w:color w:val="000000"/>
                <w:sz w:val="24"/>
                <w:szCs w:val="24"/>
                <w:lang w:val="es-CO"/>
              </w:rPr>
              <w:t>Guía de Compras Públicas con Enfoque de Inclusión Social (MAJA01.04.01.P001.G002)</w:t>
            </w:r>
            <w:r w:rsidRPr="00D06709">
              <w:rPr>
                <w:rFonts w:ascii="Arial" w:eastAsia="Arial" w:hAnsi="Arial" w:cs="Arial"/>
                <w:color w:val="000000"/>
                <w:sz w:val="24"/>
                <w:szCs w:val="24"/>
                <w:lang w:val="es-CO"/>
              </w:rPr>
              <w:t xml:space="preserve">, instrumentos que promueven la incorporación de criterios sociales en los procesos de contratación adelantados por la Administración Distrital, con el propósito de contribuir a la generación de oportunidades para poblaciones en condición de vulnerabilidad y fortalecer la responsabilidad social en la contratación pública. </w:t>
            </w:r>
          </w:p>
          <w:p w14:paraId="42595A56" w14:textId="77777777" w:rsidR="00D06709" w:rsidRP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p>
          <w:p w14:paraId="01C5EDA3" w14:textId="77777777" w:rsid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r w:rsidRPr="00D06709">
              <w:rPr>
                <w:rFonts w:ascii="Arial" w:eastAsia="Arial" w:hAnsi="Arial" w:cs="Arial"/>
                <w:color w:val="000000"/>
                <w:sz w:val="24"/>
                <w:szCs w:val="24"/>
                <w:lang w:val="es-CO"/>
              </w:rPr>
              <w:lastRenderedPageBreak/>
              <w:t xml:space="preserve">Así mismo, considerando que el presente proceso se adelantará mediante la modalidad de </w:t>
            </w:r>
            <w:r w:rsidRPr="00D06709">
              <w:rPr>
                <w:rFonts w:ascii="Arial" w:eastAsia="Arial" w:hAnsi="Arial" w:cs="Arial"/>
                <w:b/>
                <w:bCs/>
                <w:color w:val="000000"/>
                <w:sz w:val="24"/>
                <w:szCs w:val="24"/>
                <w:lang w:val="es-CO"/>
              </w:rPr>
              <w:t>Concurso de Méritos Abierto con aplicación de los Documentos Tipo expedidos por la Agencia Nacional de Contratación Pública – Colombia Compra Eficiente</w:t>
            </w:r>
            <w:r w:rsidRPr="00D06709">
              <w:rPr>
                <w:rFonts w:ascii="Arial" w:eastAsia="Arial" w:hAnsi="Arial" w:cs="Arial"/>
                <w:color w:val="000000"/>
                <w:sz w:val="24"/>
                <w:szCs w:val="24"/>
                <w:lang w:val="es-CO"/>
              </w:rPr>
              <w:t>, se verificó la procedencia de incorporar los criterios de inclusión social previstos en la normatividad vigente.</w:t>
            </w:r>
          </w:p>
          <w:p w14:paraId="601911D4" w14:textId="77777777" w:rsidR="00D06709" w:rsidRP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p>
          <w:p w14:paraId="213A3ECA" w14:textId="77777777" w:rsid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r w:rsidRPr="00D06709">
              <w:rPr>
                <w:rFonts w:ascii="Arial" w:eastAsia="Arial" w:hAnsi="Arial" w:cs="Arial"/>
                <w:color w:val="000000"/>
                <w:sz w:val="24"/>
                <w:szCs w:val="24"/>
                <w:lang w:val="es-CO"/>
              </w:rPr>
              <w:t xml:space="preserve">Como resultado del análisis efectuado, se concluye que el presente proceso es </w:t>
            </w:r>
            <w:r w:rsidRPr="00D06709">
              <w:rPr>
                <w:rFonts w:ascii="Arial" w:eastAsia="Arial" w:hAnsi="Arial" w:cs="Arial"/>
                <w:b/>
                <w:bCs/>
                <w:color w:val="000000"/>
                <w:sz w:val="24"/>
                <w:szCs w:val="24"/>
                <w:lang w:val="es-CO"/>
              </w:rPr>
              <w:t>susceptible de incorporar criterios que promuevan la inclusión social</w:t>
            </w:r>
            <w:r w:rsidRPr="00D06709">
              <w:rPr>
                <w:rFonts w:ascii="Arial" w:eastAsia="Arial" w:hAnsi="Arial" w:cs="Arial"/>
                <w:color w:val="000000"/>
                <w:sz w:val="24"/>
                <w:szCs w:val="24"/>
                <w:lang w:val="es-CO"/>
              </w:rPr>
              <w:t xml:space="preserve">, particularmente el relacionado con la </w:t>
            </w:r>
            <w:r w:rsidRPr="00D06709">
              <w:rPr>
                <w:rFonts w:ascii="Arial" w:eastAsia="Arial" w:hAnsi="Arial" w:cs="Arial"/>
                <w:b/>
                <w:bCs/>
                <w:color w:val="000000"/>
                <w:sz w:val="24"/>
                <w:szCs w:val="24"/>
                <w:lang w:val="es-CO"/>
              </w:rPr>
              <w:t>vinculación de personas con discapacidad</w:t>
            </w:r>
            <w:r w:rsidRPr="00D06709">
              <w:rPr>
                <w:rFonts w:ascii="Arial" w:eastAsia="Arial" w:hAnsi="Arial" w:cs="Arial"/>
                <w:color w:val="000000"/>
                <w:sz w:val="24"/>
                <w:szCs w:val="24"/>
                <w:lang w:val="es-CO"/>
              </w:rPr>
              <w:t xml:space="preserve">, de conformidad con lo previsto en el </w:t>
            </w:r>
            <w:r w:rsidRPr="00D06709">
              <w:rPr>
                <w:rFonts w:ascii="Arial" w:eastAsia="Arial" w:hAnsi="Arial" w:cs="Arial"/>
                <w:b/>
                <w:bCs/>
                <w:color w:val="000000"/>
                <w:sz w:val="24"/>
                <w:szCs w:val="24"/>
                <w:lang w:val="es-CO"/>
              </w:rPr>
              <w:t>artículo 2.2.1.2.4.2.6 del Decreto 1082 de 2015</w:t>
            </w:r>
            <w:r w:rsidRPr="00D06709">
              <w:rPr>
                <w:rFonts w:ascii="Arial" w:eastAsia="Arial" w:hAnsi="Arial" w:cs="Arial"/>
                <w:color w:val="000000"/>
                <w:sz w:val="24"/>
                <w:szCs w:val="24"/>
                <w:lang w:val="es-CO"/>
              </w:rPr>
              <w:t xml:space="preserve">, adicionado por el </w:t>
            </w:r>
            <w:r w:rsidRPr="00D06709">
              <w:rPr>
                <w:rFonts w:ascii="Arial" w:eastAsia="Arial" w:hAnsi="Arial" w:cs="Arial"/>
                <w:b/>
                <w:bCs/>
                <w:color w:val="000000"/>
                <w:sz w:val="24"/>
                <w:szCs w:val="24"/>
                <w:lang w:val="es-CO"/>
              </w:rPr>
              <w:t>Decreto 392 de 2018</w:t>
            </w:r>
            <w:r w:rsidRPr="00D06709">
              <w:rPr>
                <w:rFonts w:ascii="Arial" w:eastAsia="Arial" w:hAnsi="Arial" w:cs="Arial"/>
                <w:color w:val="000000"/>
                <w:sz w:val="24"/>
                <w:szCs w:val="24"/>
                <w:lang w:val="es-CO"/>
              </w:rPr>
              <w:t xml:space="preserve">, o las normas que lo modifiquen, adicionen o sustituyan, criterio que se encuentra incorporado en los Documentos Tipo aplicables al presente proceso de selección. </w:t>
            </w:r>
          </w:p>
          <w:p w14:paraId="02C95219" w14:textId="77777777" w:rsidR="00D06709" w:rsidRP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p>
          <w:p w14:paraId="5287842E" w14:textId="77777777" w:rsidR="00D06709" w:rsidRPr="00D06709" w:rsidRDefault="00D06709" w:rsidP="00D06709">
            <w:pPr>
              <w:pBdr>
                <w:top w:val="nil"/>
                <w:left w:val="nil"/>
                <w:bottom w:val="nil"/>
                <w:right w:val="nil"/>
                <w:between w:val="nil"/>
              </w:pBdr>
              <w:jc w:val="both"/>
              <w:rPr>
                <w:rFonts w:ascii="Arial" w:eastAsia="Arial" w:hAnsi="Arial" w:cs="Arial"/>
                <w:color w:val="000000"/>
                <w:sz w:val="24"/>
                <w:szCs w:val="24"/>
                <w:lang w:val="es-CO"/>
              </w:rPr>
            </w:pPr>
            <w:r w:rsidRPr="00D06709">
              <w:rPr>
                <w:rFonts w:ascii="Arial" w:eastAsia="Arial" w:hAnsi="Arial" w:cs="Arial"/>
                <w:color w:val="000000"/>
                <w:sz w:val="24"/>
                <w:szCs w:val="24"/>
                <w:lang w:val="es-CO"/>
              </w:rPr>
              <w:t>En consecuencia, la Entidad incorporará en el pliego de condiciones los criterios de inclusión social previstos en los Documentos Tipo y en la normativa vigente, garantizando su aplicación bajo los principios de igualdad, transparencia, selección objetiva y responsabilidad, promoviendo la participación de personas con discapacidad y contribuyendo al cumplimiento de los objetivos de inclusión social establecidos por el ordenamiento jurídico y la política pública distrital.</w:t>
            </w:r>
          </w:p>
          <w:p w14:paraId="63C6598C" w14:textId="77777777" w:rsidR="00D768A3" w:rsidRPr="00D67D8A" w:rsidRDefault="00D768A3">
            <w:pPr>
              <w:widowControl/>
              <w:pBdr>
                <w:top w:val="nil"/>
                <w:left w:val="nil"/>
                <w:bottom w:val="nil"/>
                <w:right w:val="nil"/>
                <w:between w:val="nil"/>
              </w:pBdr>
              <w:jc w:val="both"/>
              <w:rPr>
                <w:rFonts w:ascii="Arial" w:eastAsia="Arial" w:hAnsi="Arial" w:cs="Arial"/>
                <w:color w:val="000000"/>
                <w:sz w:val="24"/>
                <w:szCs w:val="24"/>
                <w:lang w:val="es-CO"/>
              </w:rPr>
            </w:pPr>
          </w:p>
        </w:tc>
      </w:tr>
      <w:tr w:rsidR="00D768A3" w14:paraId="14D1E23A"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C5A072C" w14:textId="77777777" w:rsidR="00D768A3" w:rsidRPr="00D67D8A" w:rsidRDefault="00A0753E" w:rsidP="00531FE5">
            <w:pPr>
              <w:widowControl/>
              <w:numPr>
                <w:ilvl w:val="1"/>
                <w:numId w:val="1"/>
              </w:numPr>
              <w:pBdr>
                <w:top w:val="nil"/>
                <w:left w:val="nil"/>
                <w:bottom w:val="nil"/>
                <w:right w:val="nil"/>
                <w:between w:val="nil"/>
              </w:pBdr>
              <w:spacing w:before="60" w:after="60"/>
              <w:ind w:left="454" w:hanging="454"/>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lastRenderedPageBreak/>
              <w:t>IDENTIFICACIÓN DE SERVICIOS DE ORIGEN NACIONAL Y/O PRODUCTORES AGROPECUARIOS LOCALES</w:t>
            </w:r>
          </w:p>
        </w:tc>
      </w:tr>
      <w:tr w:rsidR="00D768A3" w14:paraId="3751F3F8"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E08A3C" w14:textId="77777777" w:rsidR="00D768A3" w:rsidRPr="00D67D8A" w:rsidRDefault="00D768A3">
            <w:pPr>
              <w:jc w:val="both"/>
              <w:rPr>
                <w:rFonts w:ascii="Arial" w:eastAsia="Arial" w:hAnsi="Arial" w:cs="Arial"/>
                <w:sz w:val="24"/>
                <w:szCs w:val="24"/>
                <w:lang w:val="es-CO"/>
              </w:rPr>
            </w:pPr>
          </w:p>
          <w:p w14:paraId="1722284C" w14:textId="77777777" w:rsidR="00810346" w:rsidRDefault="00810346" w:rsidP="00810346">
            <w:pPr>
              <w:jc w:val="both"/>
              <w:rPr>
                <w:rFonts w:ascii="Arial" w:eastAsia="Arial" w:hAnsi="Arial" w:cs="Arial"/>
                <w:sz w:val="24"/>
                <w:szCs w:val="24"/>
                <w:lang w:val="es-CO"/>
              </w:rPr>
            </w:pPr>
            <w:r w:rsidRPr="00810346">
              <w:rPr>
                <w:rFonts w:ascii="Arial" w:eastAsia="Arial" w:hAnsi="Arial" w:cs="Arial"/>
                <w:sz w:val="24"/>
                <w:szCs w:val="24"/>
                <w:lang w:val="es-CO"/>
              </w:rPr>
              <w:t>Con el propósito de identificar la procedencia de los bienes y servicios relacionados con el objeto del presente proceso contractual, se analizó la naturaleza de las actividades requeridas para la ejecución de la interventoría integral.</w:t>
            </w:r>
          </w:p>
          <w:p w14:paraId="06A0D0E9" w14:textId="77777777" w:rsidR="00EE2C14" w:rsidRPr="00810346" w:rsidRDefault="00EE2C14" w:rsidP="00810346">
            <w:pPr>
              <w:jc w:val="both"/>
              <w:rPr>
                <w:rFonts w:ascii="Arial" w:eastAsia="Arial" w:hAnsi="Arial" w:cs="Arial"/>
                <w:sz w:val="24"/>
                <w:szCs w:val="24"/>
                <w:lang w:val="es-CO"/>
              </w:rPr>
            </w:pPr>
          </w:p>
          <w:p w14:paraId="1470B5DE" w14:textId="567D7A62" w:rsidR="00810346" w:rsidRDefault="00810346" w:rsidP="00810346">
            <w:pPr>
              <w:jc w:val="both"/>
              <w:rPr>
                <w:rFonts w:ascii="Arial" w:eastAsia="Arial" w:hAnsi="Arial" w:cs="Arial"/>
                <w:sz w:val="24"/>
                <w:szCs w:val="24"/>
                <w:lang w:val="es-CO"/>
              </w:rPr>
            </w:pPr>
            <w:r w:rsidRPr="00810346">
              <w:rPr>
                <w:rFonts w:ascii="Arial" w:eastAsia="Arial" w:hAnsi="Arial" w:cs="Arial"/>
                <w:sz w:val="24"/>
                <w:szCs w:val="24"/>
                <w:lang w:val="es-CO"/>
              </w:rPr>
              <w:t xml:space="preserve">Del análisis efectuado se evidencia que el objeto contractual corresponde principalmente a la </w:t>
            </w:r>
            <w:r w:rsidR="00640D92" w:rsidRPr="00810346">
              <w:rPr>
                <w:rFonts w:ascii="Arial" w:eastAsia="Arial" w:hAnsi="Arial" w:cs="Arial"/>
                <w:b/>
                <w:bCs/>
                <w:sz w:val="24"/>
                <w:szCs w:val="24"/>
                <w:lang w:val="es-CO"/>
              </w:rPr>
              <w:t xml:space="preserve">prestación de servicios profesionales de </w:t>
            </w:r>
            <w:r w:rsidR="00640D92" w:rsidRPr="00640D92">
              <w:rPr>
                <w:rFonts w:ascii="Arial" w:eastAsia="Arial" w:hAnsi="Arial" w:cs="Arial"/>
                <w:b/>
                <w:bCs/>
                <w:sz w:val="24"/>
                <w:szCs w:val="24"/>
                <w:lang w:val="es-CO"/>
              </w:rPr>
              <w:t>interventoría técnica, administrativa, jurídica, financiera, ambiental y contable</w:t>
            </w:r>
            <w:r w:rsidRPr="00810346">
              <w:rPr>
                <w:rFonts w:ascii="Arial" w:eastAsia="Arial" w:hAnsi="Arial" w:cs="Arial"/>
                <w:sz w:val="24"/>
                <w:szCs w:val="24"/>
                <w:lang w:val="es-CO"/>
              </w:rPr>
              <w:t xml:space="preserve">, los cuales serán desarrollados mediante la participación de personal técnico y profesional, recursos tecnológicos, administrativos y logísticos disponibles en el territorio nacional. En consecuencia, los servicios objeto del presente proceso corresponden a </w:t>
            </w:r>
            <w:r w:rsidRPr="00810346">
              <w:rPr>
                <w:rFonts w:ascii="Arial" w:eastAsia="Arial" w:hAnsi="Arial" w:cs="Arial"/>
                <w:b/>
                <w:bCs/>
                <w:sz w:val="24"/>
                <w:szCs w:val="24"/>
                <w:lang w:val="es-CO"/>
              </w:rPr>
              <w:t>servicios de origen nacional</w:t>
            </w:r>
            <w:r w:rsidRPr="00810346">
              <w:rPr>
                <w:rFonts w:ascii="Arial" w:eastAsia="Arial" w:hAnsi="Arial" w:cs="Arial"/>
                <w:sz w:val="24"/>
                <w:szCs w:val="24"/>
                <w:lang w:val="es-CO"/>
              </w:rPr>
              <w:t>, prestados por personas jurídicas o naturales con capacidad para desarrollar actividades de interventoría técnica, administrativa, financiera, jurídica, social y ambiental.</w:t>
            </w:r>
          </w:p>
          <w:p w14:paraId="0A1CD129" w14:textId="77777777" w:rsidR="00EE2C14" w:rsidRPr="00810346" w:rsidRDefault="00EE2C14" w:rsidP="00810346">
            <w:pPr>
              <w:jc w:val="both"/>
              <w:rPr>
                <w:rFonts w:ascii="Arial" w:eastAsia="Arial" w:hAnsi="Arial" w:cs="Arial"/>
                <w:sz w:val="24"/>
                <w:szCs w:val="24"/>
                <w:lang w:val="es-CO"/>
              </w:rPr>
            </w:pPr>
          </w:p>
          <w:p w14:paraId="0C547FC4" w14:textId="77777777" w:rsidR="00E71653" w:rsidRDefault="00810346" w:rsidP="00810346">
            <w:pPr>
              <w:jc w:val="both"/>
              <w:rPr>
                <w:rFonts w:ascii="Arial" w:eastAsia="Arial" w:hAnsi="Arial" w:cs="Arial"/>
                <w:sz w:val="24"/>
                <w:szCs w:val="24"/>
                <w:lang w:val="es-CO"/>
              </w:rPr>
            </w:pPr>
            <w:r w:rsidRPr="00810346">
              <w:rPr>
                <w:rFonts w:ascii="Arial" w:eastAsia="Arial" w:hAnsi="Arial" w:cs="Arial"/>
                <w:sz w:val="24"/>
                <w:szCs w:val="24"/>
                <w:lang w:val="es-CO"/>
              </w:rPr>
              <w:t xml:space="preserve">Respecto de los </w:t>
            </w:r>
            <w:r w:rsidRPr="00810346">
              <w:rPr>
                <w:rFonts w:ascii="Arial" w:eastAsia="Arial" w:hAnsi="Arial" w:cs="Arial"/>
                <w:b/>
                <w:bCs/>
                <w:sz w:val="24"/>
                <w:szCs w:val="24"/>
                <w:lang w:val="es-CO"/>
              </w:rPr>
              <w:t>productores agropecuarios locales</w:t>
            </w:r>
            <w:r w:rsidRPr="00810346">
              <w:rPr>
                <w:rFonts w:ascii="Arial" w:eastAsia="Arial" w:hAnsi="Arial" w:cs="Arial"/>
                <w:sz w:val="24"/>
                <w:szCs w:val="24"/>
                <w:lang w:val="es-CO"/>
              </w:rPr>
              <w:t xml:space="preserve">, se concluye que </w:t>
            </w:r>
            <w:r w:rsidRPr="00810346">
              <w:rPr>
                <w:rFonts w:ascii="Arial" w:eastAsia="Arial" w:hAnsi="Arial" w:cs="Arial"/>
                <w:b/>
                <w:bCs/>
                <w:sz w:val="24"/>
                <w:szCs w:val="24"/>
                <w:lang w:val="es-CO"/>
              </w:rPr>
              <w:t>no resulta procedente su identificación como un componente esencial del presente proceso</w:t>
            </w:r>
            <w:r w:rsidRPr="00810346">
              <w:rPr>
                <w:rFonts w:ascii="Arial" w:eastAsia="Arial" w:hAnsi="Arial" w:cs="Arial"/>
                <w:sz w:val="24"/>
                <w:szCs w:val="24"/>
                <w:lang w:val="es-CO"/>
              </w:rPr>
              <w:t xml:space="preserve">, toda vez que el objeto contractual no contempla el suministro de bienes agropecuarios ni la adquisición de alimentos como parte principal de las obligaciones contractuales. </w:t>
            </w:r>
          </w:p>
          <w:p w14:paraId="0BA02A15" w14:textId="77777777" w:rsidR="00E71653" w:rsidRDefault="00E71653" w:rsidP="00810346">
            <w:pPr>
              <w:jc w:val="both"/>
              <w:rPr>
                <w:rFonts w:ascii="Arial" w:eastAsia="Arial" w:hAnsi="Arial" w:cs="Arial"/>
                <w:sz w:val="24"/>
                <w:szCs w:val="24"/>
                <w:lang w:val="es-CO"/>
              </w:rPr>
            </w:pPr>
          </w:p>
          <w:p w14:paraId="42FDB959" w14:textId="20B645CA" w:rsidR="00810346" w:rsidRPr="00810346" w:rsidRDefault="00810346" w:rsidP="00810346">
            <w:pPr>
              <w:jc w:val="both"/>
              <w:rPr>
                <w:rFonts w:ascii="Arial" w:eastAsia="Arial" w:hAnsi="Arial" w:cs="Arial"/>
                <w:sz w:val="24"/>
                <w:szCs w:val="24"/>
                <w:lang w:val="es-CO"/>
              </w:rPr>
            </w:pPr>
            <w:r w:rsidRPr="00810346">
              <w:rPr>
                <w:rFonts w:ascii="Arial" w:eastAsia="Arial" w:hAnsi="Arial" w:cs="Arial"/>
                <w:sz w:val="24"/>
                <w:szCs w:val="24"/>
                <w:lang w:val="es-CO"/>
              </w:rPr>
              <w:t>Por tanto, las disposiciones orientadas a promover la compra directa de productos agropecuarios locales no tienen aplicación en la estructuración del presente proceso.</w:t>
            </w:r>
          </w:p>
          <w:p w14:paraId="1ABC71E9" w14:textId="77777777" w:rsidR="00810346" w:rsidRDefault="00810346" w:rsidP="00810346">
            <w:pPr>
              <w:jc w:val="both"/>
              <w:rPr>
                <w:rFonts w:ascii="Arial" w:eastAsia="Arial" w:hAnsi="Arial" w:cs="Arial"/>
                <w:sz w:val="24"/>
                <w:szCs w:val="24"/>
                <w:lang w:val="es-CO"/>
              </w:rPr>
            </w:pPr>
            <w:r w:rsidRPr="00810346">
              <w:rPr>
                <w:rFonts w:ascii="Arial" w:eastAsia="Arial" w:hAnsi="Arial" w:cs="Arial"/>
                <w:sz w:val="24"/>
                <w:szCs w:val="24"/>
                <w:lang w:val="es-CO"/>
              </w:rPr>
              <w:t>Así mismo, en caso de que durante la ejecución del contrato se requiera la adquisición de bienes o servicios complementarios, estos deberán privilegiar, cuando resulte técnica, jurídica y económicamente viable, la oferta nacional y los principios de eficiencia, economía y sostenibilidad que orientan la contratación estatal.</w:t>
            </w:r>
          </w:p>
          <w:p w14:paraId="63F6336A" w14:textId="77777777" w:rsidR="00EE2C14" w:rsidRPr="00810346" w:rsidRDefault="00EE2C14" w:rsidP="00810346">
            <w:pPr>
              <w:jc w:val="both"/>
              <w:rPr>
                <w:rFonts w:ascii="Arial" w:eastAsia="Arial" w:hAnsi="Arial" w:cs="Arial"/>
                <w:sz w:val="24"/>
                <w:szCs w:val="24"/>
                <w:lang w:val="es-CO"/>
              </w:rPr>
            </w:pPr>
          </w:p>
          <w:p w14:paraId="4A6AC4AC" w14:textId="77777777" w:rsidR="00810346" w:rsidRPr="00810346" w:rsidRDefault="00810346" w:rsidP="00810346">
            <w:pPr>
              <w:jc w:val="both"/>
              <w:rPr>
                <w:rFonts w:ascii="Arial" w:eastAsia="Arial" w:hAnsi="Arial" w:cs="Arial"/>
                <w:sz w:val="24"/>
                <w:szCs w:val="24"/>
                <w:lang w:val="es-CO"/>
              </w:rPr>
            </w:pPr>
            <w:r w:rsidRPr="00810346">
              <w:rPr>
                <w:rFonts w:ascii="Arial" w:eastAsia="Arial" w:hAnsi="Arial" w:cs="Arial"/>
                <w:sz w:val="24"/>
                <w:szCs w:val="24"/>
                <w:lang w:val="es-CO"/>
              </w:rPr>
              <w:t xml:space="preserve">En consecuencia, se concluye que el presente proceso corresponde a la contratación de </w:t>
            </w:r>
            <w:r w:rsidRPr="00810346">
              <w:rPr>
                <w:rFonts w:ascii="Arial" w:eastAsia="Arial" w:hAnsi="Arial" w:cs="Arial"/>
                <w:b/>
                <w:bCs/>
                <w:sz w:val="24"/>
                <w:szCs w:val="24"/>
                <w:lang w:val="es-CO"/>
              </w:rPr>
              <w:t>servicios de origen nacional</w:t>
            </w:r>
            <w:r w:rsidRPr="00810346">
              <w:rPr>
                <w:rFonts w:ascii="Arial" w:eastAsia="Arial" w:hAnsi="Arial" w:cs="Arial"/>
                <w:sz w:val="24"/>
                <w:szCs w:val="24"/>
                <w:lang w:val="es-CO"/>
              </w:rPr>
              <w:t>, mientras que la participación de productores agropecuarios locales no constituye un elemento determinante para la ejecución del objeto contractual.</w:t>
            </w:r>
          </w:p>
          <w:p w14:paraId="7EE1CBBC" w14:textId="77777777" w:rsidR="00D768A3" w:rsidRPr="004266F9" w:rsidRDefault="00D768A3">
            <w:pPr>
              <w:jc w:val="both"/>
              <w:rPr>
                <w:rFonts w:ascii="Arial" w:eastAsia="Arial" w:hAnsi="Arial" w:cs="Arial"/>
                <w:color w:val="808080"/>
                <w:sz w:val="24"/>
                <w:szCs w:val="24"/>
                <w:lang w:val="es-CO"/>
              </w:rPr>
            </w:pPr>
          </w:p>
        </w:tc>
      </w:tr>
      <w:tr w:rsidR="00D768A3" w14:paraId="2198B205"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E09308E" w14:textId="77777777" w:rsidR="00D768A3"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CADENA DE SUMINISTRO</w:t>
            </w:r>
          </w:p>
        </w:tc>
      </w:tr>
      <w:tr w:rsidR="00D768A3" w14:paraId="6182D4D5"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DE3F73" w14:textId="77777777" w:rsidR="00A35D06" w:rsidRDefault="00A35D06" w:rsidP="00EB221F">
            <w:pPr>
              <w:jc w:val="both"/>
              <w:rPr>
                <w:rFonts w:ascii="Arial" w:eastAsia="Arial" w:hAnsi="Arial" w:cs="Arial"/>
                <w:sz w:val="24"/>
                <w:szCs w:val="24"/>
                <w:lang w:val="es-CO"/>
              </w:rPr>
            </w:pPr>
          </w:p>
          <w:p w14:paraId="48E92DDE" w14:textId="7A17ECA4" w:rsidR="00EB221F" w:rsidRDefault="00EB221F" w:rsidP="00EB221F">
            <w:pPr>
              <w:jc w:val="both"/>
              <w:rPr>
                <w:rFonts w:ascii="Arial" w:eastAsia="Arial" w:hAnsi="Arial" w:cs="Arial"/>
                <w:sz w:val="24"/>
                <w:szCs w:val="24"/>
                <w:lang w:val="es-CO"/>
              </w:rPr>
            </w:pPr>
            <w:r w:rsidRPr="00EB221F">
              <w:rPr>
                <w:rFonts w:ascii="Arial" w:eastAsia="Arial" w:hAnsi="Arial" w:cs="Arial"/>
                <w:sz w:val="24"/>
                <w:szCs w:val="24"/>
                <w:lang w:val="es-CO"/>
              </w:rPr>
              <w:t>La cadena de suministro asociada al presente proceso contractual corresponde a la prestación de servicios profesionales especializados de interventoría integral, cuya ejecución depende principalmente de la disponibilidad de talento humano interdisciplinario con experiencia en interventoría de obras públicas, complementado con recursos tecnológicos, equipos de apoyo, sistemas de información, herramientas de control y gestión documental que permitan realizar el seguimiento permanente al contrato de obra objeto de vigilancia.</w:t>
            </w:r>
          </w:p>
          <w:p w14:paraId="6222AA0D" w14:textId="77777777" w:rsidR="00EB221F" w:rsidRPr="00EB221F" w:rsidRDefault="00EB221F" w:rsidP="00EB221F">
            <w:pPr>
              <w:jc w:val="both"/>
              <w:rPr>
                <w:rFonts w:ascii="Arial" w:eastAsia="Arial" w:hAnsi="Arial" w:cs="Arial"/>
                <w:sz w:val="24"/>
                <w:szCs w:val="24"/>
                <w:lang w:val="es-CO"/>
              </w:rPr>
            </w:pPr>
          </w:p>
          <w:p w14:paraId="34917CE2" w14:textId="77777777" w:rsidR="00EB221F" w:rsidRDefault="00EB221F" w:rsidP="00EB221F">
            <w:pPr>
              <w:jc w:val="both"/>
              <w:rPr>
                <w:rFonts w:ascii="Arial" w:eastAsia="Arial" w:hAnsi="Arial" w:cs="Arial"/>
                <w:sz w:val="24"/>
                <w:szCs w:val="24"/>
                <w:lang w:val="es-CO"/>
              </w:rPr>
            </w:pPr>
            <w:r w:rsidRPr="00EB221F">
              <w:rPr>
                <w:rFonts w:ascii="Arial" w:eastAsia="Arial" w:hAnsi="Arial" w:cs="Arial"/>
                <w:sz w:val="24"/>
                <w:szCs w:val="24"/>
                <w:lang w:val="es-CO"/>
              </w:rPr>
              <w:t>En este tipo de contratos, el principal insumo corresponde al conocimiento técnico y profesional del equipo de interventoría, el cual debe estar conformado por especialistas en las áreas técnica, administrativa, financiera, jurídica, social y ambiental, apoyados por recursos logísticos y tecnológicos que garanticen la adecuada supervisión del contrato durante todas sus etapas.</w:t>
            </w:r>
          </w:p>
          <w:p w14:paraId="6F8D1932" w14:textId="77777777" w:rsidR="00EB221F" w:rsidRPr="00EB221F" w:rsidRDefault="00EB221F" w:rsidP="00EB221F">
            <w:pPr>
              <w:jc w:val="both"/>
              <w:rPr>
                <w:rFonts w:ascii="Arial" w:eastAsia="Arial" w:hAnsi="Arial" w:cs="Arial"/>
                <w:sz w:val="24"/>
                <w:szCs w:val="24"/>
                <w:lang w:val="es-CO"/>
              </w:rPr>
            </w:pPr>
          </w:p>
          <w:p w14:paraId="4C70BEC5" w14:textId="77777777" w:rsidR="00EB221F" w:rsidRDefault="00EB221F" w:rsidP="00EB221F">
            <w:pPr>
              <w:jc w:val="both"/>
              <w:rPr>
                <w:rFonts w:ascii="Arial" w:eastAsia="Arial" w:hAnsi="Arial" w:cs="Arial"/>
                <w:sz w:val="24"/>
                <w:szCs w:val="24"/>
                <w:lang w:val="es-CO"/>
              </w:rPr>
            </w:pPr>
            <w:r w:rsidRPr="00EB221F">
              <w:rPr>
                <w:rFonts w:ascii="Arial" w:eastAsia="Arial" w:hAnsi="Arial" w:cs="Arial"/>
                <w:sz w:val="24"/>
                <w:szCs w:val="24"/>
                <w:lang w:val="es-CO"/>
              </w:rPr>
              <w:t xml:space="preserve">Así mismo, la cadena de suministro incorpora actividades de planeación, control, seguimiento, verificación, emisión de conceptos técnicos, elaboración de informes, control presupuestal, revisión documental y acompañamiento permanente a la entidad </w:t>
            </w:r>
            <w:r w:rsidRPr="00EB221F">
              <w:rPr>
                <w:rFonts w:ascii="Arial" w:eastAsia="Arial" w:hAnsi="Arial" w:cs="Arial"/>
                <w:sz w:val="24"/>
                <w:szCs w:val="24"/>
                <w:lang w:val="es-CO"/>
              </w:rPr>
              <w:lastRenderedPageBreak/>
              <w:t>contratante, permitiendo verificar el cumplimiento de las obligaciones contractuales y garantizar que la ejecución de la obra se desarrolle conforme a las especificaciones técnicas, los diseños aprobados, el cronograma, el presupuesto y la normatividad vigente.</w:t>
            </w:r>
          </w:p>
          <w:p w14:paraId="6EEF4998" w14:textId="77777777" w:rsidR="004F473C" w:rsidRDefault="004F473C" w:rsidP="00EB221F">
            <w:pPr>
              <w:jc w:val="both"/>
              <w:rPr>
                <w:rFonts w:ascii="Arial" w:eastAsia="Arial" w:hAnsi="Arial" w:cs="Arial"/>
                <w:sz w:val="24"/>
                <w:szCs w:val="24"/>
                <w:lang w:val="es-CO"/>
              </w:rPr>
            </w:pPr>
          </w:p>
          <w:p w14:paraId="4081936F" w14:textId="1F4CB553" w:rsidR="00234F4A" w:rsidRPr="00EB221F" w:rsidRDefault="00234F4A" w:rsidP="00EB221F">
            <w:pPr>
              <w:jc w:val="both"/>
              <w:rPr>
                <w:rFonts w:ascii="Arial" w:eastAsia="Arial" w:hAnsi="Arial" w:cs="Arial"/>
                <w:sz w:val="24"/>
                <w:szCs w:val="24"/>
                <w:lang w:val="es-CO"/>
              </w:rPr>
            </w:pPr>
            <w:r w:rsidRPr="00234F4A">
              <w:rPr>
                <w:rFonts w:ascii="Arial" w:eastAsia="Arial" w:hAnsi="Arial" w:cs="Arial"/>
                <w:noProof/>
                <w:sz w:val="24"/>
                <w:szCs w:val="24"/>
                <w:lang w:val="es-CO"/>
              </w:rPr>
              <w:drawing>
                <wp:inline distT="0" distB="0" distL="0" distR="0" wp14:anchorId="5CD4FB2E" wp14:editId="4E2AB1ED">
                  <wp:extent cx="5806440" cy="2072640"/>
                  <wp:effectExtent l="0" t="0" r="3810" b="3810"/>
                  <wp:docPr id="15565147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514773" name=""/>
                          <pic:cNvPicPr/>
                        </pic:nvPicPr>
                        <pic:blipFill>
                          <a:blip r:embed="rId51"/>
                          <a:stretch>
                            <a:fillRect/>
                          </a:stretch>
                        </pic:blipFill>
                        <pic:spPr>
                          <a:xfrm>
                            <a:off x="0" y="0"/>
                            <a:ext cx="5806951" cy="2072822"/>
                          </a:xfrm>
                          <a:prstGeom prst="rect">
                            <a:avLst/>
                          </a:prstGeom>
                        </pic:spPr>
                      </pic:pic>
                    </a:graphicData>
                  </a:graphic>
                </wp:inline>
              </w:drawing>
            </w:r>
          </w:p>
          <w:p w14:paraId="5E8706E6" w14:textId="77777777" w:rsidR="00D768A3" w:rsidRDefault="00D768A3" w:rsidP="00EB221F">
            <w:pPr>
              <w:jc w:val="both"/>
              <w:rPr>
                <w:rFonts w:ascii="Arial" w:eastAsia="Arial" w:hAnsi="Arial" w:cs="Arial"/>
                <w:sz w:val="24"/>
                <w:szCs w:val="24"/>
                <w:lang w:val="es-CO"/>
              </w:rPr>
            </w:pPr>
          </w:p>
          <w:p w14:paraId="60AD2E3E" w14:textId="77777777" w:rsidR="008A139D" w:rsidRPr="008A139D" w:rsidRDefault="008A139D" w:rsidP="008A139D">
            <w:pPr>
              <w:jc w:val="both"/>
              <w:rPr>
                <w:rFonts w:ascii="Arial" w:eastAsia="Arial" w:hAnsi="Arial" w:cs="Arial"/>
                <w:b/>
                <w:bCs/>
                <w:sz w:val="24"/>
                <w:szCs w:val="24"/>
                <w:lang w:val="es-CO"/>
              </w:rPr>
            </w:pPr>
            <w:r w:rsidRPr="008A139D">
              <w:rPr>
                <w:rFonts w:ascii="Arial" w:eastAsia="Arial" w:hAnsi="Arial" w:cs="Arial"/>
                <w:b/>
                <w:bCs/>
                <w:sz w:val="24"/>
                <w:szCs w:val="24"/>
                <w:lang w:val="es-CO"/>
              </w:rPr>
              <w:t>1. Identificación de la necesidad</w:t>
            </w:r>
          </w:p>
          <w:p w14:paraId="6ED3FC9A" w14:textId="77777777" w:rsidR="008A139D" w:rsidRPr="008A139D" w:rsidRDefault="008A139D" w:rsidP="008A139D">
            <w:pPr>
              <w:jc w:val="both"/>
              <w:rPr>
                <w:rFonts w:ascii="Arial" w:eastAsia="Arial" w:hAnsi="Arial" w:cs="Arial"/>
                <w:sz w:val="24"/>
                <w:szCs w:val="24"/>
                <w:lang w:val="es-CO"/>
              </w:rPr>
            </w:pPr>
            <w:r w:rsidRPr="008A139D">
              <w:rPr>
                <w:rFonts w:ascii="Arial" w:eastAsia="Arial" w:hAnsi="Arial" w:cs="Arial"/>
                <w:sz w:val="24"/>
                <w:szCs w:val="24"/>
                <w:lang w:val="es-CO"/>
              </w:rPr>
              <w:t>La cadena de suministro inicia con la identificación de la necesidad por parte de la Entidad Estatal, la cual consiste en contratar un servicio de interventoría integral que garantice el seguimiento, control y vigilancia permanente del contrato de obra derivado del proceso de Licitación Pública. En esta etapa se determinan el alcance de la interventoría, los objetivos del contrato, las obligaciones a supervisar y los recursos requeridos para asegurar el cumplimiento de las especificaciones técnicas, administrativas, financieras, jurídicas, sociales y ambientales del proyecto.</w:t>
            </w:r>
          </w:p>
          <w:p w14:paraId="558E985B" w14:textId="30F379C2" w:rsidR="008A139D" w:rsidRPr="008A139D" w:rsidRDefault="008A139D" w:rsidP="008A139D">
            <w:pPr>
              <w:jc w:val="both"/>
              <w:rPr>
                <w:rFonts w:ascii="Arial" w:eastAsia="Arial" w:hAnsi="Arial" w:cs="Arial"/>
                <w:sz w:val="24"/>
                <w:szCs w:val="24"/>
                <w:lang w:val="es-CO"/>
              </w:rPr>
            </w:pPr>
          </w:p>
          <w:p w14:paraId="5A77B100" w14:textId="77777777" w:rsidR="008A139D" w:rsidRPr="008A139D" w:rsidRDefault="008A139D" w:rsidP="008A139D">
            <w:pPr>
              <w:jc w:val="both"/>
              <w:rPr>
                <w:rFonts w:ascii="Arial" w:eastAsia="Arial" w:hAnsi="Arial" w:cs="Arial"/>
                <w:b/>
                <w:bCs/>
                <w:sz w:val="24"/>
                <w:szCs w:val="24"/>
                <w:lang w:val="es-CO"/>
              </w:rPr>
            </w:pPr>
            <w:r w:rsidRPr="008A139D">
              <w:rPr>
                <w:rFonts w:ascii="Arial" w:eastAsia="Arial" w:hAnsi="Arial" w:cs="Arial"/>
                <w:b/>
                <w:bCs/>
                <w:sz w:val="24"/>
                <w:szCs w:val="24"/>
                <w:lang w:val="es-CO"/>
              </w:rPr>
              <w:t>2. Planeación de la interventoría</w:t>
            </w:r>
          </w:p>
          <w:p w14:paraId="3CCE33F4" w14:textId="77777777" w:rsidR="008A139D" w:rsidRPr="008A139D" w:rsidRDefault="008A139D" w:rsidP="008A139D">
            <w:pPr>
              <w:jc w:val="both"/>
              <w:rPr>
                <w:rFonts w:ascii="Arial" w:eastAsia="Arial" w:hAnsi="Arial" w:cs="Arial"/>
                <w:sz w:val="24"/>
                <w:szCs w:val="24"/>
                <w:lang w:val="es-CO"/>
              </w:rPr>
            </w:pPr>
            <w:r w:rsidRPr="008A139D">
              <w:rPr>
                <w:rFonts w:ascii="Arial" w:eastAsia="Arial" w:hAnsi="Arial" w:cs="Arial"/>
                <w:sz w:val="24"/>
                <w:szCs w:val="24"/>
                <w:lang w:val="es-CO"/>
              </w:rPr>
              <w:t>Corresponde a la etapa en la cual se realiza el análisis de los estudios y documentos previos del contrato de obra, los diseños, presupuestos, cronogramas, especificaciones técnicas, matriz de riesgos y demás información necesaria para estructurar la metodología de seguimiento. Como resultado se define el plan de trabajo de la interventoría, la programación de visitas, la metodología de control y los mecanismos de coordinación con la Entidad y el contratista.</w:t>
            </w:r>
          </w:p>
          <w:p w14:paraId="4DABE125" w14:textId="5AB01A72" w:rsidR="008A139D" w:rsidRPr="008A139D" w:rsidRDefault="008A139D" w:rsidP="008A139D">
            <w:pPr>
              <w:jc w:val="both"/>
              <w:rPr>
                <w:rFonts w:ascii="Arial" w:eastAsia="Arial" w:hAnsi="Arial" w:cs="Arial"/>
                <w:sz w:val="24"/>
                <w:szCs w:val="24"/>
                <w:lang w:val="es-CO"/>
              </w:rPr>
            </w:pPr>
          </w:p>
          <w:p w14:paraId="55E9298C" w14:textId="77777777" w:rsidR="008A139D" w:rsidRPr="008A139D" w:rsidRDefault="008A139D" w:rsidP="008A139D">
            <w:pPr>
              <w:jc w:val="both"/>
              <w:rPr>
                <w:rFonts w:ascii="Arial" w:eastAsia="Arial" w:hAnsi="Arial" w:cs="Arial"/>
                <w:b/>
                <w:bCs/>
                <w:sz w:val="24"/>
                <w:szCs w:val="24"/>
                <w:lang w:val="es-CO"/>
              </w:rPr>
            </w:pPr>
            <w:r w:rsidRPr="008A139D">
              <w:rPr>
                <w:rFonts w:ascii="Arial" w:eastAsia="Arial" w:hAnsi="Arial" w:cs="Arial"/>
                <w:b/>
                <w:bCs/>
                <w:sz w:val="24"/>
                <w:szCs w:val="24"/>
                <w:lang w:val="es-CO"/>
              </w:rPr>
              <w:t>3. Conformación del equipo interdisciplinario</w:t>
            </w:r>
          </w:p>
          <w:p w14:paraId="6CEBC948" w14:textId="77777777" w:rsidR="008A139D" w:rsidRPr="008A139D" w:rsidRDefault="008A139D" w:rsidP="008A139D">
            <w:pPr>
              <w:jc w:val="both"/>
              <w:rPr>
                <w:rFonts w:ascii="Arial" w:eastAsia="Arial" w:hAnsi="Arial" w:cs="Arial"/>
                <w:sz w:val="24"/>
                <w:szCs w:val="24"/>
                <w:lang w:val="es-CO"/>
              </w:rPr>
            </w:pPr>
            <w:r w:rsidRPr="008A139D">
              <w:rPr>
                <w:rFonts w:ascii="Arial" w:eastAsia="Arial" w:hAnsi="Arial" w:cs="Arial"/>
                <w:sz w:val="24"/>
                <w:szCs w:val="24"/>
                <w:lang w:val="es-CO"/>
              </w:rPr>
              <w:t xml:space="preserve">La adecuada prestación del servicio depende de la conformación de un equipo </w:t>
            </w:r>
            <w:r w:rsidRPr="008A139D">
              <w:rPr>
                <w:rFonts w:ascii="Arial" w:eastAsia="Arial" w:hAnsi="Arial" w:cs="Arial"/>
                <w:sz w:val="24"/>
                <w:szCs w:val="24"/>
                <w:lang w:val="es-CO"/>
              </w:rPr>
              <w:lastRenderedPageBreak/>
              <w:t>profesional con experiencia y competencias acordes con la complejidad del proyecto. Este equipo puede estar integrado por el director de interventoría, ingenieros especialistas, arquitectos, profesionales financieros, jurídicos, sociales, ambientales, especialistas en seguridad y salud en el trabajo, topografía, laboratorio de materiales y demás perfiles requeridos para ejercer el control integral sobre la ejecución del contrato de obra.</w:t>
            </w:r>
          </w:p>
          <w:p w14:paraId="2C95BECD" w14:textId="42ABFA5A" w:rsidR="008A139D" w:rsidRPr="008A139D" w:rsidRDefault="008A139D" w:rsidP="008A139D">
            <w:pPr>
              <w:jc w:val="both"/>
              <w:rPr>
                <w:rFonts w:ascii="Arial" w:eastAsia="Arial" w:hAnsi="Arial" w:cs="Arial"/>
                <w:sz w:val="24"/>
                <w:szCs w:val="24"/>
                <w:lang w:val="es-CO"/>
              </w:rPr>
            </w:pPr>
          </w:p>
          <w:p w14:paraId="07C58AD4" w14:textId="77777777" w:rsidR="008A139D" w:rsidRPr="008A139D" w:rsidRDefault="008A139D" w:rsidP="008A139D">
            <w:pPr>
              <w:jc w:val="both"/>
              <w:rPr>
                <w:rFonts w:ascii="Arial" w:eastAsia="Arial" w:hAnsi="Arial" w:cs="Arial"/>
                <w:b/>
                <w:bCs/>
                <w:sz w:val="24"/>
                <w:szCs w:val="24"/>
                <w:lang w:val="es-CO"/>
              </w:rPr>
            </w:pPr>
            <w:r w:rsidRPr="008A139D">
              <w:rPr>
                <w:rFonts w:ascii="Arial" w:eastAsia="Arial" w:hAnsi="Arial" w:cs="Arial"/>
                <w:b/>
                <w:bCs/>
                <w:sz w:val="24"/>
                <w:szCs w:val="24"/>
                <w:lang w:val="es-CO"/>
              </w:rPr>
              <w:t>4. Recursos técnicos, tecnológicos y logísticos</w:t>
            </w:r>
          </w:p>
          <w:p w14:paraId="406B9E03" w14:textId="77777777" w:rsidR="008A139D" w:rsidRPr="008A139D" w:rsidRDefault="008A139D" w:rsidP="008A139D">
            <w:pPr>
              <w:jc w:val="both"/>
              <w:rPr>
                <w:rFonts w:ascii="Arial" w:eastAsia="Arial" w:hAnsi="Arial" w:cs="Arial"/>
                <w:sz w:val="24"/>
                <w:szCs w:val="24"/>
                <w:lang w:val="es-CO"/>
              </w:rPr>
            </w:pPr>
            <w:r w:rsidRPr="008A139D">
              <w:rPr>
                <w:rFonts w:ascii="Arial" w:eastAsia="Arial" w:hAnsi="Arial" w:cs="Arial"/>
                <w:sz w:val="24"/>
                <w:szCs w:val="24"/>
                <w:lang w:val="es-CO"/>
              </w:rPr>
              <w:t>Para desarrollar las actividades de interventoría es indispensable disponer de recursos físicos y tecnológicos que faciliten el seguimiento permanente del proyecto. Entre ellos se encuentran equipos de cómputo, software especializado para programación y control de obras, herramientas de medición, equipos topográficos, cámaras fotográficas, drones cuando se requieran, vehículos para desplazamiento, sistemas de comunicación y demás recursos logísticos que permitan verificar las condiciones de ejecución del contrato.</w:t>
            </w:r>
          </w:p>
          <w:p w14:paraId="7B99BF5D" w14:textId="7C8CDA9F" w:rsidR="008A139D" w:rsidRPr="008A139D" w:rsidRDefault="008A139D" w:rsidP="008A139D">
            <w:pPr>
              <w:jc w:val="both"/>
              <w:rPr>
                <w:rFonts w:ascii="Arial" w:eastAsia="Arial" w:hAnsi="Arial" w:cs="Arial"/>
                <w:sz w:val="24"/>
                <w:szCs w:val="24"/>
                <w:lang w:val="es-CO"/>
              </w:rPr>
            </w:pPr>
          </w:p>
          <w:p w14:paraId="544F50AA" w14:textId="77777777" w:rsidR="008A139D" w:rsidRPr="008A139D" w:rsidRDefault="008A139D" w:rsidP="008A139D">
            <w:pPr>
              <w:jc w:val="both"/>
              <w:rPr>
                <w:rFonts w:ascii="Arial" w:eastAsia="Arial" w:hAnsi="Arial" w:cs="Arial"/>
                <w:b/>
                <w:bCs/>
                <w:sz w:val="24"/>
                <w:szCs w:val="24"/>
                <w:lang w:val="es-CO"/>
              </w:rPr>
            </w:pPr>
            <w:r w:rsidRPr="008A139D">
              <w:rPr>
                <w:rFonts w:ascii="Arial" w:eastAsia="Arial" w:hAnsi="Arial" w:cs="Arial"/>
                <w:b/>
                <w:bCs/>
                <w:sz w:val="24"/>
                <w:szCs w:val="24"/>
                <w:lang w:val="es-CO"/>
              </w:rPr>
              <w:t>5. Ejecución de la interventoría integral</w:t>
            </w:r>
          </w:p>
          <w:p w14:paraId="01D66998" w14:textId="77777777" w:rsidR="008A139D" w:rsidRPr="008A139D" w:rsidRDefault="008A139D" w:rsidP="008A139D">
            <w:pPr>
              <w:jc w:val="both"/>
              <w:rPr>
                <w:rFonts w:ascii="Arial" w:eastAsia="Arial" w:hAnsi="Arial" w:cs="Arial"/>
                <w:sz w:val="24"/>
                <w:szCs w:val="24"/>
                <w:lang w:val="es-CO"/>
              </w:rPr>
            </w:pPr>
            <w:r w:rsidRPr="008A139D">
              <w:rPr>
                <w:rFonts w:ascii="Arial" w:eastAsia="Arial" w:hAnsi="Arial" w:cs="Arial"/>
                <w:sz w:val="24"/>
                <w:szCs w:val="24"/>
                <w:lang w:val="es-CO"/>
              </w:rPr>
              <w:t>Constituye el núcleo de la cadena de suministro y comprende el desarrollo de todas las actividades de supervisión, seguimiento, inspección y control al contrato de obra. Durante esta etapa se verifica el cumplimiento de las especificaciones técnicas, el avance físico y financiero, la calidad de los materiales, el cumplimiento del cronograma, la correcta inversión de los recursos, las obligaciones contractuales, la normatividad aplicable y los compromisos sociales, ambientales y de seguridad y salud en el trabajo.</w:t>
            </w:r>
          </w:p>
          <w:p w14:paraId="199DABE9" w14:textId="5A4DFA6C" w:rsidR="008A139D" w:rsidRPr="008A139D" w:rsidRDefault="008A139D" w:rsidP="008A139D">
            <w:pPr>
              <w:jc w:val="both"/>
              <w:rPr>
                <w:rFonts w:ascii="Arial" w:eastAsia="Arial" w:hAnsi="Arial" w:cs="Arial"/>
                <w:sz w:val="24"/>
                <w:szCs w:val="24"/>
                <w:lang w:val="es-CO"/>
              </w:rPr>
            </w:pPr>
          </w:p>
          <w:p w14:paraId="50D8CC42" w14:textId="77777777" w:rsidR="008A139D" w:rsidRPr="008A139D" w:rsidRDefault="008A139D" w:rsidP="008A139D">
            <w:pPr>
              <w:jc w:val="both"/>
              <w:rPr>
                <w:rFonts w:ascii="Arial" w:eastAsia="Arial" w:hAnsi="Arial" w:cs="Arial"/>
                <w:b/>
                <w:bCs/>
                <w:sz w:val="24"/>
                <w:szCs w:val="24"/>
                <w:lang w:val="es-CO"/>
              </w:rPr>
            </w:pPr>
            <w:r w:rsidRPr="008A139D">
              <w:rPr>
                <w:rFonts w:ascii="Arial" w:eastAsia="Arial" w:hAnsi="Arial" w:cs="Arial"/>
                <w:b/>
                <w:bCs/>
                <w:sz w:val="24"/>
                <w:szCs w:val="24"/>
                <w:lang w:val="es-CO"/>
              </w:rPr>
              <w:t>6. Gestión documental e informes</w:t>
            </w:r>
          </w:p>
          <w:p w14:paraId="2820DCD1" w14:textId="77777777" w:rsidR="008A139D" w:rsidRPr="008A139D" w:rsidRDefault="008A139D" w:rsidP="008A139D">
            <w:pPr>
              <w:jc w:val="both"/>
              <w:rPr>
                <w:rFonts w:ascii="Arial" w:eastAsia="Arial" w:hAnsi="Arial" w:cs="Arial"/>
                <w:sz w:val="24"/>
                <w:szCs w:val="24"/>
                <w:lang w:val="es-CO"/>
              </w:rPr>
            </w:pPr>
            <w:r w:rsidRPr="008A139D">
              <w:rPr>
                <w:rFonts w:ascii="Arial" w:eastAsia="Arial" w:hAnsi="Arial" w:cs="Arial"/>
                <w:sz w:val="24"/>
                <w:szCs w:val="24"/>
                <w:lang w:val="es-CO"/>
              </w:rPr>
              <w:t>Como resultado del seguimiento realizado, la interventoría debe elaborar y administrar la documentación técnica y administrativa que soporte el control ejercido sobre el contrato. Este componente comprende la elaboración de informes periódicos, actas de obra, conceptos técnicos, informes financieros, registros fotográficos, reportes de novedades, recomendaciones, control documental y demás evidencias que permitan demostrar el desarrollo de la interventoría y facilitar la toma de decisiones por parte de la Entidad.</w:t>
            </w:r>
          </w:p>
          <w:p w14:paraId="0FC3F36E" w14:textId="5A49BFBF" w:rsidR="008A139D" w:rsidRPr="008A139D" w:rsidRDefault="008A139D" w:rsidP="008A139D">
            <w:pPr>
              <w:jc w:val="both"/>
              <w:rPr>
                <w:rFonts w:ascii="Arial" w:eastAsia="Arial" w:hAnsi="Arial" w:cs="Arial"/>
                <w:sz w:val="24"/>
                <w:szCs w:val="24"/>
                <w:lang w:val="es-CO"/>
              </w:rPr>
            </w:pPr>
          </w:p>
          <w:p w14:paraId="6B5E6A98" w14:textId="77777777" w:rsidR="008A139D" w:rsidRPr="008A139D" w:rsidRDefault="008A139D" w:rsidP="008A139D">
            <w:pPr>
              <w:jc w:val="both"/>
              <w:rPr>
                <w:rFonts w:ascii="Arial" w:eastAsia="Arial" w:hAnsi="Arial" w:cs="Arial"/>
                <w:b/>
                <w:bCs/>
                <w:sz w:val="24"/>
                <w:szCs w:val="24"/>
                <w:lang w:val="es-CO"/>
              </w:rPr>
            </w:pPr>
            <w:r w:rsidRPr="008A139D">
              <w:rPr>
                <w:rFonts w:ascii="Arial" w:eastAsia="Arial" w:hAnsi="Arial" w:cs="Arial"/>
                <w:b/>
                <w:bCs/>
                <w:sz w:val="24"/>
                <w:szCs w:val="24"/>
                <w:lang w:val="es-CO"/>
              </w:rPr>
              <w:t>7. Control y verificación</w:t>
            </w:r>
          </w:p>
          <w:p w14:paraId="202C4CCC" w14:textId="77777777" w:rsidR="008A139D" w:rsidRPr="008A139D" w:rsidRDefault="008A139D" w:rsidP="008A139D">
            <w:pPr>
              <w:jc w:val="both"/>
              <w:rPr>
                <w:rFonts w:ascii="Arial" w:eastAsia="Arial" w:hAnsi="Arial" w:cs="Arial"/>
                <w:sz w:val="24"/>
                <w:szCs w:val="24"/>
                <w:lang w:val="es-CO"/>
              </w:rPr>
            </w:pPr>
            <w:r w:rsidRPr="008A139D">
              <w:rPr>
                <w:rFonts w:ascii="Arial" w:eastAsia="Arial" w:hAnsi="Arial" w:cs="Arial"/>
                <w:sz w:val="24"/>
                <w:szCs w:val="24"/>
                <w:lang w:val="es-CO"/>
              </w:rPr>
              <w:t xml:space="preserve">En esta etapa se realiza la validación permanente del cumplimiento de las obligaciones contractuales por parte del contratista de obra. Se verifican aspectos relacionados con cantidades ejecutadas, calidad de materiales, cumplimiento de especificaciones </w:t>
            </w:r>
            <w:r w:rsidRPr="008A139D">
              <w:rPr>
                <w:rFonts w:ascii="Arial" w:eastAsia="Arial" w:hAnsi="Arial" w:cs="Arial"/>
                <w:sz w:val="24"/>
                <w:szCs w:val="24"/>
                <w:lang w:val="es-CO"/>
              </w:rPr>
              <w:lastRenderedPageBreak/>
              <w:t>técnicas, ejecución presupuestal, programación de actividades, cumplimiento ambiental, gestión social, seguridad industrial, salud en el trabajo y demás obligaciones previstas en el contrato, formulando las recomendaciones y acciones correctivas cuando resulten necesarias.</w:t>
            </w:r>
          </w:p>
          <w:p w14:paraId="5E8AE016" w14:textId="348B2CFD" w:rsidR="008A139D" w:rsidRPr="008A139D" w:rsidRDefault="008A139D" w:rsidP="008A139D">
            <w:pPr>
              <w:jc w:val="both"/>
              <w:rPr>
                <w:rFonts w:ascii="Arial" w:eastAsia="Arial" w:hAnsi="Arial" w:cs="Arial"/>
                <w:sz w:val="24"/>
                <w:szCs w:val="24"/>
                <w:lang w:val="es-CO"/>
              </w:rPr>
            </w:pPr>
          </w:p>
          <w:p w14:paraId="10C38BC1" w14:textId="77777777" w:rsidR="008A139D" w:rsidRPr="008A139D" w:rsidRDefault="008A139D" w:rsidP="008A139D">
            <w:pPr>
              <w:jc w:val="both"/>
              <w:rPr>
                <w:rFonts w:ascii="Arial" w:eastAsia="Arial" w:hAnsi="Arial" w:cs="Arial"/>
                <w:b/>
                <w:bCs/>
                <w:sz w:val="24"/>
                <w:szCs w:val="24"/>
                <w:lang w:val="es-CO"/>
              </w:rPr>
            </w:pPr>
            <w:r w:rsidRPr="008A139D">
              <w:rPr>
                <w:rFonts w:ascii="Arial" w:eastAsia="Arial" w:hAnsi="Arial" w:cs="Arial"/>
                <w:b/>
                <w:bCs/>
                <w:sz w:val="24"/>
                <w:szCs w:val="24"/>
                <w:lang w:val="es-CO"/>
              </w:rPr>
              <w:t>8. Coordinación y comunicación entre los actores del proyecto</w:t>
            </w:r>
          </w:p>
          <w:p w14:paraId="38D523D6" w14:textId="77777777" w:rsidR="008A139D" w:rsidRPr="008A139D" w:rsidRDefault="008A139D" w:rsidP="008A139D">
            <w:pPr>
              <w:jc w:val="both"/>
              <w:rPr>
                <w:rFonts w:ascii="Arial" w:eastAsia="Arial" w:hAnsi="Arial" w:cs="Arial"/>
                <w:sz w:val="24"/>
                <w:szCs w:val="24"/>
                <w:lang w:val="es-CO"/>
              </w:rPr>
            </w:pPr>
            <w:r w:rsidRPr="008A139D">
              <w:rPr>
                <w:rFonts w:ascii="Arial" w:eastAsia="Arial" w:hAnsi="Arial" w:cs="Arial"/>
                <w:sz w:val="24"/>
                <w:szCs w:val="24"/>
                <w:lang w:val="es-CO"/>
              </w:rPr>
              <w:t>La interventoría mantiene una articulación permanente entre la Entidad contratante, el contratista de obra, diseñadores, consultores, autoridades competentes, empresas de servicios públicos y demás actores involucrados en el proyecto. Esta coordinación facilita la solución de situaciones técnicas y administrativas, el seguimiento oportuno de las decisiones adoptadas y la adecuada ejecución del contrato dentro de los plazos y condiciones establecidos.</w:t>
            </w:r>
          </w:p>
          <w:p w14:paraId="63CC8F79" w14:textId="52EEF71E" w:rsidR="008A139D" w:rsidRPr="008A139D" w:rsidRDefault="008A139D" w:rsidP="008A139D">
            <w:pPr>
              <w:jc w:val="both"/>
              <w:rPr>
                <w:rFonts w:ascii="Arial" w:eastAsia="Arial" w:hAnsi="Arial" w:cs="Arial"/>
                <w:sz w:val="24"/>
                <w:szCs w:val="24"/>
                <w:lang w:val="es-CO"/>
              </w:rPr>
            </w:pPr>
          </w:p>
          <w:p w14:paraId="39A900C8" w14:textId="77777777" w:rsidR="008A139D" w:rsidRPr="008A139D" w:rsidRDefault="008A139D" w:rsidP="008A139D">
            <w:pPr>
              <w:jc w:val="both"/>
              <w:rPr>
                <w:rFonts w:ascii="Arial" w:eastAsia="Arial" w:hAnsi="Arial" w:cs="Arial"/>
                <w:b/>
                <w:bCs/>
                <w:sz w:val="24"/>
                <w:szCs w:val="24"/>
                <w:lang w:val="es-CO"/>
              </w:rPr>
            </w:pPr>
            <w:r w:rsidRPr="008A139D">
              <w:rPr>
                <w:rFonts w:ascii="Arial" w:eastAsia="Arial" w:hAnsi="Arial" w:cs="Arial"/>
                <w:b/>
                <w:bCs/>
                <w:sz w:val="24"/>
                <w:szCs w:val="24"/>
                <w:lang w:val="es-CO"/>
              </w:rPr>
              <w:t>9. Cierre y liquidación</w:t>
            </w:r>
          </w:p>
          <w:p w14:paraId="238FBABF" w14:textId="77777777" w:rsidR="008A139D" w:rsidRPr="008A139D" w:rsidRDefault="008A139D" w:rsidP="008A139D">
            <w:pPr>
              <w:jc w:val="both"/>
              <w:rPr>
                <w:rFonts w:ascii="Arial" w:eastAsia="Arial" w:hAnsi="Arial" w:cs="Arial"/>
                <w:sz w:val="24"/>
                <w:szCs w:val="24"/>
                <w:lang w:val="es-CO"/>
              </w:rPr>
            </w:pPr>
            <w:r w:rsidRPr="008A139D">
              <w:rPr>
                <w:rFonts w:ascii="Arial" w:eastAsia="Arial" w:hAnsi="Arial" w:cs="Arial"/>
                <w:sz w:val="24"/>
                <w:szCs w:val="24"/>
                <w:lang w:val="es-CO"/>
              </w:rPr>
              <w:t>El último eslabón corresponde a la culminación de las actividades de interventoría. En esta etapa se realiza la verificación del cumplimiento total del contrato de obra, la elaboración del informe final de interventoría, el apoyo al recibo final de las obras, la revisión de los documentos para la liquidación del contrato, la entrega del archivo técnico y administrativo y la consolidación de las lecciones aprendidas, garantizando que la Entidad reciba toda la información necesaria para el cierre contractual.</w:t>
            </w:r>
          </w:p>
          <w:p w14:paraId="7129893D" w14:textId="7D46FBBF" w:rsidR="00AD0029" w:rsidRPr="00D67D8A" w:rsidRDefault="00AD0029" w:rsidP="00EB221F">
            <w:pPr>
              <w:jc w:val="both"/>
              <w:rPr>
                <w:rFonts w:ascii="Arial" w:eastAsia="Arial" w:hAnsi="Arial" w:cs="Arial"/>
                <w:sz w:val="24"/>
                <w:szCs w:val="24"/>
                <w:lang w:val="es-CO"/>
              </w:rPr>
            </w:pPr>
          </w:p>
        </w:tc>
      </w:tr>
      <w:tr w:rsidR="00D768A3" w14:paraId="71EFF9B8"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32BC9F7" w14:textId="77777777" w:rsidR="00D768A3" w:rsidRPr="00AA5098" w:rsidRDefault="00A0753E">
            <w:pPr>
              <w:widowControl/>
              <w:numPr>
                <w:ilvl w:val="1"/>
                <w:numId w:val="1"/>
              </w:numPr>
              <w:pBdr>
                <w:top w:val="nil"/>
                <w:left w:val="nil"/>
                <w:bottom w:val="nil"/>
                <w:right w:val="nil"/>
                <w:between w:val="nil"/>
              </w:pBdr>
              <w:spacing w:before="60" w:after="60"/>
              <w:ind w:left="0" w:firstLine="0"/>
              <w:rPr>
                <w:rFonts w:ascii="Arial" w:eastAsia="Arial" w:hAnsi="Arial" w:cs="Arial"/>
                <w:color w:val="000000"/>
                <w:sz w:val="24"/>
                <w:szCs w:val="24"/>
              </w:rPr>
            </w:pPr>
            <w:r w:rsidRPr="00AA5098">
              <w:rPr>
                <w:rFonts w:ascii="Arial" w:eastAsia="Arial" w:hAnsi="Arial" w:cs="Arial"/>
                <w:color w:val="000000"/>
                <w:sz w:val="24"/>
                <w:szCs w:val="24"/>
              </w:rPr>
              <w:lastRenderedPageBreak/>
              <w:t>ESTRUCTURA DE COSTOS</w:t>
            </w:r>
          </w:p>
        </w:tc>
      </w:tr>
      <w:tr w:rsidR="00D768A3" w14:paraId="30877D35"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B056C76" w14:textId="77777777" w:rsidR="00AA5098" w:rsidRPr="00AA5098" w:rsidRDefault="00AA5098" w:rsidP="00AA5098">
            <w:pPr>
              <w:jc w:val="both"/>
              <w:rPr>
                <w:rFonts w:ascii="Arial" w:eastAsia="Arial" w:hAnsi="Arial" w:cs="Arial"/>
                <w:sz w:val="24"/>
                <w:szCs w:val="24"/>
                <w:lang w:val="es-CO"/>
              </w:rPr>
            </w:pPr>
            <w:r w:rsidRPr="00AA5098">
              <w:rPr>
                <w:rFonts w:ascii="Arial" w:eastAsia="Arial" w:hAnsi="Arial" w:cs="Arial"/>
                <w:sz w:val="24"/>
                <w:szCs w:val="24"/>
                <w:lang w:val="es-CO"/>
              </w:rPr>
              <w:t>La estructura de costos del presente proceso contractual corresponde a la prestación de servicios profesionales de consultoría e interventoría, cuyo componente principal es el talento humano especializado requerido para ejercer el seguimiento técnico, administrativo, financiero, jurídico, social y ambiental del contrato de obra objeto de control.</w:t>
            </w:r>
          </w:p>
          <w:p w14:paraId="70453BC2" w14:textId="77777777" w:rsidR="00AA5098" w:rsidRPr="00AA5098" w:rsidRDefault="00AA5098" w:rsidP="00AA5098">
            <w:pPr>
              <w:jc w:val="both"/>
              <w:rPr>
                <w:rFonts w:ascii="Arial" w:eastAsia="Arial" w:hAnsi="Arial" w:cs="Arial"/>
                <w:sz w:val="24"/>
                <w:szCs w:val="24"/>
                <w:lang w:val="es-CO"/>
              </w:rPr>
            </w:pPr>
          </w:p>
          <w:p w14:paraId="6A1EA47C" w14:textId="77777777" w:rsidR="00AA5098" w:rsidRPr="00AA5098" w:rsidRDefault="00AA5098" w:rsidP="00AA5098">
            <w:pPr>
              <w:jc w:val="both"/>
              <w:rPr>
                <w:rFonts w:ascii="Arial" w:eastAsia="Arial" w:hAnsi="Arial" w:cs="Arial"/>
                <w:sz w:val="24"/>
                <w:szCs w:val="24"/>
                <w:lang w:val="es-CO"/>
              </w:rPr>
            </w:pPr>
            <w:r w:rsidRPr="00AA5098">
              <w:rPr>
                <w:rFonts w:ascii="Arial" w:eastAsia="Arial" w:hAnsi="Arial" w:cs="Arial"/>
                <w:sz w:val="24"/>
                <w:szCs w:val="24"/>
                <w:lang w:val="es-CO"/>
              </w:rPr>
              <w:t>La ejecución del contrato requiere la articulación de recursos humanos, tecnológicos, administrativos y logísticos que permitan desarrollar las actividades de inspección, supervisión, control, seguimiento y apoyo a la Entidad durante todas las etapas del contrato de obra.</w:t>
            </w:r>
          </w:p>
          <w:p w14:paraId="009B3B3D" w14:textId="77777777" w:rsidR="00AA5098" w:rsidRPr="00AA5098" w:rsidRDefault="00AA5098" w:rsidP="00AA5098">
            <w:pPr>
              <w:jc w:val="both"/>
              <w:rPr>
                <w:rFonts w:ascii="Arial" w:eastAsia="Arial" w:hAnsi="Arial" w:cs="Arial"/>
                <w:sz w:val="24"/>
                <w:szCs w:val="24"/>
                <w:lang w:val="es-CO"/>
              </w:rPr>
            </w:pPr>
          </w:p>
          <w:p w14:paraId="34991D09" w14:textId="77777777" w:rsidR="00AA5098" w:rsidRPr="00AA5098" w:rsidRDefault="00AA5098" w:rsidP="00AA5098">
            <w:pPr>
              <w:jc w:val="both"/>
              <w:rPr>
                <w:rFonts w:ascii="Arial" w:eastAsia="Arial" w:hAnsi="Arial" w:cs="Arial"/>
                <w:sz w:val="24"/>
                <w:szCs w:val="24"/>
                <w:lang w:val="es-CO"/>
              </w:rPr>
            </w:pPr>
            <w:r w:rsidRPr="00AA5098">
              <w:rPr>
                <w:rFonts w:ascii="Arial" w:eastAsia="Arial" w:hAnsi="Arial" w:cs="Arial"/>
                <w:sz w:val="24"/>
                <w:szCs w:val="24"/>
                <w:lang w:val="es-CO"/>
              </w:rPr>
              <w:t>De acuerdo con el análisis del mercado y de procesos similares, la estructura de costos se encuentra conformada principalmente por los siguientes componentes:</w:t>
            </w:r>
          </w:p>
          <w:p w14:paraId="74B9ED45" w14:textId="76A744AE" w:rsidR="00D768A3" w:rsidRPr="00AA5098" w:rsidRDefault="00D768A3">
            <w:pPr>
              <w:jc w:val="both"/>
              <w:rPr>
                <w:rFonts w:ascii="Arial" w:eastAsia="Arial" w:hAnsi="Arial" w:cs="Arial"/>
                <w:sz w:val="24"/>
                <w:szCs w:val="24"/>
                <w:lang w:val="es-CO"/>
              </w:rPr>
            </w:pPr>
          </w:p>
          <w:tbl>
            <w:tblPr>
              <w:tblW w:w="0" w:type="auto"/>
              <w:tblCellSpacing w:w="15"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2"/>
              <w:gridCol w:w="5103"/>
            </w:tblGrid>
            <w:tr w:rsidR="00AA5098" w:rsidRPr="00AA5098" w14:paraId="79C90F54" w14:textId="77777777" w:rsidTr="00E42D8D">
              <w:trPr>
                <w:tblHeader/>
                <w:tblCellSpacing w:w="15" w:type="dxa"/>
              </w:trPr>
              <w:tc>
                <w:tcPr>
                  <w:tcW w:w="2507" w:type="dxa"/>
                  <w:vAlign w:val="center"/>
                  <w:hideMark/>
                </w:tcPr>
                <w:p w14:paraId="679B94C8" w14:textId="77777777" w:rsidR="00AA5098" w:rsidRPr="00AA5098" w:rsidRDefault="00AA5098" w:rsidP="00AA5098">
                  <w:pPr>
                    <w:jc w:val="center"/>
                    <w:rPr>
                      <w:rFonts w:ascii="Arial" w:hAnsi="Arial" w:cs="Arial"/>
                      <w:b/>
                      <w:bCs/>
                      <w:sz w:val="22"/>
                      <w:szCs w:val="22"/>
                      <w:lang w:val="es-CO"/>
                    </w:rPr>
                  </w:pPr>
                  <w:r w:rsidRPr="00AA5098">
                    <w:rPr>
                      <w:rFonts w:ascii="Arial" w:hAnsi="Arial" w:cs="Arial"/>
                      <w:b/>
                      <w:bCs/>
                      <w:sz w:val="22"/>
                      <w:szCs w:val="22"/>
                      <w:lang w:val="es-CO"/>
                    </w:rPr>
                    <w:lastRenderedPageBreak/>
                    <w:t>Componente del costo</w:t>
                  </w:r>
                </w:p>
              </w:tc>
              <w:tc>
                <w:tcPr>
                  <w:tcW w:w="5058" w:type="dxa"/>
                  <w:vAlign w:val="center"/>
                  <w:hideMark/>
                </w:tcPr>
                <w:p w14:paraId="56A7ADF2" w14:textId="77777777" w:rsidR="00AA5098" w:rsidRPr="00AA5098" w:rsidRDefault="00AA5098" w:rsidP="00AA5098">
                  <w:pPr>
                    <w:jc w:val="center"/>
                    <w:rPr>
                      <w:rFonts w:ascii="Arial" w:hAnsi="Arial" w:cs="Arial"/>
                      <w:b/>
                      <w:bCs/>
                      <w:sz w:val="22"/>
                      <w:szCs w:val="22"/>
                      <w:lang w:val="es-CO"/>
                    </w:rPr>
                  </w:pPr>
                  <w:r w:rsidRPr="00AA5098">
                    <w:rPr>
                      <w:rFonts w:ascii="Arial" w:hAnsi="Arial" w:cs="Arial"/>
                      <w:b/>
                      <w:bCs/>
                      <w:sz w:val="22"/>
                      <w:szCs w:val="22"/>
                      <w:lang w:val="es-CO"/>
                    </w:rPr>
                    <w:t>Descripción</w:t>
                  </w:r>
                </w:p>
              </w:tc>
            </w:tr>
            <w:tr w:rsidR="00AA5098" w:rsidRPr="00AA5098" w14:paraId="5EC0579E" w14:textId="77777777" w:rsidTr="00E42D8D">
              <w:trPr>
                <w:tblCellSpacing w:w="15" w:type="dxa"/>
              </w:trPr>
              <w:tc>
                <w:tcPr>
                  <w:tcW w:w="2507" w:type="dxa"/>
                  <w:vAlign w:val="center"/>
                  <w:hideMark/>
                </w:tcPr>
                <w:p w14:paraId="315DF15E" w14:textId="77777777" w:rsidR="00AA5098" w:rsidRPr="00AA5098" w:rsidRDefault="00AA5098" w:rsidP="00AA5098">
                  <w:pPr>
                    <w:rPr>
                      <w:rFonts w:ascii="Arial" w:hAnsi="Arial" w:cs="Arial"/>
                      <w:sz w:val="22"/>
                      <w:szCs w:val="22"/>
                      <w:lang w:val="es-CO"/>
                    </w:rPr>
                  </w:pPr>
                  <w:r w:rsidRPr="00AA5098">
                    <w:rPr>
                      <w:rFonts w:ascii="Arial" w:hAnsi="Arial" w:cs="Arial"/>
                      <w:b/>
                      <w:bCs/>
                      <w:sz w:val="22"/>
                      <w:szCs w:val="22"/>
                      <w:lang w:val="es-CO"/>
                    </w:rPr>
                    <w:t>Talento humano especializado</w:t>
                  </w:r>
                </w:p>
              </w:tc>
              <w:tc>
                <w:tcPr>
                  <w:tcW w:w="5058" w:type="dxa"/>
                  <w:vAlign w:val="center"/>
                  <w:hideMark/>
                </w:tcPr>
                <w:p w14:paraId="7C0173B1" w14:textId="77777777" w:rsidR="00AA5098" w:rsidRPr="00AA5098" w:rsidRDefault="00AA5098" w:rsidP="00AA5098">
                  <w:pPr>
                    <w:rPr>
                      <w:rFonts w:ascii="Arial" w:hAnsi="Arial" w:cs="Arial"/>
                      <w:sz w:val="22"/>
                      <w:szCs w:val="22"/>
                      <w:lang w:val="es-CO"/>
                    </w:rPr>
                  </w:pPr>
                  <w:r w:rsidRPr="00AA5098">
                    <w:rPr>
                      <w:rFonts w:ascii="Arial" w:hAnsi="Arial" w:cs="Arial"/>
                      <w:sz w:val="22"/>
                      <w:szCs w:val="22"/>
                      <w:lang w:val="es-CO"/>
                    </w:rPr>
                    <w:t>Honorarios y remuneración del director de interventoría, residentes, ingenieros especialistas, arquitectos, profesionales financieros, jurídicos, sociales, ambientales, especialistas SST, topógrafos, laboratoristas, auxiliares técnicos y personal administrativo. Constituye el principal componente del costo del contrato.</w:t>
                  </w:r>
                </w:p>
              </w:tc>
            </w:tr>
            <w:tr w:rsidR="00AA5098" w:rsidRPr="00AA5098" w14:paraId="7399A646" w14:textId="77777777" w:rsidTr="00E42D8D">
              <w:trPr>
                <w:tblCellSpacing w:w="15" w:type="dxa"/>
              </w:trPr>
              <w:tc>
                <w:tcPr>
                  <w:tcW w:w="2507" w:type="dxa"/>
                  <w:vAlign w:val="center"/>
                  <w:hideMark/>
                </w:tcPr>
                <w:p w14:paraId="13EE2E3B" w14:textId="77777777" w:rsidR="00AA5098" w:rsidRPr="00AA5098" w:rsidRDefault="00AA5098" w:rsidP="00AA5098">
                  <w:pPr>
                    <w:rPr>
                      <w:rFonts w:ascii="Arial" w:hAnsi="Arial" w:cs="Arial"/>
                      <w:sz w:val="22"/>
                      <w:szCs w:val="22"/>
                      <w:lang w:val="es-CO"/>
                    </w:rPr>
                  </w:pPr>
                  <w:r w:rsidRPr="00AA5098">
                    <w:rPr>
                      <w:rFonts w:ascii="Arial" w:hAnsi="Arial" w:cs="Arial"/>
                      <w:b/>
                      <w:bCs/>
                      <w:sz w:val="22"/>
                      <w:szCs w:val="22"/>
                      <w:lang w:val="es-CO"/>
                    </w:rPr>
                    <w:t>Prestaciones sociales y seguridad social</w:t>
                  </w:r>
                </w:p>
              </w:tc>
              <w:tc>
                <w:tcPr>
                  <w:tcW w:w="5058" w:type="dxa"/>
                  <w:vAlign w:val="center"/>
                  <w:hideMark/>
                </w:tcPr>
                <w:p w14:paraId="33703B24" w14:textId="77777777" w:rsidR="00AA5098" w:rsidRPr="00AA5098" w:rsidRDefault="00AA5098" w:rsidP="00AA5098">
                  <w:pPr>
                    <w:rPr>
                      <w:rFonts w:ascii="Arial" w:hAnsi="Arial" w:cs="Arial"/>
                      <w:sz w:val="22"/>
                      <w:szCs w:val="22"/>
                      <w:lang w:val="es-CO"/>
                    </w:rPr>
                  </w:pPr>
                  <w:r w:rsidRPr="00AA5098">
                    <w:rPr>
                      <w:rFonts w:ascii="Arial" w:hAnsi="Arial" w:cs="Arial"/>
                      <w:sz w:val="22"/>
                      <w:szCs w:val="22"/>
                      <w:lang w:val="es-CO"/>
                    </w:rPr>
                    <w:t>Costos asociados al pago de salarios, prestaciones sociales, aportes al Sistema General de Seguridad Social Integral, parafiscales y demás obligaciones laborales del personal vinculado al proyecto.</w:t>
                  </w:r>
                </w:p>
              </w:tc>
            </w:tr>
            <w:tr w:rsidR="00AA5098" w:rsidRPr="00AA5098" w14:paraId="34564482" w14:textId="77777777" w:rsidTr="00E42D8D">
              <w:trPr>
                <w:tblCellSpacing w:w="15" w:type="dxa"/>
              </w:trPr>
              <w:tc>
                <w:tcPr>
                  <w:tcW w:w="2507" w:type="dxa"/>
                  <w:vAlign w:val="center"/>
                  <w:hideMark/>
                </w:tcPr>
                <w:p w14:paraId="688CAF3B" w14:textId="77777777" w:rsidR="00AA5098" w:rsidRPr="00AA5098" w:rsidRDefault="00AA5098" w:rsidP="00AA5098">
                  <w:pPr>
                    <w:rPr>
                      <w:rFonts w:ascii="Arial" w:hAnsi="Arial" w:cs="Arial"/>
                      <w:sz w:val="22"/>
                      <w:szCs w:val="22"/>
                      <w:lang w:val="es-CO"/>
                    </w:rPr>
                  </w:pPr>
                  <w:r w:rsidRPr="00AA5098">
                    <w:rPr>
                      <w:rFonts w:ascii="Arial" w:hAnsi="Arial" w:cs="Arial"/>
                      <w:b/>
                      <w:bCs/>
                      <w:sz w:val="22"/>
                      <w:szCs w:val="22"/>
                      <w:lang w:val="es-CO"/>
                    </w:rPr>
                    <w:t>Recursos tecnológicos</w:t>
                  </w:r>
                </w:p>
              </w:tc>
              <w:tc>
                <w:tcPr>
                  <w:tcW w:w="5058" w:type="dxa"/>
                  <w:vAlign w:val="center"/>
                  <w:hideMark/>
                </w:tcPr>
                <w:p w14:paraId="782B6889" w14:textId="77777777" w:rsidR="00AA5098" w:rsidRPr="00AA5098" w:rsidRDefault="00AA5098" w:rsidP="00AA5098">
                  <w:pPr>
                    <w:rPr>
                      <w:rFonts w:ascii="Arial" w:hAnsi="Arial" w:cs="Arial"/>
                      <w:sz w:val="22"/>
                      <w:szCs w:val="22"/>
                      <w:lang w:val="es-CO"/>
                    </w:rPr>
                  </w:pPr>
                  <w:r w:rsidRPr="00AA5098">
                    <w:rPr>
                      <w:rFonts w:ascii="Arial" w:hAnsi="Arial" w:cs="Arial"/>
                      <w:sz w:val="22"/>
                      <w:szCs w:val="22"/>
                      <w:lang w:val="es-CO"/>
                    </w:rPr>
                    <w:t>Equipos de cómputo, software especializado (Microsoft Project, AutoCAD, BIM, SIG, entre otros), licencias, equipos de comunicación, impresoras, GPS, drones (cuando se requieran), cámaras fotográficas y demás herramientas tecnológicas utilizadas durante la interventoría.</w:t>
                  </w:r>
                </w:p>
              </w:tc>
            </w:tr>
            <w:tr w:rsidR="00AA5098" w:rsidRPr="00AA5098" w14:paraId="4483385F" w14:textId="77777777" w:rsidTr="00E42D8D">
              <w:trPr>
                <w:tblCellSpacing w:w="15" w:type="dxa"/>
              </w:trPr>
              <w:tc>
                <w:tcPr>
                  <w:tcW w:w="2507" w:type="dxa"/>
                  <w:vAlign w:val="center"/>
                  <w:hideMark/>
                </w:tcPr>
                <w:p w14:paraId="6C8F0910" w14:textId="77777777" w:rsidR="00AA5098" w:rsidRPr="00AA5098" w:rsidRDefault="00AA5098" w:rsidP="00AA5098">
                  <w:pPr>
                    <w:rPr>
                      <w:rFonts w:ascii="Arial" w:hAnsi="Arial" w:cs="Arial"/>
                      <w:sz w:val="22"/>
                      <w:szCs w:val="22"/>
                      <w:lang w:val="es-CO"/>
                    </w:rPr>
                  </w:pPr>
                  <w:r w:rsidRPr="00AA5098">
                    <w:rPr>
                      <w:rFonts w:ascii="Arial" w:hAnsi="Arial" w:cs="Arial"/>
                      <w:b/>
                      <w:bCs/>
                      <w:sz w:val="22"/>
                      <w:szCs w:val="22"/>
                      <w:lang w:val="es-CO"/>
                    </w:rPr>
                    <w:t>Equipos y logística</w:t>
                  </w:r>
                </w:p>
              </w:tc>
              <w:tc>
                <w:tcPr>
                  <w:tcW w:w="5058" w:type="dxa"/>
                  <w:vAlign w:val="center"/>
                  <w:hideMark/>
                </w:tcPr>
                <w:p w14:paraId="465BA2D9" w14:textId="77777777" w:rsidR="00AA5098" w:rsidRPr="00AA5098" w:rsidRDefault="00AA5098" w:rsidP="00AA5098">
                  <w:pPr>
                    <w:rPr>
                      <w:rFonts w:ascii="Arial" w:hAnsi="Arial" w:cs="Arial"/>
                      <w:sz w:val="22"/>
                      <w:szCs w:val="22"/>
                      <w:lang w:val="es-CO"/>
                    </w:rPr>
                  </w:pPr>
                  <w:r w:rsidRPr="00AA5098">
                    <w:rPr>
                      <w:rFonts w:ascii="Arial" w:hAnsi="Arial" w:cs="Arial"/>
                      <w:sz w:val="22"/>
                      <w:szCs w:val="22"/>
                      <w:lang w:val="es-CO"/>
                    </w:rPr>
                    <w:t>Vehículos, combustible, desplazamientos, viáticos, alquiler de equipos, elementos de medición, topografía, laboratorio de materiales, papelería, elementos de oficina y demás recursos necesarios para el seguimiento del contrato.</w:t>
                  </w:r>
                </w:p>
              </w:tc>
            </w:tr>
            <w:tr w:rsidR="00AA5098" w:rsidRPr="00AA5098" w14:paraId="69967639" w14:textId="77777777" w:rsidTr="00E42D8D">
              <w:trPr>
                <w:tblCellSpacing w:w="15" w:type="dxa"/>
              </w:trPr>
              <w:tc>
                <w:tcPr>
                  <w:tcW w:w="2507" w:type="dxa"/>
                  <w:vAlign w:val="center"/>
                  <w:hideMark/>
                </w:tcPr>
                <w:p w14:paraId="791670AC" w14:textId="77777777" w:rsidR="00AA5098" w:rsidRPr="00AA5098" w:rsidRDefault="00AA5098" w:rsidP="00AA5098">
                  <w:pPr>
                    <w:rPr>
                      <w:rFonts w:ascii="Arial" w:hAnsi="Arial" w:cs="Arial"/>
                      <w:sz w:val="22"/>
                      <w:szCs w:val="22"/>
                      <w:lang w:val="es-CO"/>
                    </w:rPr>
                  </w:pPr>
                  <w:r w:rsidRPr="00AA5098">
                    <w:rPr>
                      <w:rFonts w:ascii="Arial" w:hAnsi="Arial" w:cs="Arial"/>
                      <w:b/>
                      <w:bCs/>
                      <w:sz w:val="22"/>
                      <w:szCs w:val="22"/>
                      <w:lang w:val="es-CO"/>
                    </w:rPr>
                    <w:t>Gestión documental</w:t>
                  </w:r>
                </w:p>
              </w:tc>
              <w:tc>
                <w:tcPr>
                  <w:tcW w:w="5058" w:type="dxa"/>
                  <w:vAlign w:val="center"/>
                  <w:hideMark/>
                </w:tcPr>
                <w:p w14:paraId="6CED605B" w14:textId="77777777" w:rsidR="00AA5098" w:rsidRPr="00AA5098" w:rsidRDefault="00AA5098" w:rsidP="00AA5098">
                  <w:pPr>
                    <w:rPr>
                      <w:rFonts w:ascii="Arial" w:hAnsi="Arial" w:cs="Arial"/>
                      <w:sz w:val="22"/>
                      <w:szCs w:val="22"/>
                      <w:lang w:val="es-CO"/>
                    </w:rPr>
                  </w:pPr>
                  <w:r w:rsidRPr="00AA5098">
                    <w:rPr>
                      <w:rFonts w:ascii="Arial" w:hAnsi="Arial" w:cs="Arial"/>
                      <w:sz w:val="22"/>
                      <w:szCs w:val="22"/>
                      <w:lang w:val="es-CO"/>
                    </w:rPr>
                    <w:t>Elaboración de informes, actas, registros fotográficos, impresión de documentos, administración de archivos físicos y digitales y manejo de plataformas institucionales.</w:t>
                  </w:r>
                </w:p>
              </w:tc>
            </w:tr>
            <w:tr w:rsidR="00AA5098" w:rsidRPr="00AA5098" w14:paraId="014B0A86" w14:textId="77777777" w:rsidTr="00E42D8D">
              <w:trPr>
                <w:tblCellSpacing w:w="15" w:type="dxa"/>
              </w:trPr>
              <w:tc>
                <w:tcPr>
                  <w:tcW w:w="2507" w:type="dxa"/>
                  <w:vAlign w:val="center"/>
                  <w:hideMark/>
                </w:tcPr>
                <w:p w14:paraId="4C424997" w14:textId="77777777" w:rsidR="00AA5098" w:rsidRPr="00AA5098" w:rsidRDefault="00AA5098" w:rsidP="00AA5098">
                  <w:pPr>
                    <w:rPr>
                      <w:rFonts w:ascii="Arial" w:hAnsi="Arial" w:cs="Arial"/>
                      <w:sz w:val="22"/>
                      <w:szCs w:val="22"/>
                      <w:lang w:val="es-CO"/>
                    </w:rPr>
                  </w:pPr>
                  <w:r w:rsidRPr="00AA5098">
                    <w:rPr>
                      <w:rFonts w:ascii="Arial" w:hAnsi="Arial" w:cs="Arial"/>
                      <w:b/>
                      <w:bCs/>
                      <w:sz w:val="22"/>
                      <w:szCs w:val="22"/>
                      <w:lang w:val="es-CO"/>
                    </w:rPr>
                    <w:t>Administración del contrato</w:t>
                  </w:r>
                </w:p>
              </w:tc>
              <w:tc>
                <w:tcPr>
                  <w:tcW w:w="5058" w:type="dxa"/>
                  <w:vAlign w:val="center"/>
                  <w:hideMark/>
                </w:tcPr>
                <w:p w14:paraId="260DFA60" w14:textId="77777777" w:rsidR="00AA5098" w:rsidRPr="00AA5098" w:rsidRDefault="00AA5098" w:rsidP="00AA5098">
                  <w:pPr>
                    <w:rPr>
                      <w:rFonts w:ascii="Arial" w:hAnsi="Arial" w:cs="Arial"/>
                      <w:sz w:val="22"/>
                      <w:szCs w:val="22"/>
                      <w:lang w:val="es-CO"/>
                    </w:rPr>
                  </w:pPr>
                  <w:r w:rsidRPr="00AA5098">
                    <w:rPr>
                      <w:rFonts w:ascii="Arial" w:hAnsi="Arial" w:cs="Arial"/>
                      <w:sz w:val="22"/>
                      <w:szCs w:val="22"/>
                      <w:lang w:val="es-CO"/>
                    </w:rPr>
                    <w:t>Coordinación administrativa, dirección del proyecto, supervisión interna, gestión financiera, control de calidad, sistemas de gestión, apoyo contable y demás actividades administrativas requeridas para la ejecución del contrato.</w:t>
                  </w:r>
                </w:p>
              </w:tc>
            </w:tr>
            <w:tr w:rsidR="00AA5098" w:rsidRPr="00AA5098" w14:paraId="7C46FD48" w14:textId="77777777" w:rsidTr="00E42D8D">
              <w:trPr>
                <w:tblCellSpacing w:w="15" w:type="dxa"/>
              </w:trPr>
              <w:tc>
                <w:tcPr>
                  <w:tcW w:w="2507" w:type="dxa"/>
                  <w:vAlign w:val="center"/>
                  <w:hideMark/>
                </w:tcPr>
                <w:p w14:paraId="36DF5B65" w14:textId="77777777" w:rsidR="00AA5098" w:rsidRPr="00AA5098" w:rsidRDefault="00AA5098" w:rsidP="00AA5098">
                  <w:pPr>
                    <w:rPr>
                      <w:rFonts w:ascii="Arial" w:hAnsi="Arial" w:cs="Arial"/>
                      <w:sz w:val="22"/>
                      <w:szCs w:val="22"/>
                      <w:lang w:val="es-CO"/>
                    </w:rPr>
                  </w:pPr>
                  <w:r w:rsidRPr="00AA5098">
                    <w:rPr>
                      <w:rFonts w:ascii="Arial" w:hAnsi="Arial" w:cs="Arial"/>
                      <w:b/>
                      <w:bCs/>
                      <w:sz w:val="22"/>
                      <w:szCs w:val="22"/>
                      <w:lang w:val="es-CO"/>
                    </w:rPr>
                    <w:t>Costos financieros y tributarios</w:t>
                  </w:r>
                </w:p>
              </w:tc>
              <w:tc>
                <w:tcPr>
                  <w:tcW w:w="5058" w:type="dxa"/>
                  <w:vAlign w:val="center"/>
                  <w:hideMark/>
                </w:tcPr>
                <w:p w14:paraId="31C20BAF" w14:textId="77777777" w:rsidR="00AA5098" w:rsidRPr="00AA5098" w:rsidRDefault="00AA5098" w:rsidP="00AA5098">
                  <w:pPr>
                    <w:rPr>
                      <w:rFonts w:ascii="Arial" w:hAnsi="Arial" w:cs="Arial"/>
                      <w:sz w:val="22"/>
                      <w:szCs w:val="22"/>
                      <w:lang w:val="es-CO"/>
                    </w:rPr>
                  </w:pPr>
                  <w:r w:rsidRPr="00AA5098">
                    <w:rPr>
                      <w:rFonts w:ascii="Arial" w:hAnsi="Arial" w:cs="Arial"/>
                      <w:sz w:val="22"/>
                      <w:szCs w:val="22"/>
                      <w:lang w:val="es-CO"/>
                    </w:rPr>
                    <w:t>Pólizas, impuestos, tasas, contribuciones, retenciones, costos bancarios y demás obligaciones legales derivadas de la ejecución contractual.</w:t>
                  </w:r>
                </w:p>
              </w:tc>
            </w:tr>
            <w:tr w:rsidR="00AA5098" w:rsidRPr="00AA5098" w14:paraId="4D410E7D" w14:textId="77777777" w:rsidTr="00E42D8D">
              <w:trPr>
                <w:tblCellSpacing w:w="15" w:type="dxa"/>
              </w:trPr>
              <w:tc>
                <w:tcPr>
                  <w:tcW w:w="2507" w:type="dxa"/>
                  <w:vAlign w:val="center"/>
                  <w:hideMark/>
                </w:tcPr>
                <w:p w14:paraId="4A6FA2A6" w14:textId="77777777" w:rsidR="00AA5098" w:rsidRPr="00AA5098" w:rsidRDefault="00AA5098" w:rsidP="00AA5098">
                  <w:pPr>
                    <w:rPr>
                      <w:rFonts w:ascii="Arial" w:hAnsi="Arial" w:cs="Arial"/>
                      <w:sz w:val="22"/>
                      <w:szCs w:val="22"/>
                      <w:lang w:val="es-CO"/>
                    </w:rPr>
                  </w:pPr>
                  <w:r w:rsidRPr="00AA5098">
                    <w:rPr>
                      <w:rFonts w:ascii="Arial" w:hAnsi="Arial" w:cs="Arial"/>
                      <w:b/>
                      <w:bCs/>
                      <w:sz w:val="22"/>
                      <w:szCs w:val="22"/>
                      <w:lang w:val="es-CO"/>
                    </w:rPr>
                    <w:lastRenderedPageBreak/>
                    <w:t>Utilidad</w:t>
                  </w:r>
                </w:p>
              </w:tc>
              <w:tc>
                <w:tcPr>
                  <w:tcW w:w="5058" w:type="dxa"/>
                  <w:vAlign w:val="center"/>
                  <w:hideMark/>
                </w:tcPr>
                <w:p w14:paraId="37BF9EEF" w14:textId="77777777" w:rsidR="00AA5098" w:rsidRPr="00AA5098" w:rsidRDefault="00AA5098" w:rsidP="00AA5098">
                  <w:pPr>
                    <w:rPr>
                      <w:rFonts w:ascii="Arial" w:hAnsi="Arial" w:cs="Arial"/>
                      <w:sz w:val="22"/>
                      <w:szCs w:val="22"/>
                      <w:lang w:val="es-CO"/>
                    </w:rPr>
                  </w:pPr>
                  <w:r w:rsidRPr="00AA5098">
                    <w:rPr>
                      <w:rFonts w:ascii="Arial" w:hAnsi="Arial" w:cs="Arial"/>
                      <w:sz w:val="22"/>
                      <w:szCs w:val="22"/>
                      <w:lang w:val="es-CO"/>
                    </w:rPr>
                    <w:t>Margen destinado a cubrir la rentabilidad del contrato, de acuerdo con las condiciones del mercado y la naturaleza del servicio.</w:t>
                  </w:r>
                </w:p>
              </w:tc>
            </w:tr>
          </w:tbl>
          <w:p w14:paraId="299DA512" w14:textId="77777777" w:rsidR="00AA5098" w:rsidRPr="00AA5098" w:rsidRDefault="00AA5098">
            <w:pPr>
              <w:jc w:val="both"/>
              <w:rPr>
                <w:rFonts w:ascii="Arial" w:eastAsia="Arial" w:hAnsi="Arial" w:cs="Arial"/>
                <w:sz w:val="24"/>
                <w:szCs w:val="24"/>
                <w:lang w:val="es-CO"/>
              </w:rPr>
            </w:pPr>
          </w:p>
          <w:p w14:paraId="1BD072BE" w14:textId="77777777" w:rsidR="00D768A3" w:rsidRPr="00AA5098" w:rsidRDefault="00A0753E" w:rsidP="009A2261">
            <w:pPr>
              <w:jc w:val="center"/>
              <w:rPr>
                <w:rFonts w:ascii="Arial" w:eastAsia="Arial" w:hAnsi="Arial" w:cs="Arial"/>
              </w:rPr>
            </w:pPr>
            <w:r w:rsidRPr="00AA5098">
              <w:rPr>
                <w:noProof/>
              </w:rPr>
              <w:drawing>
                <wp:inline distT="0" distB="0" distL="0" distR="0" wp14:anchorId="66FC438A" wp14:editId="1B9235A0">
                  <wp:extent cx="5623560" cy="2926080"/>
                  <wp:effectExtent l="0" t="0" r="0" b="7620"/>
                  <wp:docPr id="202308095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2"/>
                          <a:srcRect/>
                          <a:stretch>
                            <a:fillRect/>
                          </a:stretch>
                        </pic:blipFill>
                        <pic:spPr>
                          <a:xfrm>
                            <a:off x="0" y="0"/>
                            <a:ext cx="5623796" cy="2926203"/>
                          </a:xfrm>
                          <a:prstGeom prst="rect">
                            <a:avLst/>
                          </a:prstGeom>
                          <a:ln/>
                        </pic:spPr>
                      </pic:pic>
                    </a:graphicData>
                  </a:graphic>
                </wp:inline>
              </w:drawing>
            </w:r>
          </w:p>
          <w:p w14:paraId="26CEB479" w14:textId="77777777" w:rsidR="00D768A3" w:rsidRPr="00AA5098" w:rsidRDefault="00D768A3">
            <w:pPr>
              <w:jc w:val="both"/>
              <w:rPr>
                <w:rFonts w:ascii="Arial" w:eastAsia="Arial" w:hAnsi="Arial" w:cs="Arial"/>
              </w:rPr>
            </w:pPr>
          </w:p>
          <w:p w14:paraId="7A5F0F44" w14:textId="77777777" w:rsidR="00437D1D" w:rsidRPr="00236611" w:rsidRDefault="00437D1D" w:rsidP="00437D1D">
            <w:pPr>
              <w:jc w:val="both"/>
              <w:rPr>
                <w:rFonts w:ascii="Arial" w:eastAsia="Arial" w:hAnsi="Arial" w:cs="Arial"/>
                <w:sz w:val="24"/>
                <w:szCs w:val="24"/>
              </w:rPr>
            </w:pPr>
            <w:r w:rsidRPr="00236611">
              <w:rPr>
                <w:rFonts w:ascii="Arial" w:eastAsia="Arial" w:hAnsi="Arial" w:cs="Arial"/>
                <w:sz w:val="24"/>
                <w:szCs w:val="24"/>
              </w:rPr>
              <w:t>Como se observa en la figura anterior, el costo del talento humano constituye la base sobre la cual se calculan los demás componentes de la estructura económica del contrato. Sobre el salario básico se incorporan las prestaciones sociales, los costos indirectos, los costos de perfeccionamiento, los imprevistos y la utilidad, obteniéndose el factor multiplicador que permite estimar el costo real del recurso humano durante la ejecución de la interventoría.</w:t>
            </w:r>
          </w:p>
          <w:p w14:paraId="6620ED41" w14:textId="77777777" w:rsidR="00437D1D" w:rsidRDefault="00437D1D" w:rsidP="009A2261">
            <w:pPr>
              <w:jc w:val="both"/>
              <w:rPr>
                <w:rFonts w:ascii="Arial" w:eastAsia="Arial" w:hAnsi="Arial" w:cs="Arial"/>
                <w:color w:val="000000"/>
                <w:sz w:val="24"/>
                <w:szCs w:val="24"/>
                <w:lang w:val="es-CO"/>
              </w:rPr>
            </w:pPr>
          </w:p>
          <w:p w14:paraId="540F7B78" w14:textId="211CBA39" w:rsidR="009A2261" w:rsidRDefault="009A2261" w:rsidP="009A2261">
            <w:pPr>
              <w:jc w:val="both"/>
              <w:rPr>
                <w:rFonts w:ascii="Arial" w:eastAsia="Arial" w:hAnsi="Arial" w:cs="Arial"/>
                <w:color w:val="000000"/>
                <w:sz w:val="24"/>
                <w:szCs w:val="24"/>
                <w:lang w:val="es-CO"/>
              </w:rPr>
            </w:pPr>
            <w:r w:rsidRPr="009A2261">
              <w:rPr>
                <w:rFonts w:ascii="Arial" w:eastAsia="Arial" w:hAnsi="Arial" w:cs="Arial"/>
                <w:color w:val="000000"/>
                <w:sz w:val="24"/>
                <w:szCs w:val="24"/>
                <w:lang w:val="es-CO"/>
              </w:rPr>
              <w:t xml:space="preserve">La estructura de costos evidencia que el principal factor que determina el valor del contrato corresponde al </w:t>
            </w:r>
            <w:r w:rsidRPr="009A2261">
              <w:rPr>
                <w:rFonts w:ascii="Arial" w:eastAsia="Arial" w:hAnsi="Arial" w:cs="Arial"/>
                <w:b/>
                <w:bCs/>
                <w:color w:val="000000"/>
                <w:sz w:val="24"/>
                <w:szCs w:val="24"/>
                <w:lang w:val="es-CO"/>
              </w:rPr>
              <w:t>talento humano especializado</w:t>
            </w:r>
            <w:r w:rsidRPr="009A2261">
              <w:rPr>
                <w:rFonts w:ascii="Arial" w:eastAsia="Arial" w:hAnsi="Arial" w:cs="Arial"/>
                <w:color w:val="000000"/>
                <w:sz w:val="24"/>
                <w:szCs w:val="24"/>
                <w:lang w:val="es-CO"/>
              </w:rPr>
              <w:t>, debido a que la interventoría exige la participación permanente de profesionales con experiencia en diferentes disciplinas para garantizar el adecuado seguimiento técnico, administrativo, financiero, jurídico, social y ambiental del contrato de obra. De manera complementaria, se incorporan costos asociados a recursos tecnológicos, desplazamientos, equipos de apoyo, gestión documental y administración del contrato, elementos indispensables para asegurar un control integral durante toda la ejecución del proyecto.</w:t>
            </w:r>
          </w:p>
          <w:p w14:paraId="3D51C3E0" w14:textId="77777777" w:rsidR="009A2261" w:rsidRPr="009A2261" w:rsidRDefault="009A2261" w:rsidP="009A2261">
            <w:pPr>
              <w:jc w:val="both"/>
              <w:rPr>
                <w:rFonts w:ascii="Arial" w:eastAsia="Arial" w:hAnsi="Arial" w:cs="Arial"/>
                <w:color w:val="000000"/>
                <w:sz w:val="24"/>
                <w:szCs w:val="24"/>
                <w:lang w:val="es-CO"/>
              </w:rPr>
            </w:pPr>
          </w:p>
          <w:p w14:paraId="40393BC1" w14:textId="77777777" w:rsidR="00D768A3" w:rsidRDefault="00DB4FF3">
            <w:pPr>
              <w:jc w:val="both"/>
              <w:rPr>
                <w:rFonts w:ascii="Arial" w:eastAsia="Arial" w:hAnsi="Arial" w:cs="Arial"/>
                <w:color w:val="000000"/>
                <w:sz w:val="24"/>
                <w:szCs w:val="24"/>
                <w:lang w:val="es-CO"/>
              </w:rPr>
            </w:pPr>
            <w:r w:rsidRPr="00236611">
              <w:rPr>
                <w:rFonts w:ascii="Arial" w:eastAsia="Arial" w:hAnsi="Arial" w:cs="Arial"/>
                <w:color w:val="000000"/>
                <w:sz w:val="24"/>
                <w:szCs w:val="24"/>
                <w:lang w:val="es-CO"/>
              </w:rPr>
              <w:t>En consecuencia, el valor del contrato de interventoría depende principalmente de la estructura del equipo profesional requerido para ejercer el seguimiento integral del contrato de obra, de la complejidad técnica del proyecto, del plazo de ejecución, del porcentaje de dedicación exigido para cada perfil profesional, de la localización del proyecto y de los recursos tecnológicos y logísticos necesarios para desarrollar las actividades de supervisión. Por ello, el talento humano especializado constituye el principal componente del costo, seguido de los gastos administrativos, tecnológicos, logísticos y financieros indispensables para garantizar una interventoría eficiente, continua y con los niveles de calidad requeridos por la Entidad</w:t>
            </w:r>
            <w:r>
              <w:rPr>
                <w:rFonts w:ascii="Arial" w:eastAsia="Arial" w:hAnsi="Arial" w:cs="Arial"/>
                <w:color w:val="000000"/>
                <w:sz w:val="24"/>
                <w:szCs w:val="24"/>
                <w:lang w:val="es-CO"/>
              </w:rPr>
              <w:t>.</w:t>
            </w:r>
          </w:p>
          <w:p w14:paraId="6AAAABA3" w14:textId="34D1D410" w:rsidR="00DB4FF3" w:rsidRPr="00AA5098" w:rsidRDefault="00DB4FF3">
            <w:pPr>
              <w:jc w:val="both"/>
              <w:rPr>
                <w:rFonts w:ascii="Arial" w:eastAsia="Arial" w:hAnsi="Arial" w:cs="Arial"/>
                <w:lang w:val="es-CO"/>
              </w:rPr>
            </w:pPr>
          </w:p>
        </w:tc>
      </w:tr>
      <w:tr w:rsidR="00D768A3" w14:paraId="6BEBD414"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8DB30CB" w14:textId="77777777" w:rsidR="00D768A3" w:rsidRDefault="00A0753E" w:rsidP="004D5565">
            <w:pPr>
              <w:widowControl/>
              <w:numPr>
                <w:ilvl w:val="1"/>
                <w:numId w:val="1"/>
              </w:numPr>
              <w:pBdr>
                <w:top w:val="nil"/>
                <w:left w:val="nil"/>
                <w:bottom w:val="nil"/>
                <w:right w:val="nil"/>
                <w:between w:val="nil"/>
              </w:pBdr>
              <w:spacing w:before="60" w:after="60"/>
              <w:ind w:left="921" w:hanging="838"/>
              <w:jc w:val="both"/>
              <w:rPr>
                <w:rFonts w:ascii="Arial" w:eastAsia="Arial" w:hAnsi="Arial" w:cs="Arial"/>
                <w:color w:val="000000"/>
                <w:sz w:val="24"/>
                <w:szCs w:val="24"/>
              </w:rPr>
            </w:pPr>
            <w:r>
              <w:rPr>
                <w:rFonts w:ascii="Arial" w:eastAsia="Arial" w:hAnsi="Arial" w:cs="Arial"/>
                <w:color w:val="000000"/>
                <w:sz w:val="24"/>
                <w:szCs w:val="24"/>
              </w:rPr>
              <w:lastRenderedPageBreak/>
              <w:t>INDICADORES FINANCIEROS Y ORGANIZACIONALES</w:t>
            </w:r>
          </w:p>
        </w:tc>
      </w:tr>
      <w:tr w:rsidR="00D768A3" w14:paraId="65FF4BAD"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33F887" w14:textId="77777777" w:rsidR="00D768A3" w:rsidRDefault="00D768A3">
            <w:pPr>
              <w:jc w:val="both"/>
              <w:rPr>
                <w:rFonts w:ascii="Arial" w:eastAsia="Arial" w:hAnsi="Arial" w:cs="Arial"/>
                <w:color w:val="000000"/>
                <w:sz w:val="24"/>
                <w:szCs w:val="24"/>
              </w:rPr>
            </w:pPr>
          </w:p>
          <w:p w14:paraId="51D23739" w14:textId="77777777" w:rsidR="00D768A3" w:rsidRPr="00D67D8A" w:rsidRDefault="00A0753E">
            <w:pP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Con el fin de garantizar que los Proponentes cuenten con la solidez financiera y la estructura organizacional necesaria para cumplir con las obligaciones derivadas del contrato, la Secretaría de Deporte y la Recreación ha definido como parte de los requisitos habilitantes del presente proceso de selección, la presentación y cumplimiento de indicadores financieros y organizacionales, los cuales deberán ser acreditados por todos los interesados en participar.</w:t>
            </w:r>
          </w:p>
          <w:p w14:paraId="089D59EE" w14:textId="77777777" w:rsidR="00D768A3" w:rsidRPr="00D67D8A" w:rsidRDefault="00D768A3">
            <w:pPr>
              <w:jc w:val="both"/>
              <w:rPr>
                <w:rFonts w:ascii="Arial" w:eastAsia="Arial" w:hAnsi="Arial" w:cs="Arial"/>
                <w:color w:val="000000"/>
                <w:sz w:val="24"/>
                <w:szCs w:val="24"/>
                <w:highlight w:val="white"/>
                <w:lang w:val="es-CO"/>
              </w:rPr>
            </w:pPr>
          </w:p>
          <w:p w14:paraId="178FB93C" w14:textId="77777777" w:rsidR="00D768A3" w:rsidRPr="00D67D8A" w:rsidRDefault="00A0753E">
            <w:pPr>
              <w:jc w:val="both"/>
              <w:rPr>
                <w:rFonts w:ascii="Arial" w:eastAsia="Arial" w:hAnsi="Arial" w:cs="Arial"/>
                <w:color w:val="000000"/>
                <w:sz w:val="24"/>
                <w:szCs w:val="24"/>
                <w:highlight w:val="white"/>
                <w:lang w:val="es-CO"/>
              </w:rPr>
            </w:pPr>
            <w:r w:rsidRPr="00D67D8A">
              <w:rPr>
                <w:rFonts w:ascii="Arial" w:eastAsia="Arial" w:hAnsi="Arial" w:cs="Arial"/>
                <w:color w:val="000000"/>
                <w:sz w:val="24"/>
                <w:szCs w:val="24"/>
                <w:highlight w:val="white"/>
                <w:lang w:val="es-CO"/>
              </w:rPr>
              <w:t>A continuación, se define cada uno de los indicadores financieros y organizaciones sugeridos por Colombia Compra Eficiente:</w:t>
            </w:r>
          </w:p>
          <w:p w14:paraId="7FC1E7FE" w14:textId="77777777" w:rsidR="00D768A3" w:rsidRPr="00D67D8A" w:rsidRDefault="00D768A3">
            <w:pPr>
              <w:jc w:val="both"/>
              <w:rPr>
                <w:rFonts w:ascii="Arial" w:eastAsia="Arial" w:hAnsi="Arial" w:cs="Arial"/>
                <w:color w:val="000000"/>
                <w:sz w:val="24"/>
                <w:szCs w:val="24"/>
                <w:highlight w:val="white"/>
                <w:lang w:val="es-CO"/>
              </w:rPr>
            </w:pPr>
          </w:p>
          <w:p w14:paraId="4CEDFA20" w14:textId="77777777" w:rsidR="00D768A3" w:rsidRPr="00D67D8A" w:rsidRDefault="00D768A3">
            <w:pPr>
              <w:jc w:val="both"/>
              <w:rPr>
                <w:rFonts w:ascii="Arial" w:eastAsia="Arial" w:hAnsi="Arial" w:cs="Arial"/>
                <w:color w:val="000000"/>
                <w:sz w:val="24"/>
                <w:szCs w:val="24"/>
                <w:highlight w:val="white"/>
                <w:lang w:val="es-CO"/>
              </w:rPr>
            </w:pPr>
          </w:p>
          <w:p w14:paraId="60A18B65" w14:textId="77777777" w:rsidR="00D768A3" w:rsidRPr="00D67D8A" w:rsidRDefault="00A0753E">
            <w:pPr>
              <w:jc w:val="both"/>
              <w:rPr>
                <w:rFonts w:ascii="Arial" w:eastAsia="Arial" w:hAnsi="Arial" w:cs="Arial"/>
                <w:b/>
                <w:color w:val="000000"/>
                <w:sz w:val="24"/>
                <w:szCs w:val="24"/>
                <w:highlight w:val="white"/>
                <w:u w:val="single"/>
                <w:lang w:val="es-CO"/>
              </w:rPr>
            </w:pPr>
            <w:r w:rsidRPr="00D67D8A">
              <w:rPr>
                <w:rFonts w:ascii="Arial" w:eastAsia="Arial" w:hAnsi="Arial" w:cs="Arial"/>
                <w:b/>
                <w:sz w:val="24"/>
                <w:szCs w:val="24"/>
                <w:u w:val="single"/>
                <w:lang w:val="es-CO"/>
              </w:rPr>
              <w:t>Índices de Capacidad Financiera:</w:t>
            </w:r>
          </w:p>
          <w:p w14:paraId="306D7F81" w14:textId="77777777" w:rsidR="00D768A3" w:rsidRPr="00D67D8A" w:rsidRDefault="00D768A3">
            <w:pPr>
              <w:jc w:val="both"/>
              <w:rPr>
                <w:rFonts w:ascii="Arial" w:eastAsia="Arial" w:hAnsi="Arial" w:cs="Arial"/>
                <w:color w:val="000000"/>
                <w:sz w:val="24"/>
                <w:szCs w:val="24"/>
                <w:highlight w:val="white"/>
                <w:lang w:val="es-CO"/>
              </w:rPr>
            </w:pPr>
          </w:p>
          <w:p w14:paraId="73C13B39" w14:textId="77777777" w:rsidR="00D768A3" w:rsidRPr="00D67D8A" w:rsidRDefault="00A0753E">
            <w:pPr>
              <w:jc w:val="both"/>
              <w:rPr>
                <w:rFonts w:ascii="Arial" w:eastAsia="Arial" w:hAnsi="Arial" w:cs="Arial"/>
                <w:b/>
                <w:sz w:val="24"/>
                <w:szCs w:val="24"/>
                <w:lang w:val="es-CO"/>
              </w:rPr>
            </w:pPr>
            <w:r w:rsidRPr="00D67D8A">
              <w:rPr>
                <w:rFonts w:ascii="Arial" w:eastAsia="Arial" w:hAnsi="Arial" w:cs="Arial"/>
                <w:b/>
                <w:sz w:val="24"/>
                <w:szCs w:val="24"/>
                <w:lang w:val="es-CO"/>
              </w:rPr>
              <w:t xml:space="preserve">Índice de liquidez </w:t>
            </w:r>
          </w:p>
          <w:p w14:paraId="5709DEDC" w14:textId="77777777" w:rsidR="00D768A3" w:rsidRPr="00D67D8A" w:rsidRDefault="00D768A3">
            <w:pPr>
              <w:jc w:val="both"/>
              <w:rPr>
                <w:rFonts w:ascii="Arial" w:eastAsia="Arial" w:hAnsi="Arial" w:cs="Arial"/>
                <w:sz w:val="24"/>
                <w:szCs w:val="24"/>
                <w:lang w:val="es-CO"/>
              </w:rPr>
            </w:pPr>
          </w:p>
          <w:p w14:paraId="30B78027" w14:textId="77777777" w:rsidR="00D768A3" w:rsidRPr="00D67D8A" w:rsidRDefault="00A0753E">
            <w:pPr>
              <w:jc w:val="both"/>
              <w:rPr>
                <w:rFonts w:ascii="Arial" w:eastAsia="Arial" w:hAnsi="Arial" w:cs="Arial"/>
                <w:color w:val="000000"/>
                <w:sz w:val="24"/>
                <w:szCs w:val="24"/>
                <w:highlight w:val="white"/>
                <w:lang w:val="es-CO"/>
              </w:rPr>
            </w:pPr>
            <w:r w:rsidRPr="00D67D8A">
              <w:rPr>
                <w:rFonts w:ascii="Arial" w:eastAsia="Arial" w:hAnsi="Arial" w:cs="Arial"/>
                <w:color w:val="000000"/>
                <w:sz w:val="24"/>
                <w:szCs w:val="24"/>
                <w:highlight w:val="white"/>
                <w:lang w:val="es-CO"/>
              </w:rPr>
              <w:t>Mide la capacidad que se tiene para cumplir con sus obligaciones de corto plazo. A mayor índice de liquidez, menor es la probabilidad de incumplir las obligaciones de corto plazo.</w:t>
            </w:r>
          </w:p>
          <w:p w14:paraId="0ABC3708" w14:textId="77777777" w:rsidR="00D768A3" w:rsidRPr="00D67D8A" w:rsidRDefault="00D768A3">
            <w:pPr>
              <w:jc w:val="both"/>
              <w:rPr>
                <w:rFonts w:ascii="Arial" w:eastAsia="Arial" w:hAnsi="Arial" w:cs="Arial"/>
                <w:sz w:val="24"/>
                <w:szCs w:val="24"/>
                <w:lang w:val="es-CO"/>
              </w:rPr>
            </w:pPr>
          </w:p>
          <w:p w14:paraId="7197DFBB" w14:textId="77777777" w:rsidR="00D768A3" w:rsidRPr="00D67D8A" w:rsidRDefault="00A0753E">
            <w:pPr>
              <w:jc w:val="both"/>
              <w:rPr>
                <w:rFonts w:ascii="Arial" w:eastAsia="Arial" w:hAnsi="Arial" w:cs="Arial"/>
                <w:b/>
                <w:sz w:val="24"/>
                <w:szCs w:val="24"/>
                <w:lang w:val="es-CO"/>
              </w:rPr>
            </w:pPr>
            <w:r w:rsidRPr="00D67D8A">
              <w:rPr>
                <w:rFonts w:ascii="Arial" w:eastAsia="Arial" w:hAnsi="Arial" w:cs="Arial"/>
                <w:b/>
                <w:sz w:val="24"/>
                <w:szCs w:val="24"/>
                <w:lang w:val="es-CO"/>
              </w:rPr>
              <w:t xml:space="preserve">Índice de Endeudamiento </w:t>
            </w:r>
          </w:p>
          <w:p w14:paraId="6A6F011E" w14:textId="77777777" w:rsidR="00D768A3" w:rsidRPr="00D67D8A" w:rsidRDefault="00D768A3">
            <w:pPr>
              <w:jc w:val="both"/>
              <w:rPr>
                <w:rFonts w:ascii="Arial" w:eastAsia="Arial" w:hAnsi="Arial" w:cs="Arial"/>
                <w:b/>
                <w:sz w:val="24"/>
                <w:szCs w:val="24"/>
                <w:lang w:val="es-CO"/>
              </w:rPr>
            </w:pPr>
          </w:p>
          <w:p w14:paraId="3F8AC33A" w14:textId="77777777" w:rsidR="00D768A3" w:rsidRPr="00D67D8A" w:rsidRDefault="00A0753E">
            <w:pPr>
              <w:jc w:val="both"/>
              <w:rPr>
                <w:rFonts w:ascii="Arial" w:eastAsia="Arial" w:hAnsi="Arial" w:cs="Arial"/>
                <w:b/>
                <w:sz w:val="24"/>
                <w:szCs w:val="24"/>
                <w:lang w:val="es-CO"/>
              </w:rPr>
            </w:pPr>
            <w:r w:rsidRPr="00D67D8A">
              <w:rPr>
                <w:rFonts w:ascii="Arial" w:eastAsia="Arial" w:hAnsi="Arial" w:cs="Arial"/>
                <w:sz w:val="24"/>
                <w:szCs w:val="24"/>
                <w:lang w:val="es-CO"/>
              </w:rPr>
              <w:t>Mide la proporción de los activos que están financiados por terceros. Entre más grande sea el índice implica que mayor parte de los activos están siendo financiados de forma externa, por lo cual es mayor la probabilidad de no poder cumplir con sus pasivos</w:t>
            </w:r>
          </w:p>
          <w:p w14:paraId="49704E0E" w14:textId="77777777" w:rsidR="00D768A3" w:rsidRPr="00D67D8A" w:rsidRDefault="00D768A3">
            <w:pPr>
              <w:jc w:val="both"/>
              <w:rPr>
                <w:rFonts w:ascii="Arial" w:eastAsia="Arial" w:hAnsi="Arial" w:cs="Arial"/>
                <w:b/>
                <w:sz w:val="24"/>
                <w:szCs w:val="24"/>
                <w:lang w:val="es-CO"/>
              </w:rPr>
            </w:pPr>
          </w:p>
          <w:p w14:paraId="746F3B96" w14:textId="77777777" w:rsidR="00D768A3" w:rsidRPr="00D67D8A" w:rsidRDefault="00A0753E">
            <w:pPr>
              <w:jc w:val="both"/>
              <w:rPr>
                <w:rFonts w:ascii="Arial" w:eastAsia="Arial" w:hAnsi="Arial" w:cs="Arial"/>
                <w:b/>
                <w:sz w:val="24"/>
                <w:szCs w:val="24"/>
                <w:lang w:val="es-CO"/>
              </w:rPr>
            </w:pPr>
            <w:r w:rsidRPr="00D67D8A">
              <w:rPr>
                <w:rFonts w:ascii="Arial" w:eastAsia="Arial" w:hAnsi="Arial" w:cs="Arial"/>
                <w:b/>
                <w:sz w:val="24"/>
                <w:szCs w:val="24"/>
                <w:lang w:val="es-CO"/>
              </w:rPr>
              <w:t>Razón de cobertura de Intereses</w:t>
            </w:r>
          </w:p>
          <w:p w14:paraId="6A4DD4CA" w14:textId="77777777" w:rsidR="00D768A3" w:rsidRPr="00D67D8A" w:rsidRDefault="00D768A3">
            <w:pPr>
              <w:jc w:val="both"/>
              <w:rPr>
                <w:rFonts w:ascii="Arial" w:eastAsia="Arial" w:hAnsi="Arial" w:cs="Arial"/>
                <w:b/>
                <w:sz w:val="24"/>
                <w:szCs w:val="24"/>
                <w:lang w:val="es-CO"/>
              </w:rPr>
            </w:pPr>
          </w:p>
          <w:p w14:paraId="46E9276B" w14:textId="77777777" w:rsidR="00D768A3" w:rsidRPr="00D67D8A" w:rsidRDefault="00A0753E">
            <w:pPr>
              <w:jc w:val="both"/>
              <w:rPr>
                <w:rFonts w:ascii="Arial" w:eastAsia="Arial" w:hAnsi="Arial" w:cs="Arial"/>
                <w:b/>
                <w:sz w:val="24"/>
                <w:szCs w:val="24"/>
                <w:lang w:val="es-CO"/>
              </w:rPr>
            </w:pPr>
            <w:r w:rsidRPr="00D67D8A">
              <w:rPr>
                <w:rFonts w:ascii="Arial" w:eastAsia="Arial" w:hAnsi="Arial" w:cs="Arial"/>
                <w:sz w:val="24"/>
                <w:szCs w:val="24"/>
                <w:lang w:val="es-CO"/>
              </w:rPr>
              <w:t>Mide la capacidad de la empresa para cubrir sus gastos en intereses, los cuales pueden comprometer la salud financiera de la empresa. A mayor cobertura de intereses, menor es la probabilidad de incumplir      las obligaciones financieras.</w:t>
            </w:r>
          </w:p>
          <w:p w14:paraId="799A0C22" w14:textId="77777777" w:rsidR="00D768A3" w:rsidRPr="00D67D8A" w:rsidRDefault="00D768A3">
            <w:pPr>
              <w:jc w:val="both"/>
              <w:rPr>
                <w:rFonts w:ascii="Arial" w:eastAsia="Arial" w:hAnsi="Arial" w:cs="Arial"/>
                <w:b/>
                <w:sz w:val="24"/>
                <w:szCs w:val="24"/>
                <w:lang w:val="es-CO"/>
              </w:rPr>
            </w:pPr>
          </w:p>
          <w:p w14:paraId="25D07382" w14:textId="77777777" w:rsidR="00D768A3" w:rsidRPr="00D67D8A" w:rsidRDefault="00A0753E">
            <w:pPr>
              <w:jc w:val="both"/>
              <w:rPr>
                <w:rFonts w:ascii="Arial" w:eastAsia="Arial" w:hAnsi="Arial" w:cs="Arial"/>
                <w:b/>
                <w:sz w:val="24"/>
                <w:szCs w:val="24"/>
                <w:lang w:val="es-CO"/>
              </w:rPr>
            </w:pPr>
            <w:r w:rsidRPr="00D67D8A">
              <w:rPr>
                <w:rFonts w:ascii="Arial" w:eastAsia="Arial" w:hAnsi="Arial" w:cs="Arial"/>
                <w:b/>
                <w:sz w:val="24"/>
                <w:szCs w:val="24"/>
                <w:lang w:val="es-CO"/>
              </w:rPr>
              <w:t>Capital de trabajo</w:t>
            </w:r>
          </w:p>
          <w:p w14:paraId="48EBFF25" w14:textId="77777777" w:rsidR="00D768A3" w:rsidRPr="00D67D8A" w:rsidRDefault="00D768A3">
            <w:pPr>
              <w:jc w:val="both"/>
              <w:rPr>
                <w:rFonts w:ascii="Arial" w:eastAsia="Arial" w:hAnsi="Arial" w:cs="Arial"/>
                <w:b/>
                <w:sz w:val="24"/>
                <w:szCs w:val="24"/>
                <w:lang w:val="es-CO"/>
              </w:rPr>
            </w:pPr>
          </w:p>
          <w:p w14:paraId="20A7FBC5"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El capital de trabajo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w:t>
            </w:r>
          </w:p>
          <w:p w14:paraId="6772796C" w14:textId="77777777" w:rsidR="00D768A3" w:rsidRPr="00D67D8A" w:rsidRDefault="00D768A3">
            <w:pPr>
              <w:jc w:val="both"/>
              <w:rPr>
                <w:rFonts w:ascii="Arial" w:eastAsia="Arial" w:hAnsi="Arial" w:cs="Arial"/>
                <w:b/>
                <w:sz w:val="24"/>
                <w:szCs w:val="24"/>
                <w:lang w:val="es-CO"/>
              </w:rPr>
            </w:pPr>
          </w:p>
          <w:p w14:paraId="2DA921AA" w14:textId="77777777" w:rsidR="00D768A3" w:rsidRPr="00D67D8A" w:rsidRDefault="00A0753E">
            <w:pPr>
              <w:jc w:val="both"/>
              <w:rPr>
                <w:rFonts w:ascii="Arial" w:eastAsia="Arial" w:hAnsi="Arial" w:cs="Arial"/>
                <w:b/>
                <w:sz w:val="24"/>
                <w:szCs w:val="24"/>
                <w:u w:val="single"/>
                <w:lang w:val="es-CO"/>
              </w:rPr>
            </w:pPr>
            <w:r w:rsidRPr="00D67D8A">
              <w:rPr>
                <w:rFonts w:ascii="Arial" w:eastAsia="Arial" w:hAnsi="Arial" w:cs="Arial"/>
                <w:b/>
                <w:sz w:val="24"/>
                <w:szCs w:val="24"/>
                <w:u w:val="single"/>
                <w:lang w:val="es-CO"/>
              </w:rPr>
              <w:t>Índices de Capacidad Organizacional:</w:t>
            </w:r>
          </w:p>
          <w:p w14:paraId="4C7D5325" w14:textId="77777777" w:rsidR="00D768A3" w:rsidRPr="00D67D8A" w:rsidRDefault="00D768A3">
            <w:pPr>
              <w:jc w:val="both"/>
              <w:rPr>
                <w:rFonts w:ascii="Arial" w:eastAsia="Arial" w:hAnsi="Arial" w:cs="Arial"/>
                <w:b/>
                <w:sz w:val="24"/>
                <w:szCs w:val="24"/>
                <w:lang w:val="es-CO"/>
              </w:rPr>
            </w:pPr>
          </w:p>
          <w:p w14:paraId="7EEB8ADA" w14:textId="77777777" w:rsidR="00D768A3" w:rsidRPr="00D67D8A" w:rsidRDefault="00A0753E">
            <w:pPr>
              <w:jc w:val="both"/>
              <w:rPr>
                <w:rFonts w:ascii="Arial" w:eastAsia="Arial" w:hAnsi="Arial" w:cs="Arial"/>
                <w:b/>
                <w:sz w:val="24"/>
                <w:szCs w:val="24"/>
                <w:lang w:val="es-CO"/>
              </w:rPr>
            </w:pPr>
            <w:r w:rsidRPr="00D67D8A">
              <w:rPr>
                <w:rFonts w:ascii="Arial" w:eastAsia="Arial" w:hAnsi="Arial" w:cs="Arial"/>
                <w:b/>
                <w:sz w:val="24"/>
                <w:szCs w:val="24"/>
                <w:lang w:val="es-CO"/>
              </w:rPr>
              <w:t>Rentabilidad del patrimonio</w:t>
            </w:r>
          </w:p>
          <w:p w14:paraId="2D3ADA49" w14:textId="77777777" w:rsidR="00D768A3" w:rsidRPr="00D67D8A" w:rsidRDefault="00D768A3">
            <w:pPr>
              <w:jc w:val="both"/>
              <w:rPr>
                <w:rFonts w:ascii="Arial" w:eastAsia="Arial" w:hAnsi="Arial" w:cs="Arial"/>
                <w:b/>
                <w:sz w:val="24"/>
                <w:szCs w:val="24"/>
                <w:lang w:val="es-CO"/>
              </w:rPr>
            </w:pPr>
          </w:p>
          <w:p w14:paraId="45D4FD8F"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Mide la rentabilidad financiera obtenida por la empresa sobre sus fondos propios, es decir, la capacidad de generación de utilidad operacional por cada peso invertido en el patrimonio. A mayor rentabilidad sobre el patrimonio, mayor es la rentabilidad de los accionistas y mejor la capacidad organizacional.</w:t>
            </w:r>
          </w:p>
          <w:p w14:paraId="17102507" w14:textId="77777777" w:rsidR="00D768A3" w:rsidRPr="00D67D8A" w:rsidRDefault="00D768A3">
            <w:pPr>
              <w:jc w:val="both"/>
              <w:rPr>
                <w:rFonts w:ascii="Arial" w:eastAsia="Arial" w:hAnsi="Arial" w:cs="Arial"/>
                <w:sz w:val="24"/>
                <w:szCs w:val="24"/>
                <w:lang w:val="es-CO"/>
              </w:rPr>
            </w:pPr>
          </w:p>
          <w:p w14:paraId="61693B5B" w14:textId="77777777" w:rsidR="00D768A3" w:rsidRPr="00D67D8A" w:rsidRDefault="00A0753E">
            <w:pPr>
              <w:jc w:val="both"/>
              <w:rPr>
                <w:rFonts w:ascii="Arial" w:eastAsia="Arial" w:hAnsi="Arial" w:cs="Arial"/>
                <w:b/>
                <w:sz w:val="24"/>
                <w:szCs w:val="24"/>
                <w:lang w:val="es-CO"/>
              </w:rPr>
            </w:pPr>
            <w:r w:rsidRPr="00D67D8A">
              <w:rPr>
                <w:rFonts w:ascii="Arial" w:eastAsia="Arial" w:hAnsi="Arial" w:cs="Arial"/>
                <w:b/>
                <w:sz w:val="24"/>
                <w:szCs w:val="24"/>
                <w:lang w:val="es-CO"/>
              </w:rPr>
              <w:t>Rentabilidad del activo</w:t>
            </w:r>
          </w:p>
          <w:p w14:paraId="1D170CA5" w14:textId="77777777" w:rsidR="00D768A3" w:rsidRPr="00D67D8A" w:rsidRDefault="00D768A3">
            <w:pPr>
              <w:jc w:val="both"/>
              <w:rPr>
                <w:rFonts w:ascii="Arial" w:eastAsia="Arial" w:hAnsi="Arial" w:cs="Arial"/>
                <w:b/>
                <w:sz w:val="24"/>
                <w:szCs w:val="24"/>
                <w:lang w:val="es-CO"/>
              </w:rPr>
            </w:pPr>
          </w:p>
          <w:p w14:paraId="184CCFB7"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Se utiliza para medir la eficiencia de los activos totales independientemente de las fuentes de financiación utilizadas, es decir, la capacidad de generación de utilidad operacional por cada peso invertido en el activo. A mayor rentabilidad sobre activos, mayor es la rentabilidad del negocio y mejor la capacidad organizacional. Este indicador debe ser siempre menor o igual que el de rentabilidad sobre patrimonio.</w:t>
            </w:r>
          </w:p>
          <w:p w14:paraId="55C954AE" w14:textId="77777777" w:rsidR="00D768A3" w:rsidRPr="00D67D8A" w:rsidRDefault="00D768A3">
            <w:pPr>
              <w:jc w:val="both"/>
              <w:rPr>
                <w:rFonts w:ascii="Arial" w:eastAsia="Arial" w:hAnsi="Arial" w:cs="Arial"/>
                <w:sz w:val="24"/>
                <w:szCs w:val="24"/>
                <w:lang w:val="es-CO"/>
              </w:rPr>
            </w:pPr>
          </w:p>
          <w:p w14:paraId="27C26FB4" w14:textId="791B4E74"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 xml:space="preserve">De acuerdo con la </w:t>
            </w:r>
            <w:r w:rsidRPr="00D67D8A">
              <w:rPr>
                <w:rFonts w:ascii="Arial" w:eastAsia="Arial" w:hAnsi="Arial" w:cs="Arial"/>
                <w:b/>
                <w:sz w:val="24"/>
                <w:szCs w:val="24"/>
                <w:lang w:val="es-CO"/>
              </w:rPr>
              <w:t xml:space="preserve">MATRIZ </w:t>
            </w:r>
            <w:r w:rsidR="0028115F">
              <w:rPr>
                <w:rFonts w:ascii="Arial" w:eastAsia="Arial" w:hAnsi="Arial" w:cs="Arial"/>
                <w:b/>
                <w:sz w:val="24"/>
                <w:szCs w:val="24"/>
                <w:lang w:val="es-CO"/>
              </w:rPr>
              <w:t>2</w:t>
            </w:r>
            <w:r w:rsidRPr="00D67D8A">
              <w:rPr>
                <w:rFonts w:ascii="Arial" w:eastAsia="Arial" w:hAnsi="Arial" w:cs="Arial"/>
                <w:b/>
                <w:sz w:val="24"/>
                <w:szCs w:val="24"/>
                <w:lang w:val="es-CO"/>
              </w:rPr>
              <w:t xml:space="preserve"> – INDICADORES FINANCIEROS Y ORGANIZACIONALES INTERVENTORÍA DE OBRA PÚBLICA DE INFRAESTRUCTURA SOCIAL, </w:t>
            </w:r>
            <w:r w:rsidRPr="00D67D8A">
              <w:rPr>
                <w:rFonts w:ascii="Arial" w:eastAsia="Arial" w:hAnsi="Arial" w:cs="Arial"/>
                <w:sz w:val="24"/>
                <w:szCs w:val="24"/>
                <w:lang w:val="es-CO"/>
              </w:rPr>
              <w:t xml:space="preserve">donde se indique que </w:t>
            </w:r>
          </w:p>
          <w:p w14:paraId="694413B8" w14:textId="77777777" w:rsidR="00D768A3" w:rsidRPr="00D67D8A" w:rsidRDefault="00D768A3">
            <w:pPr>
              <w:jc w:val="both"/>
              <w:rPr>
                <w:rFonts w:ascii="Arial" w:eastAsia="Arial" w:hAnsi="Arial" w:cs="Arial"/>
                <w:i/>
                <w:sz w:val="24"/>
                <w:szCs w:val="24"/>
                <w:lang w:val="es-CO"/>
              </w:rPr>
            </w:pPr>
          </w:p>
          <w:p w14:paraId="73B5770C" w14:textId="1427E3EA" w:rsidR="00D768A3" w:rsidRDefault="005109B2">
            <w:pPr>
              <w:jc w:val="both"/>
              <w:rPr>
                <w:rFonts w:ascii="Arial" w:eastAsia="Arial" w:hAnsi="Arial" w:cs="Arial"/>
                <w:i/>
                <w:sz w:val="24"/>
                <w:szCs w:val="24"/>
                <w:lang w:val="es-CO"/>
              </w:rPr>
            </w:pPr>
            <w:r w:rsidRPr="005109B2">
              <w:rPr>
                <w:rFonts w:ascii="Arial" w:eastAsia="Arial" w:hAnsi="Arial" w:cs="Arial"/>
                <w:i/>
                <w:sz w:val="24"/>
                <w:szCs w:val="24"/>
                <w:lang w:val="es-CO"/>
              </w:rPr>
              <w:t xml:space="preserve">Con el objetivo de establecer requisitos mínimos habilitantes de capacidad financiera y organizacional que sean proporcionales a las diferentes condiciones (presupuesto, </w:t>
            </w:r>
            <w:r w:rsidRPr="005109B2">
              <w:rPr>
                <w:rFonts w:ascii="Arial" w:eastAsia="Arial" w:hAnsi="Arial" w:cs="Arial"/>
                <w:i/>
                <w:sz w:val="24"/>
                <w:szCs w:val="24"/>
                <w:lang w:val="es-CO"/>
              </w:rPr>
              <w:lastRenderedPageBreak/>
              <w:t>plazo, etc)  de los procesos de selección de concurso de méritos para contratar los servicios de interventoría de obra pública para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p>
          <w:p w14:paraId="4FDC4F44" w14:textId="77777777" w:rsidR="006A320A" w:rsidRDefault="006A320A">
            <w:pPr>
              <w:jc w:val="both"/>
              <w:rPr>
                <w:rFonts w:ascii="Arial" w:eastAsia="Arial" w:hAnsi="Arial" w:cs="Arial"/>
                <w:i/>
                <w:sz w:val="24"/>
                <w:szCs w:val="24"/>
                <w:lang w:val="es-CO"/>
              </w:rPr>
            </w:pPr>
          </w:p>
          <w:p w14:paraId="2BD5D1D0" w14:textId="77777777" w:rsidR="006A320A" w:rsidRDefault="006A320A">
            <w:pPr>
              <w:jc w:val="both"/>
              <w:rPr>
                <w:rFonts w:ascii="Arial" w:eastAsia="Arial" w:hAnsi="Arial" w:cs="Arial"/>
                <w:i/>
                <w:sz w:val="24"/>
                <w:szCs w:val="24"/>
                <w:lang w:val="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295"/>
              <w:gridCol w:w="1192"/>
              <w:gridCol w:w="1704"/>
              <w:gridCol w:w="858"/>
            </w:tblGrid>
            <w:tr w:rsidR="00F2339E" w:rsidRPr="00F2339E" w14:paraId="6E1C8A62" w14:textId="77777777" w:rsidTr="00F2339E">
              <w:trPr>
                <w:trHeight w:val="20"/>
                <w:jc w:val="center"/>
              </w:trPr>
              <w:tc>
                <w:tcPr>
                  <w:tcW w:w="2487" w:type="dxa"/>
                  <w:gridSpan w:val="2"/>
                  <w:tcBorders>
                    <w:top w:val="single" w:sz="4" w:space="0" w:color="000000"/>
                    <w:left w:val="single" w:sz="4" w:space="0" w:color="000000"/>
                    <w:bottom w:val="single" w:sz="4" w:space="0" w:color="000000"/>
                    <w:right w:val="single" w:sz="4" w:space="0" w:color="000000"/>
                  </w:tcBorders>
                  <w:shd w:val="clear" w:color="auto" w:fill="B8B7B7"/>
                  <w:tcMar>
                    <w:top w:w="0" w:type="dxa"/>
                    <w:left w:w="70" w:type="dxa"/>
                    <w:bottom w:w="0" w:type="dxa"/>
                    <w:right w:w="70" w:type="dxa"/>
                  </w:tcMar>
                  <w:vAlign w:val="center"/>
                  <w:hideMark/>
                </w:tcPr>
                <w:p w14:paraId="1233A8C1" w14:textId="77777777" w:rsidR="00F2339E" w:rsidRPr="00F2339E" w:rsidRDefault="00F2339E" w:rsidP="00F2339E">
                  <w:pPr>
                    <w:widowControl w:val="0"/>
                    <w:jc w:val="center"/>
                    <w:rPr>
                      <w:rFonts w:ascii="Arial" w:eastAsia="Arial" w:hAnsi="Arial" w:cs="Arial"/>
                      <w:i/>
                      <w:sz w:val="24"/>
                      <w:szCs w:val="24"/>
                      <w:lang w:val="es-CO" w:eastAsia="en-US"/>
                    </w:rPr>
                  </w:pPr>
                  <w:r w:rsidRPr="00F2339E">
                    <w:rPr>
                      <w:rFonts w:ascii="Arial" w:eastAsia="Arial" w:hAnsi="Arial" w:cs="Arial"/>
                      <w:b/>
                      <w:bCs/>
                      <w:i/>
                      <w:sz w:val="24"/>
                      <w:szCs w:val="24"/>
                      <w:lang w:val="es-CO" w:eastAsia="en-US"/>
                    </w:rPr>
                    <w:t>Rango 1</w:t>
                  </w:r>
                </w:p>
              </w:tc>
              <w:tc>
                <w:tcPr>
                  <w:tcW w:w="2562" w:type="dxa"/>
                  <w:gridSpan w:val="2"/>
                  <w:tcBorders>
                    <w:top w:val="single" w:sz="4" w:space="0" w:color="000000"/>
                    <w:left w:val="single" w:sz="4" w:space="0" w:color="000000"/>
                    <w:bottom w:val="single" w:sz="4" w:space="0" w:color="000000"/>
                    <w:right w:val="single" w:sz="4" w:space="0" w:color="000000"/>
                  </w:tcBorders>
                  <w:shd w:val="clear" w:color="auto" w:fill="B8B7B7"/>
                  <w:tcMar>
                    <w:top w:w="0" w:type="dxa"/>
                    <w:left w:w="70" w:type="dxa"/>
                    <w:bottom w:w="0" w:type="dxa"/>
                    <w:right w:w="70" w:type="dxa"/>
                  </w:tcMar>
                  <w:vAlign w:val="center"/>
                  <w:hideMark/>
                </w:tcPr>
                <w:p w14:paraId="62DDB2AD" w14:textId="77777777" w:rsidR="00F2339E" w:rsidRPr="00F2339E" w:rsidRDefault="00F2339E" w:rsidP="00F2339E">
                  <w:pPr>
                    <w:widowControl w:val="0"/>
                    <w:jc w:val="center"/>
                    <w:rPr>
                      <w:rFonts w:ascii="Arial" w:eastAsia="Arial" w:hAnsi="Arial" w:cs="Arial"/>
                      <w:i/>
                      <w:sz w:val="24"/>
                      <w:szCs w:val="24"/>
                      <w:lang w:val="es-CO" w:eastAsia="en-US"/>
                    </w:rPr>
                  </w:pPr>
                  <w:r w:rsidRPr="00F2339E">
                    <w:rPr>
                      <w:rFonts w:ascii="Arial" w:eastAsia="Arial" w:hAnsi="Arial" w:cs="Arial"/>
                      <w:b/>
                      <w:bCs/>
                      <w:i/>
                      <w:sz w:val="24"/>
                      <w:szCs w:val="24"/>
                      <w:lang w:val="es-CO" w:eastAsia="en-US"/>
                    </w:rPr>
                    <w:t>Rango 2</w:t>
                  </w:r>
                </w:p>
              </w:tc>
            </w:tr>
            <w:tr w:rsidR="00F2339E" w:rsidRPr="00F2339E" w14:paraId="7C617D0D" w14:textId="77777777" w:rsidTr="00F2339E">
              <w:trPr>
                <w:trHeight w:val="20"/>
                <w:jc w:val="center"/>
              </w:trPr>
              <w:tc>
                <w:tcPr>
                  <w:tcW w:w="1295" w:type="dxa"/>
                  <w:tcBorders>
                    <w:top w:val="single" w:sz="4" w:space="0" w:color="000000"/>
                    <w:bottom w:val="single" w:sz="4" w:space="0" w:color="000000"/>
                  </w:tcBorders>
                  <w:tcMar>
                    <w:top w:w="0" w:type="dxa"/>
                    <w:left w:w="70" w:type="dxa"/>
                    <w:bottom w:w="0" w:type="dxa"/>
                    <w:right w:w="70" w:type="dxa"/>
                  </w:tcMar>
                  <w:vAlign w:val="bottom"/>
                  <w:hideMark/>
                </w:tcPr>
                <w:p w14:paraId="57F5D540" w14:textId="77777777" w:rsidR="00F2339E" w:rsidRPr="00F2339E" w:rsidRDefault="00F2339E" w:rsidP="00F2339E">
                  <w:pPr>
                    <w:widowControl w:val="0"/>
                    <w:jc w:val="both"/>
                    <w:rPr>
                      <w:rFonts w:ascii="Arial" w:eastAsia="Arial" w:hAnsi="Arial" w:cs="Arial"/>
                      <w:i/>
                      <w:sz w:val="24"/>
                      <w:szCs w:val="24"/>
                      <w:lang w:val="es-CO" w:eastAsia="en-US"/>
                    </w:rPr>
                  </w:pPr>
                </w:p>
              </w:tc>
              <w:tc>
                <w:tcPr>
                  <w:tcW w:w="1192" w:type="dxa"/>
                  <w:tcBorders>
                    <w:top w:val="single" w:sz="4" w:space="0" w:color="000000"/>
                    <w:bottom w:val="single" w:sz="4" w:space="0" w:color="000000"/>
                  </w:tcBorders>
                  <w:tcMar>
                    <w:top w:w="0" w:type="dxa"/>
                    <w:left w:w="70" w:type="dxa"/>
                    <w:bottom w:w="0" w:type="dxa"/>
                    <w:right w:w="70" w:type="dxa"/>
                  </w:tcMar>
                  <w:vAlign w:val="bottom"/>
                  <w:hideMark/>
                </w:tcPr>
                <w:p w14:paraId="0D02D7A3" w14:textId="77777777" w:rsidR="00F2339E" w:rsidRPr="00F2339E" w:rsidRDefault="00F2339E" w:rsidP="00F2339E">
                  <w:pPr>
                    <w:widowControl w:val="0"/>
                    <w:jc w:val="both"/>
                    <w:rPr>
                      <w:rFonts w:ascii="Arial" w:eastAsia="Arial" w:hAnsi="Arial" w:cs="Arial"/>
                      <w:i/>
                      <w:sz w:val="24"/>
                      <w:szCs w:val="24"/>
                      <w:lang w:val="es-CO" w:eastAsia="en-US"/>
                    </w:rPr>
                  </w:pPr>
                </w:p>
              </w:tc>
              <w:tc>
                <w:tcPr>
                  <w:tcW w:w="1704" w:type="dxa"/>
                  <w:tcBorders>
                    <w:top w:val="single" w:sz="4" w:space="0" w:color="000000"/>
                    <w:bottom w:val="single" w:sz="4" w:space="0" w:color="000000"/>
                  </w:tcBorders>
                  <w:tcMar>
                    <w:top w:w="0" w:type="dxa"/>
                    <w:left w:w="70" w:type="dxa"/>
                    <w:bottom w:w="0" w:type="dxa"/>
                    <w:right w:w="70" w:type="dxa"/>
                  </w:tcMar>
                  <w:vAlign w:val="bottom"/>
                  <w:hideMark/>
                </w:tcPr>
                <w:p w14:paraId="41174475" w14:textId="77777777" w:rsidR="00F2339E" w:rsidRPr="00F2339E" w:rsidRDefault="00F2339E" w:rsidP="00F2339E">
                  <w:pPr>
                    <w:widowControl w:val="0"/>
                    <w:jc w:val="both"/>
                    <w:rPr>
                      <w:rFonts w:ascii="Arial" w:eastAsia="Arial" w:hAnsi="Arial" w:cs="Arial"/>
                      <w:i/>
                      <w:sz w:val="24"/>
                      <w:szCs w:val="24"/>
                      <w:lang w:val="es-CO" w:eastAsia="en-US"/>
                    </w:rPr>
                  </w:pPr>
                </w:p>
              </w:tc>
              <w:tc>
                <w:tcPr>
                  <w:tcW w:w="858" w:type="dxa"/>
                  <w:tcBorders>
                    <w:top w:val="single" w:sz="4" w:space="0" w:color="000000"/>
                    <w:bottom w:val="single" w:sz="4" w:space="0" w:color="000000"/>
                  </w:tcBorders>
                  <w:tcMar>
                    <w:top w:w="0" w:type="dxa"/>
                    <w:left w:w="70" w:type="dxa"/>
                    <w:bottom w:w="0" w:type="dxa"/>
                    <w:right w:w="70" w:type="dxa"/>
                  </w:tcMar>
                  <w:vAlign w:val="bottom"/>
                  <w:hideMark/>
                </w:tcPr>
                <w:p w14:paraId="34AA17D8" w14:textId="77777777" w:rsidR="00F2339E" w:rsidRPr="00F2339E" w:rsidRDefault="00F2339E" w:rsidP="00F2339E">
                  <w:pPr>
                    <w:widowControl w:val="0"/>
                    <w:jc w:val="both"/>
                    <w:rPr>
                      <w:rFonts w:ascii="Arial" w:eastAsia="Arial" w:hAnsi="Arial" w:cs="Arial"/>
                      <w:i/>
                      <w:sz w:val="24"/>
                      <w:szCs w:val="24"/>
                      <w:lang w:val="es-CO" w:eastAsia="en-US"/>
                    </w:rPr>
                  </w:pPr>
                </w:p>
              </w:tc>
            </w:tr>
            <w:tr w:rsidR="00F2339E" w:rsidRPr="00F2339E" w14:paraId="5F3A0A21" w14:textId="77777777" w:rsidTr="00F2339E">
              <w:trPr>
                <w:trHeight w:val="20"/>
                <w:jc w:val="center"/>
              </w:trPr>
              <w:tc>
                <w:tcPr>
                  <w:tcW w:w="12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0755C8" w14:textId="77777777" w:rsidR="00F2339E" w:rsidRPr="00F2339E" w:rsidRDefault="00F2339E" w:rsidP="00F2339E">
                  <w:pPr>
                    <w:widowControl w:val="0"/>
                    <w:jc w:val="center"/>
                    <w:rPr>
                      <w:rFonts w:ascii="Arial" w:eastAsia="Arial" w:hAnsi="Arial" w:cs="Arial"/>
                      <w:i/>
                      <w:sz w:val="24"/>
                      <w:szCs w:val="24"/>
                      <w:lang w:val="es-CO" w:eastAsia="en-US"/>
                    </w:rPr>
                  </w:pPr>
                  <w:r w:rsidRPr="00F2339E">
                    <w:rPr>
                      <w:rFonts w:ascii="Arial" w:eastAsia="Arial" w:hAnsi="Arial" w:cs="Arial"/>
                      <w:b/>
                      <w:bCs/>
                      <w:i/>
                      <w:sz w:val="24"/>
                      <w:szCs w:val="24"/>
                      <w:lang w:val="es-CO" w:eastAsia="en-US"/>
                    </w:rPr>
                    <w:t>&gt;0</w:t>
                  </w:r>
                </w:p>
              </w:tc>
              <w:tc>
                <w:tcPr>
                  <w:tcW w:w="11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72AF74" w14:textId="77777777" w:rsidR="00F2339E" w:rsidRPr="00F2339E" w:rsidRDefault="00F2339E" w:rsidP="00F2339E">
                  <w:pPr>
                    <w:widowControl w:val="0"/>
                    <w:jc w:val="center"/>
                    <w:rPr>
                      <w:rFonts w:ascii="Arial" w:eastAsia="Arial" w:hAnsi="Arial" w:cs="Arial"/>
                      <w:i/>
                      <w:sz w:val="24"/>
                      <w:szCs w:val="24"/>
                      <w:lang w:val="es-CO" w:eastAsia="en-US"/>
                    </w:rPr>
                  </w:pPr>
                  <w:r w:rsidRPr="00F2339E">
                    <w:rPr>
                      <w:rFonts w:ascii="Arial" w:eastAsia="Arial" w:hAnsi="Arial" w:cs="Arial"/>
                      <w:b/>
                      <w:bCs/>
                      <w:i/>
                      <w:sz w:val="24"/>
                      <w:szCs w:val="24"/>
                      <w:lang w:val="es-CO" w:eastAsia="en-US"/>
                    </w:rPr>
                    <w:t>&lt;1.000</w:t>
                  </w:r>
                </w:p>
              </w:tc>
              <w:tc>
                <w:tcPr>
                  <w:tcW w:w="17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C1A7CB" w14:textId="77777777" w:rsidR="00F2339E" w:rsidRPr="00F2339E" w:rsidRDefault="00F2339E" w:rsidP="00F2339E">
                  <w:pPr>
                    <w:widowControl w:val="0"/>
                    <w:jc w:val="center"/>
                    <w:rPr>
                      <w:rFonts w:ascii="Arial" w:eastAsia="Arial" w:hAnsi="Arial" w:cs="Arial"/>
                      <w:i/>
                      <w:sz w:val="24"/>
                      <w:szCs w:val="24"/>
                      <w:lang w:val="es-CO" w:eastAsia="en-US"/>
                    </w:rPr>
                  </w:pPr>
                  <w:r w:rsidRPr="00F2339E">
                    <w:rPr>
                      <w:rFonts w:ascii="Arial" w:eastAsia="Arial" w:hAnsi="Arial" w:cs="Arial"/>
                      <w:b/>
                      <w:bCs/>
                      <w:i/>
                      <w:sz w:val="24"/>
                      <w:szCs w:val="24"/>
                      <w:lang w:val="es-CO" w:eastAsia="en-US"/>
                    </w:rPr>
                    <w:t>&gt;= 1.000</w:t>
                  </w:r>
                </w:p>
              </w:tc>
              <w:tc>
                <w:tcPr>
                  <w:tcW w:w="85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4EE87F" w14:textId="77777777" w:rsidR="00F2339E" w:rsidRPr="00F2339E" w:rsidRDefault="00F2339E" w:rsidP="00F2339E">
                  <w:pPr>
                    <w:widowControl w:val="0"/>
                    <w:jc w:val="center"/>
                    <w:rPr>
                      <w:rFonts w:ascii="Arial" w:eastAsia="Arial" w:hAnsi="Arial" w:cs="Arial"/>
                      <w:i/>
                      <w:sz w:val="24"/>
                      <w:szCs w:val="24"/>
                      <w:lang w:val="es-CO" w:eastAsia="en-US"/>
                    </w:rPr>
                  </w:pPr>
                  <w:r w:rsidRPr="00F2339E">
                    <w:rPr>
                      <w:rFonts w:ascii="Arial" w:eastAsia="Arial" w:hAnsi="Arial" w:cs="Arial"/>
                      <w:b/>
                      <w:bCs/>
                      <w:i/>
                      <w:sz w:val="24"/>
                      <w:szCs w:val="24"/>
                      <w:lang w:val="es-CO" w:eastAsia="en-US"/>
                    </w:rPr>
                    <w:t>-</w:t>
                  </w:r>
                </w:p>
              </w:tc>
            </w:tr>
          </w:tbl>
          <w:p w14:paraId="50A38474" w14:textId="77777777" w:rsidR="00F2339E" w:rsidRPr="00F2339E" w:rsidRDefault="00F2339E" w:rsidP="00F2339E">
            <w:pPr>
              <w:jc w:val="center"/>
              <w:rPr>
                <w:rFonts w:ascii="Arial" w:eastAsia="Arial" w:hAnsi="Arial" w:cs="Arial"/>
                <w:i/>
                <w:sz w:val="24"/>
                <w:szCs w:val="24"/>
                <w:lang w:val="es-CO"/>
              </w:rPr>
            </w:pPr>
            <w:r w:rsidRPr="00F2339E">
              <w:rPr>
                <w:rFonts w:ascii="Arial" w:eastAsia="Arial" w:hAnsi="Arial" w:cs="Arial"/>
                <w:i/>
                <w:sz w:val="24"/>
                <w:szCs w:val="24"/>
                <w:lang w:val="es-CO"/>
              </w:rPr>
              <w:t>(Cifras expresadas en SMMLV)</w:t>
            </w:r>
          </w:p>
          <w:p w14:paraId="5D49D673" w14:textId="77777777" w:rsidR="006A320A" w:rsidRPr="00D67D8A" w:rsidRDefault="006A320A">
            <w:pPr>
              <w:jc w:val="both"/>
              <w:rPr>
                <w:rFonts w:ascii="Arial" w:eastAsia="Arial" w:hAnsi="Arial" w:cs="Arial"/>
                <w:sz w:val="24"/>
                <w:szCs w:val="24"/>
                <w:lang w:val="es-CO"/>
              </w:rPr>
            </w:pPr>
          </w:p>
          <w:p w14:paraId="0A00BB01" w14:textId="6A62B307" w:rsidR="00D768A3" w:rsidRPr="00D67D8A" w:rsidRDefault="00E7021F">
            <w:pPr>
              <w:jc w:val="both"/>
              <w:rPr>
                <w:rFonts w:ascii="Arial" w:eastAsia="Arial" w:hAnsi="Arial" w:cs="Arial"/>
                <w:i/>
                <w:sz w:val="24"/>
                <w:szCs w:val="24"/>
                <w:lang w:val="es-CO"/>
              </w:rPr>
            </w:pPr>
            <w:r w:rsidRPr="00E7021F">
              <w:rPr>
                <w:rFonts w:ascii="Arial" w:eastAsia="Arial" w:hAnsi="Arial" w:cs="Arial"/>
                <w:i/>
                <w:sz w:val="24"/>
                <w:szCs w:val="24"/>
                <w:lang w:val="es-CO"/>
              </w:rPr>
              <w:t>De acuerdo con lo anterior, para cada uno de los rangos se establecieron indicadores de capacidad financiera y organizacional los cuales deberán ser solicitados por las Entidades en procesos de contratación de licitación de obra pública de infraestructura de social de acuerdo al rango en el cual se encuentre el presupuesto oficial.</w:t>
            </w:r>
          </w:p>
          <w:p w14:paraId="5912D3DA" w14:textId="77777777" w:rsidR="00D768A3" w:rsidRPr="00D67D8A" w:rsidRDefault="00D768A3">
            <w:pPr>
              <w:jc w:val="both"/>
              <w:rPr>
                <w:rFonts w:ascii="Arial" w:eastAsia="Arial" w:hAnsi="Arial" w:cs="Arial"/>
                <w:sz w:val="24"/>
                <w:szCs w:val="24"/>
                <w:lang w:val="es-CO"/>
              </w:rPr>
            </w:pPr>
          </w:p>
          <w:p w14:paraId="42563EC4"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w:t>
            </w:r>
          </w:p>
          <w:p w14:paraId="01B2C69D" w14:textId="77777777" w:rsidR="00D768A3" w:rsidRPr="00D67D8A" w:rsidRDefault="00D768A3">
            <w:pPr>
              <w:jc w:val="both"/>
              <w:rPr>
                <w:rFonts w:ascii="Arial" w:eastAsia="Arial" w:hAnsi="Arial" w:cs="Arial"/>
                <w:sz w:val="24"/>
                <w:szCs w:val="24"/>
                <w:lang w:val="es-CO"/>
              </w:rPr>
            </w:pPr>
          </w:p>
          <w:p w14:paraId="427A2D9B" w14:textId="1DAB1CAF" w:rsidR="00D768A3" w:rsidRPr="00D67D8A" w:rsidRDefault="00A0753E">
            <w:pPr>
              <w:jc w:val="both"/>
              <w:rPr>
                <w:rFonts w:ascii="Arial" w:eastAsia="Arial" w:hAnsi="Arial" w:cs="Arial"/>
                <w:sz w:val="24"/>
                <w:szCs w:val="24"/>
                <w:lang w:val="es-CO"/>
              </w:rPr>
            </w:pPr>
            <w:r w:rsidRPr="00F20E2D">
              <w:rPr>
                <w:rFonts w:ascii="Arial" w:eastAsia="Arial" w:hAnsi="Arial" w:cs="Arial"/>
                <w:sz w:val="24"/>
                <w:szCs w:val="24"/>
                <w:lang w:val="es-CO"/>
              </w:rPr>
              <w:t xml:space="preserve">Como el presupuesto oficial del presente proceso está en el rango </w:t>
            </w:r>
            <w:r w:rsidR="00F20E2D" w:rsidRPr="00F20E2D">
              <w:rPr>
                <w:rFonts w:ascii="Arial" w:eastAsia="Arial" w:hAnsi="Arial" w:cs="Arial"/>
                <w:sz w:val="24"/>
                <w:szCs w:val="24"/>
                <w:lang w:val="es-CO"/>
              </w:rPr>
              <w:t>1</w:t>
            </w:r>
            <w:r w:rsidRPr="00F20E2D">
              <w:rPr>
                <w:rFonts w:ascii="Arial" w:eastAsia="Arial" w:hAnsi="Arial" w:cs="Arial"/>
                <w:sz w:val="24"/>
                <w:szCs w:val="24"/>
                <w:lang w:val="es-CO"/>
              </w:rPr>
              <w:t xml:space="preserve"> propuesto por Colombia Compra Eficiente, la entidad acogerá los indicadores establecidos en el presente rango ilustrado a continuación:</w:t>
            </w:r>
          </w:p>
          <w:p w14:paraId="64347278" w14:textId="77777777" w:rsidR="00D768A3" w:rsidRPr="00D67D8A" w:rsidRDefault="00D768A3">
            <w:pPr>
              <w:jc w:val="both"/>
              <w:rPr>
                <w:rFonts w:ascii="Arial" w:eastAsia="Arial" w:hAnsi="Arial" w:cs="Arial"/>
                <w:sz w:val="24"/>
                <w:szCs w:val="24"/>
                <w:lang w:val="es-CO"/>
              </w:rPr>
            </w:pPr>
          </w:p>
          <w:p w14:paraId="4B184A4C" w14:textId="094DA6E1" w:rsidR="00D768A3" w:rsidRPr="00D67D8A" w:rsidRDefault="00A0753E">
            <w:pPr>
              <w:jc w:val="both"/>
              <w:rPr>
                <w:rFonts w:ascii="Arial" w:eastAsia="Arial" w:hAnsi="Arial" w:cs="Arial"/>
                <w:b/>
                <w:sz w:val="24"/>
                <w:szCs w:val="24"/>
                <w:lang w:val="es-CO"/>
              </w:rPr>
            </w:pPr>
            <w:r w:rsidRPr="00D67D8A">
              <w:rPr>
                <w:rFonts w:ascii="Arial" w:eastAsia="Arial" w:hAnsi="Arial" w:cs="Arial"/>
                <w:b/>
                <w:sz w:val="24"/>
                <w:szCs w:val="24"/>
                <w:lang w:val="es-CO"/>
              </w:rPr>
              <w:t>Índices de Capacidad Financiera y Organizacionales para los Proponentes</w:t>
            </w:r>
            <w:r w:rsidR="00B23D41">
              <w:rPr>
                <w:rFonts w:ascii="Arial" w:eastAsia="Arial" w:hAnsi="Arial" w:cs="Arial"/>
                <w:b/>
                <w:sz w:val="24"/>
                <w:szCs w:val="24"/>
                <w:lang w:val="es-CO"/>
              </w:rPr>
              <w:t xml:space="preserve"> NO Mipymes</w:t>
            </w:r>
            <w:r w:rsidRPr="00D67D8A">
              <w:rPr>
                <w:rFonts w:ascii="Arial" w:eastAsia="Arial" w:hAnsi="Arial" w:cs="Arial"/>
                <w:b/>
                <w:sz w:val="24"/>
                <w:szCs w:val="24"/>
                <w:lang w:val="es-CO"/>
              </w:rPr>
              <w:t>.</w:t>
            </w:r>
          </w:p>
          <w:p w14:paraId="7DE7243E" w14:textId="77777777" w:rsidR="00D768A3" w:rsidRPr="00D67D8A" w:rsidRDefault="00D768A3">
            <w:pPr>
              <w:ind w:left="360"/>
              <w:jc w:val="both"/>
              <w:rPr>
                <w:rFonts w:ascii="Arial" w:eastAsia="Arial" w:hAnsi="Arial" w:cs="Arial"/>
                <w:sz w:val="24"/>
                <w:szCs w:val="24"/>
                <w:lang w:val="es-CO"/>
              </w:rPr>
            </w:pPr>
          </w:p>
          <w:p w14:paraId="2766482D" w14:textId="4912D974" w:rsidR="00D768A3" w:rsidRPr="00D67D8A" w:rsidRDefault="00AE755E">
            <w:pPr>
              <w:jc w:val="both"/>
              <w:rPr>
                <w:rFonts w:ascii="Arial" w:eastAsia="Arial" w:hAnsi="Arial" w:cs="Arial"/>
                <w:sz w:val="24"/>
                <w:szCs w:val="24"/>
                <w:lang w:val="es-CO"/>
              </w:rPr>
            </w:pPr>
            <w:r w:rsidRPr="00AE755E">
              <w:rPr>
                <w:rFonts w:ascii="Arial" w:eastAsia="Arial" w:hAnsi="Arial" w:cs="Arial"/>
                <w:sz w:val="24"/>
                <w:szCs w:val="24"/>
                <w:lang w:val="es"/>
              </w:rPr>
              <w:t xml:space="preserve">Los Proponentes que </w:t>
            </w:r>
            <w:r w:rsidRPr="00AE755E">
              <w:rPr>
                <w:rFonts w:ascii="Arial" w:eastAsia="Arial" w:hAnsi="Arial" w:cs="Arial"/>
                <w:b/>
                <w:bCs/>
                <w:sz w:val="24"/>
                <w:szCs w:val="24"/>
                <w:u w:val="single"/>
                <w:lang w:val="es"/>
              </w:rPr>
              <w:t>NO</w:t>
            </w:r>
            <w:r w:rsidRPr="00AE755E">
              <w:rPr>
                <w:rFonts w:ascii="Arial" w:eastAsia="Arial" w:hAnsi="Arial" w:cs="Arial"/>
                <w:sz w:val="24"/>
                <w:szCs w:val="24"/>
                <w:lang w:val="es"/>
              </w:rPr>
              <w:t xml:space="preserve"> 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w:t>
            </w:r>
          </w:p>
          <w:tbl>
            <w:tblPr>
              <w:tblStyle w:val="Tablaconcuadrcula1"/>
              <w:tblpPr w:leftFromText="141" w:rightFromText="141" w:vertAnchor="text" w:tblpXSpec="center" w:tblpY="585"/>
              <w:tblOverlap w:val="never"/>
              <w:tblW w:w="0" w:type="auto"/>
              <w:tblLook w:val="04A0" w:firstRow="1" w:lastRow="0" w:firstColumn="1" w:lastColumn="0" w:noHBand="0" w:noVBand="1"/>
            </w:tblPr>
            <w:tblGrid>
              <w:gridCol w:w="2557"/>
              <w:gridCol w:w="2171"/>
            </w:tblGrid>
            <w:tr w:rsidR="00B23D41" w:rsidRPr="00B23D41" w14:paraId="39626DE4" w14:textId="77777777" w:rsidTr="00A65BD5">
              <w:trPr>
                <w:cantSplit/>
                <w:trHeight w:val="20"/>
                <w:tblHeader/>
              </w:trPr>
              <w:tc>
                <w:tcPr>
                  <w:tcW w:w="2557" w:type="dxa"/>
                  <w:vAlign w:val="center"/>
                </w:tcPr>
                <w:p w14:paraId="034E0467" w14:textId="5E73124F" w:rsidR="00B23D41" w:rsidRPr="00B23D41" w:rsidRDefault="00B23D41" w:rsidP="00A65BD5">
                  <w:pPr>
                    <w:ind w:left="174" w:hanging="174"/>
                    <w:jc w:val="center"/>
                    <w:rPr>
                      <w:rFonts w:ascii="Arial" w:hAnsi="Arial" w:cs="Arial"/>
                      <w:b/>
                      <w:sz w:val="20"/>
                      <w:szCs w:val="20"/>
                    </w:rPr>
                  </w:pPr>
                  <w:r w:rsidRPr="00B23D41">
                    <w:rPr>
                      <w:rFonts w:ascii="Arial" w:hAnsi="Arial" w:cs="Arial"/>
                      <w:b/>
                      <w:sz w:val="20"/>
                      <w:szCs w:val="20"/>
                    </w:rPr>
                    <w:t>Indicador</w:t>
                  </w:r>
                </w:p>
              </w:tc>
              <w:tc>
                <w:tcPr>
                  <w:tcW w:w="2171" w:type="dxa"/>
                  <w:vAlign w:val="center"/>
                </w:tcPr>
                <w:p w14:paraId="630BA01C" w14:textId="77777777" w:rsidR="00B23D41" w:rsidRPr="00B23D41" w:rsidRDefault="00B23D41" w:rsidP="00A65BD5">
                  <w:pPr>
                    <w:ind w:left="174" w:hanging="174"/>
                    <w:jc w:val="center"/>
                    <w:rPr>
                      <w:rFonts w:ascii="Arial" w:hAnsi="Arial" w:cs="Arial"/>
                      <w:b/>
                      <w:sz w:val="20"/>
                      <w:szCs w:val="20"/>
                    </w:rPr>
                  </w:pPr>
                  <w:r w:rsidRPr="00B23D41">
                    <w:rPr>
                      <w:rFonts w:ascii="Arial" w:hAnsi="Arial" w:cs="Arial"/>
                      <w:b/>
                      <w:sz w:val="20"/>
                      <w:szCs w:val="20"/>
                    </w:rPr>
                    <w:t>Valor concertado</w:t>
                  </w:r>
                </w:p>
                <w:p w14:paraId="500A30F5" w14:textId="77777777" w:rsidR="00B23D41" w:rsidRPr="00B23D41" w:rsidRDefault="00B23D41" w:rsidP="00A65BD5">
                  <w:pPr>
                    <w:ind w:left="174" w:hanging="174"/>
                    <w:jc w:val="center"/>
                    <w:rPr>
                      <w:rFonts w:ascii="Arial" w:hAnsi="Arial" w:cs="Arial"/>
                      <w:b/>
                      <w:sz w:val="20"/>
                      <w:szCs w:val="20"/>
                    </w:rPr>
                  </w:pPr>
                  <w:r w:rsidRPr="00B23D41">
                    <w:rPr>
                      <w:rFonts w:ascii="Arial" w:hAnsi="Arial" w:cs="Arial"/>
                      <w:b/>
                      <w:sz w:val="20"/>
                      <w:szCs w:val="20"/>
                    </w:rPr>
                    <w:t>Rango 1</w:t>
                  </w:r>
                </w:p>
              </w:tc>
            </w:tr>
            <w:tr w:rsidR="00B23D41" w:rsidRPr="00B23D41" w14:paraId="6F406C9B" w14:textId="77777777" w:rsidTr="00A65BD5">
              <w:trPr>
                <w:cantSplit/>
                <w:trHeight w:val="20"/>
              </w:trPr>
              <w:tc>
                <w:tcPr>
                  <w:tcW w:w="2557" w:type="dxa"/>
                  <w:vAlign w:val="center"/>
                </w:tcPr>
                <w:p w14:paraId="101E8B03" w14:textId="77777777" w:rsidR="00B23D41" w:rsidRPr="00B23D41" w:rsidRDefault="00B23D41" w:rsidP="00A65BD5">
                  <w:pPr>
                    <w:jc w:val="center"/>
                    <w:rPr>
                      <w:rFonts w:ascii="Arial" w:hAnsi="Arial" w:cs="Arial"/>
                      <w:sz w:val="20"/>
                      <w:szCs w:val="20"/>
                    </w:rPr>
                  </w:pPr>
                </w:p>
                <w:p w14:paraId="7EC7BAFE" w14:textId="77777777" w:rsidR="00B23D41" w:rsidRPr="00B23D41" w:rsidRDefault="00B23D41" w:rsidP="00A65BD5">
                  <w:pPr>
                    <w:jc w:val="center"/>
                    <w:rPr>
                      <w:rFonts w:ascii="Arial" w:hAnsi="Arial" w:cs="Arial"/>
                      <w:sz w:val="20"/>
                      <w:szCs w:val="20"/>
                    </w:rPr>
                  </w:pPr>
                  <w:r w:rsidRPr="00B23D41">
                    <w:rPr>
                      <w:rFonts w:ascii="Arial" w:hAnsi="Arial" w:cs="Arial"/>
                      <w:sz w:val="20"/>
                      <w:szCs w:val="20"/>
                    </w:rPr>
                    <w:t>Índice de liquidez</w:t>
                  </w:r>
                </w:p>
              </w:tc>
              <w:tc>
                <w:tcPr>
                  <w:tcW w:w="2171" w:type="dxa"/>
                  <w:vAlign w:val="center"/>
                </w:tcPr>
                <w:p w14:paraId="4F5D985C" w14:textId="1535996A" w:rsidR="00B23D41" w:rsidRPr="00B23D41" w:rsidRDefault="00B23D41" w:rsidP="00A65BD5">
                  <w:pPr>
                    <w:jc w:val="center"/>
                    <w:rPr>
                      <w:rFonts w:ascii="Arial" w:hAnsi="Arial" w:cs="Arial"/>
                      <w:sz w:val="20"/>
                      <w:szCs w:val="20"/>
                    </w:rPr>
                  </w:pPr>
                  <w:r w:rsidRPr="00B23D41">
                    <w:rPr>
                      <w:rFonts w:ascii="Arial" w:hAnsi="Arial" w:cs="Arial"/>
                      <w:sz w:val="20"/>
                      <w:szCs w:val="20"/>
                    </w:rPr>
                    <w:t>≥ 1,2</w:t>
                  </w:r>
                </w:p>
              </w:tc>
            </w:tr>
            <w:tr w:rsidR="00B23D41" w:rsidRPr="00B23D41" w14:paraId="1F244611" w14:textId="77777777" w:rsidTr="00A65BD5">
              <w:trPr>
                <w:cantSplit/>
                <w:trHeight w:val="20"/>
              </w:trPr>
              <w:tc>
                <w:tcPr>
                  <w:tcW w:w="2557" w:type="dxa"/>
                  <w:vAlign w:val="center"/>
                </w:tcPr>
                <w:p w14:paraId="1593777D" w14:textId="77777777" w:rsidR="00B23D41" w:rsidRPr="00B23D41" w:rsidRDefault="00B23D41" w:rsidP="00A65BD5">
                  <w:pPr>
                    <w:jc w:val="center"/>
                    <w:rPr>
                      <w:rFonts w:ascii="Arial" w:hAnsi="Arial" w:cs="Arial"/>
                      <w:sz w:val="20"/>
                      <w:szCs w:val="20"/>
                    </w:rPr>
                  </w:pPr>
                </w:p>
                <w:p w14:paraId="555BAF94" w14:textId="77777777" w:rsidR="00B23D41" w:rsidRPr="00B23D41" w:rsidRDefault="00B23D41" w:rsidP="00A65BD5">
                  <w:pPr>
                    <w:jc w:val="center"/>
                    <w:rPr>
                      <w:rFonts w:ascii="Arial" w:hAnsi="Arial" w:cs="Arial"/>
                      <w:sz w:val="20"/>
                      <w:szCs w:val="20"/>
                    </w:rPr>
                  </w:pPr>
                  <w:r w:rsidRPr="00B23D41">
                    <w:rPr>
                      <w:rFonts w:ascii="Arial" w:hAnsi="Arial" w:cs="Arial"/>
                      <w:sz w:val="20"/>
                      <w:szCs w:val="20"/>
                    </w:rPr>
                    <w:t>Índice de endeudamiento</w:t>
                  </w:r>
                </w:p>
              </w:tc>
              <w:tc>
                <w:tcPr>
                  <w:tcW w:w="2171" w:type="dxa"/>
                  <w:vAlign w:val="center"/>
                </w:tcPr>
                <w:p w14:paraId="396BB14F" w14:textId="07B1086D" w:rsidR="00B23D41" w:rsidRPr="00B23D41" w:rsidRDefault="00B23D41" w:rsidP="00A65BD5">
                  <w:pPr>
                    <w:jc w:val="center"/>
                    <w:rPr>
                      <w:rFonts w:ascii="Arial" w:hAnsi="Arial" w:cs="Arial"/>
                      <w:sz w:val="20"/>
                      <w:szCs w:val="20"/>
                    </w:rPr>
                  </w:pPr>
                  <w:r w:rsidRPr="00B23D41">
                    <w:rPr>
                      <w:rFonts w:ascii="Arial" w:hAnsi="Arial" w:cs="Arial"/>
                      <w:sz w:val="20"/>
                      <w:szCs w:val="20"/>
                    </w:rPr>
                    <w:t>≤ 0,65</w:t>
                  </w:r>
                </w:p>
              </w:tc>
            </w:tr>
            <w:tr w:rsidR="00B23D41" w:rsidRPr="00B23D41" w14:paraId="2884DE69" w14:textId="77777777" w:rsidTr="00A65BD5">
              <w:trPr>
                <w:cantSplit/>
                <w:trHeight w:val="20"/>
              </w:trPr>
              <w:tc>
                <w:tcPr>
                  <w:tcW w:w="2557" w:type="dxa"/>
                  <w:vAlign w:val="center"/>
                </w:tcPr>
                <w:p w14:paraId="4DA0CD0C" w14:textId="77777777" w:rsidR="00B23D41" w:rsidRPr="00B23D41" w:rsidRDefault="00B23D41" w:rsidP="00A65BD5">
                  <w:pPr>
                    <w:jc w:val="center"/>
                    <w:rPr>
                      <w:rFonts w:ascii="Arial" w:hAnsi="Arial" w:cs="Arial"/>
                      <w:sz w:val="20"/>
                      <w:szCs w:val="20"/>
                    </w:rPr>
                  </w:pPr>
                </w:p>
                <w:p w14:paraId="2CE71B27" w14:textId="77777777" w:rsidR="00B23D41" w:rsidRPr="00B23D41" w:rsidRDefault="00B23D41" w:rsidP="00A65BD5">
                  <w:pPr>
                    <w:jc w:val="center"/>
                    <w:rPr>
                      <w:rFonts w:ascii="Arial" w:hAnsi="Arial" w:cs="Arial"/>
                      <w:sz w:val="20"/>
                      <w:szCs w:val="20"/>
                    </w:rPr>
                  </w:pPr>
                  <w:r w:rsidRPr="00B23D41">
                    <w:rPr>
                      <w:rFonts w:ascii="Arial" w:hAnsi="Arial" w:cs="Arial"/>
                      <w:sz w:val="20"/>
                      <w:szCs w:val="20"/>
                    </w:rPr>
                    <w:t>Razón de cobertura de intereses</w:t>
                  </w:r>
                </w:p>
              </w:tc>
              <w:tc>
                <w:tcPr>
                  <w:tcW w:w="2171" w:type="dxa"/>
                  <w:vAlign w:val="center"/>
                </w:tcPr>
                <w:p w14:paraId="3909802F" w14:textId="5258ADC8" w:rsidR="00B23D41" w:rsidRPr="00B23D41" w:rsidRDefault="00B23D41" w:rsidP="00A65BD5">
                  <w:pPr>
                    <w:jc w:val="center"/>
                    <w:rPr>
                      <w:rFonts w:ascii="Arial" w:hAnsi="Arial" w:cs="Arial"/>
                      <w:sz w:val="20"/>
                      <w:szCs w:val="20"/>
                    </w:rPr>
                  </w:pPr>
                  <w:r w:rsidRPr="00B23D41">
                    <w:rPr>
                      <w:rFonts w:ascii="Arial" w:hAnsi="Arial" w:cs="Arial"/>
                      <w:sz w:val="20"/>
                      <w:szCs w:val="20"/>
                    </w:rPr>
                    <w:t>≥1,5</w:t>
                  </w:r>
                </w:p>
              </w:tc>
            </w:tr>
            <w:tr w:rsidR="00B23D41" w:rsidRPr="00B23D41" w14:paraId="5D92B6E8" w14:textId="77777777" w:rsidTr="00A65BD5">
              <w:trPr>
                <w:cantSplit/>
                <w:trHeight w:val="20"/>
              </w:trPr>
              <w:tc>
                <w:tcPr>
                  <w:tcW w:w="2557" w:type="dxa"/>
                  <w:vAlign w:val="center"/>
                </w:tcPr>
                <w:p w14:paraId="0C552E46" w14:textId="77777777" w:rsidR="00B23D41" w:rsidRPr="00B23D41" w:rsidRDefault="00B23D41" w:rsidP="00A65BD5">
                  <w:pPr>
                    <w:jc w:val="center"/>
                    <w:rPr>
                      <w:rFonts w:ascii="Arial" w:hAnsi="Arial" w:cs="Arial"/>
                      <w:sz w:val="20"/>
                      <w:szCs w:val="20"/>
                    </w:rPr>
                  </w:pPr>
                  <w:r w:rsidRPr="00B23D41">
                    <w:rPr>
                      <w:rFonts w:ascii="Arial" w:hAnsi="Arial" w:cs="Arial"/>
                      <w:sz w:val="20"/>
                      <w:szCs w:val="20"/>
                    </w:rPr>
                    <w:t>Capital de trabajo (Ver nota 1)</w:t>
                  </w:r>
                </w:p>
              </w:tc>
              <w:tc>
                <w:tcPr>
                  <w:tcW w:w="2171" w:type="dxa"/>
                  <w:vAlign w:val="center"/>
                </w:tcPr>
                <w:p w14:paraId="3ADCFBE3" w14:textId="77777777" w:rsidR="00B23D41" w:rsidRPr="00B23D41" w:rsidRDefault="00B23D41" w:rsidP="00A65BD5">
                  <w:pPr>
                    <w:jc w:val="center"/>
                    <w:rPr>
                      <w:rFonts w:ascii="Arial" w:hAnsi="Arial" w:cs="Arial"/>
                      <w:sz w:val="20"/>
                      <w:szCs w:val="20"/>
                    </w:rPr>
                  </w:pPr>
                  <w:r w:rsidRPr="00B23D41">
                    <w:rPr>
                      <w:rFonts w:ascii="Arial" w:hAnsi="Arial" w:cs="Arial"/>
                      <w:sz w:val="20"/>
                      <w:szCs w:val="20"/>
                    </w:rPr>
                    <w:t>Definido en los Pliegos Tipo</w:t>
                  </w:r>
                </w:p>
              </w:tc>
            </w:tr>
            <w:tr w:rsidR="00B23D41" w:rsidRPr="00B23D41" w14:paraId="0C3AD4A1" w14:textId="77777777" w:rsidTr="00A65BD5">
              <w:trPr>
                <w:cantSplit/>
                <w:trHeight w:val="20"/>
              </w:trPr>
              <w:tc>
                <w:tcPr>
                  <w:tcW w:w="2557" w:type="dxa"/>
                  <w:vAlign w:val="center"/>
                </w:tcPr>
                <w:p w14:paraId="0F747913" w14:textId="77777777" w:rsidR="00B23D41" w:rsidRPr="00B23D41" w:rsidRDefault="00B23D41" w:rsidP="00A65BD5">
                  <w:pPr>
                    <w:jc w:val="center"/>
                    <w:rPr>
                      <w:rFonts w:ascii="Arial" w:hAnsi="Arial" w:cs="Arial"/>
                      <w:sz w:val="20"/>
                      <w:szCs w:val="20"/>
                    </w:rPr>
                  </w:pPr>
                </w:p>
                <w:p w14:paraId="025591B7" w14:textId="77777777" w:rsidR="00B23D41" w:rsidRPr="00B23D41" w:rsidRDefault="00B23D41" w:rsidP="00A65BD5">
                  <w:pPr>
                    <w:jc w:val="center"/>
                    <w:rPr>
                      <w:rFonts w:ascii="Arial" w:hAnsi="Arial" w:cs="Arial"/>
                      <w:sz w:val="20"/>
                      <w:szCs w:val="20"/>
                    </w:rPr>
                  </w:pPr>
                  <w:r w:rsidRPr="00B23D41">
                    <w:rPr>
                      <w:rFonts w:ascii="Arial" w:hAnsi="Arial" w:cs="Arial"/>
                      <w:sz w:val="20"/>
                      <w:szCs w:val="20"/>
                    </w:rPr>
                    <w:t>Rentabilidad del patrimonio</w:t>
                  </w:r>
                </w:p>
              </w:tc>
              <w:tc>
                <w:tcPr>
                  <w:tcW w:w="2171" w:type="dxa"/>
                  <w:vAlign w:val="center"/>
                </w:tcPr>
                <w:p w14:paraId="27C3DBB8" w14:textId="470E0C0F" w:rsidR="00B23D41" w:rsidRPr="00B23D41" w:rsidRDefault="00B23D41" w:rsidP="00A65BD5">
                  <w:pPr>
                    <w:jc w:val="center"/>
                    <w:rPr>
                      <w:rFonts w:ascii="Arial" w:hAnsi="Arial" w:cs="Arial"/>
                      <w:sz w:val="20"/>
                      <w:szCs w:val="20"/>
                    </w:rPr>
                  </w:pPr>
                  <w:r w:rsidRPr="00B23D41">
                    <w:rPr>
                      <w:rFonts w:ascii="Arial" w:hAnsi="Arial" w:cs="Arial"/>
                      <w:sz w:val="20"/>
                      <w:szCs w:val="20"/>
                    </w:rPr>
                    <w:t>≥0,03</w:t>
                  </w:r>
                </w:p>
              </w:tc>
            </w:tr>
            <w:tr w:rsidR="00B23D41" w:rsidRPr="00B23D41" w14:paraId="09A2995B" w14:textId="77777777" w:rsidTr="00A65BD5">
              <w:trPr>
                <w:cantSplit/>
                <w:trHeight w:val="20"/>
              </w:trPr>
              <w:tc>
                <w:tcPr>
                  <w:tcW w:w="2557" w:type="dxa"/>
                  <w:vAlign w:val="center"/>
                </w:tcPr>
                <w:p w14:paraId="47FBEDD8" w14:textId="77777777" w:rsidR="00B23D41" w:rsidRPr="00B23D41" w:rsidRDefault="00B23D41" w:rsidP="00A65BD5">
                  <w:pPr>
                    <w:jc w:val="center"/>
                    <w:rPr>
                      <w:rFonts w:ascii="Arial" w:hAnsi="Arial" w:cs="Arial"/>
                      <w:sz w:val="20"/>
                      <w:szCs w:val="20"/>
                    </w:rPr>
                  </w:pPr>
                </w:p>
                <w:p w14:paraId="26E04AA4" w14:textId="77777777" w:rsidR="00B23D41" w:rsidRPr="00B23D41" w:rsidRDefault="00B23D41" w:rsidP="00A65BD5">
                  <w:pPr>
                    <w:jc w:val="center"/>
                    <w:rPr>
                      <w:rFonts w:ascii="Arial" w:hAnsi="Arial" w:cs="Arial"/>
                      <w:sz w:val="20"/>
                      <w:szCs w:val="20"/>
                    </w:rPr>
                  </w:pPr>
                  <w:r w:rsidRPr="00B23D41">
                    <w:rPr>
                      <w:rFonts w:ascii="Arial" w:hAnsi="Arial" w:cs="Arial"/>
                      <w:sz w:val="20"/>
                      <w:szCs w:val="20"/>
                    </w:rPr>
                    <w:t>Rentabilidad del activo</w:t>
                  </w:r>
                </w:p>
              </w:tc>
              <w:tc>
                <w:tcPr>
                  <w:tcW w:w="2171" w:type="dxa"/>
                  <w:vAlign w:val="center"/>
                </w:tcPr>
                <w:p w14:paraId="059C40E3" w14:textId="11ABFD8E" w:rsidR="00B23D41" w:rsidRPr="00B23D41" w:rsidRDefault="00B23D41" w:rsidP="00A65BD5">
                  <w:pPr>
                    <w:jc w:val="center"/>
                    <w:rPr>
                      <w:rFonts w:ascii="Arial" w:hAnsi="Arial" w:cs="Arial"/>
                      <w:sz w:val="20"/>
                      <w:szCs w:val="20"/>
                    </w:rPr>
                  </w:pPr>
                  <w:r w:rsidRPr="00B23D41">
                    <w:rPr>
                      <w:rFonts w:ascii="Arial" w:hAnsi="Arial" w:cs="Arial"/>
                      <w:sz w:val="20"/>
                      <w:szCs w:val="20"/>
                    </w:rPr>
                    <w:t>≥0,02</w:t>
                  </w:r>
                </w:p>
              </w:tc>
            </w:tr>
          </w:tbl>
          <w:p w14:paraId="69A88C2F" w14:textId="77777777" w:rsidR="00D768A3" w:rsidRPr="00D67D8A" w:rsidRDefault="00D768A3">
            <w:pPr>
              <w:jc w:val="both"/>
              <w:rPr>
                <w:rFonts w:ascii="Arial" w:eastAsia="Arial" w:hAnsi="Arial" w:cs="Arial"/>
                <w:sz w:val="24"/>
                <w:szCs w:val="24"/>
                <w:lang w:val="es-CO"/>
              </w:rPr>
            </w:pPr>
          </w:p>
          <w:p w14:paraId="063D635F" w14:textId="77777777" w:rsidR="00AE755E" w:rsidRDefault="00AE755E">
            <w:pPr>
              <w:jc w:val="both"/>
              <w:rPr>
                <w:rFonts w:ascii="Arial" w:eastAsia="Arial" w:hAnsi="Arial" w:cs="Arial"/>
                <w:sz w:val="24"/>
                <w:szCs w:val="24"/>
                <w:lang w:val="es-CO"/>
              </w:rPr>
            </w:pPr>
          </w:p>
          <w:p w14:paraId="0AC4B24F" w14:textId="77777777" w:rsidR="00AE755E" w:rsidRPr="00D67D8A" w:rsidRDefault="00AE755E">
            <w:pPr>
              <w:jc w:val="both"/>
              <w:rPr>
                <w:rFonts w:ascii="Arial" w:eastAsia="Arial" w:hAnsi="Arial" w:cs="Arial"/>
                <w:sz w:val="24"/>
                <w:szCs w:val="24"/>
                <w:lang w:val="es-CO"/>
              </w:rPr>
            </w:pPr>
          </w:p>
          <w:p w14:paraId="1698BD26" w14:textId="77777777" w:rsidR="00D768A3" w:rsidRPr="00D67D8A" w:rsidRDefault="00D768A3">
            <w:pPr>
              <w:jc w:val="both"/>
              <w:rPr>
                <w:rFonts w:ascii="Arial" w:eastAsia="Arial" w:hAnsi="Arial" w:cs="Arial"/>
                <w:sz w:val="24"/>
                <w:szCs w:val="24"/>
                <w:lang w:val="es-CO"/>
              </w:rPr>
            </w:pPr>
          </w:p>
          <w:p w14:paraId="7C9D208F" w14:textId="57F4D27F" w:rsidR="00D768A3" w:rsidRDefault="00D768A3">
            <w:pPr>
              <w:jc w:val="center"/>
              <w:rPr>
                <w:rFonts w:ascii="Cambria Math" w:eastAsia="Cambria Math" w:hAnsi="Cambria Math" w:cs="Cambria Math"/>
                <w:sz w:val="24"/>
                <w:szCs w:val="24"/>
              </w:rPr>
            </w:pPr>
          </w:p>
          <w:p w14:paraId="2E365593" w14:textId="77777777" w:rsidR="00AE755E" w:rsidRDefault="00AE755E">
            <w:pPr>
              <w:jc w:val="center"/>
              <w:rPr>
                <w:rFonts w:ascii="Cambria Math" w:eastAsia="Cambria Math" w:hAnsi="Cambria Math" w:cs="Cambria Math"/>
                <w:sz w:val="24"/>
                <w:szCs w:val="24"/>
              </w:rPr>
            </w:pPr>
          </w:p>
          <w:p w14:paraId="70C601E8" w14:textId="77777777" w:rsidR="00AE755E" w:rsidRDefault="00AE755E">
            <w:pPr>
              <w:jc w:val="center"/>
              <w:rPr>
                <w:rFonts w:ascii="Cambria Math" w:eastAsia="Cambria Math" w:hAnsi="Cambria Math" w:cs="Cambria Math"/>
                <w:sz w:val="24"/>
                <w:szCs w:val="24"/>
              </w:rPr>
            </w:pPr>
          </w:p>
          <w:p w14:paraId="07BA925B" w14:textId="77777777" w:rsidR="00AE755E" w:rsidRDefault="00AE755E">
            <w:pPr>
              <w:jc w:val="center"/>
              <w:rPr>
                <w:rFonts w:ascii="Cambria Math" w:eastAsia="Cambria Math" w:hAnsi="Cambria Math" w:cs="Cambria Math"/>
                <w:sz w:val="24"/>
                <w:szCs w:val="24"/>
              </w:rPr>
            </w:pPr>
          </w:p>
          <w:p w14:paraId="18D743CA" w14:textId="77777777" w:rsidR="00AE755E" w:rsidRDefault="00AE755E">
            <w:pPr>
              <w:jc w:val="center"/>
              <w:rPr>
                <w:rFonts w:ascii="Cambria Math" w:eastAsia="Cambria Math" w:hAnsi="Cambria Math" w:cs="Cambria Math"/>
                <w:sz w:val="24"/>
                <w:szCs w:val="24"/>
              </w:rPr>
            </w:pPr>
          </w:p>
          <w:p w14:paraId="35A1A9E1" w14:textId="77777777" w:rsidR="004308E3" w:rsidRDefault="004308E3" w:rsidP="00AE755E">
            <w:pPr>
              <w:jc w:val="both"/>
              <w:rPr>
                <w:rFonts w:ascii="Arial" w:eastAsia="Arial" w:hAnsi="Arial" w:cs="Arial"/>
                <w:color w:val="000000"/>
                <w:sz w:val="24"/>
                <w:szCs w:val="24"/>
                <w:highlight w:val="white"/>
                <w:lang w:val="es-CO"/>
              </w:rPr>
            </w:pPr>
          </w:p>
          <w:p w14:paraId="6DC585C9" w14:textId="77777777" w:rsidR="004308E3" w:rsidRDefault="004308E3" w:rsidP="00AE755E">
            <w:pPr>
              <w:jc w:val="both"/>
              <w:rPr>
                <w:rFonts w:ascii="Arial" w:eastAsia="Arial" w:hAnsi="Arial" w:cs="Arial"/>
                <w:color w:val="000000"/>
                <w:sz w:val="24"/>
                <w:szCs w:val="24"/>
                <w:highlight w:val="white"/>
                <w:lang w:val="es-CO"/>
              </w:rPr>
            </w:pPr>
          </w:p>
          <w:p w14:paraId="1EDDE083" w14:textId="15FEDF34" w:rsidR="00AE755E" w:rsidRDefault="00AE755E" w:rsidP="00AE755E">
            <w:pPr>
              <w:jc w:val="both"/>
              <w:rPr>
                <w:rFonts w:ascii="Arial" w:eastAsia="Arial" w:hAnsi="Arial" w:cs="Arial"/>
                <w:sz w:val="24"/>
                <w:szCs w:val="24"/>
                <w:lang w:val="es-CO"/>
              </w:rPr>
            </w:pPr>
            <w:r w:rsidRPr="00D67D8A">
              <w:rPr>
                <w:rFonts w:ascii="Arial" w:eastAsia="Arial" w:hAnsi="Arial" w:cs="Arial"/>
                <w:color w:val="000000"/>
                <w:sz w:val="24"/>
                <w:szCs w:val="24"/>
                <w:highlight w:val="white"/>
                <w:lang w:val="es-CO"/>
              </w:rPr>
              <w:t xml:space="preserve">Nota 1: </w:t>
            </w:r>
            <w:r w:rsidRPr="00D67D8A">
              <w:rPr>
                <w:rFonts w:ascii="Arial" w:eastAsia="Arial" w:hAnsi="Arial" w:cs="Arial"/>
                <w:sz w:val="24"/>
                <w:szCs w:val="24"/>
                <w:lang w:val="es-CO"/>
              </w:rPr>
              <w:t xml:space="preserve">Si el Proponente es plural cada indicador debe calcularse así: </w:t>
            </w:r>
          </w:p>
          <w:p w14:paraId="627ADF85" w14:textId="77777777" w:rsidR="00AE755E" w:rsidRDefault="00AE755E">
            <w:pPr>
              <w:jc w:val="both"/>
              <w:rPr>
                <w:rFonts w:ascii="Arial" w:eastAsia="Arial" w:hAnsi="Arial" w:cs="Arial"/>
                <w:sz w:val="24"/>
                <w:szCs w:val="24"/>
                <w:lang w:val="es-CO"/>
              </w:rPr>
            </w:pPr>
          </w:p>
          <w:p w14:paraId="6AA05313" w14:textId="6F2DBECE" w:rsidR="00AE755E" w:rsidRPr="00AE755E" w:rsidRDefault="00AE755E">
            <w:pPr>
              <w:jc w:val="both"/>
              <w:rPr>
                <w:rFonts w:ascii="Arial" w:eastAsia="Arial" w:hAnsi="Arial" w:cs="Arial"/>
                <w:sz w:val="24"/>
                <w:szCs w:val="24"/>
              </w:rPr>
            </w:pPr>
            <m:oMathPara>
              <m:oMath>
                <m:r>
                  <w:rPr>
                    <w:rFonts w:ascii="Cambria Math" w:eastAsia="Cambria Math" w:hAnsi="Cambria Math" w:cs="Cambria Math"/>
                    <w:sz w:val="24"/>
                    <w:szCs w:val="24"/>
                  </w:rPr>
                  <m:t>Indicador =</m:t>
                </m:r>
                <m:f>
                  <m:fPr>
                    <m:ctrlPr>
                      <w:rPr>
                        <w:rFonts w:ascii="Cambria Math" w:eastAsia="Cambria Math" w:hAnsi="Cambria Math" w:cs="Cambria Math"/>
                        <w:sz w:val="24"/>
                        <w:szCs w:val="24"/>
                      </w:rPr>
                    </m:ctrlPr>
                  </m:fPr>
                  <m:num>
                    <m:r>
                      <w:rPr>
                        <w:rFonts w:ascii="Cambria Math" w:eastAsia="Cambria Math" w:hAnsi="Cambria Math" w:cs="Cambria Math"/>
                        <w:sz w:val="24"/>
                        <w:szCs w:val="24"/>
                      </w:rPr>
                      <m:t>(</m:t>
                    </m:r>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i=1</m:t>
                        </m:r>
                      </m:sub>
                      <m:sup>
                        <m:r>
                          <w:rPr>
                            <w:rFonts w:ascii="Cambria Math" w:eastAsia="Cambria Math" w:hAnsi="Cambria Math" w:cs="Cambria Math"/>
                            <w:sz w:val="24"/>
                            <w:szCs w:val="24"/>
                          </w:rPr>
                          <m:t>n</m:t>
                        </m:r>
                      </m:sup>
                      <m:e/>
                    </m:nary>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Componente 1 del indicador</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num>
                  <m:den>
                    <m:r>
                      <w:rPr>
                        <w:rFonts w:ascii="Cambria Math" w:eastAsia="Cambria Math" w:hAnsi="Cambria Math" w:cs="Cambria Math"/>
                        <w:sz w:val="24"/>
                        <w:szCs w:val="24"/>
                      </w:rPr>
                      <m:t>(</m:t>
                    </m:r>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i=1</m:t>
                        </m:r>
                      </m:sub>
                      <m:sup>
                        <m:r>
                          <w:rPr>
                            <w:rFonts w:ascii="Cambria Math" w:eastAsia="Cambria Math" w:hAnsi="Cambria Math" w:cs="Cambria Math"/>
                            <w:sz w:val="24"/>
                            <w:szCs w:val="24"/>
                          </w:rPr>
                          <m:t>n</m:t>
                        </m:r>
                      </m:sup>
                      <m:e/>
                    </m:nary>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Componente 2 del indicador</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den>
                </m:f>
              </m:oMath>
            </m:oMathPara>
          </w:p>
          <w:p w14:paraId="4DC193F8" w14:textId="77777777" w:rsidR="00AE755E" w:rsidRPr="00AE755E" w:rsidRDefault="00AE755E">
            <w:pPr>
              <w:jc w:val="both"/>
              <w:rPr>
                <w:rFonts w:ascii="Arial" w:eastAsia="Arial" w:hAnsi="Arial" w:cs="Arial"/>
                <w:sz w:val="24"/>
                <w:szCs w:val="24"/>
                <w:lang w:val="es-CO"/>
              </w:rPr>
            </w:pPr>
          </w:p>
          <w:p w14:paraId="4B84D8E0"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 xml:space="preserve">Donde </w:t>
            </w:r>
            <m:oMath>
              <m:r>
                <w:rPr>
                  <w:rFonts w:ascii="Cambria Math" w:eastAsia="Cambria Math" w:hAnsi="Cambria Math" w:cs="Cambria Math"/>
                  <w:sz w:val="24"/>
                  <w:szCs w:val="24"/>
                </w:rPr>
                <m:t>n</m:t>
              </m:r>
            </m:oMath>
            <w:r w:rsidRPr="00D67D8A">
              <w:rPr>
                <w:rFonts w:ascii="Arial" w:eastAsia="Arial" w:hAnsi="Arial" w:cs="Arial"/>
                <w:sz w:val="24"/>
                <w:szCs w:val="24"/>
                <w:lang w:val="es-CO"/>
              </w:rPr>
              <w:t xml:space="preserve"> es el número de integrantes del Proponente Plural (Unión Temporal o Consorcio).</w:t>
            </w:r>
          </w:p>
          <w:p w14:paraId="4280F439" w14:textId="77777777" w:rsidR="00D768A3" w:rsidRPr="00D67D8A" w:rsidRDefault="00D768A3">
            <w:pPr>
              <w:jc w:val="both"/>
              <w:rPr>
                <w:rFonts w:ascii="Arial" w:eastAsia="Arial" w:hAnsi="Arial" w:cs="Arial"/>
                <w:sz w:val="24"/>
                <w:szCs w:val="24"/>
                <w:lang w:val="es-CO"/>
              </w:rPr>
            </w:pPr>
          </w:p>
          <w:p w14:paraId="6826094B"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 xml:space="preserve">El Proponente que no tiene pasivos corrientes está habilitado respecto del índice de liquidez. </w:t>
            </w:r>
          </w:p>
          <w:p w14:paraId="163F733E" w14:textId="77777777" w:rsidR="00D768A3" w:rsidRPr="00D67D8A" w:rsidRDefault="00D768A3">
            <w:pPr>
              <w:jc w:val="both"/>
              <w:rPr>
                <w:rFonts w:ascii="Arial" w:eastAsia="Arial" w:hAnsi="Arial" w:cs="Arial"/>
                <w:sz w:val="24"/>
                <w:szCs w:val="24"/>
                <w:lang w:val="es-CO"/>
              </w:rPr>
            </w:pPr>
          </w:p>
          <w:p w14:paraId="1B34C1B4"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 xml:space="preserve">El Proponente que no tiene gastos de intereses está habilitado respecto de la razón de cobertura de intereses, siempre y cuando la Utilidad Operacional sea igual o mayor a cero (0). </w:t>
            </w:r>
          </w:p>
          <w:p w14:paraId="51F7E85D" w14:textId="77777777" w:rsidR="00D768A3" w:rsidRPr="00D67D8A" w:rsidRDefault="00D768A3">
            <w:pPr>
              <w:jc w:val="both"/>
              <w:rPr>
                <w:rFonts w:ascii="Arial" w:eastAsia="Arial" w:hAnsi="Arial" w:cs="Arial"/>
                <w:sz w:val="24"/>
                <w:szCs w:val="24"/>
                <w:lang w:val="es-CO"/>
              </w:rPr>
            </w:pPr>
          </w:p>
          <w:p w14:paraId="697A601F" w14:textId="77777777" w:rsidR="005D3A54" w:rsidRPr="005D3A54" w:rsidRDefault="005D3A54" w:rsidP="005D3A54">
            <w:pPr>
              <w:jc w:val="both"/>
              <w:rPr>
                <w:rFonts w:ascii="Arial" w:eastAsia="Arial" w:hAnsi="Arial" w:cs="Arial"/>
                <w:b/>
                <w:bCs/>
                <w:sz w:val="24"/>
                <w:szCs w:val="24"/>
                <w:lang w:val="es-CO"/>
              </w:rPr>
            </w:pPr>
            <w:r w:rsidRPr="005D3A54">
              <w:rPr>
                <w:rFonts w:ascii="Arial" w:eastAsia="Arial" w:hAnsi="Arial" w:cs="Arial"/>
                <w:b/>
                <w:bCs/>
                <w:sz w:val="24"/>
                <w:szCs w:val="24"/>
                <w:lang w:val="es-CO"/>
              </w:rPr>
              <w:t>CAPITAL DE TRABAJO</w:t>
            </w:r>
          </w:p>
          <w:p w14:paraId="16C665FF" w14:textId="77777777" w:rsidR="005D3A54" w:rsidRPr="005D3A54" w:rsidRDefault="005D3A54" w:rsidP="005D3A54">
            <w:pPr>
              <w:jc w:val="both"/>
              <w:rPr>
                <w:rFonts w:ascii="Arial" w:eastAsia="Arial" w:hAnsi="Arial" w:cs="Arial"/>
                <w:sz w:val="24"/>
                <w:szCs w:val="24"/>
                <w:lang w:val="es-CO"/>
              </w:rPr>
            </w:pPr>
          </w:p>
          <w:p w14:paraId="5443AE38" w14:textId="77777777" w:rsidR="005D3A54" w:rsidRDefault="005D3A54" w:rsidP="005D3A54">
            <w:pPr>
              <w:jc w:val="both"/>
              <w:rPr>
                <w:rFonts w:ascii="Arial" w:eastAsia="Arial" w:hAnsi="Arial" w:cs="Arial"/>
                <w:sz w:val="24"/>
                <w:szCs w:val="24"/>
                <w:lang w:val="es-CO"/>
              </w:rPr>
            </w:pPr>
            <w:r w:rsidRPr="005D3A54">
              <w:rPr>
                <w:rFonts w:ascii="Arial" w:eastAsia="Arial" w:hAnsi="Arial" w:cs="Arial"/>
                <w:sz w:val="24"/>
                <w:szCs w:val="24"/>
                <w:lang w:val="es-CO"/>
              </w:rPr>
              <w:t>Para el Proceso de Contratación los Proponentes deberán acreditar: </w:t>
            </w:r>
          </w:p>
          <w:p w14:paraId="332D6D9F" w14:textId="77777777" w:rsidR="005D3A54" w:rsidRPr="005D3A54" w:rsidRDefault="005D3A54" w:rsidP="005D3A54">
            <w:pPr>
              <w:jc w:val="both"/>
              <w:rPr>
                <w:rFonts w:ascii="Arial" w:eastAsia="Arial" w:hAnsi="Arial" w:cs="Arial"/>
                <w:sz w:val="24"/>
                <w:szCs w:val="24"/>
                <w:lang w:val="es-CO"/>
              </w:rPr>
            </w:pPr>
          </w:p>
          <w:p w14:paraId="437F783B" w14:textId="77777777" w:rsidR="005D3A54" w:rsidRPr="005D3A54" w:rsidRDefault="005D3A54" w:rsidP="005D3A54">
            <w:pPr>
              <w:jc w:val="center"/>
              <w:rPr>
                <w:rFonts w:ascii="Arial" w:eastAsia="Arial" w:hAnsi="Arial" w:cs="Arial"/>
                <w:sz w:val="24"/>
                <w:szCs w:val="24"/>
                <w:lang w:val="es-CO"/>
              </w:rPr>
            </w:pPr>
            <w:r w:rsidRPr="005D3A54">
              <w:rPr>
                <w:rFonts w:ascii="Arial" w:eastAsia="Arial" w:hAnsi="Arial" w:cs="Arial"/>
                <w:sz w:val="24"/>
                <w:szCs w:val="24"/>
                <w:lang w:val="es-CO"/>
              </w:rPr>
              <w:t>CT = AC - PC ≥ CTd</w:t>
            </w:r>
          </w:p>
          <w:p w14:paraId="0C3439C4" w14:textId="77777777" w:rsidR="005D3A54" w:rsidRPr="005D3A54" w:rsidRDefault="005D3A54" w:rsidP="005D3A54">
            <w:pPr>
              <w:jc w:val="both"/>
              <w:rPr>
                <w:rFonts w:ascii="Arial" w:eastAsia="Arial" w:hAnsi="Arial" w:cs="Arial"/>
                <w:sz w:val="24"/>
                <w:szCs w:val="24"/>
                <w:lang w:val="es-CO"/>
              </w:rPr>
            </w:pPr>
            <w:r w:rsidRPr="005D3A54">
              <w:rPr>
                <w:rFonts w:ascii="Arial" w:eastAsia="Arial" w:hAnsi="Arial" w:cs="Arial"/>
                <w:sz w:val="24"/>
                <w:szCs w:val="24"/>
                <w:lang w:val="es-CO"/>
              </w:rPr>
              <w:t>Donde,</w:t>
            </w:r>
          </w:p>
          <w:p w14:paraId="4A98CEDF" w14:textId="77777777" w:rsidR="005D3A54" w:rsidRPr="005D3A54" w:rsidRDefault="005D3A54" w:rsidP="005D3A54">
            <w:pPr>
              <w:jc w:val="both"/>
              <w:rPr>
                <w:rFonts w:ascii="Arial" w:eastAsia="Arial" w:hAnsi="Arial" w:cs="Arial"/>
                <w:sz w:val="24"/>
                <w:szCs w:val="24"/>
                <w:lang w:val="es-CO"/>
              </w:rPr>
            </w:pPr>
            <w:r w:rsidRPr="005D3A54">
              <w:rPr>
                <w:rFonts w:ascii="Arial" w:eastAsia="Arial" w:hAnsi="Arial" w:cs="Arial"/>
                <w:sz w:val="24"/>
                <w:szCs w:val="24"/>
                <w:lang w:val="es-CO"/>
              </w:rPr>
              <w:t>CT = Capital de trabajo</w:t>
            </w:r>
          </w:p>
          <w:p w14:paraId="63452377" w14:textId="77777777" w:rsidR="005D3A54" w:rsidRPr="005D3A54" w:rsidRDefault="005D3A54" w:rsidP="005D3A54">
            <w:pPr>
              <w:jc w:val="both"/>
              <w:rPr>
                <w:rFonts w:ascii="Arial" w:eastAsia="Arial" w:hAnsi="Arial" w:cs="Arial"/>
                <w:sz w:val="24"/>
                <w:szCs w:val="24"/>
                <w:lang w:val="es-CO"/>
              </w:rPr>
            </w:pPr>
            <w:r w:rsidRPr="005D3A54">
              <w:rPr>
                <w:rFonts w:ascii="Arial" w:eastAsia="Arial" w:hAnsi="Arial" w:cs="Arial"/>
                <w:sz w:val="24"/>
                <w:szCs w:val="24"/>
                <w:lang w:val="es-CO"/>
              </w:rPr>
              <w:t>AC = Activo corriente</w:t>
            </w:r>
          </w:p>
          <w:p w14:paraId="6E6E7FFE" w14:textId="77777777" w:rsidR="005D3A54" w:rsidRPr="005D3A54" w:rsidRDefault="005D3A54" w:rsidP="005D3A54">
            <w:pPr>
              <w:jc w:val="both"/>
              <w:rPr>
                <w:rFonts w:ascii="Arial" w:eastAsia="Arial" w:hAnsi="Arial" w:cs="Arial"/>
                <w:sz w:val="24"/>
                <w:szCs w:val="24"/>
                <w:lang w:val="es-CO"/>
              </w:rPr>
            </w:pPr>
            <w:r w:rsidRPr="005D3A54">
              <w:rPr>
                <w:rFonts w:ascii="Arial" w:eastAsia="Arial" w:hAnsi="Arial" w:cs="Arial"/>
                <w:sz w:val="24"/>
                <w:szCs w:val="24"/>
                <w:lang w:val="es-CO"/>
              </w:rPr>
              <w:t>PC = Pasivo corriente</w:t>
            </w:r>
          </w:p>
          <w:p w14:paraId="20312577" w14:textId="77777777" w:rsidR="005D3A54" w:rsidRPr="005D3A54" w:rsidRDefault="005D3A54" w:rsidP="005D3A54">
            <w:pPr>
              <w:jc w:val="both"/>
              <w:rPr>
                <w:rFonts w:ascii="Arial" w:eastAsia="Arial" w:hAnsi="Arial" w:cs="Arial"/>
                <w:sz w:val="24"/>
                <w:szCs w:val="24"/>
                <w:lang w:val="es-CO"/>
              </w:rPr>
            </w:pPr>
            <w:r w:rsidRPr="005D3A54">
              <w:rPr>
                <w:rFonts w:ascii="Arial" w:eastAsia="Arial" w:hAnsi="Arial" w:cs="Arial"/>
                <w:sz w:val="24"/>
                <w:szCs w:val="24"/>
                <w:lang w:val="es-CO"/>
              </w:rPr>
              <w:t>CTd = Capital de Trabajo demandado (requerido) para el proceso que presenta la propuesta</w:t>
            </w:r>
          </w:p>
          <w:p w14:paraId="7DE0B130" w14:textId="77777777" w:rsidR="001F1B0E" w:rsidRDefault="001F1B0E" w:rsidP="005D3A54">
            <w:pPr>
              <w:jc w:val="both"/>
              <w:rPr>
                <w:rFonts w:ascii="Arial" w:eastAsia="Arial" w:hAnsi="Arial" w:cs="Arial"/>
                <w:sz w:val="24"/>
                <w:szCs w:val="24"/>
                <w:lang w:val="es-CO"/>
              </w:rPr>
            </w:pPr>
          </w:p>
          <w:p w14:paraId="1877192E" w14:textId="184DDB3F" w:rsidR="005D3A54" w:rsidRDefault="005D3A54" w:rsidP="005D3A54">
            <w:pPr>
              <w:jc w:val="both"/>
              <w:rPr>
                <w:rFonts w:ascii="Arial" w:eastAsia="Arial" w:hAnsi="Arial" w:cs="Arial"/>
                <w:sz w:val="24"/>
                <w:szCs w:val="24"/>
                <w:lang w:val="es-CO"/>
              </w:rPr>
            </w:pPr>
            <w:r w:rsidRPr="005D3A54">
              <w:rPr>
                <w:rFonts w:ascii="Arial" w:eastAsia="Arial" w:hAnsi="Arial" w:cs="Arial"/>
                <w:sz w:val="24"/>
                <w:szCs w:val="24"/>
                <w:lang w:val="es-CO"/>
              </w:rPr>
              <w:t>El capital de trabajo (CT) del oferente deberá ser mayor o igual al capital de trabajo demandado (requerido) (CTd): </w:t>
            </w:r>
          </w:p>
          <w:p w14:paraId="35160B24" w14:textId="77777777" w:rsidR="001F1B0E" w:rsidRPr="005D3A54" w:rsidRDefault="001F1B0E" w:rsidP="005D3A54">
            <w:pPr>
              <w:jc w:val="both"/>
              <w:rPr>
                <w:rFonts w:ascii="Arial" w:eastAsia="Arial" w:hAnsi="Arial" w:cs="Arial"/>
                <w:sz w:val="24"/>
                <w:szCs w:val="24"/>
                <w:lang w:val="es-CO"/>
              </w:rPr>
            </w:pPr>
          </w:p>
          <w:p w14:paraId="2C0DB01C" w14:textId="77777777" w:rsidR="005D3A54" w:rsidRPr="005D3A54" w:rsidRDefault="005D3A54" w:rsidP="001F1B0E">
            <w:pPr>
              <w:jc w:val="center"/>
              <w:rPr>
                <w:rFonts w:ascii="Arial" w:eastAsia="Arial" w:hAnsi="Arial" w:cs="Arial"/>
                <w:sz w:val="24"/>
                <w:szCs w:val="24"/>
                <w:lang w:val="es-CO"/>
              </w:rPr>
            </w:pPr>
            <w:r w:rsidRPr="005D3A54">
              <w:rPr>
                <w:rFonts w:ascii="Arial" w:eastAsia="Arial" w:hAnsi="Arial" w:cs="Arial"/>
                <w:sz w:val="24"/>
                <w:szCs w:val="24"/>
                <w:lang w:val="es-CO"/>
              </w:rPr>
              <w:t>CT ≥ CTd</w:t>
            </w:r>
          </w:p>
          <w:p w14:paraId="2429F711" w14:textId="77777777" w:rsidR="005D3A54" w:rsidRPr="005D3A54" w:rsidRDefault="005D3A54" w:rsidP="005D3A54">
            <w:pPr>
              <w:jc w:val="both"/>
              <w:rPr>
                <w:rFonts w:ascii="Arial" w:eastAsia="Arial" w:hAnsi="Arial" w:cs="Arial"/>
                <w:sz w:val="24"/>
                <w:szCs w:val="24"/>
                <w:lang w:val="es-CO"/>
              </w:rPr>
            </w:pPr>
            <w:r w:rsidRPr="005D3A54">
              <w:rPr>
                <w:rFonts w:ascii="Arial" w:eastAsia="Arial" w:hAnsi="Arial" w:cs="Arial"/>
                <w:sz w:val="24"/>
                <w:szCs w:val="24"/>
                <w:lang w:val="es-CO"/>
              </w:rPr>
              <w:t>Siendo Proponente Plural el indicador debe calcularse así:</w:t>
            </w:r>
          </w:p>
          <w:p w14:paraId="78F8194B" w14:textId="77777777" w:rsidR="005D3A54" w:rsidRPr="005D3A54" w:rsidRDefault="005D3A54" w:rsidP="005D3A54">
            <w:pPr>
              <w:jc w:val="both"/>
              <w:rPr>
                <w:rFonts w:ascii="Arial" w:eastAsia="Arial" w:hAnsi="Arial" w:cs="Arial"/>
                <w:sz w:val="24"/>
                <w:szCs w:val="24"/>
                <w:lang w:val="es-CO"/>
              </w:rPr>
            </w:pPr>
          </w:p>
          <w:p w14:paraId="58ADD25A" w14:textId="3F18C1F9" w:rsidR="005D3A54" w:rsidRPr="005D3A54" w:rsidRDefault="007B0EC2" w:rsidP="007B0EC2">
            <w:pPr>
              <w:jc w:val="center"/>
              <w:rPr>
                <w:rFonts w:ascii="Arial" w:eastAsia="Arial" w:hAnsi="Arial" w:cs="Arial"/>
                <w:sz w:val="24"/>
                <w:szCs w:val="24"/>
                <w:lang w:val="es-CO"/>
              </w:rPr>
            </w:pPr>
            <w:r w:rsidRPr="007B0EC2">
              <w:rPr>
                <w:rFonts w:ascii="Arial" w:eastAsia="Arial" w:hAnsi="Arial" w:cs="Arial"/>
                <w:noProof/>
                <w:sz w:val="24"/>
                <w:szCs w:val="24"/>
                <w:lang w:val="es-CO"/>
              </w:rPr>
              <w:drawing>
                <wp:inline distT="0" distB="0" distL="0" distR="0" wp14:anchorId="33D639CF" wp14:editId="3C74978F">
                  <wp:extent cx="1889924" cy="495343"/>
                  <wp:effectExtent l="0" t="0" r="0" b="0"/>
                  <wp:docPr id="645198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9889" name=""/>
                          <pic:cNvPicPr/>
                        </pic:nvPicPr>
                        <pic:blipFill>
                          <a:blip r:embed="rId53"/>
                          <a:stretch>
                            <a:fillRect/>
                          </a:stretch>
                        </pic:blipFill>
                        <pic:spPr>
                          <a:xfrm>
                            <a:off x="0" y="0"/>
                            <a:ext cx="1889924" cy="495343"/>
                          </a:xfrm>
                          <a:prstGeom prst="rect">
                            <a:avLst/>
                          </a:prstGeom>
                        </pic:spPr>
                      </pic:pic>
                    </a:graphicData>
                  </a:graphic>
                </wp:inline>
              </w:drawing>
            </w:r>
          </w:p>
          <w:p w14:paraId="1F6B9BAB" w14:textId="77777777" w:rsidR="005D3A54" w:rsidRPr="005D3A54" w:rsidRDefault="005D3A54" w:rsidP="005D3A54">
            <w:pPr>
              <w:jc w:val="both"/>
              <w:rPr>
                <w:rFonts w:ascii="Arial" w:eastAsia="Arial" w:hAnsi="Arial" w:cs="Arial"/>
                <w:sz w:val="24"/>
                <w:szCs w:val="24"/>
                <w:lang w:val="es-CO"/>
              </w:rPr>
            </w:pPr>
            <w:r w:rsidRPr="005D3A54">
              <w:rPr>
                <w:rFonts w:ascii="Arial" w:eastAsia="Arial" w:hAnsi="Arial" w:cs="Arial"/>
                <w:sz w:val="24"/>
                <w:szCs w:val="24"/>
                <w:lang w:val="es-CO"/>
              </w:rPr>
              <w:t>Donde n es el número de integrantes del Proponente Plural (Unión Temporal o Consorcio).</w:t>
            </w:r>
          </w:p>
          <w:p w14:paraId="3330B075" w14:textId="77777777" w:rsidR="00D768A3" w:rsidRDefault="00D768A3">
            <w:pPr>
              <w:jc w:val="both"/>
              <w:rPr>
                <w:rFonts w:ascii="Arial" w:eastAsia="Arial" w:hAnsi="Arial" w:cs="Arial"/>
                <w:sz w:val="24"/>
                <w:szCs w:val="24"/>
                <w:lang w:val="es-CO"/>
              </w:rPr>
            </w:pPr>
          </w:p>
          <w:p w14:paraId="430B9B96" w14:textId="37559CDD" w:rsidR="007B0EC2" w:rsidRDefault="007B0EC2">
            <w:pPr>
              <w:jc w:val="both"/>
              <w:rPr>
                <w:rFonts w:ascii="Arial" w:eastAsia="Arial" w:hAnsi="Arial" w:cs="Arial"/>
                <w:sz w:val="24"/>
                <w:szCs w:val="24"/>
                <w:lang w:val="es-CO"/>
              </w:rPr>
            </w:pPr>
            <w:r w:rsidRPr="007B0EC2">
              <w:rPr>
                <w:rFonts w:ascii="Arial" w:eastAsia="Arial" w:hAnsi="Arial" w:cs="Arial"/>
                <w:sz w:val="24"/>
                <w:szCs w:val="24"/>
                <w:lang w:val="es-CO"/>
              </w:rPr>
              <w:t>Para procesos de selección cuyo plazo estimado de ejecución del contrato sea menor a doce (12) meses, el cálculo del capital de trabajo demandado, se hará de acuerdo con la siguiente fórmula:</w:t>
            </w:r>
          </w:p>
          <w:p w14:paraId="55157288" w14:textId="77777777" w:rsidR="007B0EC2" w:rsidRDefault="007B0EC2">
            <w:pPr>
              <w:jc w:val="both"/>
              <w:rPr>
                <w:rFonts w:ascii="Arial" w:eastAsia="Arial" w:hAnsi="Arial" w:cs="Arial"/>
                <w:sz w:val="24"/>
                <w:szCs w:val="24"/>
                <w:lang w:val="es-CO"/>
              </w:rPr>
            </w:pPr>
          </w:p>
          <w:p w14:paraId="2B87DAA9" w14:textId="4DB2AD9A" w:rsidR="00BC47A5" w:rsidRDefault="00BC47A5" w:rsidP="00BC47A5">
            <w:pPr>
              <w:jc w:val="center"/>
              <w:rPr>
                <w:rFonts w:ascii="Arial" w:eastAsia="Arial" w:hAnsi="Arial" w:cs="Arial"/>
                <w:sz w:val="24"/>
                <w:szCs w:val="24"/>
                <w:lang w:val="es-CO"/>
              </w:rPr>
            </w:pPr>
            <w:r w:rsidRPr="00BC47A5">
              <w:rPr>
                <w:rFonts w:ascii="Arial" w:eastAsia="Arial" w:hAnsi="Arial" w:cs="Arial"/>
                <w:noProof/>
                <w:sz w:val="24"/>
                <w:szCs w:val="24"/>
                <w:lang w:val="es-CO"/>
              </w:rPr>
              <w:drawing>
                <wp:inline distT="0" distB="0" distL="0" distR="0" wp14:anchorId="5ABABF97" wp14:editId="4954EB1B">
                  <wp:extent cx="4046571" cy="624894"/>
                  <wp:effectExtent l="0" t="0" r="0" b="3810"/>
                  <wp:docPr id="1337576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576666" name=""/>
                          <pic:cNvPicPr/>
                        </pic:nvPicPr>
                        <pic:blipFill>
                          <a:blip r:embed="rId54"/>
                          <a:stretch>
                            <a:fillRect/>
                          </a:stretch>
                        </pic:blipFill>
                        <pic:spPr>
                          <a:xfrm>
                            <a:off x="0" y="0"/>
                            <a:ext cx="4046571" cy="624894"/>
                          </a:xfrm>
                          <a:prstGeom prst="rect">
                            <a:avLst/>
                          </a:prstGeom>
                        </pic:spPr>
                      </pic:pic>
                    </a:graphicData>
                  </a:graphic>
                </wp:inline>
              </w:drawing>
            </w:r>
          </w:p>
          <w:p w14:paraId="092A67E7" w14:textId="77777777" w:rsidR="00E47DFC" w:rsidRDefault="00E47DFC" w:rsidP="00BC47A5">
            <w:pPr>
              <w:jc w:val="center"/>
              <w:rPr>
                <w:rFonts w:ascii="Arial" w:eastAsia="Arial" w:hAnsi="Arial" w:cs="Arial"/>
                <w:sz w:val="24"/>
                <w:szCs w:val="24"/>
                <w:lang w:val="es-CO"/>
              </w:rPr>
            </w:pPr>
          </w:p>
          <w:p w14:paraId="59EDC060" w14:textId="4B17A655" w:rsidR="007719DF" w:rsidRDefault="00E47DFC">
            <w:pPr>
              <w:jc w:val="both"/>
              <w:rPr>
                <w:rFonts w:ascii="Arial" w:eastAsia="Arial" w:hAnsi="Arial" w:cs="Arial"/>
                <w:sz w:val="24"/>
                <w:szCs w:val="24"/>
                <w:lang w:val="es-CO"/>
              </w:rPr>
            </w:pPr>
            <w:r>
              <w:rPr>
                <w:rFonts w:ascii="Arial" w:eastAsia="Arial" w:hAnsi="Arial" w:cs="Arial"/>
                <w:sz w:val="24"/>
                <w:szCs w:val="24"/>
                <w:lang w:val="es-CO"/>
              </w:rPr>
              <w:t>Teniendo en cuenta lo anterior el CTd</w:t>
            </w:r>
            <w:r w:rsidR="00C57AF7">
              <w:rPr>
                <w:rFonts w:ascii="Arial" w:eastAsia="Arial" w:hAnsi="Arial" w:cs="Arial"/>
                <w:sz w:val="24"/>
                <w:szCs w:val="24"/>
                <w:lang w:val="es-CO"/>
              </w:rPr>
              <w:t>=</w:t>
            </w:r>
            <w:r w:rsidR="002359DA">
              <w:rPr>
                <w:rFonts w:ascii="Arial" w:eastAsia="Arial" w:hAnsi="Arial" w:cs="Arial"/>
                <w:sz w:val="24"/>
                <w:szCs w:val="24"/>
                <w:lang w:val="es-CO"/>
              </w:rPr>
              <w:t xml:space="preserve"> </w:t>
            </w:r>
            <w:r w:rsidR="00393DC8">
              <w:rPr>
                <w:rFonts w:ascii="Arial" w:eastAsia="Arial" w:hAnsi="Arial" w:cs="Arial"/>
                <w:sz w:val="24"/>
                <w:szCs w:val="24"/>
                <w:lang w:val="es-CO"/>
              </w:rPr>
              <w:t>(</w:t>
            </w:r>
            <w:r w:rsidR="00393DC8" w:rsidRPr="00393DC8">
              <w:rPr>
                <w:rFonts w:ascii="Arial" w:eastAsia="Arial" w:hAnsi="Arial" w:cs="Arial"/>
                <w:sz w:val="24"/>
                <w:szCs w:val="24"/>
                <w:lang w:val="es-CO"/>
              </w:rPr>
              <w:t>$</w:t>
            </w:r>
            <w:r w:rsidR="005801B6" w:rsidRPr="005801B6">
              <w:rPr>
                <w:rFonts w:ascii="Arial" w:eastAsia="Arial" w:hAnsi="Arial" w:cs="Arial"/>
                <w:sz w:val="24"/>
                <w:szCs w:val="24"/>
                <w:lang w:val="es-CO"/>
              </w:rPr>
              <w:t xml:space="preserve"> 442.16</w:t>
            </w:r>
            <w:r w:rsidR="008B0485">
              <w:rPr>
                <w:rFonts w:ascii="Arial" w:eastAsia="Arial" w:hAnsi="Arial" w:cs="Arial"/>
                <w:sz w:val="24"/>
                <w:szCs w:val="24"/>
                <w:lang w:val="es-CO"/>
              </w:rPr>
              <w:t>1</w:t>
            </w:r>
            <w:r w:rsidR="005801B6" w:rsidRPr="005801B6">
              <w:rPr>
                <w:rFonts w:ascii="Arial" w:eastAsia="Arial" w:hAnsi="Arial" w:cs="Arial"/>
                <w:sz w:val="24"/>
                <w:szCs w:val="24"/>
                <w:lang w:val="es-CO"/>
              </w:rPr>
              <w:t>.</w:t>
            </w:r>
            <w:r w:rsidR="008B0485">
              <w:rPr>
                <w:rFonts w:ascii="Arial" w:eastAsia="Arial" w:hAnsi="Arial" w:cs="Arial"/>
                <w:sz w:val="24"/>
                <w:szCs w:val="24"/>
                <w:lang w:val="es-CO"/>
              </w:rPr>
              <w:t>093</w:t>
            </w:r>
            <w:r w:rsidR="005801B6" w:rsidRPr="005801B6">
              <w:rPr>
                <w:rFonts w:ascii="Arial" w:eastAsia="Arial" w:hAnsi="Arial" w:cs="Arial"/>
                <w:sz w:val="24"/>
                <w:szCs w:val="24"/>
                <w:lang w:val="es-CO"/>
              </w:rPr>
              <w:t>,00</w:t>
            </w:r>
            <w:r w:rsidR="00B312B0">
              <w:rPr>
                <w:rFonts w:ascii="Arial" w:eastAsia="Arial" w:hAnsi="Arial" w:cs="Arial"/>
                <w:sz w:val="24"/>
                <w:szCs w:val="24"/>
                <w:lang w:val="es-CO"/>
              </w:rPr>
              <w:t xml:space="preserve">) x 25% = </w:t>
            </w:r>
            <w:r w:rsidR="00745B0F" w:rsidRPr="00745B0F">
              <w:rPr>
                <w:rFonts w:ascii="Arial" w:eastAsia="Arial" w:hAnsi="Arial" w:cs="Arial"/>
                <w:sz w:val="24"/>
                <w:szCs w:val="24"/>
                <w:lang w:val="es-CO"/>
              </w:rPr>
              <w:t>$ 110.540.</w:t>
            </w:r>
            <w:r w:rsidR="005D5062">
              <w:rPr>
                <w:rFonts w:ascii="Arial" w:eastAsia="Arial" w:hAnsi="Arial" w:cs="Arial"/>
                <w:sz w:val="24"/>
                <w:szCs w:val="24"/>
                <w:lang w:val="es-CO"/>
              </w:rPr>
              <w:t>27</w:t>
            </w:r>
            <w:r w:rsidR="004169BA">
              <w:rPr>
                <w:rFonts w:ascii="Arial" w:eastAsia="Arial" w:hAnsi="Arial" w:cs="Arial"/>
                <w:sz w:val="24"/>
                <w:szCs w:val="24"/>
                <w:lang w:val="es-CO"/>
              </w:rPr>
              <w:t>3</w:t>
            </w:r>
          </w:p>
          <w:p w14:paraId="2E9A06B0" w14:textId="124670A1" w:rsidR="00745B0F" w:rsidRPr="00D67D8A" w:rsidRDefault="00745B0F">
            <w:pPr>
              <w:jc w:val="both"/>
              <w:rPr>
                <w:rFonts w:ascii="Arial" w:eastAsia="Arial" w:hAnsi="Arial" w:cs="Arial"/>
                <w:sz w:val="24"/>
                <w:szCs w:val="24"/>
                <w:lang w:val="es-CO"/>
              </w:rPr>
            </w:pPr>
          </w:p>
        </w:tc>
      </w:tr>
      <w:tr w:rsidR="00D768A3" w14:paraId="424ED61F"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E071F77" w14:textId="77777777" w:rsidR="00D768A3" w:rsidRPr="00D67D8A" w:rsidRDefault="00A0753E">
            <w:pPr>
              <w:widowControl/>
              <w:numPr>
                <w:ilvl w:val="1"/>
                <w:numId w:val="1"/>
              </w:numPr>
              <w:pBdr>
                <w:top w:val="nil"/>
                <w:left w:val="nil"/>
                <w:bottom w:val="nil"/>
                <w:right w:val="nil"/>
                <w:between w:val="nil"/>
              </w:pBdr>
              <w:spacing w:before="60" w:after="60"/>
              <w:ind w:left="454" w:hanging="454"/>
              <w:rPr>
                <w:rFonts w:ascii="Arial" w:eastAsia="Arial" w:hAnsi="Arial" w:cs="Arial"/>
                <w:color w:val="000000"/>
                <w:sz w:val="24"/>
                <w:szCs w:val="24"/>
                <w:lang w:val="es-CO"/>
              </w:rPr>
            </w:pPr>
            <w:r w:rsidRPr="00D67D8A">
              <w:rPr>
                <w:rFonts w:ascii="Arial" w:eastAsia="Arial" w:hAnsi="Arial" w:cs="Arial"/>
                <w:color w:val="000000"/>
                <w:sz w:val="24"/>
                <w:szCs w:val="24"/>
                <w:lang w:val="es-CO"/>
              </w:rPr>
              <w:lastRenderedPageBreak/>
              <w:t>INDICADORES FINANCIEROS Y ORGANIZACIONALES DIFERENCIALES</w:t>
            </w:r>
          </w:p>
        </w:tc>
      </w:tr>
      <w:tr w:rsidR="00D768A3" w14:paraId="1C750822"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5793E73" w14:textId="77777777" w:rsidR="00D768A3" w:rsidRPr="00D67D8A"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775D9DC9" w14:textId="77777777" w:rsidR="00D768A3" w:rsidRPr="00D67D8A" w:rsidRDefault="00A0753E">
            <w:pPr>
              <w:jc w:val="both"/>
              <w:rPr>
                <w:rFonts w:ascii="Arial" w:eastAsia="Arial" w:hAnsi="Arial" w:cs="Arial"/>
                <w:b/>
                <w:sz w:val="24"/>
                <w:szCs w:val="24"/>
                <w:lang w:val="es-CO"/>
              </w:rPr>
            </w:pPr>
            <w:r w:rsidRPr="00D67D8A">
              <w:rPr>
                <w:rFonts w:ascii="Arial" w:eastAsia="Arial" w:hAnsi="Arial" w:cs="Arial"/>
                <w:b/>
                <w:sz w:val="24"/>
                <w:szCs w:val="24"/>
                <w:lang w:val="es-CO"/>
              </w:rPr>
              <w:t>Índices de Capacidad Financiera y Organizacionales para Mipyme.</w:t>
            </w:r>
          </w:p>
          <w:p w14:paraId="5D7B2A52" w14:textId="77777777" w:rsidR="00D768A3" w:rsidRPr="00D67D8A"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5776AB70" w14:textId="52067111" w:rsidR="00D768A3" w:rsidRDefault="00070A3A">
            <w:pPr>
              <w:widowControl/>
              <w:pBdr>
                <w:top w:val="nil"/>
                <w:left w:val="nil"/>
                <w:bottom w:val="nil"/>
                <w:right w:val="nil"/>
                <w:between w:val="nil"/>
              </w:pBdr>
              <w:jc w:val="both"/>
              <w:rPr>
                <w:rFonts w:ascii="Arial" w:eastAsia="Arial" w:hAnsi="Arial" w:cs="Arial"/>
                <w:color w:val="000000"/>
                <w:sz w:val="24"/>
                <w:szCs w:val="24"/>
                <w:lang w:val="es-CO"/>
              </w:rPr>
            </w:pPr>
            <w:r w:rsidRPr="00070A3A">
              <w:rPr>
                <w:rFonts w:ascii="Arial" w:eastAsia="Arial" w:hAnsi="Arial" w:cs="Arial"/>
                <w:color w:val="000000"/>
                <w:sz w:val="24"/>
                <w:szCs w:val="24"/>
                <w:lang w:val="es"/>
              </w:rPr>
              <w:t>El Proponente persona natural o jurídica que demuestre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14:paraId="0D83A14F" w14:textId="77777777" w:rsidR="00070A3A" w:rsidRPr="00D67D8A" w:rsidRDefault="00070A3A">
            <w:pPr>
              <w:widowControl/>
              <w:pBdr>
                <w:top w:val="nil"/>
                <w:left w:val="nil"/>
                <w:bottom w:val="nil"/>
                <w:right w:val="nil"/>
                <w:between w:val="nil"/>
              </w:pBdr>
              <w:jc w:val="both"/>
              <w:rPr>
                <w:rFonts w:ascii="Arial" w:eastAsia="Arial" w:hAnsi="Arial" w:cs="Arial"/>
                <w:color w:val="000000"/>
                <w:sz w:val="24"/>
                <w:szCs w:val="24"/>
                <w:lang w:val="es-CO"/>
              </w:rPr>
            </w:pPr>
          </w:p>
          <w:tbl>
            <w:tblPr>
              <w:tblStyle w:val="Tablaconcuadrcula1"/>
              <w:tblW w:w="0" w:type="auto"/>
              <w:jc w:val="center"/>
              <w:tblLook w:val="04A0" w:firstRow="1" w:lastRow="0" w:firstColumn="1" w:lastColumn="0" w:noHBand="0" w:noVBand="1"/>
            </w:tblPr>
            <w:tblGrid>
              <w:gridCol w:w="2557"/>
              <w:gridCol w:w="2171"/>
            </w:tblGrid>
            <w:tr w:rsidR="00EC78F4" w:rsidRPr="00EC78F4" w14:paraId="24C31723" w14:textId="77777777" w:rsidTr="00A65BD5">
              <w:trPr>
                <w:trHeight w:val="20"/>
                <w:jc w:val="center"/>
              </w:trPr>
              <w:tc>
                <w:tcPr>
                  <w:tcW w:w="2557" w:type="dxa"/>
                  <w:vAlign w:val="center"/>
                </w:tcPr>
                <w:p w14:paraId="17569DA8" w14:textId="77777777" w:rsidR="00EC78F4" w:rsidRPr="00EC78F4" w:rsidRDefault="00EC78F4" w:rsidP="00A65BD5">
                  <w:pPr>
                    <w:ind w:left="174" w:hanging="174"/>
                    <w:jc w:val="center"/>
                    <w:rPr>
                      <w:rFonts w:ascii="Arial" w:hAnsi="Arial" w:cs="Arial"/>
                      <w:b/>
                      <w:sz w:val="20"/>
                      <w:szCs w:val="20"/>
                    </w:rPr>
                  </w:pPr>
                  <w:r w:rsidRPr="00EC78F4">
                    <w:rPr>
                      <w:rFonts w:ascii="Arial" w:hAnsi="Arial" w:cs="Arial"/>
                      <w:b/>
                      <w:sz w:val="20"/>
                      <w:szCs w:val="20"/>
                    </w:rPr>
                    <w:t>Indicador</w:t>
                  </w:r>
                </w:p>
              </w:tc>
              <w:tc>
                <w:tcPr>
                  <w:tcW w:w="2171" w:type="dxa"/>
                  <w:vAlign w:val="center"/>
                </w:tcPr>
                <w:p w14:paraId="70EAFB56" w14:textId="77777777" w:rsidR="00EC78F4" w:rsidRPr="00EC78F4" w:rsidRDefault="00EC78F4" w:rsidP="00A65BD5">
                  <w:pPr>
                    <w:ind w:left="174" w:hanging="174"/>
                    <w:jc w:val="center"/>
                    <w:rPr>
                      <w:rFonts w:ascii="Arial" w:hAnsi="Arial" w:cs="Arial"/>
                      <w:b/>
                      <w:sz w:val="20"/>
                      <w:szCs w:val="20"/>
                    </w:rPr>
                  </w:pPr>
                  <w:r w:rsidRPr="00EC78F4">
                    <w:rPr>
                      <w:rFonts w:ascii="Arial" w:hAnsi="Arial" w:cs="Arial"/>
                      <w:b/>
                      <w:sz w:val="20"/>
                      <w:szCs w:val="20"/>
                    </w:rPr>
                    <w:t>Valor concertado</w:t>
                  </w:r>
                </w:p>
                <w:p w14:paraId="01B9131F" w14:textId="77777777" w:rsidR="00EC78F4" w:rsidRPr="00EC78F4" w:rsidRDefault="00EC78F4" w:rsidP="00A65BD5">
                  <w:pPr>
                    <w:ind w:left="174" w:hanging="174"/>
                    <w:jc w:val="center"/>
                    <w:rPr>
                      <w:rFonts w:ascii="Arial" w:hAnsi="Arial" w:cs="Arial"/>
                      <w:b/>
                      <w:sz w:val="20"/>
                      <w:szCs w:val="20"/>
                    </w:rPr>
                  </w:pPr>
                  <w:r w:rsidRPr="00EC78F4">
                    <w:rPr>
                      <w:rFonts w:ascii="Arial" w:hAnsi="Arial" w:cs="Arial"/>
                      <w:b/>
                      <w:sz w:val="20"/>
                      <w:szCs w:val="20"/>
                    </w:rPr>
                    <w:t>Rango 1</w:t>
                  </w:r>
                </w:p>
              </w:tc>
            </w:tr>
            <w:tr w:rsidR="00EC78F4" w:rsidRPr="00EC78F4" w14:paraId="3C526994" w14:textId="77777777" w:rsidTr="00A65BD5">
              <w:trPr>
                <w:trHeight w:val="20"/>
                <w:jc w:val="center"/>
              </w:trPr>
              <w:tc>
                <w:tcPr>
                  <w:tcW w:w="2557" w:type="dxa"/>
                  <w:vAlign w:val="center"/>
                </w:tcPr>
                <w:p w14:paraId="6B5B652A" w14:textId="77777777" w:rsidR="00EC78F4" w:rsidRPr="00EC78F4" w:rsidRDefault="00EC78F4" w:rsidP="00A65BD5">
                  <w:pPr>
                    <w:jc w:val="center"/>
                    <w:rPr>
                      <w:rFonts w:ascii="Arial" w:hAnsi="Arial" w:cs="Arial"/>
                      <w:sz w:val="20"/>
                      <w:szCs w:val="20"/>
                    </w:rPr>
                  </w:pPr>
                </w:p>
                <w:p w14:paraId="2C44F917" w14:textId="77777777" w:rsidR="00EC78F4" w:rsidRPr="00EC78F4" w:rsidRDefault="00EC78F4" w:rsidP="00A65BD5">
                  <w:pPr>
                    <w:jc w:val="center"/>
                    <w:rPr>
                      <w:rFonts w:ascii="Arial" w:hAnsi="Arial" w:cs="Arial"/>
                      <w:sz w:val="20"/>
                      <w:szCs w:val="20"/>
                    </w:rPr>
                  </w:pPr>
                  <w:r w:rsidRPr="00EC78F4">
                    <w:rPr>
                      <w:rFonts w:ascii="Arial" w:hAnsi="Arial" w:cs="Arial"/>
                      <w:sz w:val="20"/>
                      <w:szCs w:val="20"/>
                    </w:rPr>
                    <w:t>Índice de liquidez</w:t>
                  </w:r>
                </w:p>
              </w:tc>
              <w:tc>
                <w:tcPr>
                  <w:tcW w:w="2171" w:type="dxa"/>
                  <w:vAlign w:val="center"/>
                </w:tcPr>
                <w:p w14:paraId="6D14B282" w14:textId="2B1351A1" w:rsidR="00EC78F4" w:rsidRPr="00EC78F4" w:rsidRDefault="00EC78F4" w:rsidP="00A65BD5">
                  <w:pPr>
                    <w:jc w:val="center"/>
                    <w:rPr>
                      <w:rFonts w:ascii="Arial" w:hAnsi="Arial" w:cs="Arial"/>
                      <w:sz w:val="20"/>
                      <w:szCs w:val="20"/>
                    </w:rPr>
                  </w:pPr>
                  <w:r w:rsidRPr="00EC78F4">
                    <w:rPr>
                      <w:rFonts w:ascii="Arial" w:hAnsi="Arial" w:cs="Arial"/>
                      <w:sz w:val="20"/>
                      <w:szCs w:val="20"/>
                    </w:rPr>
                    <w:t>≥ 1,1</w:t>
                  </w:r>
                </w:p>
              </w:tc>
            </w:tr>
            <w:tr w:rsidR="00EC78F4" w:rsidRPr="00EC78F4" w14:paraId="4B3FACA5" w14:textId="77777777" w:rsidTr="00A65BD5">
              <w:trPr>
                <w:trHeight w:val="20"/>
                <w:jc w:val="center"/>
              </w:trPr>
              <w:tc>
                <w:tcPr>
                  <w:tcW w:w="2557" w:type="dxa"/>
                  <w:vAlign w:val="center"/>
                </w:tcPr>
                <w:p w14:paraId="40A91620" w14:textId="77777777" w:rsidR="00EC78F4" w:rsidRPr="00EC78F4" w:rsidRDefault="00EC78F4" w:rsidP="00A65BD5">
                  <w:pPr>
                    <w:jc w:val="center"/>
                    <w:rPr>
                      <w:rFonts w:ascii="Arial" w:hAnsi="Arial" w:cs="Arial"/>
                      <w:sz w:val="20"/>
                      <w:szCs w:val="20"/>
                    </w:rPr>
                  </w:pPr>
                </w:p>
                <w:p w14:paraId="31C2AEC8" w14:textId="77777777" w:rsidR="00EC78F4" w:rsidRPr="00EC78F4" w:rsidRDefault="00EC78F4" w:rsidP="00A65BD5">
                  <w:pPr>
                    <w:jc w:val="center"/>
                    <w:rPr>
                      <w:rFonts w:ascii="Arial" w:hAnsi="Arial" w:cs="Arial"/>
                      <w:sz w:val="20"/>
                      <w:szCs w:val="20"/>
                    </w:rPr>
                  </w:pPr>
                  <w:r w:rsidRPr="00EC78F4">
                    <w:rPr>
                      <w:rFonts w:ascii="Arial" w:hAnsi="Arial" w:cs="Arial"/>
                      <w:sz w:val="20"/>
                      <w:szCs w:val="20"/>
                    </w:rPr>
                    <w:t>Índice de endeudamiento</w:t>
                  </w:r>
                </w:p>
              </w:tc>
              <w:tc>
                <w:tcPr>
                  <w:tcW w:w="2171" w:type="dxa"/>
                  <w:vAlign w:val="center"/>
                </w:tcPr>
                <w:p w14:paraId="14B7EA61" w14:textId="3580BB6C" w:rsidR="00EC78F4" w:rsidRPr="00EC78F4" w:rsidRDefault="00EC78F4" w:rsidP="00A65BD5">
                  <w:pPr>
                    <w:jc w:val="center"/>
                    <w:rPr>
                      <w:rFonts w:ascii="Arial" w:hAnsi="Arial" w:cs="Arial"/>
                      <w:sz w:val="20"/>
                      <w:szCs w:val="20"/>
                    </w:rPr>
                  </w:pPr>
                  <w:r w:rsidRPr="00EC78F4">
                    <w:rPr>
                      <w:rFonts w:ascii="Arial" w:hAnsi="Arial" w:cs="Arial"/>
                      <w:sz w:val="20"/>
                      <w:szCs w:val="20"/>
                    </w:rPr>
                    <w:t>≤ 0,65</w:t>
                  </w:r>
                </w:p>
              </w:tc>
            </w:tr>
            <w:tr w:rsidR="00EC78F4" w:rsidRPr="00EC78F4" w14:paraId="40A88BBA" w14:textId="77777777" w:rsidTr="00A65BD5">
              <w:trPr>
                <w:trHeight w:val="20"/>
                <w:jc w:val="center"/>
              </w:trPr>
              <w:tc>
                <w:tcPr>
                  <w:tcW w:w="2557" w:type="dxa"/>
                  <w:vAlign w:val="center"/>
                </w:tcPr>
                <w:p w14:paraId="64CF04EA" w14:textId="77777777" w:rsidR="00EC78F4" w:rsidRPr="00EC78F4" w:rsidRDefault="00EC78F4" w:rsidP="00A65BD5">
                  <w:pPr>
                    <w:jc w:val="center"/>
                    <w:rPr>
                      <w:rFonts w:ascii="Arial" w:hAnsi="Arial" w:cs="Arial"/>
                      <w:sz w:val="20"/>
                      <w:szCs w:val="20"/>
                    </w:rPr>
                  </w:pPr>
                </w:p>
                <w:p w14:paraId="74FC7014" w14:textId="77777777" w:rsidR="00EC78F4" w:rsidRPr="00EC78F4" w:rsidRDefault="00EC78F4" w:rsidP="00A65BD5">
                  <w:pPr>
                    <w:jc w:val="center"/>
                    <w:rPr>
                      <w:rFonts w:ascii="Arial" w:hAnsi="Arial" w:cs="Arial"/>
                      <w:sz w:val="20"/>
                      <w:szCs w:val="20"/>
                    </w:rPr>
                  </w:pPr>
                  <w:r w:rsidRPr="00EC78F4">
                    <w:rPr>
                      <w:rFonts w:ascii="Arial" w:hAnsi="Arial" w:cs="Arial"/>
                      <w:sz w:val="20"/>
                      <w:szCs w:val="20"/>
                    </w:rPr>
                    <w:t>Razón de cobertura de intereses</w:t>
                  </w:r>
                </w:p>
              </w:tc>
              <w:tc>
                <w:tcPr>
                  <w:tcW w:w="2171" w:type="dxa"/>
                  <w:vAlign w:val="center"/>
                </w:tcPr>
                <w:p w14:paraId="13649EC3" w14:textId="1E371C45" w:rsidR="00EC78F4" w:rsidRPr="00EC78F4" w:rsidRDefault="00EC78F4" w:rsidP="00A65BD5">
                  <w:pPr>
                    <w:jc w:val="center"/>
                    <w:rPr>
                      <w:rFonts w:ascii="Arial" w:hAnsi="Arial" w:cs="Arial"/>
                      <w:sz w:val="20"/>
                      <w:szCs w:val="20"/>
                    </w:rPr>
                  </w:pPr>
                  <w:r w:rsidRPr="00EC78F4">
                    <w:rPr>
                      <w:rFonts w:ascii="Arial" w:hAnsi="Arial" w:cs="Arial"/>
                      <w:sz w:val="20"/>
                      <w:szCs w:val="20"/>
                    </w:rPr>
                    <w:t>≥1,5</w:t>
                  </w:r>
                </w:p>
              </w:tc>
            </w:tr>
            <w:tr w:rsidR="00EC78F4" w:rsidRPr="00EC78F4" w14:paraId="643BF1CB" w14:textId="77777777" w:rsidTr="00A65BD5">
              <w:trPr>
                <w:trHeight w:val="20"/>
                <w:jc w:val="center"/>
              </w:trPr>
              <w:tc>
                <w:tcPr>
                  <w:tcW w:w="2557" w:type="dxa"/>
                  <w:vAlign w:val="center"/>
                </w:tcPr>
                <w:p w14:paraId="1D053C62" w14:textId="77777777" w:rsidR="00EC78F4" w:rsidRPr="00EC78F4" w:rsidRDefault="00EC78F4" w:rsidP="00A65BD5">
                  <w:pPr>
                    <w:jc w:val="center"/>
                    <w:rPr>
                      <w:rFonts w:ascii="Arial" w:hAnsi="Arial" w:cs="Arial"/>
                      <w:sz w:val="20"/>
                      <w:szCs w:val="20"/>
                    </w:rPr>
                  </w:pPr>
                  <w:r w:rsidRPr="00EC78F4">
                    <w:rPr>
                      <w:rFonts w:ascii="Arial" w:hAnsi="Arial" w:cs="Arial"/>
                      <w:sz w:val="20"/>
                      <w:szCs w:val="20"/>
                    </w:rPr>
                    <w:t>Capital de trabajo (Ver nota 1)</w:t>
                  </w:r>
                </w:p>
              </w:tc>
              <w:tc>
                <w:tcPr>
                  <w:tcW w:w="2171" w:type="dxa"/>
                  <w:vAlign w:val="center"/>
                </w:tcPr>
                <w:p w14:paraId="6CEA3EF6" w14:textId="3994E956" w:rsidR="00EC78F4" w:rsidRPr="00EC78F4" w:rsidRDefault="00745B0F" w:rsidP="00A65BD5">
                  <w:pPr>
                    <w:jc w:val="center"/>
                    <w:rPr>
                      <w:rFonts w:ascii="Arial" w:hAnsi="Arial" w:cs="Arial"/>
                      <w:sz w:val="20"/>
                      <w:szCs w:val="20"/>
                    </w:rPr>
                  </w:pPr>
                  <w:r w:rsidRPr="00745B0F">
                    <w:rPr>
                      <w:rFonts w:ascii="Arial" w:hAnsi="Arial" w:cs="Arial"/>
                      <w:sz w:val="20"/>
                      <w:szCs w:val="20"/>
                    </w:rPr>
                    <w:t>$ 110.540.</w:t>
                  </w:r>
                  <w:r w:rsidR="004169BA">
                    <w:rPr>
                      <w:rFonts w:ascii="Arial" w:hAnsi="Arial" w:cs="Arial"/>
                      <w:sz w:val="20"/>
                      <w:szCs w:val="20"/>
                    </w:rPr>
                    <w:t>193</w:t>
                  </w:r>
                </w:p>
              </w:tc>
            </w:tr>
            <w:tr w:rsidR="00EC78F4" w:rsidRPr="00EC78F4" w14:paraId="2DE515EB" w14:textId="77777777" w:rsidTr="00A65BD5">
              <w:trPr>
                <w:trHeight w:val="20"/>
                <w:jc w:val="center"/>
              </w:trPr>
              <w:tc>
                <w:tcPr>
                  <w:tcW w:w="2557" w:type="dxa"/>
                  <w:vAlign w:val="center"/>
                </w:tcPr>
                <w:p w14:paraId="74838019" w14:textId="77777777" w:rsidR="00EC78F4" w:rsidRPr="00EC78F4" w:rsidRDefault="00EC78F4" w:rsidP="00A65BD5">
                  <w:pPr>
                    <w:jc w:val="center"/>
                    <w:rPr>
                      <w:rFonts w:ascii="Arial" w:hAnsi="Arial" w:cs="Arial"/>
                      <w:sz w:val="20"/>
                      <w:szCs w:val="20"/>
                    </w:rPr>
                  </w:pPr>
                </w:p>
                <w:p w14:paraId="73D62DC0" w14:textId="77777777" w:rsidR="00EC78F4" w:rsidRPr="00EC78F4" w:rsidRDefault="00EC78F4" w:rsidP="00A65BD5">
                  <w:pPr>
                    <w:jc w:val="center"/>
                    <w:rPr>
                      <w:rFonts w:ascii="Arial" w:hAnsi="Arial" w:cs="Arial"/>
                      <w:sz w:val="20"/>
                      <w:szCs w:val="20"/>
                    </w:rPr>
                  </w:pPr>
                  <w:r w:rsidRPr="00EC78F4">
                    <w:rPr>
                      <w:rFonts w:ascii="Arial" w:hAnsi="Arial" w:cs="Arial"/>
                      <w:sz w:val="20"/>
                      <w:szCs w:val="20"/>
                    </w:rPr>
                    <w:t>Rentabilidad del patrimonio</w:t>
                  </w:r>
                </w:p>
              </w:tc>
              <w:tc>
                <w:tcPr>
                  <w:tcW w:w="2171" w:type="dxa"/>
                  <w:vAlign w:val="center"/>
                </w:tcPr>
                <w:p w14:paraId="7AA60386" w14:textId="3575EFA0" w:rsidR="00EC78F4" w:rsidRPr="00EC78F4" w:rsidRDefault="00EC78F4" w:rsidP="00A65BD5">
                  <w:pPr>
                    <w:jc w:val="center"/>
                    <w:rPr>
                      <w:rFonts w:ascii="Arial" w:hAnsi="Arial" w:cs="Arial"/>
                      <w:sz w:val="20"/>
                      <w:szCs w:val="20"/>
                    </w:rPr>
                  </w:pPr>
                  <w:r w:rsidRPr="00EC78F4">
                    <w:rPr>
                      <w:rFonts w:ascii="Arial" w:hAnsi="Arial" w:cs="Arial"/>
                      <w:sz w:val="20"/>
                      <w:szCs w:val="20"/>
                    </w:rPr>
                    <w:t>≥0,02</w:t>
                  </w:r>
                </w:p>
              </w:tc>
            </w:tr>
            <w:tr w:rsidR="00EC78F4" w:rsidRPr="00EC78F4" w14:paraId="208FD84D" w14:textId="77777777" w:rsidTr="00A65BD5">
              <w:trPr>
                <w:trHeight w:val="20"/>
                <w:jc w:val="center"/>
              </w:trPr>
              <w:tc>
                <w:tcPr>
                  <w:tcW w:w="2557" w:type="dxa"/>
                  <w:vAlign w:val="center"/>
                </w:tcPr>
                <w:p w14:paraId="488690F1" w14:textId="77777777" w:rsidR="00EC78F4" w:rsidRPr="00EC78F4" w:rsidRDefault="00EC78F4" w:rsidP="00A65BD5">
                  <w:pPr>
                    <w:jc w:val="center"/>
                    <w:rPr>
                      <w:rFonts w:ascii="Arial" w:hAnsi="Arial" w:cs="Arial"/>
                      <w:sz w:val="20"/>
                      <w:szCs w:val="20"/>
                    </w:rPr>
                  </w:pPr>
                </w:p>
                <w:p w14:paraId="6D734CB5" w14:textId="77777777" w:rsidR="00EC78F4" w:rsidRPr="00EC78F4" w:rsidRDefault="00EC78F4" w:rsidP="00A65BD5">
                  <w:pPr>
                    <w:jc w:val="center"/>
                    <w:rPr>
                      <w:rFonts w:ascii="Arial" w:hAnsi="Arial" w:cs="Arial"/>
                      <w:sz w:val="20"/>
                      <w:szCs w:val="20"/>
                    </w:rPr>
                  </w:pPr>
                  <w:r w:rsidRPr="00EC78F4">
                    <w:rPr>
                      <w:rFonts w:ascii="Arial" w:hAnsi="Arial" w:cs="Arial"/>
                      <w:sz w:val="20"/>
                      <w:szCs w:val="20"/>
                    </w:rPr>
                    <w:t>Rentabilidad del activo</w:t>
                  </w:r>
                </w:p>
              </w:tc>
              <w:tc>
                <w:tcPr>
                  <w:tcW w:w="2171" w:type="dxa"/>
                  <w:vAlign w:val="center"/>
                </w:tcPr>
                <w:p w14:paraId="7B52AFD1" w14:textId="1CB38F7E" w:rsidR="00EC78F4" w:rsidRPr="00EC78F4" w:rsidRDefault="00EC78F4" w:rsidP="00A65BD5">
                  <w:pPr>
                    <w:jc w:val="center"/>
                    <w:rPr>
                      <w:rFonts w:ascii="Arial" w:hAnsi="Arial" w:cs="Arial"/>
                      <w:sz w:val="20"/>
                      <w:szCs w:val="20"/>
                    </w:rPr>
                  </w:pPr>
                  <w:r w:rsidRPr="00EC78F4">
                    <w:rPr>
                      <w:rFonts w:ascii="Arial" w:hAnsi="Arial" w:cs="Arial"/>
                      <w:sz w:val="20"/>
                      <w:szCs w:val="20"/>
                    </w:rPr>
                    <w:t>≥0,01</w:t>
                  </w:r>
                </w:p>
              </w:tc>
            </w:tr>
          </w:tbl>
          <w:p w14:paraId="7A64B898" w14:textId="77777777" w:rsidR="00D768A3" w:rsidRPr="00D67D8A" w:rsidRDefault="00D768A3">
            <w:pPr>
              <w:jc w:val="both"/>
              <w:rPr>
                <w:rFonts w:ascii="Arial" w:eastAsia="Arial" w:hAnsi="Arial" w:cs="Arial"/>
                <w:color w:val="000000"/>
                <w:sz w:val="24"/>
                <w:szCs w:val="24"/>
                <w:highlight w:val="white"/>
                <w:lang w:val="es-CO"/>
              </w:rPr>
            </w:pPr>
          </w:p>
          <w:p w14:paraId="050A92D6" w14:textId="77777777" w:rsidR="00D768A3" w:rsidRPr="00D67D8A" w:rsidRDefault="00A0753E">
            <w:pPr>
              <w:jc w:val="both"/>
              <w:rPr>
                <w:rFonts w:ascii="Arial" w:eastAsia="Arial" w:hAnsi="Arial" w:cs="Arial"/>
                <w:color w:val="000000"/>
                <w:sz w:val="24"/>
                <w:szCs w:val="24"/>
                <w:highlight w:val="white"/>
                <w:lang w:val="es-CO"/>
              </w:rPr>
            </w:pPr>
            <w:r w:rsidRPr="00D67D8A">
              <w:rPr>
                <w:rFonts w:ascii="Arial" w:eastAsia="Arial" w:hAnsi="Arial" w:cs="Arial"/>
                <w:color w:val="000000"/>
                <w:sz w:val="24"/>
                <w:szCs w:val="24"/>
                <w:highlight w:val="white"/>
                <w:lang w:val="es-CO"/>
              </w:rPr>
              <w:t>Nota 1:</w:t>
            </w:r>
          </w:p>
          <w:p w14:paraId="01AFD9B6" w14:textId="77777777" w:rsidR="00D768A3" w:rsidRPr="00D67D8A" w:rsidRDefault="00D768A3">
            <w:pPr>
              <w:jc w:val="both"/>
              <w:rPr>
                <w:rFonts w:ascii="Arial" w:eastAsia="Arial" w:hAnsi="Arial" w:cs="Arial"/>
                <w:color w:val="000000"/>
                <w:sz w:val="24"/>
                <w:szCs w:val="24"/>
                <w:highlight w:val="white"/>
                <w:lang w:val="es-CO"/>
              </w:rPr>
            </w:pPr>
          </w:p>
          <w:p w14:paraId="523FD6E9"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 xml:space="preserve">Si el Proponente es plural cada indicador debe calcularse así: </w:t>
            </w:r>
          </w:p>
          <w:p w14:paraId="76248089" w14:textId="77777777" w:rsidR="00D768A3" w:rsidRPr="00D67D8A" w:rsidRDefault="00D768A3">
            <w:pPr>
              <w:jc w:val="both"/>
              <w:rPr>
                <w:rFonts w:ascii="Arial" w:eastAsia="Arial" w:hAnsi="Arial" w:cs="Arial"/>
                <w:sz w:val="24"/>
                <w:szCs w:val="24"/>
                <w:lang w:val="es-CO"/>
              </w:rPr>
            </w:pPr>
          </w:p>
          <w:p w14:paraId="7163FB15" w14:textId="77777777" w:rsidR="00D768A3" w:rsidRDefault="00A0753E">
            <w:pPr>
              <w:jc w:val="center"/>
              <w:rPr>
                <w:rFonts w:ascii="Cambria Math" w:eastAsia="Cambria Math" w:hAnsi="Cambria Math" w:cs="Cambria Math"/>
                <w:sz w:val="24"/>
                <w:szCs w:val="24"/>
              </w:rPr>
            </w:pPr>
            <m:oMathPara>
              <m:oMath>
                <m:r>
                  <w:rPr>
                    <w:rFonts w:ascii="Cambria Math" w:eastAsia="Cambria Math" w:hAnsi="Cambria Math" w:cs="Cambria Math"/>
                    <w:sz w:val="24"/>
                    <w:szCs w:val="24"/>
                  </w:rPr>
                  <m:t>Indicador =</m:t>
                </m:r>
                <m:f>
                  <m:fPr>
                    <m:ctrlPr>
                      <w:rPr>
                        <w:rFonts w:ascii="Cambria Math" w:eastAsia="Cambria Math" w:hAnsi="Cambria Math" w:cs="Cambria Math"/>
                        <w:sz w:val="24"/>
                        <w:szCs w:val="24"/>
                      </w:rPr>
                    </m:ctrlPr>
                  </m:fPr>
                  <m:num>
                    <m:r>
                      <w:rPr>
                        <w:rFonts w:ascii="Cambria Math" w:eastAsia="Cambria Math" w:hAnsi="Cambria Math" w:cs="Cambria Math"/>
                        <w:sz w:val="24"/>
                        <w:szCs w:val="24"/>
                      </w:rPr>
                      <m:t>(</m:t>
                    </m:r>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i=1</m:t>
                        </m:r>
                      </m:sub>
                      <m:sup>
                        <m:r>
                          <w:rPr>
                            <w:rFonts w:ascii="Cambria Math" w:eastAsia="Cambria Math" w:hAnsi="Cambria Math" w:cs="Cambria Math"/>
                            <w:sz w:val="24"/>
                            <w:szCs w:val="24"/>
                          </w:rPr>
                          <m:t>n</m:t>
                        </m:r>
                      </m:sup>
                      <m:e/>
                    </m:nary>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Componente 1 del indicador</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num>
                  <m:den>
                    <m:r>
                      <w:rPr>
                        <w:rFonts w:ascii="Cambria Math" w:eastAsia="Cambria Math" w:hAnsi="Cambria Math" w:cs="Cambria Math"/>
                        <w:sz w:val="24"/>
                        <w:szCs w:val="24"/>
                      </w:rPr>
                      <m:t>(</m:t>
                    </m:r>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i=1</m:t>
                        </m:r>
                      </m:sub>
                      <m:sup>
                        <m:r>
                          <w:rPr>
                            <w:rFonts w:ascii="Cambria Math" w:eastAsia="Cambria Math" w:hAnsi="Cambria Math" w:cs="Cambria Math"/>
                            <w:sz w:val="24"/>
                            <w:szCs w:val="24"/>
                          </w:rPr>
                          <m:t>n</m:t>
                        </m:r>
                      </m:sup>
                      <m:e/>
                    </m:nary>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Componente 2 del indicador</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den>
                </m:f>
              </m:oMath>
            </m:oMathPara>
          </w:p>
          <w:p w14:paraId="23A44373" w14:textId="77777777" w:rsidR="00D768A3" w:rsidRDefault="00D768A3">
            <w:pPr>
              <w:jc w:val="both"/>
              <w:rPr>
                <w:rFonts w:ascii="Arial" w:eastAsia="Arial" w:hAnsi="Arial" w:cs="Arial"/>
                <w:sz w:val="24"/>
                <w:szCs w:val="24"/>
              </w:rPr>
            </w:pPr>
          </w:p>
          <w:p w14:paraId="6FBC5F20"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 xml:space="preserve">Donde </w:t>
            </w:r>
            <m:oMath>
              <m:r>
                <w:rPr>
                  <w:rFonts w:ascii="Cambria Math" w:eastAsia="Cambria Math" w:hAnsi="Cambria Math" w:cs="Cambria Math"/>
                  <w:sz w:val="24"/>
                  <w:szCs w:val="24"/>
                </w:rPr>
                <m:t>n</m:t>
              </m:r>
            </m:oMath>
            <w:r w:rsidRPr="00D67D8A">
              <w:rPr>
                <w:rFonts w:ascii="Arial" w:eastAsia="Arial" w:hAnsi="Arial" w:cs="Arial"/>
                <w:sz w:val="24"/>
                <w:szCs w:val="24"/>
                <w:lang w:val="es-CO"/>
              </w:rPr>
              <w:t xml:space="preserve"> es el número de integrantes del Proponente Plural (Unión Temporal o Consorcio).</w:t>
            </w:r>
          </w:p>
          <w:p w14:paraId="289A525A" w14:textId="77777777" w:rsidR="00D768A3" w:rsidRPr="00D67D8A" w:rsidRDefault="00D768A3">
            <w:pPr>
              <w:jc w:val="both"/>
              <w:rPr>
                <w:rFonts w:ascii="Arial" w:eastAsia="Arial" w:hAnsi="Arial" w:cs="Arial"/>
                <w:sz w:val="24"/>
                <w:szCs w:val="24"/>
                <w:lang w:val="es-CO"/>
              </w:rPr>
            </w:pPr>
          </w:p>
          <w:p w14:paraId="435606C2"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 xml:space="preserve">El Proponente que no tiene pasivos corrientes está habilitado respecto del índice de liquidez. </w:t>
            </w:r>
          </w:p>
          <w:p w14:paraId="564E25EE" w14:textId="77777777" w:rsidR="00D768A3" w:rsidRPr="00D67D8A" w:rsidRDefault="00D768A3">
            <w:pPr>
              <w:jc w:val="both"/>
              <w:rPr>
                <w:rFonts w:ascii="Arial" w:eastAsia="Arial" w:hAnsi="Arial" w:cs="Arial"/>
                <w:sz w:val="24"/>
                <w:szCs w:val="24"/>
                <w:lang w:val="es-CO"/>
              </w:rPr>
            </w:pPr>
          </w:p>
          <w:p w14:paraId="0F11F30E" w14:textId="77777777"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 xml:space="preserve">El Proponente que no tiene gastos de intereses está habilitado respecto de la razón de cobertura de intereses, siempre y cuando la Utilidad Operacional sea igual o mayor a cero (0). </w:t>
            </w:r>
          </w:p>
          <w:p w14:paraId="3EA62086" w14:textId="77777777" w:rsidR="00D768A3" w:rsidRPr="00D67D8A" w:rsidRDefault="00D768A3">
            <w:pPr>
              <w:jc w:val="both"/>
              <w:rPr>
                <w:rFonts w:ascii="Arial" w:eastAsia="Arial" w:hAnsi="Arial" w:cs="Arial"/>
                <w:b/>
                <w:sz w:val="24"/>
                <w:szCs w:val="24"/>
                <w:lang w:val="es-CO"/>
              </w:rPr>
            </w:pPr>
          </w:p>
          <w:p w14:paraId="063A969D" w14:textId="77777777" w:rsidR="00D768A3" w:rsidRPr="00D67D8A"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Tratándose de Proponente Plurales estos indicadores solo se aplicarán si por lo menos uno de los integrantes acredita la calidad de Mipyme de conformidad con lo previsto en el artículo en el artículo 2.2.1.2.4.2.4. del Decreto 1082 de 2015, o la normas que los modifiquen, sustituyan o complementen, y tienen una participación igual o superior al diez por ciento (10 %) en el Consorcio o en la Unión Temporal.</w:t>
            </w:r>
          </w:p>
          <w:p w14:paraId="10B0C806" w14:textId="77777777" w:rsidR="00D768A3" w:rsidRPr="00D67D8A"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68F6507D" w14:textId="77777777" w:rsidR="00D768A3"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Para acreditar la calidad de Mipyme el Proponente entregará copia del certificado del Registro Único de Proponentes, el cual deberá encontrarse vigente y en firme al momento de su presentación.</w:t>
            </w:r>
          </w:p>
          <w:p w14:paraId="4C7AC219" w14:textId="77777777" w:rsidR="00D768A3" w:rsidRPr="00D67D8A" w:rsidRDefault="00D768A3">
            <w:pPr>
              <w:widowControl/>
              <w:pBdr>
                <w:top w:val="nil"/>
                <w:left w:val="nil"/>
                <w:bottom w:val="nil"/>
                <w:right w:val="nil"/>
                <w:between w:val="nil"/>
              </w:pBdr>
              <w:jc w:val="both"/>
              <w:rPr>
                <w:rFonts w:ascii="Arial" w:eastAsia="Arial" w:hAnsi="Arial" w:cs="Arial"/>
                <w:color w:val="000000"/>
                <w:sz w:val="24"/>
                <w:szCs w:val="24"/>
                <w:lang w:val="es-CO"/>
              </w:rPr>
            </w:pPr>
          </w:p>
        </w:tc>
      </w:tr>
      <w:tr w:rsidR="00D768A3" w14:paraId="4F3113EA"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0C5CC07" w14:textId="77777777" w:rsidR="00D768A3" w:rsidRPr="00FB47DF" w:rsidRDefault="00A0753E">
            <w:pPr>
              <w:widowControl/>
              <w:numPr>
                <w:ilvl w:val="0"/>
                <w:numId w:val="1"/>
              </w:numPr>
              <w:pBdr>
                <w:top w:val="nil"/>
                <w:left w:val="nil"/>
                <w:bottom w:val="nil"/>
                <w:right w:val="nil"/>
                <w:between w:val="nil"/>
              </w:pBdr>
              <w:spacing w:before="60" w:after="60"/>
              <w:ind w:left="454" w:hanging="454"/>
              <w:rPr>
                <w:rFonts w:ascii="Arial" w:eastAsia="Arial" w:hAnsi="Arial" w:cs="Arial"/>
                <w:color w:val="000000"/>
                <w:sz w:val="24"/>
                <w:szCs w:val="24"/>
              </w:rPr>
            </w:pPr>
            <w:r w:rsidRPr="00FB47DF">
              <w:rPr>
                <w:rFonts w:ascii="Arial" w:eastAsia="Arial" w:hAnsi="Arial" w:cs="Arial"/>
                <w:color w:val="000000"/>
                <w:sz w:val="24"/>
                <w:szCs w:val="24"/>
              </w:rPr>
              <w:lastRenderedPageBreak/>
              <w:t>ESTUDIO DEL MERCADO</w:t>
            </w:r>
          </w:p>
        </w:tc>
      </w:tr>
      <w:tr w:rsidR="00D768A3" w14:paraId="7F800DC9"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8D5DD03" w14:textId="77777777" w:rsidR="00D768A3" w:rsidRPr="00FB47DF" w:rsidRDefault="00D768A3">
            <w:pPr>
              <w:widowControl/>
              <w:pBdr>
                <w:top w:val="nil"/>
                <w:left w:val="nil"/>
                <w:bottom w:val="nil"/>
                <w:right w:val="nil"/>
                <w:between w:val="nil"/>
              </w:pBdr>
              <w:jc w:val="both"/>
              <w:rPr>
                <w:rFonts w:ascii="Arial" w:eastAsia="Arial" w:hAnsi="Arial" w:cs="Arial"/>
                <w:color w:val="000000"/>
                <w:sz w:val="24"/>
                <w:szCs w:val="24"/>
              </w:rPr>
            </w:pPr>
          </w:p>
          <w:p w14:paraId="2F8C903C" w14:textId="77777777" w:rsidR="00D768A3" w:rsidRPr="00FB47DF"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FB47DF">
              <w:rPr>
                <w:rFonts w:ascii="Arial" w:eastAsia="Arial" w:hAnsi="Arial" w:cs="Arial"/>
                <w:color w:val="000000"/>
                <w:sz w:val="24"/>
                <w:szCs w:val="24"/>
                <w:lang w:val="es-CO"/>
              </w:rPr>
              <w:t>Se ha definido utilizar la metodología de reembolso de costos de personal, afectado por un factor multiplicador, aplicable sobre los costos de personal, más costos directos.</w:t>
            </w:r>
          </w:p>
          <w:p w14:paraId="3E8626F6" w14:textId="77777777" w:rsidR="00D768A3" w:rsidRPr="00FB47DF"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3B918B0D" w14:textId="77777777" w:rsidR="00D768A3" w:rsidRPr="00FB47DF"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FB47DF">
              <w:rPr>
                <w:rFonts w:ascii="Arial" w:eastAsia="Arial" w:hAnsi="Arial" w:cs="Arial"/>
                <w:color w:val="000000"/>
                <w:sz w:val="24"/>
                <w:szCs w:val="24"/>
                <w:lang w:val="es-CO"/>
              </w:rPr>
              <w:t xml:space="preserve">En ese sentido, con base en el alcance del contrato a celebrar, se procedió a definir el personal requerido, estableciendo el perfil del personal, en cuanto a estudios realizados, experiencia profesional y porcentaje de dedicación para la ejecución del contrato. </w:t>
            </w:r>
          </w:p>
          <w:p w14:paraId="599049D6" w14:textId="77777777" w:rsidR="00D768A3" w:rsidRPr="00FB47DF"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0F6D87F6" w14:textId="77777777" w:rsidR="00D768A3" w:rsidRPr="00FB47DF"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FB47DF">
              <w:rPr>
                <w:rFonts w:ascii="Arial" w:eastAsia="Arial" w:hAnsi="Arial" w:cs="Arial"/>
                <w:color w:val="000000"/>
                <w:sz w:val="24"/>
                <w:szCs w:val="24"/>
                <w:lang w:val="es-CO"/>
              </w:rPr>
              <w:t xml:space="preserve">Con las necesidades de personal establecidas, se procedió a cuantificar los costos del personal, para lo cual, se tiene como base el mercado y los valores de los costos de personal que se reconocen a personal con las características definidas para la ejecución del contrato; por otra parte, se cuenta con el histórico de contratos de esta misma naturaleza, que se han ejecutado con personal de las mismas características definidas para el presente proceso y de esa información, proyectada al presente año, se determinan los costos a reconocer al personal previsto para la ejecución del contrato. </w:t>
            </w:r>
          </w:p>
          <w:p w14:paraId="7805AD73" w14:textId="77777777" w:rsidR="00D768A3" w:rsidRPr="00FB47DF"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0CDC00C1" w14:textId="77777777" w:rsidR="00D768A3" w:rsidRPr="00FB47DF"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FB47DF">
              <w:rPr>
                <w:rFonts w:ascii="Arial" w:eastAsia="Arial" w:hAnsi="Arial" w:cs="Arial"/>
                <w:color w:val="000000"/>
                <w:sz w:val="24"/>
                <w:szCs w:val="24"/>
                <w:lang w:val="es-CO"/>
              </w:rPr>
              <w:t>Así mismo, se procede a establecer el Factor Multiplicador, utilizando la metodología descrita en el presente documento, en el aparte de Análisis de la Demanda, en el cual se incluyen los costos indirectos que contenga entre otros, las cargas por concepto de seguridad social y prestacional, viáticos que no estén establecidos como reembolsables, gastos generados por la adquisición de herramientas o insumos necesarios para la realización de la labor, gastos de administración, impuestos, gastos contingentes y demás costos indirectos en que él incurra por la ejecución del contrato.</w:t>
            </w:r>
          </w:p>
          <w:p w14:paraId="6F1595D9" w14:textId="77777777" w:rsidR="00D768A3" w:rsidRPr="00FB47DF"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2A228657" w14:textId="77777777" w:rsidR="00D768A3" w:rsidRPr="00FB47DF"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FB47DF">
              <w:rPr>
                <w:rFonts w:ascii="Arial" w:eastAsia="Arial" w:hAnsi="Arial" w:cs="Arial"/>
                <w:color w:val="000000"/>
                <w:sz w:val="24"/>
                <w:szCs w:val="24"/>
                <w:lang w:val="es-CO"/>
              </w:rPr>
              <w:t>Una vez determinados estos valores, se procede a afectar los costos de personal por los valores de Factor multiplicador.</w:t>
            </w:r>
          </w:p>
          <w:p w14:paraId="09888FA6" w14:textId="77777777" w:rsidR="00D768A3" w:rsidRPr="00FB47DF"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56FB9730" w14:textId="77777777" w:rsidR="00D768A3" w:rsidRPr="00FB47DF" w:rsidRDefault="00A0753E">
            <w:pPr>
              <w:jc w:val="both"/>
              <w:rPr>
                <w:rFonts w:ascii="Arial" w:eastAsia="Arial" w:hAnsi="Arial" w:cs="Arial"/>
                <w:sz w:val="24"/>
                <w:szCs w:val="24"/>
                <w:lang w:val="es-CO"/>
              </w:rPr>
            </w:pPr>
            <w:r w:rsidRPr="00FB47DF">
              <w:rPr>
                <w:rFonts w:ascii="Arial" w:eastAsia="Arial" w:hAnsi="Arial" w:cs="Arial"/>
                <w:sz w:val="24"/>
                <w:szCs w:val="24"/>
                <w:lang w:val="es-CO"/>
              </w:rPr>
              <w:t>Por último, conforme al alcance del contrato a celebrar, se han determinado todos los demás costos directos necesarios para la adecuada ejecución de este, considerando los valores de mercado y las condiciones específicas de la zona en la cual se desarrollará el proyecto. Este análisis incluye, entre otros, los costos asociados al arrendamiento de oficina, equipos requeridos para la ejecución del contrato, mobiliario, papelería, servicios públicos y ensayos de laboratorio.</w:t>
            </w:r>
          </w:p>
          <w:p w14:paraId="0CE3FC02" w14:textId="77777777" w:rsidR="00D768A3" w:rsidRPr="00FB47DF" w:rsidRDefault="00D768A3">
            <w:pPr>
              <w:jc w:val="both"/>
              <w:rPr>
                <w:rFonts w:ascii="Arial" w:eastAsia="Arial" w:hAnsi="Arial" w:cs="Arial"/>
                <w:sz w:val="24"/>
                <w:szCs w:val="24"/>
                <w:lang w:val="es-CO"/>
              </w:rPr>
            </w:pPr>
          </w:p>
          <w:p w14:paraId="21479DF6" w14:textId="63981B4F" w:rsidR="00D768A3" w:rsidRPr="00FB47DF" w:rsidRDefault="00A0753E">
            <w:pPr>
              <w:jc w:val="both"/>
              <w:rPr>
                <w:rFonts w:ascii="Arial" w:eastAsia="Arial" w:hAnsi="Arial" w:cs="Arial"/>
                <w:sz w:val="24"/>
                <w:szCs w:val="24"/>
                <w:lang w:val="es-CO"/>
              </w:rPr>
            </w:pPr>
            <w:r w:rsidRPr="00FB47DF">
              <w:rPr>
                <w:rFonts w:ascii="Arial" w:eastAsia="Arial" w:hAnsi="Arial" w:cs="Arial"/>
                <w:sz w:val="24"/>
                <w:szCs w:val="24"/>
                <w:lang w:val="es-CO"/>
              </w:rPr>
              <w:t xml:space="preserve">Toda la información necesaria para la determinación del valor del proceso se encuentra </w:t>
            </w:r>
            <w:r w:rsidRPr="00B72EB4">
              <w:rPr>
                <w:rFonts w:ascii="Arial" w:eastAsia="Arial" w:hAnsi="Arial" w:cs="Arial"/>
                <w:sz w:val="24"/>
                <w:szCs w:val="24"/>
                <w:lang w:val="es-CO"/>
              </w:rPr>
              <w:lastRenderedPageBreak/>
              <w:t xml:space="preserve">detalladamente especificada en el </w:t>
            </w:r>
            <w:r w:rsidR="00670FBB" w:rsidRPr="00B72EB4">
              <w:rPr>
                <w:rFonts w:ascii="Arial" w:eastAsia="Arial" w:hAnsi="Arial" w:cs="Arial"/>
                <w:sz w:val="24"/>
                <w:szCs w:val="24"/>
                <w:lang w:val="es-CO"/>
              </w:rPr>
              <w:t xml:space="preserve">ANEXO 1. </w:t>
            </w:r>
            <w:r w:rsidRPr="00B72EB4">
              <w:rPr>
                <w:rFonts w:ascii="Arial" w:eastAsia="Arial" w:hAnsi="Arial" w:cs="Arial"/>
                <w:sz w:val="24"/>
                <w:szCs w:val="24"/>
                <w:lang w:val="es-CO"/>
              </w:rPr>
              <w:t>Formulario de Presupuesto Oficial del presente proceso.</w:t>
            </w:r>
          </w:p>
          <w:p w14:paraId="37CFCB36" w14:textId="77777777" w:rsidR="00D768A3" w:rsidRPr="00FB47DF" w:rsidRDefault="00D768A3">
            <w:pPr>
              <w:jc w:val="both"/>
              <w:rPr>
                <w:rFonts w:ascii="Arial" w:eastAsia="Arial" w:hAnsi="Arial" w:cs="Arial"/>
                <w:sz w:val="24"/>
                <w:szCs w:val="24"/>
                <w:lang w:val="es-CO"/>
              </w:rPr>
            </w:pPr>
          </w:p>
          <w:p w14:paraId="04A2D7B4" w14:textId="7BB9F6D5" w:rsidR="00900014" w:rsidRPr="00900014" w:rsidRDefault="00900014" w:rsidP="00900014">
            <w:pPr>
              <w:rPr>
                <w:rFonts w:ascii="Arial" w:hAnsi="Arial" w:cs="Arial"/>
                <w:b/>
                <w:bCs/>
              </w:rPr>
            </w:pPr>
            <w:r w:rsidRPr="00900014">
              <w:rPr>
                <w:rFonts w:ascii="Arial" w:hAnsi="Arial" w:cs="Arial"/>
                <w:b/>
                <w:bCs/>
              </w:rPr>
              <w:t>Presupuesto oficial de la entidad</w:t>
            </w:r>
          </w:p>
          <w:p w14:paraId="7639C29E" w14:textId="77777777" w:rsidR="00900014" w:rsidRDefault="00900014" w:rsidP="00900014"/>
          <w:tbl>
            <w:tblPr>
              <w:tblW w:w="5000" w:type="pct"/>
              <w:tblCellMar>
                <w:left w:w="70" w:type="dxa"/>
                <w:right w:w="70" w:type="dxa"/>
              </w:tblCellMar>
              <w:tblLook w:val="04A0" w:firstRow="1" w:lastRow="0" w:firstColumn="1" w:lastColumn="0" w:noHBand="0" w:noVBand="1"/>
            </w:tblPr>
            <w:tblGrid>
              <w:gridCol w:w="568"/>
              <w:gridCol w:w="2716"/>
              <w:gridCol w:w="985"/>
              <w:gridCol w:w="1005"/>
              <w:gridCol w:w="1027"/>
              <w:gridCol w:w="1245"/>
              <w:gridCol w:w="1690"/>
            </w:tblGrid>
            <w:tr w:rsidR="007D17A7" w:rsidRPr="007D17A7" w14:paraId="590BC27B" w14:textId="77777777" w:rsidTr="007D17A7">
              <w:trPr>
                <w:trHeight w:val="1185"/>
              </w:trPr>
              <w:tc>
                <w:tcPr>
                  <w:tcW w:w="307" w:type="pct"/>
                  <w:tcBorders>
                    <w:top w:val="single" w:sz="8" w:space="0" w:color="auto"/>
                    <w:left w:val="single" w:sz="8" w:space="0" w:color="auto"/>
                    <w:bottom w:val="nil"/>
                    <w:right w:val="single" w:sz="4" w:space="0" w:color="auto"/>
                  </w:tcBorders>
                  <w:vAlign w:val="center"/>
                  <w:hideMark/>
                </w:tcPr>
                <w:p w14:paraId="68B8DE44"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CANT.</w:t>
                  </w:r>
                  <w:r w:rsidRPr="007D17A7">
                    <w:rPr>
                      <w:rFonts w:ascii="Arial" w:hAnsi="Arial" w:cs="Arial"/>
                      <w:b/>
                      <w:bCs/>
                      <w:color w:val="000000"/>
                      <w:sz w:val="14"/>
                      <w:szCs w:val="14"/>
                      <w:lang w:val="es-CO"/>
                    </w:rPr>
                    <w:br/>
                    <w:t>(1)</w:t>
                  </w:r>
                </w:p>
              </w:tc>
              <w:tc>
                <w:tcPr>
                  <w:tcW w:w="1533" w:type="pct"/>
                  <w:tcBorders>
                    <w:top w:val="single" w:sz="8" w:space="0" w:color="auto"/>
                    <w:left w:val="nil"/>
                    <w:bottom w:val="nil"/>
                    <w:right w:val="single" w:sz="4" w:space="0" w:color="auto"/>
                  </w:tcBorders>
                  <w:vAlign w:val="center"/>
                  <w:hideMark/>
                </w:tcPr>
                <w:p w14:paraId="1733C646"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CARGO / OFICIO</w:t>
                  </w:r>
                </w:p>
              </w:tc>
              <w:tc>
                <w:tcPr>
                  <w:tcW w:w="596" w:type="pct"/>
                  <w:tcBorders>
                    <w:top w:val="single" w:sz="8" w:space="0" w:color="auto"/>
                    <w:left w:val="nil"/>
                    <w:bottom w:val="nil"/>
                    <w:right w:val="single" w:sz="4" w:space="0" w:color="auto"/>
                  </w:tcBorders>
                  <w:vAlign w:val="center"/>
                  <w:hideMark/>
                </w:tcPr>
                <w:p w14:paraId="384A30AA"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SUELDO Y/O</w:t>
                  </w:r>
                  <w:r w:rsidRPr="007D17A7">
                    <w:rPr>
                      <w:rFonts w:ascii="Arial" w:hAnsi="Arial" w:cs="Arial"/>
                      <w:b/>
                      <w:bCs/>
                      <w:color w:val="000000"/>
                      <w:sz w:val="14"/>
                      <w:szCs w:val="14"/>
                      <w:lang w:val="es-CO"/>
                    </w:rPr>
                    <w:br/>
                    <w:t>JORNAL MENSUAL</w:t>
                  </w:r>
                  <w:r w:rsidRPr="007D17A7">
                    <w:rPr>
                      <w:rFonts w:ascii="Arial" w:hAnsi="Arial" w:cs="Arial"/>
                      <w:b/>
                      <w:bCs/>
                      <w:color w:val="000000"/>
                      <w:sz w:val="14"/>
                      <w:szCs w:val="14"/>
                      <w:lang w:val="es-CO"/>
                    </w:rPr>
                    <w:br/>
                    <w:t>(2)</w:t>
                  </w:r>
                </w:p>
              </w:tc>
              <w:tc>
                <w:tcPr>
                  <w:tcW w:w="544" w:type="pct"/>
                  <w:tcBorders>
                    <w:top w:val="single" w:sz="8" w:space="0" w:color="auto"/>
                    <w:left w:val="nil"/>
                    <w:bottom w:val="nil"/>
                    <w:right w:val="single" w:sz="4" w:space="0" w:color="auto"/>
                  </w:tcBorders>
                  <w:vAlign w:val="center"/>
                  <w:hideMark/>
                </w:tcPr>
                <w:p w14:paraId="1139BD4E"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PRIMA</w:t>
                  </w:r>
                  <w:r w:rsidRPr="007D17A7">
                    <w:rPr>
                      <w:rFonts w:ascii="Arial" w:hAnsi="Arial" w:cs="Arial"/>
                      <w:b/>
                      <w:bCs/>
                      <w:color w:val="000000"/>
                      <w:sz w:val="14"/>
                      <w:szCs w:val="14"/>
                      <w:lang w:val="es-CO"/>
                    </w:rPr>
                    <w:br/>
                    <w:t>REGIONAL</w:t>
                  </w:r>
                  <w:r w:rsidRPr="007D17A7">
                    <w:rPr>
                      <w:rFonts w:ascii="Arial" w:hAnsi="Arial" w:cs="Arial"/>
                      <w:b/>
                      <w:bCs/>
                      <w:color w:val="000000"/>
                      <w:sz w:val="14"/>
                      <w:szCs w:val="14"/>
                      <w:lang w:val="es-CO"/>
                    </w:rPr>
                    <w:br/>
                    <w:t>(3)</w:t>
                  </w:r>
                </w:p>
              </w:tc>
              <w:tc>
                <w:tcPr>
                  <w:tcW w:w="556" w:type="pct"/>
                  <w:tcBorders>
                    <w:top w:val="single" w:sz="8" w:space="0" w:color="auto"/>
                    <w:left w:val="nil"/>
                    <w:bottom w:val="nil"/>
                    <w:right w:val="single" w:sz="4" w:space="0" w:color="auto"/>
                  </w:tcBorders>
                  <w:vAlign w:val="center"/>
                  <w:hideMark/>
                </w:tcPr>
                <w:p w14:paraId="6F20211D"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DEDICACIÓN</w:t>
                  </w:r>
                  <w:r w:rsidRPr="007D17A7">
                    <w:rPr>
                      <w:rFonts w:ascii="Arial" w:hAnsi="Arial" w:cs="Arial"/>
                      <w:b/>
                      <w:bCs/>
                      <w:color w:val="000000"/>
                      <w:sz w:val="14"/>
                      <w:szCs w:val="14"/>
                      <w:lang w:val="es-CO"/>
                    </w:rPr>
                    <w:br/>
                    <w:t>(h-mes)</w:t>
                  </w:r>
                  <w:r w:rsidRPr="007D17A7">
                    <w:rPr>
                      <w:rFonts w:ascii="Arial" w:hAnsi="Arial" w:cs="Arial"/>
                      <w:b/>
                      <w:bCs/>
                      <w:color w:val="000000"/>
                      <w:sz w:val="14"/>
                      <w:szCs w:val="14"/>
                      <w:lang w:val="es-CO"/>
                    </w:rPr>
                    <w:br/>
                    <w:t>(4)</w:t>
                  </w:r>
                </w:p>
              </w:tc>
              <w:tc>
                <w:tcPr>
                  <w:tcW w:w="486" w:type="pct"/>
                  <w:tcBorders>
                    <w:top w:val="single" w:sz="8" w:space="0" w:color="auto"/>
                    <w:left w:val="nil"/>
                    <w:bottom w:val="nil"/>
                    <w:right w:val="single" w:sz="4" w:space="0" w:color="auto"/>
                  </w:tcBorders>
                  <w:vAlign w:val="center"/>
                  <w:hideMark/>
                </w:tcPr>
                <w:p w14:paraId="3EA35630"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PARTICIPACIÓN</w:t>
                  </w:r>
                  <w:r w:rsidRPr="007D17A7">
                    <w:rPr>
                      <w:rFonts w:ascii="Arial" w:hAnsi="Arial" w:cs="Arial"/>
                      <w:b/>
                      <w:bCs/>
                      <w:color w:val="000000"/>
                      <w:sz w:val="14"/>
                      <w:szCs w:val="14"/>
                      <w:lang w:val="es-CO"/>
                    </w:rPr>
                    <w:br/>
                    <w:t>TOTAL (mes)</w:t>
                  </w:r>
                  <w:r w:rsidRPr="007D17A7">
                    <w:rPr>
                      <w:rFonts w:ascii="Arial" w:hAnsi="Arial" w:cs="Arial"/>
                      <w:b/>
                      <w:bCs/>
                      <w:color w:val="000000"/>
                      <w:sz w:val="14"/>
                      <w:szCs w:val="14"/>
                      <w:lang w:val="es-CO"/>
                    </w:rPr>
                    <w:br/>
                    <w:t>(5)</w:t>
                  </w:r>
                </w:p>
              </w:tc>
              <w:tc>
                <w:tcPr>
                  <w:tcW w:w="977" w:type="pct"/>
                  <w:tcBorders>
                    <w:top w:val="single" w:sz="8" w:space="0" w:color="auto"/>
                    <w:left w:val="nil"/>
                    <w:bottom w:val="nil"/>
                    <w:right w:val="single" w:sz="8" w:space="0" w:color="auto"/>
                  </w:tcBorders>
                  <w:vAlign w:val="center"/>
                  <w:hideMark/>
                </w:tcPr>
                <w:p w14:paraId="1B2E44A2"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VALOR</w:t>
                  </w:r>
                  <w:r w:rsidRPr="007D17A7">
                    <w:rPr>
                      <w:rFonts w:ascii="Arial" w:hAnsi="Arial" w:cs="Arial"/>
                      <w:b/>
                      <w:bCs/>
                      <w:color w:val="000000"/>
                      <w:sz w:val="14"/>
                      <w:szCs w:val="14"/>
                      <w:lang w:val="es-CO"/>
                    </w:rPr>
                    <w:br/>
                    <w:t>PARCIAL ($)</w:t>
                  </w:r>
                  <w:r w:rsidRPr="007D17A7">
                    <w:rPr>
                      <w:rFonts w:ascii="Arial" w:hAnsi="Arial" w:cs="Arial"/>
                      <w:b/>
                      <w:bCs/>
                      <w:color w:val="000000"/>
                      <w:sz w:val="14"/>
                      <w:szCs w:val="14"/>
                      <w:lang w:val="es-CO"/>
                    </w:rPr>
                    <w:br/>
                    <w:t>(1)*((2)+(3))*(4)*(5) = (6)</w:t>
                  </w:r>
                </w:p>
              </w:tc>
            </w:tr>
            <w:tr w:rsidR="007D17A7" w:rsidRPr="007D17A7" w14:paraId="745DB56A" w14:textId="77777777" w:rsidTr="007D17A7">
              <w:trPr>
                <w:trHeight w:val="480"/>
              </w:trPr>
              <w:tc>
                <w:tcPr>
                  <w:tcW w:w="5000" w:type="pct"/>
                  <w:gridSpan w:val="7"/>
                  <w:tcBorders>
                    <w:top w:val="single" w:sz="8" w:space="0" w:color="auto"/>
                    <w:left w:val="single" w:sz="8" w:space="0" w:color="auto"/>
                    <w:bottom w:val="single" w:sz="4" w:space="0" w:color="auto"/>
                    <w:right w:val="single" w:sz="8" w:space="0" w:color="auto"/>
                  </w:tcBorders>
                  <w:shd w:val="clear" w:color="CCCCCC" w:fill="D8D8D8"/>
                  <w:vAlign w:val="center"/>
                  <w:hideMark/>
                </w:tcPr>
                <w:p w14:paraId="3330DB66"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COSTOS DIRECTOS DE PERSONAL OPERATIVO OBRA</w:t>
                  </w:r>
                </w:p>
              </w:tc>
            </w:tr>
            <w:tr w:rsidR="007D17A7" w:rsidRPr="007D17A7" w14:paraId="32D0CE19" w14:textId="77777777" w:rsidTr="007D17A7">
              <w:trPr>
                <w:trHeight w:val="300"/>
              </w:trPr>
              <w:tc>
                <w:tcPr>
                  <w:tcW w:w="307" w:type="pct"/>
                  <w:tcBorders>
                    <w:top w:val="nil"/>
                    <w:left w:val="single" w:sz="8" w:space="0" w:color="auto"/>
                    <w:bottom w:val="single" w:sz="8" w:space="0" w:color="auto"/>
                    <w:right w:val="nil"/>
                  </w:tcBorders>
                  <w:shd w:val="clear" w:color="CCCCCC" w:fill="D8D8D8"/>
                  <w:vAlign w:val="center"/>
                  <w:hideMark/>
                </w:tcPr>
                <w:p w14:paraId="4A0589C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single" w:sz="8" w:space="0" w:color="auto"/>
                    <w:right w:val="single" w:sz="4" w:space="0" w:color="auto"/>
                  </w:tcBorders>
                  <w:shd w:val="clear" w:color="CCCCCC" w:fill="D8D8D8"/>
                  <w:vAlign w:val="center"/>
                  <w:hideMark/>
                </w:tcPr>
                <w:p w14:paraId="5183BB9C"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PERSONAL PROFESIONAL PERMANENTE</w:t>
                  </w:r>
                </w:p>
              </w:tc>
              <w:tc>
                <w:tcPr>
                  <w:tcW w:w="596" w:type="pct"/>
                  <w:tcBorders>
                    <w:top w:val="nil"/>
                    <w:left w:val="nil"/>
                    <w:bottom w:val="single" w:sz="8" w:space="0" w:color="auto"/>
                    <w:right w:val="nil"/>
                  </w:tcBorders>
                  <w:shd w:val="clear" w:color="CCCCCC" w:fill="D8D8D8"/>
                  <w:vAlign w:val="center"/>
                  <w:hideMark/>
                </w:tcPr>
                <w:p w14:paraId="45C1367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8" w:space="0" w:color="auto"/>
                    <w:right w:val="nil"/>
                  </w:tcBorders>
                  <w:shd w:val="clear" w:color="CCCCCC" w:fill="D8D8D8"/>
                  <w:vAlign w:val="center"/>
                  <w:hideMark/>
                </w:tcPr>
                <w:p w14:paraId="2053A1E4"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8" w:space="0" w:color="auto"/>
                    <w:right w:val="nil"/>
                  </w:tcBorders>
                  <w:shd w:val="clear" w:color="CCCCCC" w:fill="D8D8D8"/>
                  <w:vAlign w:val="center"/>
                  <w:hideMark/>
                </w:tcPr>
                <w:p w14:paraId="43766AD0"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8" w:space="0" w:color="auto"/>
                    <w:right w:val="nil"/>
                  </w:tcBorders>
                  <w:shd w:val="clear" w:color="CCCCCC" w:fill="D8D8D8"/>
                  <w:vAlign w:val="center"/>
                  <w:hideMark/>
                </w:tcPr>
                <w:p w14:paraId="30EC963D"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nil"/>
                    <w:bottom w:val="single" w:sz="8" w:space="0" w:color="auto"/>
                    <w:right w:val="single" w:sz="8" w:space="0" w:color="auto"/>
                  </w:tcBorders>
                  <w:shd w:val="clear" w:color="CCCCCC" w:fill="D8D8D8"/>
                  <w:vAlign w:val="center"/>
                  <w:hideMark/>
                </w:tcPr>
                <w:p w14:paraId="7F4C727B"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r>
            <w:tr w:rsidR="007D17A7" w:rsidRPr="007D17A7" w14:paraId="151C1D4D" w14:textId="77777777" w:rsidTr="007D17A7">
              <w:trPr>
                <w:trHeight w:val="300"/>
              </w:trPr>
              <w:tc>
                <w:tcPr>
                  <w:tcW w:w="307" w:type="pct"/>
                  <w:tcBorders>
                    <w:top w:val="single" w:sz="4" w:space="0" w:color="auto"/>
                    <w:left w:val="single" w:sz="8" w:space="0" w:color="auto"/>
                    <w:bottom w:val="nil"/>
                    <w:right w:val="nil"/>
                  </w:tcBorders>
                  <w:vAlign w:val="center"/>
                  <w:hideMark/>
                </w:tcPr>
                <w:p w14:paraId="0F7F60D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4" w:space="0" w:color="auto"/>
                    <w:left w:val="single" w:sz="4" w:space="0" w:color="auto"/>
                    <w:bottom w:val="nil"/>
                    <w:right w:val="single" w:sz="4" w:space="0" w:color="auto"/>
                  </w:tcBorders>
                  <w:vAlign w:val="center"/>
                  <w:hideMark/>
                </w:tcPr>
                <w:p w14:paraId="24B2BDB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96" w:type="pct"/>
                  <w:tcBorders>
                    <w:top w:val="single" w:sz="4" w:space="0" w:color="auto"/>
                    <w:left w:val="nil"/>
                    <w:bottom w:val="nil"/>
                    <w:right w:val="single" w:sz="4" w:space="0" w:color="auto"/>
                  </w:tcBorders>
                  <w:vAlign w:val="center"/>
                  <w:hideMark/>
                </w:tcPr>
                <w:p w14:paraId="78251CB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4" w:space="0" w:color="auto"/>
                    <w:left w:val="nil"/>
                    <w:bottom w:val="nil"/>
                    <w:right w:val="single" w:sz="4" w:space="0" w:color="auto"/>
                  </w:tcBorders>
                  <w:vAlign w:val="center"/>
                  <w:hideMark/>
                </w:tcPr>
                <w:p w14:paraId="42CBE017"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4" w:space="0" w:color="auto"/>
                    <w:left w:val="nil"/>
                    <w:bottom w:val="nil"/>
                    <w:right w:val="single" w:sz="4" w:space="0" w:color="auto"/>
                  </w:tcBorders>
                  <w:vAlign w:val="center"/>
                  <w:hideMark/>
                </w:tcPr>
                <w:p w14:paraId="2260A800"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4" w:space="0" w:color="auto"/>
                    <w:left w:val="nil"/>
                    <w:bottom w:val="nil"/>
                    <w:right w:val="single" w:sz="4" w:space="0" w:color="auto"/>
                  </w:tcBorders>
                  <w:vAlign w:val="center"/>
                  <w:hideMark/>
                </w:tcPr>
                <w:p w14:paraId="7119D313"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4" w:space="0" w:color="auto"/>
                    <w:left w:val="nil"/>
                    <w:bottom w:val="nil"/>
                    <w:right w:val="single" w:sz="8" w:space="0" w:color="auto"/>
                  </w:tcBorders>
                  <w:vAlign w:val="center"/>
                  <w:hideMark/>
                </w:tcPr>
                <w:p w14:paraId="06C38042"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r>
            <w:tr w:rsidR="007D17A7" w:rsidRPr="007D17A7" w14:paraId="485829F7" w14:textId="77777777" w:rsidTr="007D17A7">
              <w:trPr>
                <w:trHeight w:val="285"/>
              </w:trPr>
              <w:tc>
                <w:tcPr>
                  <w:tcW w:w="307" w:type="pct"/>
                  <w:tcBorders>
                    <w:top w:val="single" w:sz="8" w:space="0" w:color="auto"/>
                    <w:left w:val="single" w:sz="8" w:space="0" w:color="auto"/>
                    <w:bottom w:val="single" w:sz="8" w:space="0" w:color="auto"/>
                    <w:right w:val="nil"/>
                  </w:tcBorders>
                  <w:vAlign w:val="center"/>
                  <w:hideMark/>
                </w:tcPr>
                <w:p w14:paraId="729CC4B9"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8" w:space="0" w:color="auto"/>
                    <w:left w:val="single" w:sz="4" w:space="0" w:color="auto"/>
                    <w:bottom w:val="single" w:sz="8" w:space="0" w:color="auto"/>
                    <w:right w:val="single" w:sz="4" w:space="0" w:color="auto"/>
                  </w:tcBorders>
                  <w:vAlign w:val="center"/>
                  <w:hideMark/>
                </w:tcPr>
                <w:p w14:paraId="0333DE6D"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Dirección Proyecto</w:t>
                  </w:r>
                </w:p>
              </w:tc>
              <w:tc>
                <w:tcPr>
                  <w:tcW w:w="596" w:type="pct"/>
                  <w:tcBorders>
                    <w:top w:val="single" w:sz="8" w:space="0" w:color="auto"/>
                    <w:left w:val="nil"/>
                    <w:bottom w:val="single" w:sz="8" w:space="0" w:color="auto"/>
                    <w:right w:val="single" w:sz="4" w:space="0" w:color="auto"/>
                  </w:tcBorders>
                  <w:vAlign w:val="center"/>
                  <w:hideMark/>
                </w:tcPr>
                <w:p w14:paraId="77E8C0C1"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8" w:space="0" w:color="auto"/>
                    <w:left w:val="nil"/>
                    <w:bottom w:val="single" w:sz="8" w:space="0" w:color="auto"/>
                    <w:right w:val="single" w:sz="4" w:space="0" w:color="auto"/>
                  </w:tcBorders>
                  <w:vAlign w:val="center"/>
                  <w:hideMark/>
                </w:tcPr>
                <w:p w14:paraId="37379F0E"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8" w:space="0" w:color="auto"/>
                    <w:left w:val="nil"/>
                    <w:bottom w:val="single" w:sz="8" w:space="0" w:color="auto"/>
                    <w:right w:val="single" w:sz="4" w:space="0" w:color="auto"/>
                  </w:tcBorders>
                  <w:vAlign w:val="center"/>
                  <w:hideMark/>
                </w:tcPr>
                <w:p w14:paraId="6BDDBF10"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8" w:space="0" w:color="auto"/>
                    <w:left w:val="nil"/>
                    <w:bottom w:val="single" w:sz="8" w:space="0" w:color="auto"/>
                    <w:right w:val="single" w:sz="4" w:space="0" w:color="auto"/>
                  </w:tcBorders>
                  <w:vAlign w:val="center"/>
                  <w:hideMark/>
                </w:tcPr>
                <w:p w14:paraId="34F7C6FE"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8" w:space="0" w:color="auto"/>
                    <w:left w:val="nil"/>
                    <w:bottom w:val="single" w:sz="8" w:space="0" w:color="auto"/>
                    <w:right w:val="single" w:sz="8" w:space="0" w:color="auto"/>
                  </w:tcBorders>
                  <w:vAlign w:val="center"/>
                  <w:hideMark/>
                </w:tcPr>
                <w:p w14:paraId="2099D39E"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$ 9.516.912</w:t>
                  </w:r>
                </w:p>
              </w:tc>
            </w:tr>
            <w:tr w:rsidR="007D17A7" w:rsidRPr="007D17A7" w14:paraId="5E09264F" w14:textId="77777777" w:rsidTr="007D17A7">
              <w:trPr>
                <w:trHeight w:val="270"/>
              </w:trPr>
              <w:tc>
                <w:tcPr>
                  <w:tcW w:w="307" w:type="pct"/>
                  <w:tcBorders>
                    <w:top w:val="single" w:sz="4" w:space="0" w:color="auto"/>
                    <w:left w:val="single" w:sz="8" w:space="0" w:color="auto"/>
                    <w:bottom w:val="single" w:sz="4" w:space="0" w:color="auto"/>
                    <w:right w:val="nil"/>
                  </w:tcBorders>
                  <w:vAlign w:val="center"/>
                  <w:hideMark/>
                </w:tcPr>
                <w:p w14:paraId="794ED333"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single" w:sz="4" w:space="0" w:color="auto"/>
                    <w:left w:val="single" w:sz="4" w:space="0" w:color="auto"/>
                    <w:bottom w:val="single" w:sz="4" w:space="0" w:color="auto"/>
                    <w:right w:val="single" w:sz="4" w:space="0" w:color="auto"/>
                  </w:tcBorders>
                  <w:vAlign w:val="center"/>
                  <w:hideMark/>
                </w:tcPr>
                <w:p w14:paraId="60095000"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Director General</w:t>
                  </w:r>
                </w:p>
              </w:tc>
              <w:tc>
                <w:tcPr>
                  <w:tcW w:w="596" w:type="pct"/>
                  <w:tcBorders>
                    <w:top w:val="single" w:sz="4" w:space="0" w:color="auto"/>
                    <w:left w:val="nil"/>
                    <w:bottom w:val="single" w:sz="4" w:space="0" w:color="auto"/>
                    <w:right w:val="nil"/>
                  </w:tcBorders>
                  <w:vAlign w:val="center"/>
                  <w:hideMark/>
                </w:tcPr>
                <w:p w14:paraId="604EEF3B"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$ 6.344.608</w:t>
                  </w:r>
                </w:p>
              </w:tc>
              <w:tc>
                <w:tcPr>
                  <w:tcW w:w="544" w:type="pct"/>
                  <w:tcBorders>
                    <w:top w:val="single" w:sz="4" w:space="0" w:color="auto"/>
                    <w:left w:val="single" w:sz="4" w:space="0" w:color="auto"/>
                    <w:bottom w:val="single" w:sz="4" w:space="0" w:color="auto"/>
                    <w:right w:val="single" w:sz="4" w:space="0" w:color="auto"/>
                  </w:tcBorders>
                  <w:vAlign w:val="center"/>
                  <w:hideMark/>
                </w:tcPr>
                <w:p w14:paraId="4F3CA577"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4" w:space="0" w:color="auto"/>
                    <w:left w:val="nil"/>
                    <w:bottom w:val="single" w:sz="4" w:space="0" w:color="auto"/>
                    <w:right w:val="single" w:sz="4" w:space="0" w:color="auto"/>
                  </w:tcBorders>
                  <w:vAlign w:val="center"/>
                  <w:hideMark/>
                </w:tcPr>
                <w:p w14:paraId="64A4A9CF"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single" w:sz="4" w:space="0" w:color="auto"/>
                    <w:left w:val="nil"/>
                    <w:bottom w:val="single" w:sz="4" w:space="0" w:color="auto"/>
                    <w:right w:val="single" w:sz="4" w:space="0" w:color="auto"/>
                  </w:tcBorders>
                  <w:vAlign w:val="center"/>
                  <w:hideMark/>
                </w:tcPr>
                <w:p w14:paraId="1C135367"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single" w:sz="4" w:space="0" w:color="auto"/>
                    <w:left w:val="nil"/>
                    <w:bottom w:val="single" w:sz="4" w:space="0" w:color="auto"/>
                    <w:right w:val="single" w:sz="8" w:space="0" w:color="auto"/>
                  </w:tcBorders>
                  <w:vAlign w:val="center"/>
                  <w:hideMark/>
                </w:tcPr>
                <w:p w14:paraId="2C734ACB"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$ 9.516.912</w:t>
                  </w:r>
                </w:p>
              </w:tc>
            </w:tr>
            <w:tr w:rsidR="007D17A7" w:rsidRPr="007D17A7" w14:paraId="08746117" w14:textId="77777777" w:rsidTr="007D17A7">
              <w:trPr>
                <w:trHeight w:val="285"/>
              </w:trPr>
              <w:tc>
                <w:tcPr>
                  <w:tcW w:w="307" w:type="pct"/>
                  <w:tcBorders>
                    <w:top w:val="nil"/>
                    <w:left w:val="single" w:sz="8" w:space="0" w:color="auto"/>
                    <w:bottom w:val="single" w:sz="4" w:space="0" w:color="auto"/>
                    <w:right w:val="nil"/>
                  </w:tcBorders>
                  <w:vAlign w:val="center"/>
                  <w:hideMark/>
                </w:tcPr>
                <w:p w14:paraId="200F995D"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single" w:sz="4" w:space="0" w:color="auto"/>
                    <w:right w:val="single" w:sz="4" w:space="0" w:color="auto"/>
                  </w:tcBorders>
                  <w:vAlign w:val="center"/>
                  <w:hideMark/>
                </w:tcPr>
                <w:p w14:paraId="117B5782"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96" w:type="pct"/>
                  <w:tcBorders>
                    <w:top w:val="nil"/>
                    <w:left w:val="nil"/>
                    <w:bottom w:val="single" w:sz="4" w:space="0" w:color="auto"/>
                    <w:right w:val="single" w:sz="4" w:space="0" w:color="auto"/>
                  </w:tcBorders>
                  <w:vAlign w:val="center"/>
                  <w:hideMark/>
                </w:tcPr>
                <w:p w14:paraId="43D8DE1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4" w:space="0" w:color="auto"/>
                    <w:right w:val="single" w:sz="4" w:space="0" w:color="auto"/>
                  </w:tcBorders>
                  <w:vAlign w:val="center"/>
                  <w:hideMark/>
                </w:tcPr>
                <w:p w14:paraId="71CCACE2"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5411517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4" w:space="0" w:color="auto"/>
                    <w:right w:val="single" w:sz="4" w:space="0" w:color="auto"/>
                  </w:tcBorders>
                  <w:vAlign w:val="center"/>
                  <w:hideMark/>
                </w:tcPr>
                <w:p w14:paraId="376F035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nil"/>
                    <w:bottom w:val="single" w:sz="4" w:space="0" w:color="auto"/>
                    <w:right w:val="single" w:sz="8" w:space="0" w:color="auto"/>
                  </w:tcBorders>
                  <w:vAlign w:val="center"/>
                  <w:hideMark/>
                </w:tcPr>
                <w:p w14:paraId="38E01AE4"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r>
            <w:tr w:rsidR="007D17A7" w:rsidRPr="007D17A7" w14:paraId="59C06B19" w14:textId="77777777" w:rsidTr="007D17A7">
              <w:trPr>
                <w:trHeight w:val="285"/>
              </w:trPr>
              <w:tc>
                <w:tcPr>
                  <w:tcW w:w="307" w:type="pct"/>
                  <w:tcBorders>
                    <w:top w:val="single" w:sz="8" w:space="0" w:color="auto"/>
                    <w:left w:val="single" w:sz="8" w:space="0" w:color="auto"/>
                    <w:bottom w:val="single" w:sz="8" w:space="0" w:color="auto"/>
                    <w:right w:val="nil"/>
                  </w:tcBorders>
                  <w:vAlign w:val="center"/>
                  <w:hideMark/>
                </w:tcPr>
                <w:p w14:paraId="73BD7509"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8" w:space="0" w:color="auto"/>
                    <w:left w:val="single" w:sz="4" w:space="0" w:color="auto"/>
                    <w:bottom w:val="single" w:sz="8" w:space="0" w:color="auto"/>
                    <w:right w:val="single" w:sz="4" w:space="0" w:color="auto"/>
                  </w:tcBorders>
                  <w:vAlign w:val="center"/>
                  <w:hideMark/>
                </w:tcPr>
                <w:p w14:paraId="463FD7A0"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Residentes</w:t>
                  </w:r>
                </w:p>
              </w:tc>
              <w:tc>
                <w:tcPr>
                  <w:tcW w:w="596" w:type="pct"/>
                  <w:tcBorders>
                    <w:top w:val="single" w:sz="8" w:space="0" w:color="auto"/>
                    <w:left w:val="nil"/>
                    <w:bottom w:val="single" w:sz="8" w:space="0" w:color="auto"/>
                    <w:right w:val="single" w:sz="4" w:space="0" w:color="auto"/>
                  </w:tcBorders>
                  <w:vAlign w:val="center"/>
                  <w:hideMark/>
                </w:tcPr>
                <w:p w14:paraId="1A3FEA9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8" w:space="0" w:color="auto"/>
                    <w:left w:val="nil"/>
                    <w:bottom w:val="single" w:sz="8" w:space="0" w:color="auto"/>
                    <w:right w:val="single" w:sz="4" w:space="0" w:color="auto"/>
                  </w:tcBorders>
                  <w:vAlign w:val="center"/>
                  <w:hideMark/>
                </w:tcPr>
                <w:p w14:paraId="211892E8"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8" w:space="0" w:color="auto"/>
                    <w:left w:val="nil"/>
                    <w:bottom w:val="single" w:sz="8" w:space="0" w:color="auto"/>
                    <w:right w:val="single" w:sz="4" w:space="0" w:color="auto"/>
                  </w:tcBorders>
                  <w:vAlign w:val="center"/>
                  <w:hideMark/>
                </w:tcPr>
                <w:p w14:paraId="46C88A2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8" w:space="0" w:color="auto"/>
                    <w:left w:val="nil"/>
                    <w:bottom w:val="single" w:sz="8" w:space="0" w:color="auto"/>
                    <w:right w:val="single" w:sz="4" w:space="0" w:color="auto"/>
                  </w:tcBorders>
                  <w:vAlign w:val="center"/>
                  <w:hideMark/>
                </w:tcPr>
                <w:p w14:paraId="1668B2AB"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8" w:space="0" w:color="auto"/>
                    <w:left w:val="nil"/>
                    <w:bottom w:val="single" w:sz="8" w:space="0" w:color="auto"/>
                    <w:right w:val="single" w:sz="8" w:space="0" w:color="auto"/>
                  </w:tcBorders>
                  <w:vAlign w:val="center"/>
                  <w:hideMark/>
                </w:tcPr>
                <w:p w14:paraId="499AFBF3"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$ 25.975.650</w:t>
                  </w:r>
                </w:p>
              </w:tc>
            </w:tr>
            <w:tr w:rsidR="007D17A7" w:rsidRPr="007D17A7" w14:paraId="39CE6DED" w14:textId="77777777" w:rsidTr="007D17A7">
              <w:trPr>
                <w:trHeight w:val="270"/>
              </w:trPr>
              <w:tc>
                <w:tcPr>
                  <w:tcW w:w="307" w:type="pct"/>
                  <w:tcBorders>
                    <w:top w:val="single" w:sz="4" w:space="0" w:color="auto"/>
                    <w:left w:val="single" w:sz="8" w:space="0" w:color="auto"/>
                    <w:bottom w:val="single" w:sz="4" w:space="0" w:color="auto"/>
                    <w:right w:val="nil"/>
                  </w:tcBorders>
                  <w:vAlign w:val="center"/>
                  <w:hideMark/>
                </w:tcPr>
                <w:p w14:paraId="45D9856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5</w:t>
                  </w:r>
                </w:p>
              </w:tc>
              <w:tc>
                <w:tcPr>
                  <w:tcW w:w="1533" w:type="pct"/>
                  <w:tcBorders>
                    <w:top w:val="single" w:sz="4" w:space="0" w:color="auto"/>
                    <w:left w:val="single" w:sz="4" w:space="0" w:color="auto"/>
                    <w:bottom w:val="single" w:sz="4" w:space="0" w:color="auto"/>
                    <w:right w:val="single" w:sz="4" w:space="0" w:color="auto"/>
                  </w:tcBorders>
                  <w:vAlign w:val="center"/>
                  <w:hideMark/>
                </w:tcPr>
                <w:p w14:paraId="44DFD321"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Residente de interventoría</w:t>
                  </w:r>
                </w:p>
              </w:tc>
              <w:tc>
                <w:tcPr>
                  <w:tcW w:w="596" w:type="pct"/>
                  <w:tcBorders>
                    <w:top w:val="single" w:sz="4" w:space="0" w:color="auto"/>
                    <w:left w:val="nil"/>
                    <w:bottom w:val="single" w:sz="4" w:space="0" w:color="auto"/>
                    <w:right w:val="nil"/>
                  </w:tcBorders>
                  <w:vAlign w:val="center"/>
                  <w:hideMark/>
                </w:tcPr>
                <w:p w14:paraId="59B3657D"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$ 3.463.420</w:t>
                  </w:r>
                </w:p>
              </w:tc>
              <w:tc>
                <w:tcPr>
                  <w:tcW w:w="544" w:type="pct"/>
                  <w:tcBorders>
                    <w:top w:val="single" w:sz="4" w:space="0" w:color="auto"/>
                    <w:left w:val="single" w:sz="4" w:space="0" w:color="auto"/>
                    <w:bottom w:val="single" w:sz="4" w:space="0" w:color="auto"/>
                    <w:right w:val="single" w:sz="4" w:space="0" w:color="auto"/>
                  </w:tcBorders>
                  <w:vAlign w:val="center"/>
                  <w:hideMark/>
                </w:tcPr>
                <w:p w14:paraId="524957B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4" w:space="0" w:color="auto"/>
                    <w:left w:val="nil"/>
                    <w:bottom w:val="single" w:sz="4" w:space="0" w:color="auto"/>
                    <w:right w:val="single" w:sz="4" w:space="0" w:color="auto"/>
                  </w:tcBorders>
                  <w:vAlign w:val="center"/>
                  <w:hideMark/>
                </w:tcPr>
                <w:p w14:paraId="62B698CA"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single" w:sz="4" w:space="0" w:color="auto"/>
                    <w:left w:val="nil"/>
                    <w:bottom w:val="single" w:sz="4" w:space="0" w:color="auto"/>
                    <w:right w:val="single" w:sz="4" w:space="0" w:color="auto"/>
                  </w:tcBorders>
                  <w:vAlign w:val="center"/>
                  <w:hideMark/>
                </w:tcPr>
                <w:p w14:paraId="121055A7"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single" w:sz="4" w:space="0" w:color="auto"/>
                    <w:left w:val="nil"/>
                    <w:bottom w:val="single" w:sz="4" w:space="0" w:color="auto"/>
                    <w:right w:val="single" w:sz="8" w:space="0" w:color="auto"/>
                  </w:tcBorders>
                  <w:vAlign w:val="center"/>
                  <w:hideMark/>
                </w:tcPr>
                <w:p w14:paraId="17B29A19"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$ 25.975.650</w:t>
                  </w:r>
                </w:p>
              </w:tc>
            </w:tr>
            <w:tr w:rsidR="007D17A7" w:rsidRPr="007D17A7" w14:paraId="19C99ED5" w14:textId="77777777" w:rsidTr="007D17A7">
              <w:trPr>
                <w:trHeight w:val="285"/>
              </w:trPr>
              <w:tc>
                <w:tcPr>
                  <w:tcW w:w="307" w:type="pct"/>
                  <w:tcBorders>
                    <w:top w:val="nil"/>
                    <w:left w:val="single" w:sz="8" w:space="0" w:color="auto"/>
                    <w:bottom w:val="single" w:sz="4" w:space="0" w:color="auto"/>
                    <w:right w:val="nil"/>
                  </w:tcBorders>
                  <w:vAlign w:val="center"/>
                  <w:hideMark/>
                </w:tcPr>
                <w:p w14:paraId="3F5BE375"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single" w:sz="4" w:space="0" w:color="auto"/>
                    <w:right w:val="single" w:sz="4" w:space="0" w:color="auto"/>
                  </w:tcBorders>
                  <w:vAlign w:val="center"/>
                  <w:hideMark/>
                </w:tcPr>
                <w:p w14:paraId="4331C87C"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96" w:type="pct"/>
                  <w:tcBorders>
                    <w:top w:val="nil"/>
                    <w:left w:val="nil"/>
                    <w:bottom w:val="single" w:sz="4" w:space="0" w:color="auto"/>
                    <w:right w:val="single" w:sz="4" w:space="0" w:color="auto"/>
                  </w:tcBorders>
                  <w:vAlign w:val="center"/>
                  <w:hideMark/>
                </w:tcPr>
                <w:p w14:paraId="67E513BD"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4" w:space="0" w:color="auto"/>
                    <w:right w:val="single" w:sz="4" w:space="0" w:color="auto"/>
                  </w:tcBorders>
                  <w:vAlign w:val="center"/>
                  <w:hideMark/>
                </w:tcPr>
                <w:p w14:paraId="5A331991"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7568BCB2"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4" w:space="0" w:color="auto"/>
                    <w:right w:val="single" w:sz="4" w:space="0" w:color="auto"/>
                  </w:tcBorders>
                  <w:vAlign w:val="center"/>
                  <w:hideMark/>
                </w:tcPr>
                <w:p w14:paraId="4E1BDD84"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nil"/>
                    <w:bottom w:val="single" w:sz="4" w:space="0" w:color="auto"/>
                    <w:right w:val="single" w:sz="8" w:space="0" w:color="auto"/>
                  </w:tcBorders>
                  <w:vAlign w:val="center"/>
                  <w:hideMark/>
                </w:tcPr>
                <w:p w14:paraId="1E0DFDAD"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r>
            <w:tr w:rsidR="007D17A7" w:rsidRPr="007D17A7" w14:paraId="4CA8C99A" w14:textId="77777777" w:rsidTr="007D17A7">
              <w:trPr>
                <w:trHeight w:val="285"/>
              </w:trPr>
              <w:tc>
                <w:tcPr>
                  <w:tcW w:w="307" w:type="pct"/>
                  <w:tcBorders>
                    <w:top w:val="single" w:sz="8" w:space="0" w:color="auto"/>
                    <w:left w:val="single" w:sz="8" w:space="0" w:color="auto"/>
                    <w:bottom w:val="single" w:sz="8" w:space="0" w:color="auto"/>
                    <w:right w:val="nil"/>
                  </w:tcBorders>
                  <w:vAlign w:val="center"/>
                  <w:hideMark/>
                </w:tcPr>
                <w:p w14:paraId="66DF01B5"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8" w:space="0" w:color="auto"/>
                    <w:left w:val="single" w:sz="4" w:space="0" w:color="auto"/>
                    <w:bottom w:val="single" w:sz="8" w:space="0" w:color="auto"/>
                    <w:right w:val="single" w:sz="4" w:space="0" w:color="auto"/>
                  </w:tcBorders>
                  <w:vAlign w:val="center"/>
                  <w:hideMark/>
                </w:tcPr>
                <w:p w14:paraId="14515CAA"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Gestión Obra</w:t>
                  </w:r>
                </w:p>
              </w:tc>
              <w:tc>
                <w:tcPr>
                  <w:tcW w:w="596" w:type="pct"/>
                  <w:tcBorders>
                    <w:top w:val="single" w:sz="8" w:space="0" w:color="auto"/>
                    <w:left w:val="nil"/>
                    <w:bottom w:val="single" w:sz="8" w:space="0" w:color="auto"/>
                    <w:right w:val="single" w:sz="4" w:space="0" w:color="auto"/>
                  </w:tcBorders>
                  <w:vAlign w:val="center"/>
                  <w:hideMark/>
                </w:tcPr>
                <w:p w14:paraId="105CAC6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8" w:space="0" w:color="auto"/>
                    <w:left w:val="nil"/>
                    <w:bottom w:val="single" w:sz="8" w:space="0" w:color="auto"/>
                    <w:right w:val="single" w:sz="4" w:space="0" w:color="auto"/>
                  </w:tcBorders>
                  <w:vAlign w:val="center"/>
                  <w:hideMark/>
                </w:tcPr>
                <w:p w14:paraId="4E4F435C"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8" w:space="0" w:color="auto"/>
                    <w:left w:val="nil"/>
                    <w:bottom w:val="single" w:sz="8" w:space="0" w:color="auto"/>
                    <w:right w:val="single" w:sz="4" w:space="0" w:color="auto"/>
                  </w:tcBorders>
                  <w:vAlign w:val="center"/>
                  <w:hideMark/>
                </w:tcPr>
                <w:p w14:paraId="51D80CFE"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8" w:space="0" w:color="auto"/>
                    <w:left w:val="nil"/>
                    <w:bottom w:val="single" w:sz="8" w:space="0" w:color="auto"/>
                    <w:right w:val="single" w:sz="4" w:space="0" w:color="auto"/>
                  </w:tcBorders>
                  <w:vAlign w:val="center"/>
                  <w:hideMark/>
                </w:tcPr>
                <w:p w14:paraId="68774DAE"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8" w:space="0" w:color="auto"/>
                    <w:left w:val="nil"/>
                    <w:bottom w:val="single" w:sz="8" w:space="0" w:color="auto"/>
                    <w:right w:val="single" w:sz="8" w:space="0" w:color="auto"/>
                  </w:tcBorders>
                  <w:vAlign w:val="center"/>
                  <w:hideMark/>
                </w:tcPr>
                <w:p w14:paraId="43EBEB25"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$ 89.638.235</w:t>
                  </w:r>
                </w:p>
              </w:tc>
            </w:tr>
            <w:tr w:rsidR="007D17A7" w:rsidRPr="007D17A7" w14:paraId="3378F7A3" w14:textId="77777777" w:rsidTr="007D17A7">
              <w:trPr>
                <w:trHeight w:val="270"/>
              </w:trPr>
              <w:tc>
                <w:tcPr>
                  <w:tcW w:w="307" w:type="pct"/>
                  <w:tcBorders>
                    <w:top w:val="single" w:sz="4" w:space="0" w:color="auto"/>
                    <w:left w:val="single" w:sz="8" w:space="0" w:color="auto"/>
                    <w:bottom w:val="single" w:sz="4" w:space="0" w:color="auto"/>
                    <w:right w:val="nil"/>
                  </w:tcBorders>
                  <w:vAlign w:val="center"/>
                  <w:hideMark/>
                </w:tcPr>
                <w:p w14:paraId="024AE6A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4" w:space="0" w:color="auto"/>
                    <w:left w:val="single" w:sz="4" w:space="0" w:color="auto"/>
                    <w:bottom w:val="single" w:sz="4" w:space="0" w:color="auto"/>
                    <w:right w:val="single" w:sz="4" w:space="0" w:color="auto"/>
                  </w:tcBorders>
                  <w:vAlign w:val="center"/>
                  <w:hideMark/>
                </w:tcPr>
                <w:p w14:paraId="0E7F2FA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96" w:type="pct"/>
                  <w:tcBorders>
                    <w:top w:val="single" w:sz="4" w:space="0" w:color="auto"/>
                    <w:left w:val="nil"/>
                    <w:bottom w:val="single" w:sz="4" w:space="0" w:color="auto"/>
                    <w:right w:val="single" w:sz="4" w:space="0" w:color="auto"/>
                  </w:tcBorders>
                  <w:vAlign w:val="center"/>
                  <w:hideMark/>
                </w:tcPr>
                <w:p w14:paraId="40538F68"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4" w:space="0" w:color="auto"/>
                    <w:left w:val="nil"/>
                    <w:bottom w:val="single" w:sz="4" w:space="0" w:color="auto"/>
                    <w:right w:val="single" w:sz="4" w:space="0" w:color="auto"/>
                  </w:tcBorders>
                  <w:vAlign w:val="center"/>
                  <w:hideMark/>
                </w:tcPr>
                <w:p w14:paraId="60B157AE"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4" w:space="0" w:color="auto"/>
                    <w:left w:val="nil"/>
                    <w:bottom w:val="single" w:sz="4" w:space="0" w:color="auto"/>
                    <w:right w:val="single" w:sz="4" w:space="0" w:color="auto"/>
                  </w:tcBorders>
                  <w:vAlign w:val="center"/>
                  <w:hideMark/>
                </w:tcPr>
                <w:p w14:paraId="0E7D9252"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4" w:space="0" w:color="auto"/>
                    <w:left w:val="nil"/>
                    <w:bottom w:val="single" w:sz="4" w:space="0" w:color="auto"/>
                    <w:right w:val="single" w:sz="4" w:space="0" w:color="auto"/>
                  </w:tcBorders>
                  <w:vAlign w:val="center"/>
                  <w:hideMark/>
                </w:tcPr>
                <w:p w14:paraId="0262FAAE"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4" w:space="0" w:color="auto"/>
                    <w:left w:val="nil"/>
                    <w:bottom w:val="single" w:sz="4" w:space="0" w:color="auto"/>
                    <w:right w:val="single" w:sz="8" w:space="0" w:color="auto"/>
                  </w:tcBorders>
                  <w:vAlign w:val="center"/>
                  <w:hideMark/>
                </w:tcPr>
                <w:p w14:paraId="2A37A31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r>
            <w:tr w:rsidR="007D17A7" w:rsidRPr="007D17A7" w14:paraId="17B417C2" w14:textId="77777777" w:rsidTr="007D17A7">
              <w:trPr>
                <w:trHeight w:val="270"/>
              </w:trPr>
              <w:tc>
                <w:tcPr>
                  <w:tcW w:w="307" w:type="pct"/>
                  <w:tcBorders>
                    <w:top w:val="nil"/>
                    <w:left w:val="single" w:sz="8" w:space="0" w:color="auto"/>
                    <w:bottom w:val="single" w:sz="4" w:space="0" w:color="auto"/>
                    <w:right w:val="nil"/>
                  </w:tcBorders>
                  <w:vAlign w:val="center"/>
                  <w:hideMark/>
                </w:tcPr>
                <w:p w14:paraId="42C0F4DE"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w:t>
                  </w:r>
                </w:p>
              </w:tc>
              <w:tc>
                <w:tcPr>
                  <w:tcW w:w="1533" w:type="pct"/>
                  <w:tcBorders>
                    <w:top w:val="nil"/>
                    <w:left w:val="single" w:sz="4" w:space="0" w:color="auto"/>
                    <w:bottom w:val="single" w:sz="4" w:space="0" w:color="auto"/>
                    <w:right w:val="single" w:sz="4" w:space="0" w:color="auto"/>
                  </w:tcBorders>
                  <w:vAlign w:val="center"/>
                  <w:hideMark/>
                </w:tcPr>
                <w:p w14:paraId="7F7EBB84"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xml:space="preserve">INSPECTOR TECNICO Inspector 1 </w:t>
                  </w:r>
                </w:p>
              </w:tc>
              <w:tc>
                <w:tcPr>
                  <w:tcW w:w="596" w:type="pct"/>
                  <w:tcBorders>
                    <w:top w:val="nil"/>
                    <w:left w:val="nil"/>
                    <w:bottom w:val="single" w:sz="4" w:space="0" w:color="auto"/>
                    <w:right w:val="nil"/>
                  </w:tcBorders>
                  <w:vAlign w:val="center"/>
                  <w:hideMark/>
                </w:tcPr>
                <w:p w14:paraId="3BECB31C"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$ 2.171.747</w:t>
                  </w:r>
                </w:p>
              </w:tc>
              <w:tc>
                <w:tcPr>
                  <w:tcW w:w="544" w:type="pct"/>
                  <w:tcBorders>
                    <w:top w:val="nil"/>
                    <w:left w:val="single" w:sz="4" w:space="0" w:color="auto"/>
                    <w:bottom w:val="single" w:sz="4" w:space="0" w:color="auto"/>
                    <w:right w:val="single" w:sz="4" w:space="0" w:color="auto"/>
                  </w:tcBorders>
                  <w:vAlign w:val="center"/>
                  <w:hideMark/>
                </w:tcPr>
                <w:p w14:paraId="02A01244"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51E96D0E"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nil"/>
                    <w:left w:val="nil"/>
                    <w:bottom w:val="single" w:sz="4" w:space="0" w:color="auto"/>
                    <w:right w:val="single" w:sz="4" w:space="0" w:color="auto"/>
                  </w:tcBorders>
                  <w:vAlign w:val="center"/>
                  <w:hideMark/>
                </w:tcPr>
                <w:p w14:paraId="03098E54"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20A5E7A3"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$ 32.576.205</w:t>
                  </w:r>
                </w:p>
              </w:tc>
            </w:tr>
            <w:tr w:rsidR="007D17A7" w:rsidRPr="007D17A7" w14:paraId="4C920861" w14:textId="77777777" w:rsidTr="007D17A7">
              <w:trPr>
                <w:trHeight w:val="270"/>
              </w:trPr>
              <w:tc>
                <w:tcPr>
                  <w:tcW w:w="307" w:type="pct"/>
                  <w:tcBorders>
                    <w:top w:val="nil"/>
                    <w:left w:val="single" w:sz="8" w:space="0" w:color="auto"/>
                    <w:bottom w:val="single" w:sz="4" w:space="0" w:color="auto"/>
                    <w:right w:val="nil"/>
                  </w:tcBorders>
                  <w:vAlign w:val="center"/>
                  <w:hideMark/>
                </w:tcPr>
                <w:p w14:paraId="73003927"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5</w:t>
                  </w:r>
                </w:p>
              </w:tc>
              <w:tc>
                <w:tcPr>
                  <w:tcW w:w="1533" w:type="pct"/>
                  <w:tcBorders>
                    <w:top w:val="nil"/>
                    <w:left w:val="single" w:sz="4" w:space="0" w:color="auto"/>
                    <w:bottom w:val="single" w:sz="4" w:space="0" w:color="auto"/>
                    <w:right w:val="single" w:sz="4" w:space="0" w:color="auto"/>
                  </w:tcBorders>
                  <w:vAlign w:val="center"/>
                  <w:hideMark/>
                </w:tcPr>
                <w:p w14:paraId="6A9D788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xml:space="preserve">PROFESIONAL SST  </w:t>
                  </w:r>
                </w:p>
              </w:tc>
              <w:tc>
                <w:tcPr>
                  <w:tcW w:w="596" w:type="pct"/>
                  <w:tcBorders>
                    <w:top w:val="nil"/>
                    <w:left w:val="nil"/>
                    <w:bottom w:val="single" w:sz="4" w:space="0" w:color="auto"/>
                    <w:right w:val="nil"/>
                  </w:tcBorders>
                  <w:vAlign w:val="center"/>
                  <w:hideMark/>
                </w:tcPr>
                <w:p w14:paraId="36262B36"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$ 3.463.420</w:t>
                  </w:r>
                </w:p>
              </w:tc>
              <w:tc>
                <w:tcPr>
                  <w:tcW w:w="544" w:type="pct"/>
                  <w:tcBorders>
                    <w:top w:val="nil"/>
                    <w:left w:val="single" w:sz="4" w:space="0" w:color="auto"/>
                    <w:bottom w:val="single" w:sz="4" w:space="0" w:color="auto"/>
                    <w:right w:val="single" w:sz="4" w:space="0" w:color="auto"/>
                  </w:tcBorders>
                  <w:vAlign w:val="center"/>
                  <w:hideMark/>
                </w:tcPr>
                <w:p w14:paraId="715491B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546787FA"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nil"/>
                    <w:left w:val="nil"/>
                    <w:bottom w:val="single" w:sz="4" w:space="0" w:color="auto"/>
                    <w:right w:val="single" w:sz="4" w:space="0" w:color="auto"/>
                  </w:tcBorders>
                  <w:vAlign w:val="center"/>
                  <w:hideMark/>
                </w:tcPr>
                <w:p w14:paraId="22D861F5"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6232A934"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$ 25.975.650</w:t>
                  </w:r>
                </w:p>
              </w:tc>
            </w:tr>
            <w:tr w:rsidR="007D17A7" w:rsidRPr="007D17A7" w14:paraId="2F218D1D" w14:textId="77777777" w:rsidTr="007D17A7">
              <w:trPr>
                <w:trHeight w:val="270"/>
              </w:trPr>
              <w:tc>
                <w:tcPr>
                  <w:tcW w:w="307" w:type="pct"/>
                  <w:tcBorders>
                    <w:top w:val="nil"/>
                    <w:left w:val="single" w:sz="8" w:space="0" w:color="auto"/>
                    <w:bottom w:val="single" w:sz="4" w:space="0" w:color="auto"/>
                    <w:right w:val="nil"/>
                  </w:tcBorders>
                  <w:vAlign w:val="center"/>
                  <w:hideMark/>
                </w:tcPr>
                <w:p w14:paraId="19585EF0"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5</w:t>
                  </w:r>
                </w:p>
              </w:tc>
              <w:tc>
                <w:tcPr>
                  <w:tcW w:w="1533" w:type="pct"/>
                  <w:tcBorders>
                    <w:top w:val="nil"/>
                    <w:left w:val="single" w:sz="4" w:space="0" w:color="auto"/>
                    <w:bottom w:val="single" w:sz="4" w:space="0" w:color="auto"/>
                    <w:right w:val="single" w:sz="4" w:space="0" w:color="auto"/>
                  </w:tcBorders>
                  <w:vAlign w:val="center"/>
                  <w:hideMark/>
                </w:tcPr>
                <w:p w14:paraId="6E3ECDA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INSPECTOR SISOMA Inspector 2</w:t>
                  </w:r>
                </w:p>
              </w:tc>
              <w:tc>
                <w:tcPr>
                  <w:tcW w:w="596" w:type="pct"/>
                  <w:tcBorders>
                    <w:top w:val="nil"/>
                    <w:left w:val="nil"/>
                    <w:bottom w:val="single" w:sz="4" w:space="0" w:color="auto"/>
                    <w:right w:val="nil"/>
                  </w:tcBorders>
                  <w:vAlign w:val="center"/>
                  <w:hideMark/>
                </w:tcPr>
                <w:p w14:paraId="7A64E099"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$ 2.171.747</w:t>
                  </w:r>
                </w:p>
              </w:tc>
              <w:tc>
                <w:tcPr>
                  <w:tcW w:w="544" w:type="pct"/>
                  <w:tcBorders>
                    <w:top w:val="nil"/>
                    <w:left w:val="single" w:sz="4" w:space="0" w:color="auto"/>
                    <w:bottom w:val="single" w:sz="4" w:space="0" w:color="auto"/>
                    <w:right w:val="single" w:sz="4" w:space="0" w:color="auto"/>
                  </w:tcBorders>
                  <w:vAlign w:val="center"/>
                  <w:hideMark/>
                </w:tcPr>
                <w:p w14:paraId="0B0958E1"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00A356A1"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nil"/>
                    <w:left w:val="nil"/>
                    <w:bottom w:val="single" w:sz="4" w:space="0" w:color="auto"/>
                    <w:right w:val="single" w:sz="4" w:space="0" w:color="auto"/>
                  </w:tcBorders>
                  <w:vAlign w:val="center"/>
                  <w:hideMark/>
                </w:tcPr>
                <w:p w14:paraId="153F1C62"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3130906E"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$ 16.288.103</w:t>
                  </w:r>
                </w:p>
              </w:tc>
            </w:tr>
            <w:tr w:rsidR="007D17A7" w:rsidRPr="007D17A7" w14:paraId="784A52CC" w14:textId="77777777" w:rsidTr="007D17A7">
              <w:trPr>
                <w:trHeight w:val="270"/>
              </w:trPr>
              <w:tc>
                <w:tcPr>
                  <w:tcW w:w="307" w:type="pct"/>
                  <w:tcBorders>
                    <w:top w:val="nil"/>
                    <w:left w:val="single" w:sz="8" w:space="0" w:color="auto"/>
                    <w:bottom w:val="single" w:sz="4" w:space="0" w:color="auto"/>
                    <w:right w:val="nil"/>
                  </w:tcBorders>
                  <w:vAlign w:val="center"/>
                  <w:hideMark/>
                </w:tcPr>
                <w:p w14:paraId="352F55C2"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nil"/>
                    <w:left w:val="single" w:sz="4" w:space="0" w:color="auto"/>
                    <w:bottom w:val="single" w:sz="4" w:space="0" w:color="auto"/>
                    <w:right w:val="single" w:sz="4" w:space="0" w:color="auto"/>
                  </w:tcBorders>
                  <w:vAlign w:val="center"/>
                  <w:hideMark/>
                </w:tcPr>
                <w:p w14:paraId="73F9C8D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xml:space="preserve">GESTOR SOCIAL </w:t>
                  </w:r>
                </w:p>
              </w:tc>
              <w:tc>
                <w:tcPr>
                  <w:tcW w:w="596" w:type="pct"/>
                  <w:tcBorders>
                    <w:top w:val="nil"/>
                    <w:left w:val="nil"/>
                    <w:bottom w:val="single" w:sz="4" w:space="0" w:color="auto"/>
                    <w:right w:val="nil"/>
                  </w:tcBorders>
                  <w:vAlign w:val="center"/>
                  <w:hideMark/>
                </w:tcPr>
                <w:p w14:paraId="509B65CB"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$ 3.463.420</w:t>
                  </w:r>
                </w:p>
              </w:tc>
              <w:tc>
                <w:tcPr>
                  <w:tcW w:w="544" w:type="pct"/>
                  <w:tcBorders>
                    <w:top w:val="nil"/>
                    <w:left w:val="single" w:sz="4" w:space="0" w:color="auto"/>
                    <w:bottom w:val="single" w:sz="4" w:space="0" w:color="auto"/>
                    <w:right w:val="single" w:sz="4" w:space="0" w:color="auto"/>
                  </w:tcBorders>
                  <w:vAlign w:val="center"/>
                  <w:hideMark/>
                </w:tcPr>
                <w:p w14:paraId="749CF216"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440031EC"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nil"/>
                    <w:left w:val="nil"/>
                    <w:bottom w:val="single" w:sz="4" w:space="0" w:color="auto"/>
                    <w:right w:val="single" w:sz="4" w:space="0" w:color="auto"/>
                  </w:tcBorders>
                  <w:vAlign w:val="center"/>
                  <w:hideMark/>
                </w:tcPr>
                <w:p w14:paraId="5688155B"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3DA8301B"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$ 5.195.130</w:t>
                  </w:r>
                </w:p>
              </w:tc>
            </w:tr>
            <w:tr w:rsidR="007D17A7" w:rsidRPr="007D17A7" w14:paraId="1D3F241E" w14:textId="77777777" w:rsidTr="007D17A7">
              <w:trPr>
                <w:trHeight w:val="270"/>
              </w:trPr>
              <w:tc>
                <w:tcPr>
                  <w:tcW w:w="307" w:type="pct"/>
                  <w:tcBorders>
                    <w:top w:val="nil"/>
                    <w:left w:val="single" w:sz="8" w:space="0" w:color="auto"/>
                    <w:bottom w:val="single" w:sz="4" w:space="0" w:color="auto"/>
                    <w:right w:val="nil"/>
                  </w:tcBorders>
                  <w:vAlign w:val="center"/>
                  <w:hideMark/>
                </w:tcPr>
                <w:p w14:paraId="565757E4"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nil"/>
                    <w:left w:val="single" w:sz="4" w:space="0" w:color="auto"/>
                    <w:bottom w:val="single" w:sz="4" w:space="0" w:color="auto"/>
                    <w:right w:val="single" w:sz="4" w:space="0" w:color="auto"/>
                  </w:tcBorders>
                  <w:vAlign w:val="center"/>
                  <w:hideMark/>
                </w:tcPr>
                <w:p w14:paraId="6FD3A25D"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INGENIERO AMBIENTAL</w:t>
                  </w:r>
                </w:p>
              </w:tc>
              <w:tc>
                <w:tcPr>
                  <w:tcW w:w="596" w:type="pct"/>
                  <w:tcBorders>
                    <w:top w:val="nil"/>
                    <w:left w:val="nil"/>
                    <w:bottom w:val="single" w:sz="4" w:space="0" w:color="auto"/>
                    <w:right w:val="nil"/>
                  </w:tcBorders>
                  <w:vAlign w:val="center"/>
                  <w:hideMark/>
                </w:tcPr>
                <w:p w14:paraId="2508B024"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$ 3.463.420</w:t>
                  </w:r>
                </w:p>
              </w:tc>
              <w:tc>
                <w:tcPr>
                  <w:tcW w:w="544" w:type="pct"/>
                  <w:tcBorders>
                    <w:top w:val="nil"/>
                    <w:left w:val="single" w:sz="4" w:space="0" w:color="auto"/>
                    <w:bottom w:val="single" w:sz="4" w:space="0" w:color="auto"/>
                    <w:right w:val="single" w:sz="4" w:space="0" w:color="auto"/>
                  </w:tcBorders>
                  <w:vAlign w:val="center"/>
                  <w:hideMark/>
                </w:tcPr>
                <w:p w14:paraId="595A0D5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6EBEF8FA"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nil"/>
                    <w:left w:val="nil"/>
                    <w:bottom w:val="single" w:sz="4" w:space="0" w:color="auto"/>
                    <w:right w:val="nil"/>
                  </w:tcBorders>
                  <w:vAlign w:val="center"/>
                  <w:hideMark/>
                </w:tcPr>
                <w:p w14:paraId="2F62935F"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single" w:sz="4" w:space="0" w:color="auto"/>
                    <w:bottom w:val="single" w:sz="4" w:space="0" w:color="auto"/>
                    <w:right w:val="single" w:sz="8" w:space="0" w:color="auto"/>
                  </w:tcBorders>
                  <w:vAlign w:val="center"/>
                  <w:hideMark/>
                </w:tcPr>
                <w:p w14:paraId="73BC636C"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$ 5.195.130</w:t>
                  </w:r>
                </w:p>
              </w:tc>
            </w:tr>
            <w:tr w:rsidR="007D17A7" w:rsidRPr="007D17A7" w14:paraId="1B817480" w14:textId="77777777" w:rsidTr="007D17A7">
              <w:trPr>
                <w:trHeight w:val="285"/>
              </w:trPr>
              <w:tc>
                <w:tcPr>
                  <w:tcW w:w="307" w:type="pct"/>
                  <w:tcBorders>
                    <w:top w:val="nil"/>
                    <w:left w:val="single" w:sz="8" w:space="0" w:color="auto"/>
                    <w:bottom w:val="single" w:sz="4" w:space="0" w:color="auto"/>
                    <w:right w:val="nil"/>
                  </w:tcBorders>
                  <w:vAlign w:val="center"/>
                  <w:hideMark/>
                </w:tcPr>
                <w:p w14:paraId="1A594C5F"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nil"/>
                    <w:left w:val="single" w:sz="4" w:space="0" w:color="auto"/>
                    <w:bottom w:val="single" w:sz="4" w:space="0" w:color="auto"/>
                    <w:right w:val="single" w:sz="4" w:space="0" w:color="auto"/>
                  </w:tcBorders>
                  <w:vAlign w:val="center"/>
                  <w:hideMark/>
                </w:tcPr>
                <w:p w14:paraId="6ED39833"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SECRETARIA</w:t>
                  </w:r>
                </w:p>
              </w:tc>
              <w:tc>
                <w:tcPr>
                  <w:tcW w:w="596" w:type="pct"/>
                  <w:tcBorders>
                    <w:top w:val="nil"/>
                    <w:left w:val="nil"/>
                    <w:bottom w:val="single" w:sz="4" w:space="0" w:color="auto"/>
                    <w:right w:val="nil"/>
                  </w:tcBorders>
                  <w:vAlign w:val="center"/>
                  <w:hideMark/>
                </w:tcPr>
                <w:p w14:paraId="4682C580"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$ 2.938.678</w:t>
                  </w:r>
                </w:p>
              </w:tc>
              <w:tc>
                <w:tcPr>
                  <w:tcW w:w="544" w:type="pct"/>
                  <w:tcBorders>
                    <w:top w:val="nil"/>
                    <w:left w:val="single" w:sz="4" w:space="0" w:color="auto"/>
                    <w:bottom w:val="single" w:sz="4" w:space="0" w:color="auto"/>
                    <w:right w:val="single" w:sz="4" w:space="0" w:color="auto"/>
                  </w:tcBorders>
                  <w:vAlign w:val="center"/>
                  <w:hideMark/>
                </w:tcPr>
                <w:p w14:paraId="21DFABC6"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1CCD9077"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nil"/>
                    <w:left w:val="nil"/>
                    <w:bottom w:val="single" w:sz="4" w:space="0" w:color="auto"/>
                    <w:right w:val="nil"/>
                  </w:tcBorders>
                  <w:vAlign w:val="center"/>
                  <w:hideMark/>
                </w:tcPr>
                <w:p w14:paraId="152BEE4A"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single" w:sz="4" w:space="0" w:color="auto"/>
                    <w:bottom w:val="single" w:sz="4" w:space="0" w:color="auto"/>
                    <w:right w:val="single" w:sz="8" w:space="0" w:color="auto"/>
                  </w:tcBorders>
                  <w:vAlign w:val="center"/>
                  <w:hideMark/>
                </w:tcPr>
                <w:p w14:paraId="5161442E"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$ 4.408.017</w:t>
                  </w:r>
                </w:p>
              </w:tc>
            </w:tr>
            <w:tr w:rsidR="007D17A7" w:rsidRPr="007D17A7" w14:paraId="5FD0CC94" w14:textId="77777777" w:rsidTr="007D17A7">
              <w:trPr>
                <w:trHeight w:val="285"/>
              </w:trPr>
              <w:tc>
                <w:tcPr>
                  <w:tcW w:w="307" w:type="pct"/>
                  <w:tcBorders>
                    <w:top w:val="single" w:sz="8" w:space="0" w:color="auto"/>
                    <w:left w:val="single" w:sz="8" w:space="0" w:color="auto"/>
                    <w:bottom w:val="single" w:sz="8" w:space="0" w:color="auto"/>
                    <w:right w:val="nil"/>
                  </w:tcBorders>
                  <w:vAlign w:val="center"/>
                  <w:hideMark/>
                </w:tcPr>
                <w:p w14:paraId="505F198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8" w:space="0" w:color="auto"/>
                    <w:left w:val="single" w:sz="4" w:space="0" w:color="auto"/>
                    <w:bottom w:val="single" w:sz="8" w:space="0" w:color="auto"/>
                    <w:right w:val="single" w:sz="4" w:space="0" w:color="auto"/>
                  </w:tcBorders>
                  <w:vAlign w:val="center"/>
                  <w:hideMark/>
                </w:tcPr>
                <w:p w14:paraId="6B6357BC"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Levantamiento Topográfico</w:t>
                  </w:r>
                </w:p>
              </w:tc>
              <w:tc>
                <w:tcPr>
                  <w:tcW w:w="596" w:type="pct"/>
                  <w:tcBorders>
                    <w:top w:val="single" w:sz="8" w:space="0" w:color="auto"/>
                    <w:left w:val="nil"/>
                    <w:bottom w:val="single" w:sz="8" w:space="0" w:color="auto"/>
                    <w:right w:val="single" w:sz="4" w:space="0" w:color="auto"/>
                  </w:tcBorders>
                  <w:vAlign w:val="center"/>
                  <w:hideMark/>
                </w:tcPr>
                <w:p w14:paraId="5D29C5A0"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8" w:space="0" w:color="auto"/>
                    <w:left w:val="nil"/>
                    <w:bottom w:val="single" w:sz="8" w:space="0" w:color="auto"/>
                    <w:right w:val="single" w:sz="4" w:space="0" w:color="auto"/>
                  </w:tcBorders>
                  <w:vAlign w:val="center"/>
                  <w:hideMark/>
                </w:tcPr>
                <w:p w14:paraId="268F6E8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8" w:space="0" w:color="auto"/>
                    <w:left w:val="nil"/>
                    <w:bottom w:val="single" w:sz="8" w:space="0" w:color="auto"/>
                    <w:right w:val="single" w:sz="4" w:space="0" w:color="auto"/>
                  </w:tcBorders>
                  <w:vAlign w:val="center"/>
                  <w:hideMark/>
                </w:tcPr>
                <w:p w14:paraId="679118D9"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8" w:space="0" w:color="auto"/>
                    <w:left w:val="nil"/>
                    <w:bottom w:val="single" w:sz="8" w:space="0" w:color="auto"/>
                    <w:right w:val="single" w:sz="4" w:space="0" w:color="auto"/>
                  </w:tcBorders>
                  <w:vAlign w:val="center"/>
                  <w:hideMark/>
                </w:tcPr>
                <w:p w14:paraId="44731FD0"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8" w:space="0" w:color="auto"/>
                    <w:left w:val="nil"/>
                    <w:bottom w:val="single" w:sz="8" w:space="0" w:color="auto"/>
                    <w:right w:val="single" w:sz="8" w:space="0" w:color="auto"/>
                  </w:tcBorders>
                  <w:vAlign w:val="center"/>
                  <w:hideMark/>
                </w:tcPr>
                <w:p w14:paraId="0F984662"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$ 5.859.774</w:t>
                  </w:r>
                </w:p>
              </w:tc>
            </w:tr>
            <w:tr w:rsidR="007D17A7" w:rsidRPr="007D17A7" w14:paraId="46F54622" w14:textId="77777777" w:rsidTr="007D17A7">
              <w:trPr>
                <w:trHeight w:val="270"/>
              </w:trPr>
              <w:tc>
                <w:tcPr>
                  <w:tcW w:w="307" w:type="pct"/>
                  <w:tcBorders>
                    <w:top w:val="single" w:sz="4" w:space="0" w:color="auto"/>
                    <w:left w:val="single" w:sz="8" w:space="0" w:color="auto"/>
                    <w:bottom w:val="single" w:sz="4" w:space="0" w:color="auto"/>
                    <w:right w:val="nil"/>
                  </w:tcBorders>
                  <w:vAlign w:val="center"/>
                  <w:hideMark/>
                </w:tcPr>
                <w:p w14:paraId="684545B2"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single" w:sz="4" w:space="0" w:color="auto"/>
                    <w:left w:val="single" w:sz="4" w:space="0" w:color="auto"/>
                    <w:bottom w:val="single" w:sz="4" w:space="0" w:color="auto"/>
                    <w:right w:val="single" w:sz="4" w:space="0" w:color="auto"/>
                  </w:tcBorders>
                  <w:vAlign w:val="center"/>
                  <w:hideMark/>
                </w:tcPr>
                <w:p w14:paraId="448FA823"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Topografo -  Inspector</w:t>
                  </w:r>
                </w:p>
              </w:tc>
              <w:tc>
                <w:tcPr>
                  <w:tcW w:w="596" w:type="pct"/>
                  <w:tcBorders>
                    <w:top w:val="single" w:sz="4" w:space="0" w:color="auto"/>
                    <w:left w:val="nil"/>
                    <w:bottom w:val="single" w:sz="4" w:space="0" w:color="auto"/>
                    <w:right w:val="single" w:sz="4" w:space="0" w:color="auto"/>
                  </w:tcBorders>
                  <w:vAlign w:val="center"/>
                  <w:hideMark/>
                </w:tcPr>
                <w:p w14:paraId="563224D3"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$ 2.171.747</w:t>
                  </w:r>
                </w:p>
              </w:tc>
              <w:tc>
                <w:tcPr>
                  <w:tcW w:w="544" w:type="pct"/>
                  <w:tcBorders>
                    <w:top w:val="single" w:sz="4" w:space="0" w:color="auto"/>
                    <w:left w:val="nil"/>
                    <w:bottom w:val="single" w:sz="4" w:space="0" w:color="auto"/>
                    <w:right w:val="single" w:sz="4" w:space="0" w:color="auto"/>
                  </w:tcBorders>
                  <w:vAlign w:val="center"/>
                  <w:hideMark/>
                </w:tcPr>
                <w:p w14:paraId="5CBB91E3"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4" w:space="0" w:color="auto"/>
                    <w:left w:val="nil"/>
                    <w:bottom w:val="single" w:sz="4" w:space="0" w:color="auto"/>
                    <w:right w:val="single" w:sz="4" w:space="0" w:color="auto"/>
                  </w:tcBorders>
                  <w:vAlign w:val="center"/>
                  <w:hideMark/>
                </w:tcPr>
                <w:p w14:paraId="22D88623"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50%</w:t>
                  </w:r>
                </w:p>
              </w:tc>
              <w:tc>
                <w:tcPr>
                  <w:tcW w:w="486" w:type="pct"/>
                  <w:tcBorders>
                    <w:top w:val="single" w:sz="4" w:space="0" w:color="auto"/>
                    <w:left w:val="nil"/>
                    <w:bottom w:val="single" w:sz="4" w:space="0" w:color="auto"/>
                    <w:right w:val="single" w:sz="4" w:space="0" w:color="auto"/>
                  </w:tcBorders>
                  <w:vAlign w:val="center"/>
                  <w:hideMark/>
                </w:tcPr>
                <w:p w14:paraId="679EA9EE"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single" w:sz="4" w:space="0" w:color="auto"/>
                    <w:left w:val="nil"/>
                    <w:bottom w:val="single" w:sz="4" w:space="0" w:color="auto"/>
                    <w:right w:val="single" w:sz="8" w:space="0" w:color="auto"/>
                  </w:tcBorders>
                  <w:vAlign w:val="center"/>
                  <w:hideMark/>
                </w:tcPr>
                <w:p w14:paraId="4CE9F8A9"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$ 1.628.810</w:t>
                  </w:r>
                </w:p>
              </w:tc>
            </w:tr>
            <w:tr w:rsidR="007D17A7" w:rsidRPr="007D17A7" w14:paraId="577988AA" w14:textId="77777777" w:rsidTr="007D17A7">
              <w:trPr>
                <w:trHeight w:val="285"/>
              </w:trPr>
              <w:tc>
                <w:tcPr>
                  <w:tcW w:w="307" w:type="pct"/>
                  <w:tcBorders>
                    <w:top w:val="nil"/>
                    <w:left w:val="single" w:sz="8" w:space="0" w:color="auto"/>
                    <w:bottom w:val="single" w:sz="4" w:space="0" w:color="auto"/>
                    <w:right w:val="nil"/>
                  </w:tcBorders>
                  <w:vAlign w:val="center"/>
                  <w:hideMark/>
                </w:tcPr>
                <w:p w14:paraId="4A905EEB"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nil"/>
                    <w:left w:val="single" w:sz="4" w:space="0" w:color="auto"/>
                    <w:bottom w:val="single" w:sz="4" w:space="0" w:color="auto"/>
                    <w:right w:val="single" w:sz="4" w:space="0" w:color="auto"/>
                  </w:tcBorders>
                  <w:vAlign w:val="center"/>
                  <w:hideMark/>
                </w:tcPr>
                <w:p w14:paraId="1F962BAC"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Cadenero</w:t>
                  </w:r>
                </w:p>
              </w:tc>
              <w:tc>
                <w:tcPr>
                  <w:tcW w:w="596" w:type="pct"/>
                  <w:tcBorders>
                    <w:top w:val="nil"/>
                    <w:left w:val="nil"/>
                    <w:bottom w:val="nil"/>
                    <w:right w:val="single" w:sz="4" w:space="0" w:color="auto"/>
                  </w:tcBorders>
                  <w:vAlign w:val="center"/>
                  <w:hideMark/>
                </w:tcPr>
                <w:p w14:paraId="5F163834"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$ 1.776.662</w:t>
                  </w:r>
                </w:p>
              </w:tc>
              <w:tc>
                <w:tcPr>
                  <w:tcW w:w="544" w:type="pct"/>
                  <w:tcBorders>
                    <w:top w:val="nil"/>
                    <w:left w:val="nil"/>
                    <w:bottom w:val="single" w:sz="4" w:space="0" w:color="auto"/>
                    <w:right w:val="single" w:sz="4" w:space="0" w:color="auto"/>
                  </w:tcBorders>
                  <w:vAlign w:val="center"/>
                  <w:hideMark/>
                </w:tcPr>
                <w:p w14:paraId="7277111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5CD8406D"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50%</w:t>
                  </w:r>
                </w:p>
              </w:tc>
              <w:tc>
                <w:tcPr>
                  <w:tcW w:w="486" w:type="pct"/>
                  <w:tcBorders>
                    <w:top w:val="nil"/>
                    <w:left w:val="nil"/>
                    <w:bottom w:val="single" w:sz="4" w:space="0" w:color="auto"/>
                    <w:right w:val="single" w:sz="4" w:space="0" w:color="auto"/>
                  </w:tcBorders>
                  <w:vAlign w:val="center"/>
                  <w:hideMark/>
                </w:tcPr>
                <w:p w14:paraId="6F2C8D1B"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1B2E3A26"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$ 1.332.497</w:t>
                  </w:r>
                </w:p>
              </w:tc>
            </w:tr>
            <w:tr w:rsidR="007D17A7" w:rsidRPr="007D17A7" w14:paraId="7AB7CC72" w14:textId="77777777" w:rsidTr="007D17A7">
              <w:trPr>
                <w:trHeight w:val="270"/>
              </w:trPr>
              <w:tc>
                <w:tcPr>
                  <w:tcW w:w="307" w:type="pct"/>
                  <w:tcBorders>
                    <w:top w:val="nil"/>
                    <w:left w:val="single" w:sz="8" w:space="0" w:color="auto"/>
                    <w:bottom w:val="nil"/>
                    <w:right w:val="nil"/>
                  </w:tcBorders>
                  <w:vAlign w:val="center"/>
                  <w:hideMark/>
                </w:tcPr>
                <w:p w14:paraId="6C7CB8D2"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nil"/>
                    <w:left w:val="single" w:sz="4" w:space="0" w:color="auto"/>
                    <w:bottom w:val="nil"/>
                    <w:right w:val="single" w:sz="4" w:space="0" w:color="auto"/>
                  </w:tcBorders>
                  <w:vAlign w:val="center"/>
                  <w:hideMark/>
                </w:tcPr>
                <w:p w14:paraId="07CB530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Laboratorista Inspector</w:t>
                  </w:r>
                </w:p>
              </w:tc>
              <w:tc>
                <w:tcPr>
                  <w:tcW w:w="596" w:type="pct"/>
                  <w:tcBorders>
                    <w:top w:val="single" w:sz="4" w:space="0" w:color="auto"/>
                    <w:left w:val="nil"/>
                    <w:bottom w:val="single" w:sz="4" w:space="0" w:color="auto"/>
                    <w:right w:val="single" w:sz="4" w:space="0" w:color="auto"/>
                  </w:tcBorders>
                  <w:vAlign w:val="center"/>
                  <w:hideMark/>
                </w:tcPr>
                <w:p w14:paraId="1E3D7F20"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$ 2.087.960</w:t>
                  </w:r>
                </w:p>
              </w:tc>
              <w:tc>
                <w:tcPr>
                  <w:tcW w:w="544" w:type="pct"/>
                  <w:tcBorders>
                    <w:top w:val="nil"/>
                    <w:left w:val="nil"/>
                    <w:bottom w:val="nil"/>
                    <w:right w:val="single" w:sz="4" w:space="0" w:color="auto"/>
                  </w:tcBorders>
                  <w:vAlign w:val="center"/>
                  <w:hideMark/>
                </w:tcPr>
                <w:p w14:paraId="3842B5F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724B4ED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50%</w:t>
                  </w:r>
                </w:p>
              </w:tc>
              <w:tc>
                <w:tcPr>
                  <w:tcW w:w="486" w:type="pct"/>
                  <w:tcBorders>
                    <w:top w:val="nil"/>
                    <w:left w:val="nil"/>
                    <w:bottom w:val="single" w:sz="4" w:space="0" w:color="auto"/>
                    <w:right w:val="single" w:sz="4" w:space="0" w:color="auto"/>
                  </w:tcBorders>
                  <w:vAlign w:val="center"/>
                  <w:hideMark/>
                </w:tcPr>
                <w:p w14:paraId="4E1CA250"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3B8BBBFE"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$ 1.565.970</w:t>
                  </w:r>
                </w:p>
              </w:tc>
            </w:tr>
            <w:tr w:rsidR="007D17A7" w:rsidRPr="007D17A7" w14:paraId="671716E3" w14:textId="77777777" w:rsidTr="007D17A7">
              <w:trPr>
                <w:trHeight w:val="285"/>
              </w:trPr>
              <w:tc>
                <w:tcPr>
                  <w:tcW w:w="307" w:type="pct"/>
                  <w:tcBorders>
                    <w:top w:val="single" w:sz="4" w:space="0" w:color="auto"/>
                    <w:left w:val="single" w:sz="8" w:space="0" w:color="auto"/>
                    <w:bottom w:val="nil"/>
                    <w:right w:val="nil"/>
                  </w:tcBorders>
                  <w:vAlign w:val="center"/>
                  <w:hideMark/>
                </w:tcPr>
                <w:p w14:paraId="782B350F"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single" w:sz="4" w:space="0" w:color="auto"/>
                    <w:left w:val="single" w:sz="4" w:space="0" w:color="auto"/>
                    <w:bottom w:val="nil"/>
                    <w:right w:val="single" w:sz="4" w:space="0" w:color="auto"/>
                  </w:tcBorders>
                  <w:vAlign w:val="center"/>
                  <w:hideMark/>
                </w:tcPr>
                <w:p w14:paraId="2C9F8633"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Laboratorista Auxiliar</w:t>
                  </w:r>
                </w:p>
              </w:tc>
              <w:tc>
                <w:tcPr>
                  <w:tcW w:w="596" w:type="pct"/>
                  <w:tcBorders>
                    <w:top w:val="nil"/>
                    <w:left w:val="nil"/>
                    <w:bottom w:val="nil"/>
                    <w:right w:val="single" w:sz="4" w:space="0" w:color="auto"/>
                  </w:tcBorders>
                  <w:vAlign w:val="center"/>
                  <w:hideMark/>
                </w:tcPr>
                <w:p w14:paraId="7EEC0ED7"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$ 1.776.662</w:t>
                  </w:r>
                </w:p>
              </w:tc>
              <w:tc>
                <w:tcPr>
                  <w:tcW w:w="544" w:type="pct"/>
                  <w:tcBorders>
                    <w:top w:val="single" w:sz="4" w:space="0" w:color="auto"/>
                    <w:left w:val="nil"/>
                    <w:bottom w:val="nil"/>
                    <w:right w:val="single" w:sz="4" w:space="0" w:color="auto"/>
                  </w:tcBorders>
                  <w:vAlign w:val="center"/>
                  <w:hideMark/>
                </w:tcPr>
                <w:p w14:paraId="410256C6"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11C7CFC3"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50%</w:t>
                  </w:r>
                </w:p>
              </w:tc>
              <w:tc>
                <w:tcPr>
                  <w:tcW w:w="486" w:type="pct"/>
                  <w:tcBorders>
                    <w:top w:val="nil"/>
                    <w:left w:val="nil"/>
                    <w:bottom w:val="single" w:sz="4" w:space="0" w:color="auto"/>
                    <w:right w:val="single" w:sz="4" w:space="0" w:color="auto"/>
                  </w:tcBorders>
                  <w:vAlign w:val="center"/>
                  <w:hideMark/>
                </w:tcPr>
                <w:p w14:paraId="397A198C"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1C32E20F"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$ 1.332.497</w:t>
                  </w:r>
                </w:p>
              </w:tc>
            </w:tr>
            <w:tr w:rsidR="007D17A7" w:rsidRPr="007D17A7" w14:paraId="20E6C667" w14:textId="77777777" w:rsidTr="007D17A7">
              <w:trPr>
                <w:trHeight w:val="300"/>
              </w:trPr>
              <w:tc>
                <w:tcPr>
                  <w:tcW w:w="307" w:type="pct"/>
                  <w:tcBorders>
                    <w:top w:val="single" w:sz="4" w:space="0" w:color="auto"/>
                    <w:left w:val="single" w:sz="8" w:space="0" w:color="auto"/>
                    <w:bottom w:val="single" w:sz="4" w:space="0" w:color="auto"/>
                    <w:right w:val="nil"/>
                  </w:tcBorders>
                  <w:vAlign w:val="center"/>
                  <w:hideMark/>
                </w:tcPr>
                <w:p w14:paraId="7BD60091"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4" w:space="0" w:color="auto"/>
                    <w:left w:val="single" w:sz="4" w:space="0" w:color="auto"/>
                    <w:bottom w:val="single" w:sz="4" w:space="0" w:color="auto"/>
                    <w:right w:val="single" w:sz="4" w:space="0" w:color="auto"/>
                  </w:tcBorders>
                  <w:vAlign w:val="center"/>
                  <w:hideMark/>
                </w:tcPr>
                <w:p w14:paraId="5BE0AF6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96" w:type="pct"/>
                  <w:tcBorders>
                    <w:top w:val="single" w:sz="4" w:space="0" w:color="auto"/>
                    <w:left w:val="nil"/>
                    <w:bottom w:val="single" w:sz="4" w:space="0" w:color="auto"/>
                    <w:right w:val="nil"/>
                  </w:tcBorders>
                  <w:vAlign w:val="center"/>
                  <w:hideMark/>
                </w:tcPr>
                <w:p w14:paraId="55B64F5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4" w:space="0" w:color="auto"/>
                    <w:left w:val="single" w:sz="4" w:space="0" w:color="auto"/>
                    <w:bottom w:val="single" w:sz="4" w:space="0" w:color="auto"/>
                    <w:right w:val="single" w:sz="4" w:space="0" w:color="auto"/>
                  </w:tcBorders>
                  <w:vAlign w:val="center"/>
                  <w:hideMark/>
                </w:tcPr>
                <w:p w14:paraId="4E0EDB01"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2AF48EC1"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4" w:space="0" w:color="auto"/>
                    <w:right w:val="single" w:sz="4" w:space="0" w:color="auto"/>
                  </w:tcBorders>
                  <w:vAlign w:val="center"/>
                  <w:hideMark/>
                </w:tcPr>
                <w:p w14:paraId="0315505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nil"/>
                    <w:bottom w:val="single" w:sz="4" w:space="0" w:color="auto"/>
                    <w:right w:val="single" w:sz="8" w:space="0" w:color="auto"/>
                  </w:tcBorders>
                  <w:vAlign w:val="center"/>
                  <w:hideMark/>
                </w:tcPr>
                <w:p w14:paraId="63B7E55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r>
            <w:tr w:rsidR="007D17A7" w:rsidRPr="007D17A7" w14:paraId="33441982" w14:textId="77777777" w:rsidTr="007D17A7">
              <w:trPr>
                <w:trHeight w:val="270"/>
              </w:trPr>
              <w:tc>
                <w:tcPr>
                  <w:tcW w:w="307" w:type="pct"/>
                  <w:tcBorders>
                    <w:top w:val="single" w:sz="8" w:space="0" w:color="auto"/>
                    <w:left w:val="single" w:sz="8" w:space="0" w:color="auto"/>
                    <w:bottom w:val="single" w:sz="8" w:space="0" w:color="auto"/>
                    <w:right w:val="nil"/>
                  </w:tcBorders>
                  <w:vAlign w:val="center"/>
                  <w:hideMark/>
                </w:tcPr>
                <w:p w14:paraId="50562EF0"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1533" w:type="pct"/>
                  <w:tcBorders>
                    <w:top w:val="single" w:sz="8" w:space="0" w:color="auto"/>
                    <w:left w:val="single" w:sz="4" w:space="0" w:color="auto"/>
                    <w:bottom w:val="single" w:sz="8" w:space="0" w:color="auto"/>
                    <w:right w:val="nil"/>
                  </w:tcBorders>
                  <w:vAlign w:val="center"/>
                  <w:hideMark/>
                </w:tcPr>
                <w:p w14:paraId="15539F02"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SUBTOTAL COSTOS DE PERSONAL = SUMATORIA DE (5) = (6)</w:t>
                  </w:r>
                </w:p>
              </w:tc>
              <w:tc>
                <w:tcPr>
                  <w:tcW w:w="596" w:type="pct"/>
                  <w:tcBorders>
                    <w:top w:val="single" w:sz="8" w:space="0" w:color="auto"/>
                    <w:left w:val="nil"/>
                    <w:bottom w:val="single" w:sz="8" w:space="0" w:color="auto"/>
                    <w:right w:val="nil"/>
                  </w:tcBorders>
                  <w:vAlign w:val="center"/>
                  <w:hideMark/>
                </w:tcPr>
                <w:p w14:paraId="4407BFD5"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44" w:type="pct"/>
                  <w:tcBorders>
                    <w:top w:val="single" w:sz="8" w:space="0" w:color="auto"/>
                    <w:left w:val="nil"/>
                    <w:bottom w:val="single" w:sz="8" w:space="0" w:color="auto"/>
                    <w:right w:val="nil"/>
                  </w:tcBorders>
                  <w:vAlign w:val="center"/>
                  <w:hideMark/>
                </w:tcPr>
                <w:p w14:paraId="78571961"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56" w:type="pct"/>
                  <w:tcBorders>
                    <w:top w:val="single" w:sz="8" w:space="0" w:color="auto"/>
                    <w:left w:val="nil"/>
                    <w:bottom w:val="single" w:sz="8" w:space="0" w:color="auto"/>
                    <w:right w:val="nil"/>
                  </w:tcBorders>
                  <w:vAlign w:val="center"/>
                  <w:hideMark/>
                </w:tcPr>
                <w:p w14:paraId="4075979F"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486" w:type="pct"/>
                  <w:tcBorders>
                    <w:top w:val="single" w:sz="8" w:space="0" w:color="auto"/>
                    <w:left w:val="nil"/>
                    <w:bottom w:val="single" w:sz="8" w:space="0" w:color="auto"/>
                    <w:right w:val="nil"/>
                  </w:tcBorders>
                  <w:vAlign w:val="center"/>
                  <w:hideMark/>
                </w:tcPr>
                <w:p w14:paraId="7A46927D"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977" w:type="pct"/>
                  <w:tcBorders>
                    <w:top w:val="single" w:sz="8" w:space="0" w:color="auto"/>
                    <w:left w:val="single" w:sz="4" w:space="0" w:color="auto"/>
                    <w:bottom w:val="single" w:sz="8" w:space="0" w:color="auto"/>
                    <w:right w:val="single" w:sz="8" w:space="0" w:color="auto"/>
                  </w:tcBorders>
                  <w:vAlign w:val="center"/>
                  <w:hideMark/>
                </w:tcPr>
                <w:p w14:paraId="006EBC8D"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$ 130.990.571,00</w:t>
                  </w:r>
                </w:p>
              </w:tc>
            </w:tr>
            <w:tr w:rsidR="007D17A7" w:rsidRPr="007D17A7" w14:paraId="01038993" w14:textId="77777777" w:rsidTr="007D17A7">
              <w:trPr>
                <w:trHeight w:val="270"/>
              </w:trPr>
              <w:tc>
                <w:tcPr>
                  <w:tcW w:w="307" w:type="pct"/>
                  <w:tcBorders>
                    <w:top w:val="nil"/>
                    <w:left w:val="single" w:sz="8" w:space="0" w:color="auto"/>
                    <w:bottom w:val="single" w:sz="8" w:space="0" w:color="auto"/>
                    <w:right w:val="nil"/>
                  </w:tcBorders>
                  <w:vAlign w:val="center"/>
                  <w:hideMark/>
                </w:tcPr>
                <w:p w14:paraId="5693511D"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1533" w:type="pct"/>
                  <w:tcBorders>
                    <w:top w:val="nil"/>
                    <w:left w:val="single" w:sz="4" w:space="0" w:color="auto"/>
                    <w:bottom w:val="single" w:sz="8" w:space="0" w:color="auto"/>
                    <w:right w:val="nil"/>
                  </w:tcBorders>
                  <w:vAlign w:val="center"/>
                  <w:hideMark/>
                </w:tcPr>
                <w:p w14:paraId="6C9BB66A"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FACTOR MULTIPLICADOR (7)</w:t>
                  </w:r>
                </w:p>
              </w:tc>
              <w:tc>
                <w:tcPr>
                  <w:tcW w:w="596" w:type="pct"/>
                  <w:tcBorders>
                    <w:top w:val="nil"/>
                    <w:left w:val="nil"/>
                    <w:bottom w:val="single" w:sz="8" w:space="0" w:color="auto"/>
                    <w:right w:val="nil"/>
                  </w:tcBorders>
                  <w:vAlign w:val="center"/>
                  <w:hideMark/>
                </w:tcPr>
                <w:p w14:paraId="2CB1DFD1"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44" w:type="pct"/>
                  <w:tcBorders>
                    <w:top w:val="nil"/>
                    <w:left w:val="nil"/>
                    <w:bottom w:val="single" w:sz="8" w:space="0" w:color="auto"/>
                    <w:right w:val="nil"/>
                  </w:tcBorders>
                  <w:vAlign w:val="center"/>
                  <w:hideMark/>
                </w:tcPr>
                <w:p w14:paraId="3EE43090"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56" w:type="pct"/>
                  <w:tcBorders>
                    <w:top w:val="nil"/>
                    <w:left w:val="nil"/>
                    <w:bottom w:val="single" w:sz="8" w:space="0" w:color="auto"/>
                    <w:right w:val="nil"/>
                  </w:tcBorders>
                  <w:vAlign w:val="center"/>
                  <w:hideMark/>
                </w:tcPr>
                <w:p w14:paraId="5327E3C5"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486" w:type="pct"/>
                  <w:tcBorders>
                    <w:top w:val="nil"/>
                    <w:left w:val="nil"/>
                    <w:bottom w:val="single" w:sz="8" w:space="0" w:color="auto"/>
                    <w:right w:val="nil"/>
                  </w:tcBorders>
                  <w:vAlign w:val="center"/>
                  <w:hideMark/>
                </w:tcPr>
                <w:p w14:paraId="3C59E624"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977" w:type="pct"/>
                  <w:tcBorders>
                    <w:top w:val="nil"/>
                    <w:left w:val="nil"/>
                    <w:bottom w:val="single" w:sz="8" w:space="0" w:color="auto"/>
                    <w:right w:val="single" w:sz="8" w:space="0" w:color="auto"/>
                  </w:tcBorders>
                  <w:vAlign w:val="center"/>
                  <w:hideMark/>
                </w:tcPr>
                <w:p w14:paraId="5FDECA4B"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1,960</w:t>
                  </w:r>
                </w:p>
              </w:tc>
            </w:tr>
            <w:tr w:rsidR="007D17A7" w:rsidRPr="007D17A7" w14:paraId="07CA7949" w14:textId="77777777" w:rsidTr="007D17A7">
              <w:trPr>
                <w:trHeight w:val="315"/>
              </w:trPr>
              <w:tc>
                <w:tcPr>
                  <w:tcW w:w="307" w:type="pct"/>
                  <w:tcBorders>
                    <w:top w:val="nil"/>
                    <w:left w:val="single" w:sz="8" w:space="0" w:color="auto"/>
                    <w:bottom w:val="single" w:sz="8" w:space="0" w:color="auto"/>
                    <w:right w:val="nil"/>
                  </w:tcBorders>
                  <w:vAlign w:val="center"/>
                  <w:hideMark/>
                </w:tcPr>
                <w:p w14:paraId="7FC1763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lastRenderedPageBreak/>
                    <w:t> </w:t>
                  </w:r>
                </w:p>
              </w:tc>
              <w:tc>
                <w:tcPr>
                  <w:tcW w:w="1533" w:type="pct"/>
                  <w:tcBorders>
                    <w:top w:val="nil"/>
                    <w:left w:val="single" w:sz="4" w:space="0" w:color="auto"/>
                    <w:bottom w:val="single" w:sz="8" w:space="0" w:color="auto"/>
                    <w:right w:val="nil"/>
                  </w:tcBorders>
                  <w:vAlign w:val="center"/>
                  <w:hideMark/>
                </w:tcPr>
                <w:p w14:paraId="3BE0DD18"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xml:space="preserve">TOTAL COSTOS DE PERSONAL = (6) * (7) = (A) </w:t>
                  </w:r>
                </w:p>
              </w:tc>
              <w:tc>
                <w:tcPr>
                  <w:tcW w:w="596" w:type="pct"/>
                  <w:tcBorders>
                    <w:top w:val="nil"/>
                    <w:left w:val="nil"/>
                    <w:bottom w:val="single" w:sz="8" w:space="0" w:color="auto"/>
                    <w:right w:val="nil"/>
                  </w:tcBorders>
                  <w:vAlign w:val="center"/>
                  <w:hideMark/>
                </w:tcPr>
                <w:p w14:paraId="3C8EC141"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8" w:space="0" w:color="auto"/>
                    <w:right w:val="nil"/>
                  </w:tcBorders>
                  <w:vAlign w:val="center"/>
                  <w:hideMark/>
                </w:tcPr>
                <w:p w14:paraId="4B98A4C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8" w:space="0" w:color="auto"/>
                    <w:right w:val="nil"/>
                  </w:tcBorders>
                  <w:vAlign w:val="center"/>
                  <w:hideMark/>
                </w:tcPr>
                <w:p w14:paraId="39F6D2D8"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8" w:space="0" w:color="auto"/>
                    <w:right w:val="nil"/>
                  </w:tcBorders>
                  <w:vAlign w:val="center"/>
                  <w:hideMark/>
                </w:tcPr>
                <w:p w14:paraId="4D036CCE"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single" w:sz="4" w:space="0" w:color="auto"/>
                    <w:bottom w:val="single" w:sz="8" w:space="0" w:color="auto"/>
                    <w:right w:val="single" w:sz="8" w:space="0" w:color="auto"/>
                  </w:tcBorders>
                  <w:vAlign w:val="center"/>
                  <w:hideMark/>
                </w:tcPr>
                <w:p w14:paraId="1771E77E"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$ 256.741.519,00</w:t>
                  </w:r>
                </w:p>
              </w:tc>
            </w:tr>
            <w:tr w:rsidR="007D17A7" w:rsidRPr="007D17A7" w14:paraId="2D1BF17A" w14:textId="77777777" w:rsidTr="007D17A7">
              <w:trPr>
                <w:trHeight w:val="315"/>
              </w:trPr>
              <w:tc>
                <w:tcPr>
                  <w:tcW w:w="307" w:type="pct"/>
                  <w:tcBorders>
                    <w:top w:val="nil"/>
                    <w:left w:val="single" w:sz="8" w:space="0" w:color="auto"/>
                    <w:bottom w:val="nil"/>
                    <w:right w:val="nil"/>
                  </w:tcBorders>
                  <w:vAlign w:val="center"/>
                  <w:hideMark/>
                </w:tcPr>
                <w:p w14:paraId="7D9B94F2"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nil"/>
                    <w:bottom w:val="nil"/>
                    <w:right w:val="nil"/>
                  </w:tcBorders>
                  <w:vAlign w:val="center"/>
                  <w:hideMark/>
                </w:tcPr>
                <w:p w14:paraId="54AE074B"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96" w:type="pct"/>
                  <w:tcBorders>
                    <w:top w:val="nil"/>
                    <w:left w:val="nil"/>
                    <w:bottom w:val="nil"/>
                    <w:right w:val="nil"/>
                  </w:tcBorders>
                  <w:vAlign w:val="center"/>
                  <w:hideMark/>
                </w:tcPr>
                <w:p w14:paraId="335A99FE"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nil"/>
                    <w:right w:val="nil"/>
                  </w:tcBorders>
                  <w:vAlign w:val="center"/>
                  <w:hideMark/>
                </w:tcPr>
                <w:p w14:paraId="35D285A2"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nil"/>
                    <w:right w:val="nil"/>
                  </w:tcBorders>
                  <w:vAlign w:val="center"/>
                  <w:hideMark/>
                </w:tcPr>
                <w:p w14:paraId="685D61F4"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nil"/>
                    <w:right w:val="nil"/>
                  </w:tcBorders>
                  <w:vAlign w:val="center"/>
                  <w:hideMark/>
                </w:tcPr>
                <w:p w14:paraId="6183C021"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nil"/>
                    <w:bottom w:val="nil"/>
                    <w:right w:val="single" w:sz="8" w:space="0" w:color="auto"/>
                  </w:tcBorders>
                  <w:vAlign w:val="center"/>
                  <w:hideMark/>
                </w:tcPr>
                <w:p w14:paraId="166EA0CF"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r>
            <w:tr w:rsidR="007D17A7" w:rsidRPr="007D17A7" w14:paraId="1C8F47E1" w14:textId="77777777" w:rsidTr="007D17A7">
              <w:trPr>
                <w:trHeight w:val="315"/>
              </w:trPr>
              <w:tc>
                <w:tcPr>
                  <w:tcW w:w="307" w:type="pct"/>
                  <w:tcBorders>
                    <w:top w:val="single" w:sz="8" w:space="0" w:color="auto"/>
                    <w:left w:val="single" w:sz="8" w:space="0" w:color="auto"/>
                    <w:bottom w:val="nil"/>
                    <w:right w:val="nil"/>
                  </w:tcBorders>
                  <w:vAlign w:val="center"/>
                  <w:hideMark/>
                </w:tcPr>
                <w:p w14:paraId="240BABB7"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8" w:space="0" w:color="auto"/>
                    <w:left w:val="single" w:sz="4" w:space="0" w:color="auto"/>
                    <w:bottom w:val="nil"/>
                    <w:right w:val="nil"/>
                  </w:tcBorders>
                  <w:vAlign w:val="center"/>
                  <w:hideMark/>
                </w:tcPr>
                <w:p w14:paraId="6EC74F83"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596" w:type="pct"/>
                  <w:tcBorders>
                    <w:top w:val="single" w:sz="8" w:space="0" w:color="auto"/>
                    <w:left w:val="single" w:sz="4" w:space="0" w:color="auto"/>
                    <w:bottom w:val="nil"/>
                    <w:right w:val="single" w:sz="4" w:space="0" w:color="auto"/>
                  </w:tcBorders>
                  <w:vAlign w:val="center"/>
                  <w:hideMark/>
                </w:tcPr>
                <w:p w14:paraId="6F42521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8" w:space="0" w:color="auto"/>
                    <w:left w:val="nil"/>
                    <w:bottom w:val="nil"/>
                    <w:right w:val="single" w:sz="4" w:space="0" w:color="auto"/>
                  </w:tcBorders>
                  <w:vAlign w:val="center"/>
                  <w:hideMark/>
                </w:tcPr>
                <w:p w14:paraId="5E54462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COSTO</w:t>
                  </w:r>
                </w:p>
              </w:tc>
              <w:tc>
                <w:tcPr>
                  <w:tcW w:w="556" w:type="pct"/>
                  <w:tcBorders>
                    <w:top w:val="single" w:sz="8" w:space="0" w:color="auto"/>
                    <w:left w:val="nil"/>
                    <w:bottom w:val="nil"/>
                    <w:right w:val="single" w:sz="4" w:space="0" w:color="auto"/>
                  </w:tcBorders>
                  <w:vAlign w:val="center"/>
                  <w:hideMark/>
                </w:tcPr>
                <w:p w14:paraId="6213FB24"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8" w:space="0" w:color="auto"/>
                    <w:left w:val="nil"/>
                    <w:bottom w:val="nil"/>
                    <w:right w:val="single" w:sz="4" w:space="0" w:color="auto"/>
                  </w:tcBorders>
                  <w:vAlign w:val="center"/>
                  <w:hideMark/>
                </w:tcPr>
                <w:p w14:paraId="33967E07"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 TIEMPO DE </w:t>
                  </w:r>
                </w:p>
              </w:tc>
              <w:tc>
                <w:tcPr>
                  <w:tcW w:w="977" w:type="pct"/>
                  <w:tcBorders>
                    <w:top w:val="single" w:sz="8" w:space="0" w:color="auto"/>
                    <w:left w:val="nil"/>
                    <w:bottom w:val="nil"/>
                    <w:right w:val="single" w:sz="8" w:space="0" w:color="auto"/>
                  </w:tcBorders>
                  <w:vAlign w:val="center"/>
                  <w:hideMark/>
                </w:tcPr>
                <w:p w14:paraId="2F6DA63D"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VALOR</w:t>
                  </w:r>
                </w:p>
              </w:tc>
            </w:tr>
            <w:tr w:rsidR="007D17A7" w:rsidRPr="007D17A7" w14:paraId="7C54319E" w14:textId="77777777" w:rsidTr="007D17A7">
              <w:trPr>
                <w:trHeight w:val="315"/>
              </w:trPr>
              <w:tc>
                <w:tcPr>
                  <w:tcW w:w="307" w:type="pct"/>
                  <w:tcBorders>
                    <w:top w:val="nil"/>
                    <w:left w:val="single" w:sz="8" w:space="0" w:color="auto"/>
                    <w:bottom w:val="nil"/>
                    <w:right w:val="nil"/>
                  </w:tcBorders>
                  <w:vAlign w:val="center"/>
                  <w:hideMark/>
                </w:tcPr>
                <w:p w14:paraId="3FC554C9"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CANT.</w:t>
                  </w:r>
                </w:p>
              </w:tc>
              <w:tc>
                <w:tcPr>
                  <w:tcW w:w="1533" w:type="pct"/>
                  <w:tcBorders>
                    <w:top w:val="nil"/>
                    <w:left w:val="single" w:sz="4" w:space="0" w:color="auto"/>
                    <w:bottom w:val="nil"/>
                    <w:right w:val="nil"/>
                  </w:tcBorders>
                  <w:vAlign w:val="center"/>
                  <w:hideMark/>
                </w:tcPr>
                <w:p w14:paraId="105278E4"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CONCEPTO</w:t>
                  </w:r>
                </w:p>
              </w:tc>
              <w:tc>
                <w:tcPr>
                  <w:tcW w:w="596" w:type="pct"/>
                  <w:tcBorders>
                    <w:top w:val="nil"/>
                    <w:left w:val="single" w:sz="4" w:space="0" w:color="auto"/>
                    <w:bottom w:val="nil"/>
                    <w:right w:val="single" w:sz="4" w:space="0" w:color="auto"/>
                  </w:tcBorders>
                  <w:vAlign w:val="center"/>
                  <w:hideMark/>
                </w:tcPr>
                <w:p w14:paraId="46F47C73"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UNIDAD</w:t>
                  </w:r>
                </w:p>
              </w:tc>
              <w:tc>
                <w:tcPr>
                  <w:tcW w:w="544" w:type="pct"/>
                  <w:tcBorders>
                    <w:top w:val="nil"/>
                    <w:left w:val="nil"/>
                    <w:bottom w:val="nil"/>
                    <w:right w:val="single" w:sz="4" w:space="0" w:color="auto"/>
                  </w:tcBorders>
                  <w:vAlign w:val="center"/>
                  <w:hideMark/>
                </w:tcPr>
                <w:p w14:paraId="2C57156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w:t>
                  </w:r>
                </w:p>
              </w:tc>
              <w:tc>
                <w:tcPr>
                  <w:tcW w:w="556" w:type="pct"/>
                  <w:tcBorders>
                    <w:top w:val="nil"/>
                    <w:left w:val="nil"/>
                    <w:bottom w:val="nil"/>
                    <w:right w:val="single" w:sz="4" w:space="0" w:color="auto"/>
                  </w:tcBorders>
                  <w:vAlign w:val="center"/>
                  <w:hideMark/>
                </w:tcPr>
                <w:p w14:paraId="23DCF127"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nil"/>
                    <w:right w:val="single" w:sz="4" w:space="0" w:color="auto"/>
                  </w:tcBorders>
                  <w:vAlign w:val="center"/>
                  <w:hideMark/>
                </w:tcPr>
                <w:p w14:paraId="6E1C2BBF"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 UTILIZACIÓN </w:t>
                  </w:r>
                </w:p>
              </w:tc>
              <w:tc>
                <w:tcPr>
                  <w:tcW w:w="977" w:type="pct"/>
                  <w:tcBorders>
                    <w:top w:val="nil"/>
                    <w:left w:val="nil"/>
                    <w:bottom w:val="nil"/>
                    <w:right w:val="single" w:sz="8" w:space="0" w:color="auto"/>
                  </w:tcBorders>
                  <w:vAlign w:val="center"/>
                  <w:hideMark/>
                </w:tcPr>
                <w:p w14:paraId="49C742A3"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PARCIAL ($)</w:t>
                  </w:r>
                </w:p>
              </w:tc>
            </w:tr>
            <w:tr w:rsidR="007D17A7" w:rsidRPr="007D17A7" w14:paraId="6B0893E0" w14:textId="77777777" w:rsidTr="007D17A7">
              <w:trPr>
                <w:trHeight w:val="315"/>
              </w:trPr>
              <w:tc>
                <w:tcPr>
                  <w:tcW w:w="307" w:type="pct"/>
                  <w:tcBorders>
                    <w:top w:val="nil"/>
                    <w:left w:val="single" w:sz="8" w:space="0" w:color="auto"/>
                    <w:bottom w:val="single" w:sz="8" w:space="0" w:color="auto"/>
                    <w:right w:val="nil"/>
                  </w:tcBorders>
                  <w:vAlign w:val="center"/>
                  <w:hideMark/>
                </w:tcPr>
                <w:p w14:paraId="4500626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(8)</w:t>
                  </w:r>
                </w:p>
              </w:tc>
              <w:tc>
                <w:tcPr>
                  <w:tcW w:w="1533" w:type="pct"/>
                  <w:tcBorders>
                    <w:top w:val="nil"/>
                    <w:left w:val="single" w:sz="4" w:space="0" w:color="auto"/>
                    <w:bottom w:val="single" w:sz="8" w:space="0" w:color="auto"/>
                    <w:right w:val="nil"/>
                  </w:tcBorders>
                  <w:vAlign w:val="center"/>
                  <w:hideMark/>
                </w:tcPr>
                <w:p w14:paraId="3ACBC164"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596" w:type="pct"/>
                  <w:tcBorders>
                    <w:top w:val="nil"/>
                    <w:left w:val="single" w:sz="4" w:space="0" w:color="auto"/>
                    <w:bottom w:val="single" w:sz="8" w:space="0" w:color="auto"/>
                    <w:right w:val="single" w:sz="4" w:space="0" w:color="auto"/>
                  </w:tcBorders>
                  <w:vAlign w:val="center"/>
                  <w:hideMark/>
                </w:tcPr>
                <w:p w14:paraId="35C6E71B"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8" w:space="0" w:color="auto"/>
                    <w:right w:val="single" w:sz="4" w:space="0" w:color="auto"/>
                  </w:tcBorders>
                  <w:vAlign w:val="center"/>
                  <w:hideMark/>
                </w:tcPr>
                <w:p w14:paraId="2A9CBF1E"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(9)</w:t>
                  </w:r>
                </w:p>
              </w:tc>
              <w:tc>
                <w:tcPr>
                  <w:tcW w:w="556" w:type="pct"/>
                  <w:tcBorders>
                    <w:top w:val="nil"/>
                    <w:left w:val="nil"/>
                    <w:bottom w:val="single" w:sz="8" w:space="0" w:color="auto"/>
                    <w:right w:val="single" w:sz="4" w:space="0" w:color="auto"/>
                  </w:tcBorders>
                  <w:vAlign w:val="center"/>
                  <w:hideMark/>
                </w:tcPr>
                <w:p w14:paraId="5A5CA03D"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8" w:space="0" w:color="auto"/>
                    <w:right w:val="single" w:sz="4" w:space="0" w:color="auto"/>
                  </w:tcBorders>
                  <w:vAlign w:val="center"/>
                  <w:hideMark/>
                </w:tcPr>
                <w:p w14:paraId="2E7C22CC"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 TOTAL (10) </w:t>
                  </w:r>
                </w:p>
              </w:tc>
              <w:tc>
                <w:tcPr>
                  <w:tcW w:w="977" w:type="pct"/>
                  <w:tcBorders>
                    <w:top w:val="nil"/>
                    <w:left w:val="nil"/>
                    <w:bottom w:val="single" w:sz="8" w:space="0" w:color="auto"/>
                    <w:right w:val="single" w:sz="8" w:space="0" w:color="auto"/>
                  </w:tcBorders>
                  <w:vAlign w:val="center"/>
                  <w:hideMark/>
                </w:tcPr>
                <w:p w14:paraId="6B4FAF65"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(8) * (9) * (10) = (11)</w:t>
                  </w:r>
                </w:p>
              </w:tc>
            </w:tr>
            <w:tr w:rsidR="007D17A7" w:rsidRPr="007D17A7" w14:paraId="6BF38442" w14:textId="77777777" w:rsidTr="007D17A7">
              <w:trPr>
                <w:trHeight w:val="495"/>
              </w:trPr>
              <w:tc>
                <w:tcPr>
                  <w:tcW w:w="5000" w:type="pct"/>
                  <w:gridSpan w:val="7"/>
                  <w:tcBorders>
                    <w:top w:val="single" w:sz="8" w:space="0" w:color="auto"/>
                    <w:left w:val="single" w:sz="8" w:space="0" w:color="auto"/>
                    <w:bottom w:val="single" w:sz="4" w:space="0" w:color="auto"/>
                    <w:right w:val="single" w:sz="8" w:space="0" w:color="auto"/>
                  </w:tcBorders>
                  <w:shd w:val="clear" w:color="CCCCCC" w:fill="D8D8D8"/>
                  <w:vAlign w:val="center"/>
                  <w:hideMark/>
                </w:tcPr>
                <w:p w14:paraId="431DDEA7"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OTROS COSTOS DIRECTOS</w:t>
                  </w:r>
                </w:p>
              </w:tc>
            </w:tr>
            <w:tr w:rsidR="007D17A7" w:rsidRPr="007D17A7" w14:paraId="3A656128" w14:textId="77777777" w:rsidTr="007D17A7">
              <w:trPr>
                <w:trHeight w:val="465"/>
              </w:trPr>
              <w:tc>
                <w:tcPr>
                  <w:tcW w:w="307" w:type="pct"/>
                  <w:tcBorders>
                    <w:top w:val="nil"/>
                    <w:left w:val="single" w:sz="8" w:space="0" w:color="auto"/>
                    <w:bottom w:val="single" w:sz="8" w:space="0" w:color="auto"/>
                    <w:right w:val="nil"/>
                  </w:tcBorders>
                  <w:shd w:val="clear" w:color="CCCCCC" w:fill="D8D8D8"/>
                  <w:vAlign w:val="center"/>
                  <w:hideMark/>
                </w:tcPr>
                <w:p w14:paraId="7825BEC6"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single" w:sz="8" w:space="0" w:color="auto"/>
                    <w:right w:val="single" w:sz="4" w:space="0" w:color="auto"/>
                  </w:tcBorders>
                  <w:shd w:val="clear" w:color="CCCCCC" w:fill="D8D8D8"/>
                  <w:vAlign w:val="center"/>
                  <w:hideMark/>
                </w:tcPr>
                <w:p w14:paraId="5B14BA39"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xml:space="preserve"> ALQUILER DE EQUIPOS</w:t>
                  </w:r>
                </w:p>
              </w:tc>
              <w:tc>
                <w:tcPr>
                  <w:tcW w:w="596" w:type="pct"/>
                  <w:tcBorders>
                    <w:top w:val="nil"/>
                    <w:left w:val="nil"/>
                    <w:bottom w:val="single" w:sz="8" w:space="0" w:color="auto"/>
                    <w:right w:val="nil"/>
                  </w:tcBorders>
                  <w:shd w:val="clear" w:color="CCCCCC" w:fill="D8D8D8"/>
                  <w:vAlign w:val="center"/>
                  <w:hideMark/>
                </w:tcPr>
                <w:p w14:paraId="45390622"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8" w:space="0" w:color="auto"/>
                    <w:right w:val="nil"/>
                  </w:tcBorders>
                  <w:shd w:val="clear" w:color="CCCCCC" w:fill="D8D8D8"/>
                  <w:vAlign w:val="center"/>
                  <w:hideMark/>
                </w:tcPr>
                <w:p w14:paraId="37AD0FA2"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8" w:space="0" w:color="auto"/>
                    <w:right w:val="nil"/>
                  </w:tcBorders>
                  <w:shd w:val="clear" w:color="CCCCCC" w:fill="D8D8D8"/>
                  <w:vAlign w:val="center"/>
                  <w:hideMark/>
                </w:tcPr>
                <w:p w14:paraId="053D860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8" w:space="0" w:color="auto"/>
                    <w:right w:val="nil"/>
                  </w:tcBorders>
                  <w:shd w:val="clear" w:color="CCCCCC" w:fill="D8D8D8"/>
                  <w:vAlign w:val="center"/>
                  <w:hideMark/>
                </w:tcPr>
                <w:p w14:paraId="244C9683"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nil"/>
                    <w:bottom w:val="single" w:sz="8" w:space="0" w:color="auto"/>
                    <w:right w:val="single" w:sz="8" w:space="0" w:color="auto"/>
                  </w:tcBorders>
                  <w:shd w:val="clear" w:color="CCCCCC" w:fill="D8D8D8"/>
                  <w:vAlign w:val="center"/>
                  <w:hideMark/>
                </w:tcPr>
                <w:p w14:paraId="2936E7BF"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$ 42.514.683,00</w:t>
                  </w:r>
                </w:p>
              </w:tc>
            </w:tr>
            <w:tr w:rsidR="007D17A7" w:rsidRPr="007D17A7" w14:paraId="32418F99" w14:textId="77777777" w:rsidTr="007D17A7">
              <w:trPr>
                <w:trHeight w:val="315"/>
              </w:trPr>
              <w:tc>
                <w:tcPr>
                  <w:tcW w:w="307" w:type="pct"/>
                  <w:tcBorders>
                    <w:top w:val="single" w:sz="4" w:space="0" w:color="auto"/>
                    <w:left w:val="single" w:sz="8" w:space="0" w:color="auto"/>
                    <w:bottom w:val="single" w:sz="4" w:space="0" w:color="auto"/>
                    <w:right w:val="single" w:sz="4" w:space="0" w:color="auto"/>
                  </w:tcBorders>
                  <w:vAlign w:val="center"/>
                  <w:hideMark/>
                </w:tcPr>
                <w:p w14:paraId="5E4CFC0B"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single" w:sz="4" w:space="0" w:color="auto"/>
                    <w:left w:val="nil"/>
                    <w:bottom w:val="single" w:sz="4" w:space="0" w:color="auto"/>
                    <w:right w:val="single" w:sz="4" w:space="0" w:color="auto"/>
                  </w:tcBorders>
                  <w:vAlign w:val="center"/>
                  <w:hideMark/>
                </w:tcPr>
                <w:p w14:paraId="4A6E1AE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xml:space="preserve">Equipo completo de Topografía </w:t>
                  </w:r>
                </w:p>
              </w:tc>
              <w:tc>
                <w:tcPr>
                  <w:tcW w:w="596" w:type="pct"/>
                  <w:tcBorders>
                    <w:top w:val="single" w:sz="4" w:space="0" w:color="auto"/>
                    <w:left w:val="nil"/>
                    <w:bottom w:val="single" w:sz="4" w:space="0" w:color="auto"/>
                    <w:right w:val="single" w:sz="4" w:space="0" w:color="auto"/>
                  </w:tcBorders>
                  <w:vAlign w:val="center"/>
                  <w:hideMark/>
                </w:tcPr>
                <w:p w14:paraId="7D0AA86B"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mes</w:t>
                  </w:r>
                </w:p>
              </w:tc>
              <w:tc>
                <w:tcPr>
                  <w:tcW w:w="544" w:type="pct"/>
                  <w:tcBorders>
                    <w:top w:val="single" w:sz="4" w:space="0" w:color="auto"/>
                    <w:left w:val="nil"/>
                    <w:bottom w:val="single" w:sz="4" w:space="0" w:color="auto"/>
                    <w:right w:val="single" w:sz="4" w:space="0" w:color="auto"/>
                  </w:tcBorders>
                  <w:vAlign w:val="center"/>
                  <w:hideMark/>
                </w:tcPr>
                <w:p w14:paraId="1CEBF9EC"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$ 4.116.000</w:t>
                  </w:r>
                </w:p>
              </w:tc>
              <w:tc>
                <w:tcPr>
                  <w:tcW w:w="556" w:type="pct"/>
                  <w:tcBorders>
                    <w:top w:val="single" w:sz="4" w:space="0" w:color="auto"/>
                    <w:left w:val="nil"/>
                    <w:bottom w:val="single" w:sz="4" w:space="0" w:color="auto"/>
                    <w:right w:val="single" w:sz="4" w:space="0" w:color="auto"/>
                  </w:tcBorders>
                  <w:vAlign w:val="center"/>
                  <w:hideMark/>
                </w:tcPr>
                <w:p w14:paraId="23DF9FB0"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50%</w:t>
                  </w:r>
                </w:p>
              </w:tc>
              <w:tc>
                <w:tcPr>
                  <w:tcW w:w="486" w:type="pct"/>
                  <w:tcBorders>
                    <w:top w:val="single" w:sz="4" w:space="0" w:color="auto"/>
                    <w:left w:val="nil"/>
                    <w:bottom w:val="single" w:sz="4" w:space="0" w:color="auto"/>
                    <w:right w:val="single" w:sz="4" w:space="0" w:color="auto"/>
                  </w:tcBorders>
                  <w:vAlign w:val="center"/>
                  <w:hideMark/>
                </w:tcPr>
                <w:p w14:paraId="54FDEB51"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single" w:sz="4" w:space="0" w:color="auto"/>
                    <w:left w:val="nil"/>
                    <w:bottom w:val="single" w:sz="4" w:space="0" w:color="auto"/>
                    <w:right w:val="single" w:sz="8" w:space="0" w:color="auto"/>
                  </w:tcBorders>
                  <w:vAlign w:val="center"/>
                  <w:hideMark/>
                </w:tcPr>
                <w:p w14:paraId="2C396E19"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3.087.000</w:t>
                  </w:r>
                </w:p>
              </w:tc>
            </w:tr>
            <w:tr w:rsidR="007D17A7" w:rsidRPr="007D17A7" w14:paraId="379DD776" w14:textId="77777777" w:rsidTr="007D17A7">
              <w:trPr>
                <w:trHeight w:val="315"/>
              </w:trPr>
              <w:tc>
                <w:tcPr>
                  <w:tcW w:w="307" w:type="pct"/>
                  <w:tcBorders>
                    <w:top w:val="nil"/>
                    <w:left w:val="single" w:sz="8" w:space="0" w:color="auto"/>
                    <w:bottom w:val="nil"/>
                    <w:right w:val="single" w:sz="4" w:space="0" w:color="auto"/>
                  </w:tcBorders>
                  <w:vAlign w:val="center"/>
                  <w:hideMark/>
                </w:tcPr>
                <w:p w14:paraId="182EA43F"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nil"/>
                    <w:left w:val="nil"/>
                    <w:bottom w:val="nil"/>
                    <w:right w:val="single" w:sz="4" w:space="0" w:color="auto"/>
                  </w:tcBorders>
                  <w:vAlign w:val="center"/>
                  <w:hideMark/>
                </w:tcPr>
                <w:p w14:paraId="505FB930"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Ensayos Laboratorio</w:t>
                  </w:r>
                </w:p>
              </w:tc>
              <w:tc>
                <w:tcPr>
                  <w:tcW w:w="596" w:type="pct"/>
                  <w:tcBorders>
                    <w:top w:val="nil"/>
                    <w:left w:val="nil"/>
                    <w:bottom w:val="single" w:sz="4" w:space="0" w:color="auto"/>
                    <w:right w:val="single" w:sz="4" w:space="0" w:color="auto"/>
                  </w:tcBorders>
                  <w:vAlign w:val="center"/>
                  <w:hideMark/>
                </w:tcPr>
                <w:p w14:paraId="0350380A"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mes</w:t>
                  </w:r>
                </w:p>
              </w:tc>
              <w:tc>
                <w:tcPr>
                  <w:tcW w:w="544" w:type="pct"/>
                  <w:tcBorders>
                    <w:top w:val="nil"/>
                    <w:left w:val="nil"/>
                    <w:bottom w:val="single" w:sz="4" w:space="0" w:color="auto"/>
                    <w:right w:val="single" w:sz="4" w:space="0" w:color="auto"/>
                  </w:tcBorders>
                  <w:vAlign w:val="center"/>
                  <w:hideMark/>
                </w:tcPr>
                <w:p w14:paraId="378283B1"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$ 7.625.967</w:t>
                  </w:r>
                </w:p>
              </w:tc>
              <w:tc>
                <w:tcPr>
                  <w:tcW w:w="556" w:type="pct"/>
                  <w:tcBorders>
                    <w:top w:val="nil"/>
                    <w:left w:val="nil"/>
                    <w:bottom w:val="single" w:sz="4" w:space="0" w:color="auto"/>
                    <w:right w:val="single" w:sz="4" w:space="0" w:color="auto"/>
                  </w:tcBorders>
                  <w:vAlign w:val="center"/>
                  <w:hideMark/>
                </w:tcPr>
                <w:p w14:paraId="2502EFA7"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nil"/>
                    <w:left w:val="nil"/>
                    <w:bottom w:val="single" w:sz="4" w:space="0" w:color="auto"/>
                    <w:right w:val="single" w:sz="4" w:space="0" w:color="auto"/>
                  </w:tcBorders>
                  <w:vAlign w:val="center"/>
                  <w:hideMark/>
                </w:tcPr>
                <w:p w14:paraId="7CB095AF"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1D6B475F"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11.438.950</w:t>
                  </w:r>
                </w:p>
              </w:tc>
            </w:tr>
            <w:tr w:rsidR="007D17A7" w:rsidRPr="007D17A7" w14:paraId="296CA45E" w14:textId="77777777" w:rsidTr="007D17A7">
              <w:trPr>
                <w:trHeight w:val="315"/>
              </w:trPr>
              <w:tc>
                <w:tcPr>
                  <w:tcW w:w="307" w:type="pct"/>
                  <w:tcBorders>
                    <w:top w:val="single" w:sz="4" w:space="0" w:color="auto"/>
                    <w:left w:val="single" w:sz="8" w:space="0" w:color="auto"/>
                    <w:bottom w:val="nil"/>
                    <w:right w:val="single" w:sz="4" w:space="0" w:color="auto"/>
                  </w:tcBorders>
                  <w:vAlign w:val="center"/>
                  <w:hideMark/>
                </w:tcPr>
                <w:p w14:paraId="3D5F9C70"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5</w:t>
                  </w:r>
                </w:p>
              </w:tc>
              <w:tc>
                <w:tcPr>
                  <w:tcW w:w="1533" w:type="pct"/>
                  <w:tcBorders>
                    <w:top w:val="single" w:sz="4" w:space="0" w:color="auto"/>
                    <w:left w:val="nil"/>
                    <w:bottom w:val="nil"/>
                    <w:right w:val="single" w:sz="4" w:space="0" w:color="auto"/>
                  </w:tcBorders>
                  <w:vAlign w:val="center"/>
                  <w:hideMark/>
                </w:tcPr>
                <w:p w14:paraId="180154F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Alquiler de vehiculo</w:t>
                  </w:r>
                </w:p>
              </w:tc>
              <w:tc>
                <w:tcPr>
                  <w:tcW w:w="596" w:type="pct"/>
                  <w:tcBorders>
                    <w:top w:val="nil"/>
                    <w:left w:val="nil"/>
                    <w:bottom w:val="nil"/>
                    <w:right w:val="single" w:sz="4" w:space="0" w:color="auto"/>
                  </w:tcBorders>
                  <w:vAlign w:val="center"/>
                  <w:hideMark/>
                </w:tcPr>
                <w:p w14:paraId="06259799"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mes</w:t>
                  </w:r>
                </w:p>
              </w:tc>
              <w:tc>
                <w:tcPr>
                  <w:tcW w:w="544" w:type="pct"/>
                  <w:tcBorders>
                    <w:top w:val="nil"/>
                    <w:left w:val="nil"/>
                    <w:bottom w:val="nil"/>
                    <w:right w:val="single" w:sz="4" w:space="0" w:color="auto"/>
                  </w:tcBorders>
                  <w:vAlign w:val="center"/>
                  <w:hideMark/>
                </w:tcPr>
                <w:p w14:paraId="6B357277"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$ 3.731.831</w:t>
                  </w:r>
                </w:p>
              </w:tc>
              <w:tc>
                <w:tcPr>
                  <w:tcW w:w="556" w:type="pct"/>
                  <w:tcBorders>
                    <w:top w:val="nil"/>
                    <w:left w:val="nil"/>
                    <w:bottom w:val="nil"/>
                    <w:right w:val="single" w:sz="4" w:space="0" w:color="auto"/>
                  </w:tcBorders>
                  <w:vAlign w:val="center"/>
                  <w:hideMark/>
                </w:tcPr>
                <w:p w14:paraId="7C752DAC"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100%</w:t>
                  </w:r>
                </w:p>
              </w:tc>
              <w:tc>
                <w:tcPr>
                  <w:tcW w:w="486" w:type="pct"/>
                  <w:tcBorders>
                    <w:top w:val="nil"/>
                    <w:left w:val="nil"/>
                    <w:bottom w:val="nil"/>
                    <w:right w:val="single" w:sz="4" w:space="0" w:color="auto"/>
                  </w:tcBorders>
                  <w:vAlign w:val="center"/>
                  <w:hideMark/>
                </w:tcPr>
                <w:p w14:paraId="366615CC"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nil"/>
                    <w:right w:val="single" w:sz="8" w:space="0" w:color="auto"/>
                  </w:tcBorders>
                  <w:vAlign w:val="center"/>
                  <w:hideMark/>
                </w:tcPr>
                <w:p w14:paraId="055F05C2"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27.988.733</w:t>
                  </w:r>
                </w:p>
              </w:tc>
            </w:tr>
            <w:tr w:rsidR="007D17A7" w:rsidRPr="007D17A7" w14:paraId="18C2AB95" w14:textId="77777777" w:rsidTr="007D17A7">
              <w:trPr>
                <w:trHeight w:val="405"/>
              </w:trPr>
              <w:tc>
                <w:tcPr>
                  <w:tcW w:w="307" w:type="pct"/>
                  <w:tcBorders>
                    <w:top w:val="single" w:sz="8" w:space="0" w:color="auto"/>
                    <w:left w:val="single" w:sz="8" w:space="0" w:color="auto"/>
                    <w:bottom w:val="single" w:sz="8" w:space="0" w:color="auto"/>
                    <w:right w:val="nil"/>
                  </w:tcBorders>
                  <w:vAlign w:val="center"/>
                  <w:hideMark/>
                </w:tcPr>
                <w:p w14:paraId="47EA692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8" w:space="0" w:color="auto"/>
                    <w:left w:val="single" w:sz="4" w:space="0" w:color="auto"/>
                    <w:bottom w:val="single" w:sz="8" w:space="0" w:color="auto"/>
                    <w:right w:val="nil"/>
                  </w:tcBorders>
                  <w:vAlign w:val="center"/>
                  <w:hideMark/>
                </w:tcPr>
                <w:p w14:paraId="06D140E2"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TOTAL OTROS COSTOS DIRECTOS = SUMATORIA DE (11) = (B)</w:t>
                  </w:r>
                </w:p>
              </w:tc>
              <w:tc>
                <w:tcPr>
                  <w:tcW w:w="596" w:type="pct"/>
                  <w:tcBorders>
                    <w:top w:val="single" w:sz="8" w:space="0" w:color="auto"/>
                    <w:left w:val="nil"/>
                    <w:bottom w:val="single" w:sz="8" w:space="0" w:color="auto"/>
                    <w:right w:val="nil"/>
                  </w:tcBorders>
                  <w:vAlign w:val="center"/>
                  <w:hideMark/>
                </w:tcPr>
                <w:p w14:paraId="24B2E2A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8" w:space="0" w:color="auto"/>
                    <w:left w:val="nil"/>
                    <w:bottom w:val="single" w:sz="8" w:space="0" w:color="auto"/>
                    <w:right w:val="nil"/>
                  </w:tcBorders>
                  <w:vAlign w:val="center"/>
                  <w:hideMark/>
                </w:tcPr>
                <w:p w14:paraId="7DAE4EF3"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8" w:space="0" w:color="auto"/>
                    <w:left w:val="nil"/>
                    <w:bottom w:val="single" w:sz="8" w:space="0" w:color="auto"/>
                    <w:right w:val="nil"/>
                  </w:tcBorders>
                  <w:vAlign w:val="center"/>
                  <w:hideMark/>
                </w:tcPr>
                <w:p w14:paraId="2317AD26"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8" w:space="0" w:color="auto"/>
                    <w:left w:val="nil"/>
                    <w:bottom w:val="single" w:sz="8" w:space="0" w:color="auto"/>
                    <w:right w:val="nil"/>
                  </w:tcBorders>
                  <w:vAlign w:val="center"/>
                  <w:hideMark/>
                </w:tcPr>
                <w:p w14:paraId="5E5A61C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8" w:space="0" w:color="auto"/>
                    <w:left w:val="single" w:sz="4" w:space="0" w:color="auto"/>
                    <w:bottom w:val="single" w:sz="8" w:space="0" w:color="auto"/>
                    <w:right w:val="single" w:sz="8" w:space="0" w:color="auto"/>
                  </w:tcBorders>
                  <w:vAlign w:val="center"/>
                  <w:hideMark/>
                </w:tcPr>
                <w:p w14:paraId="4C66A487"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$ 42.514.683,00</w:t>
                  </w:r>
                </w:p>
              </w:tc>
            </w:tr>
            <w:tr w:rsidR="007D17A7" w:rsidRPr="007D17A7" w14:paraId="08FE3E30" w14:textId="77777777" w:rsidTr="007D17A7">
              <w:trPr>
                <w:trHeight w:val="315"/>
              </w:trPr>
              <w:tc>
                <w:tcPr>
                  <w:tcW w:w="307" w:type="pct"/>
                  <w:tcBorders>
                    <w:top w:val="nil"/>
                    <w:left w:val="single" w:sz="8" w:space="0" w:color="auto"/>
                    <w:bottom w:val="nil"/>
                    <w:right w:val="nil"/>
                  </w:tcBorders>
                  <w:vAlign w:val="center"/>
                  <w:hideMark/>
                </w:tcPr>
                <w:p w14:paraId="7F3D331D"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nil"/>
                    <w:bottom w:val="nil"/>
                    <w:right w:val="nil"/>
                  </w:tcBorders>
                  <w:vAlign w:val="center"/>
                  <w:hideMark/>
                </w:tcPr>
                <w:p w14:paraId="69DEE461" w14:textId="77777777" w:rsidR="007D17A7" w:rsidRPr="007D17A7" w:rsidRDefault="007D17A7" w:rsidP="007D17A7">
                  <w:pPr>
                    <w:rPr>
                      <w:rFonts w:ascii="Arial" w:hAnsi="Arial" w:cs="Arial"/>
                      <w:color w:val="000000"/>
                      <w:sz w:val="14"/>
                      <w:szCs w:val="14"/>
                      <w:lang w:val="es-CO"/>
                    </w:rPr>
                  </w:pPr>
                </w:p>
              </w:tc>
              <w:tc>
                <w:tcPr>
                  <w:tcW w:w="596" w:type="pct"/>
                  <w:tcBorders>
                    <w:top w:val="nil"/>
                    <w:left w:val="nil"/>
                    <w:bottom w:val="nil"/>
                    <w:right w:val="nil"/>
                  </w:tcBorders>
                  <w:vAlign w:val="center"/>
                  <w:hideMark/>
                </w:tcPr>
                <w:p w14:paraId="26EC5F64" w14:textId="77777777" w:rsidR="007D17A7" w:rsidRPr="007D17A7" w:rsidRDefault="007D17A7" w:rsidP="007D17A7">
                  <w:pPr>
                    <w:rPr>
                      <w:sz w:val="14"/>
                      <w:szCs w:val="14"/>
                      <w:lang w:val="es-CO"/>
                    </w:rPr>
                  </w:pPr>
                </w:p>
              </w:tc>
              <w:tc>
                <w:tcPr>
                  <w:tcW w:w="544" w:type="pct"/>
                  <w:tcBorders>
                    <w:top w:val="nil"/>
                    <w:left w:val="nil"/>
                    <w:bottom w:val="nil"/>
                    <w:right w:val="nil"/>
                  </w:tcBorders>
                  <w:vAlign w:val="center"/>
                  <w:hideMark/>
                </w:tcPr>
                <w:p w14:paraId="5514465C" w14:textId="77777777" w:rsidR="007D17A7" w:rsidRPr="007D17A7" w:rsidRDefault="007D17A7" w:rsidP="007D17A7">
                  <w:pPr>
                    <w:rPr>
                      <w:sz w:val="14"/>
                      <w:szCs w:val="14"/>
                      <w:lang w:val="es-CO"/>
                    </w:rPr>
                  </w:pPr>
                </w:p>
              </w:tc>
              <w:tc>
                <w:tcPr>
                  <w:tcW w:w="556" w:type="pct"/>
                  <w:tcBorders>
                    <w:top w:val="nil"/>
                    <w:left w:val="nil"/>
                    <w:bottom w:val="nil"/>
                    <w:right w:val="nil"/>
                  </w:tcBorders>
                  <w:vAlign w:val="center"/>
                  <w:hideMark/>
                </w:tcPr>
                <w:p w14:paraId="05DC18C2" w14:textId="77777777" w:rsidR="007D17A7" w:rsidRPr="007D17A7" w:rsidRDefault="007D17A7" w:rsidP="007D17A7">
                  <w:pPr>
                    <w:rPr>
                      <w:sz w:val="14"/>
                      <w:szCs w:val="14"/>
                      <w:lang w:val="es-CO"/>
                    </w:rPr>
                  </w:pPr>
                </w:p>
              </w:tc>
              <w:tc>
                <w:tcPr>
                  <w:tcW w:w="486" w:type="pct"/>
                  <w:tcBorders>
                    <w:top w:val="nil"/>
                    <w:left w:val="nil"/>
                    <w:bottom w:val="nil"/>
                    <w:right w:val="nil"/>
                  </w:tcBorders>
                  <w:vAlign w:val="center"/>
                  <w:hideMark/>
                </w:tcPr>
                <w:p w14:paraId="67AE7C14" w14:textId="77777777" w:rsidR="007D17A7" w:rsidRPr="007D17A7" w:rsidRDefault="007D17A7" w:rsidP="007D17A7">
                  <w:pPr>
                    <w:rPr>
                      <w:sz w:val="14"/>
                      <w:szCs w:val="14"/>
                      <w:lang w:val="es-CO"/>
                    </w:rPr>
                  </w:pPr>
                </w:p>
              </w:tc>
              <w:tc>
                <w:tcPr>
                  <w:tcW w:w="977" w:type="pct"/>
                  <w:tcBorders>
                    <w:top w:val="nil"/>
                    <w:left w:val="nil"/>
                    <w:bottom w:val="nil"/>
                    <w:right w:val="single" w:sz="8" w:space="0" w:color="auto"/>
                  </w:tcBorders>
                  <w:vAlign w:val="center"/>
                  <w:hideMark/>
                </w:tcPr>
                <w:p w14:paraId="2BDAEE8C"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r>
            <w:tr w:rsidR="007D17A7" w:rsidRPr="007D17A7" w14:paraId="7C41373B" w14:textId="77777777" w:rsidTr="007D17A7">
              <w:trPr>
                <w:trHeight w:val="525"/>
              </w:trPr>
              <w:tc>
                <w:tcPr>
                  <w:tcW w:w="4023" w:type="pct"/>
                  <w:gridSpan w:val="6"/>
                  <w:tcBorders>
                    <w:top w:val="single" w:sz="8" w:space="0" w:color="auto"/>
                    <w:left w:val="single" w:sz="8" w:space="0" w:color="auto"/>
                    <w:bottom w:val="single" w:sz="8" w:space="0" w:color="auto"/>
                    <w:right w:val="nil"/>
                  </w:tcBorders>
                  <w:shd w:val="clear" w:color="CCCCCC" w:fill="D8D8D8"/>
                  <w:vAlign w:val="center"/>
                  <w:hideMark/>
                </w:tcPr>
                <w:p w14:paraId="1CA47C4D"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TOTAL OPERACIÓN PERMANENTE FIJA</w:t>
                  </w:r>
                </w:p>
              </w:tc>
              <w:tc>
                <w:tcPr>
                  <w:tcW w:w="977" w:type="pct"/>
                  <w:tcBorders>
                    <w:top w:val="single" w:sz="8" w:space="0" w:color="auto"/>
                    <w:left w:val="nil"/>
                    <w:bottom w:val="nil"/>
                    <w:right w:val="single" w:sz="8" w:space="0" w:color="auto"/>
                  </w:tcBorders>
                  <w:shd w:val="clear" w:color="CCCCCC" w:fill="D8D8D8"/>
                  <w:vAlign w:val="center"/>
                  <w:hideMark/>
                </w:tcPr>
                <w:p w14:paraId="6D4146AC"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$ 299.256.202,00</w:t>
                  </w:r>
                </w:p>
              </w:tc>
            </w:tr>
            <w:tr w:rsidR="007D17A7" w:rsidRPr="007D17A7" w14:paraId="0A337399" w14:textId="77777777" w:rsidTr="007D17A7">
              <w:trPr>
                <w:trHeight w:val="315"/>
              </w:trPr>
              <w:tc>
                <w:tcPr>
                  <w:tcW w:w="307" w:type="pct"/>
                  <w:tcBorders>
                    <w:top w:val="nil"/>
                    <w:left w:val="single" w:sz="8" w:space="0" w:color="auto"/>
                    <w:bottom w:val="nil"/>
                    <w:right w:val="nil"/>
                  </w:tcBorders>
                  <w:vAlign w:val="center"/>
                  <w:hideMark/>
                </w:tcPr>
                <w:p w14:paraId="6CF0D14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nil"/>
                    <w:bottom w:val="nil"/>
                    <w:right w:val="nil"/>
                  </w:tcBorders>
                  <w:vAlign w:val="center"/>
                  <w:hideMark/>
                </w:tcPr>
                <w:p w14:paraId="6D99CB49"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96" w:type="pct"/>
                  <w:tcBorders>
                    <w:top w:val="nil"/>
                    <w:left w:val="nil"/>
                    <w:bottom w:val="nil"/>
                    <w:right w:val="nil"/>
                  </w:tcBorders>
                  <w:vAlign w:val="center"/>
                  <w:hideMark/>
                </w:tcPr>
                <w:p w14:paraId="4018B3C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nil"/>
                    <w:right w:val="nil"/>
                  </w:tcBorders>
                  <w:vAlign w:val="center"/>
                  <w:hideMark/>
                </w:tcPr>
                <w:p w14:paraId="0EB556F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nil"/>
                    <w:right w:val="nil"/>
                  </w:tcBorders>
                  <w:vAlign w:val="center"/>
                  <w:hideMark/>
                </w:tcPr>
                <w:p w14:paraId="5DD65018"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nil"/>
                    <w:right w:val="nil"/>
                  </w:tcBorders>
                  <w:vAlign w:val="center"/>
                  <w:hideMark/>
                </w:tcPr>
                <w:p w14:paraId="01CB870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8" w:space="0" w:color="auto"/>
                    <w:left w:val="nil"/>
                    <w:bottom w:val="nil"/>
                    <w:right w:val="single" w:sz="8" w:space="0" w:color="auto"/>
                  </w:tcBorders>
                  <w:vAlign w:val="center"/>
                  <w:hideMark/>
                </w:tcPr>
                <w:p w14:paraId="7808F1DC"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r>
            <w:tr w:rsidR="007D17A7" w:rsidRPr="007D17A7" w14:paraId="0B8660E2" w14:textId="77777777" w:rsidTr="007D17A7">
              <w:trPr>
                <w:trHeight w:val="495"/>
              </w:trPr>
              <w:tc>
                <w:tcPr>
                  <w:tcW w:w="5000" w:type="pct"/>
                  <w:gridSpan w:val="7"/>
                  <w:tcBorders>
                    <w:top w:val="single" w:sz="8" w:space="0" w:color="auto"/>
                    <w:left w:val="single" w:sz="8" w:space="0" w:color="auto"/>
                    <w:bottom w:val="single" w:sz="4" w:space="0" w:color="auto"/>
                    <w:right w:val="single" w:sz="8" w:space="0" w:color="auto"/>
                  </w:tcBorders>
                  <w:shd w:val="clear" w:color="CCCCCC" w:fill="D8D8D8"/>
                  <w:vAlign w:val="center"/>
                  <w:hideMark/>
                </w:tcPr>
                <w:p w14:paraId="72E6638F"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ESPECIALISTAS POR DEMANDA</w:t>
                  </w:r>
                </w:p>
              </w:tc>
            </w:tr>
            <w:tr w:rsidR="007D17A7" w:rsidRPr="007D17A7" w14:paraId="1FE87953" w14:textId="77777777" w:rsidTr="007D17A7">
              <w:trPr>
                <w:trHeight w:val="465"/>
              </w:trPr>
              <w:tc>
                <w:tcPr>
                  <w:tcW w:w="307" w:type="pct"/>
                  <w:tcBorders>
                    <w:top w:val="nil"/>
                    <w:left w:val="single" w:sz="8" w:space="0" w:color="auto"/>
                    <w:bottom w:val="single" w:sz="8" w:space="0" w:color="auto"/>
                    <w:right w:val="nil"/>
                  </w:tcBorders>
                  <w:shd w:val="clear" w:color="CCCCCC" w:fill="D8D8D8"/>
                  <w:vAlign w:val="center"/>
                  <w:hideMark/>
                </w:tcPr>
                <w:p w14:paraId="3D3F825D"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single" w:sz="8" w:space="0" w:color="auto"/>
                    <w:right w:val="single" w:sz="4" w:space="0" w:color="auto"/>
                  </w:tcBorders>
                  <w:shd w:val="clear" w:color="CCCCCC" w:fill="D8D8D8"/>
                  <w:vAlign w:val="center"/>
                  <w:hideMark/>
                </w:tcPr>
                <w:p w14:paraId="4878EF78"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xml:space="preserve">PERSONAL PROFESIONAL POR DEMANDA </w:t>
                  </w:r>
                </w:p>
              </w:tc>
              <w:tc>
                <w:tcPr>
                  <w:tcW w:w="596" w:type="pct"/>
                  <w:tcBorders>
                    <w:top w:val="nil"/>
                    <w:left w:val="nil"/>
                    <w:bottom w:val="single" w:sz="8" w:space="0" w:color="auto"/>
                    <w:right w:val="nil"/>
                  </w:tcBorders>
                  <w:shd w:val="clear" w:color="CCCCCC" w:fill="D8D8D8"/>
                  <w:vAlign w:val="center"/>
                  <w:hideMark/>
                </w:tcPr>
                <w:p w14:paraId="6287A59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8" w:space="0" w:color="auto"/>
                    <w:right w:val="nil"/>
                  </w:tcBorders>
                  <w:shd w:val="clear" w:color="CCCCCC" w:fill="D8D8D8"/>
                  <w:vAlign w:val="center"/>
                  <w:hideMark/>
                </w:tcPr>
                <w:p w14:paraId="08E840E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8" w:space="0" w:color="auto"/>
                    <w:right w:val="nil"/>
                  </w:tcBorders>
                  <w:shd w:val="clear" w:color="CCCCCC" w:fill="D8D8D8"/>
                  <w:vAlign w:val="center"/>
                  <w:hideMark/>
                </w:tcPr>
                <w:p w14:paraId="510F072E"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8" w:space="0" w:color="auto"/>
                    <w:right w:val="nil"/>
                  </w:tcBorders>
                  <w:shd w:val="clear" w:color="CCCCCC" w:fill="D8D8D8"/>
                  <w:vAlign w:val="center"/>
                  <w:hideMark/>
                </w:tcPr>
                <w:p w14:paraId="48935610"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nil"/>
                    <w:bottom w:val="single" w:sz="8" w:space="0" w:color="auto"/>
                    <w:right w:val="single" w:sz="8" w:space="0" w:color="auto"/>
                  </w:tcBorders>
                  <w:shd w:val="clear" w:color="CCCCCC" w:fill="D8D8D8"/>
                  <w:vAlign w:val="center"/>
                  <w:hideMark/>
                </w:tcPr>
                <w:p w14:paraId="5759824C"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r>
            <w:tr w:rsidR="007D17A7" w:rsidRPr="007D17A7" w14:paraId="79145CB1" w14:textId="77777777" w:rsidTr="007D17A7">
              <w:trPr>
                <w:trHeight w:val="315"/>
              </w:trPr>
              <w:tc>
                <w:tcPr>
                  <w:tcW w:w="307" w:type="pct"/>
                  <w:tcBorders>
                    <w:top w:val="nil"/>
                    <w:left w:val="single" w:sz="8" w:space="0" w:color="auto"/>
                    <w:bottom w:val="single" w:sz="8" w:space="0" w:color="auto"/>
                    <w:right w:val="nil"/>
                  </w:tcBorders>
                  <w:vAlign w:val="center"/>
                  <w:hideMark/>
                </w:tcPr>
                <w:p w14:paraId="3483253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single" w:sz="8" w:space="0" w:color="auto"/>
                    <w:right w:val="single" w:sz="4" w:space="0" w:color="auto"/>
                  </w:tcBorders>
                  <w:vAlign w:val="center"/>
                  <w:hideMark/>
                </w:tcPr>
                <w:p w14:paraId="2637946F"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Especialistas</w:t>
                  </w:r>
                </w:p>
              </w:tc>
              <w:tc>
                <w:tcPr>
                  <w:tcW w:w="596" w:type="pct"/>
                  <w:tcBorders>
                    <w:top w:val="nil"/>
                    <w:left w:val="nil"/>
                    <w:bottom w:val="single" w:sz="8" w:space="0" w:color="auto"/>
                    <w:right w:val="single" w:sz="4" w:space="0" w:color="auto"/>
                  </w:tcBorders>
                  <w:vAlign w:val="center"/>
                  <w:hideMark/>
                </w:tcPr>
                <w:p w14:paraId="3D463DE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8" w:space="0" w:color="auto"/>
                    <w:right w:val="single" w:sz="4" w:space="0" w:color="auto"/>
                  </w:tcBorders>
                  <w:vAlign w:val="center"/>
                  <w:hideMark/>
                </w:tcPr>
                <w:p w14:paraId="4AC220C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8" w:space="0" w:color="auto"/>
                    <w:right w:val="single" w:sz="4" w:space="0" w:color="auto"/>
                  </w:tcBorders>
                  <w:vAlign w:val="center"/>
                  <w:hideMark/>
                </w:tcPr>
                <w:p w14:paraId="14718722"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8" w:space="0" w:color="auto"/>
                    <w:right w:val="single" w:sz="4" w:space="0" w:color="auto"/>
                  </w:tcBorders>
                  <w:vAlign w:val="center"/>
                  <w:hideMark/>
                </w:tcPr>
                <w:p w14:paraId="6259E65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nil"/>
                    <w:bottom w:val="single" w:sz="8" w:space="0" w:color="auto"/>
                    <w:right w:val="single" w:sz="8" w:space="0" w:color="auto"/>
                  </w:tcBorders>
                  <w:vAlign w:val="center"/>
                  <w:hideMark/>
                </w:tcPr>
                <w:p w14:paraId="2DE659EB"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$ 9.105.926,00</w:t>
                  </w:r>
                </w:p>
              </w:tc>
            </w:tr>
            <w:tr w:rsidR="007D17A7" w:rsidRPr="007D17A7" w14:paraId="41E15C37" w14:textId="77777777" w:rsidTr="007D17A7">
              <w:trPr>
                <w:trHeight w:val="315"/>
              </w:trPr>
              <w:tc>
                <w:tcPr>
                  <w:tcW w:w="307" w:type="pct"/>
                  <w:tcBorders>
                    <w:top w:val="single" w:sz="4" w:space="0" w:color="auto"/>
                    <w:left w:val="single" w:sz="8" w:space="0" w:color="auto"/>
                    <w:bottom w:val="single" w:sz="4" w:space="0" w:color="auto"/>
                    <w:right w:val="nil"/>
                  </w:tcBorders>
                  <w:vAlign w:val="center"/>
                  <w:hideMark/>
                </w:tcPr>
                <w:p w14:paraId="1D34E7B7"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single" w:sz="4" w:space="0" w:color="auto"/>
                    <w:left w:val="single" w:sz="4" w:space="0" w:color="auto"/>
                    <w:bottom w:val="single" w:sz="4" w:space="0" w:color="auto"/>
                    <w:right w:val="single" w:sz="4" w:space="0" w:color="auto"/>
                  </w:tcBorders>
                  <w:vAlign w:val="center"/>
                  <w:hideMark/>
                </w:tcPr>
                <w:p w14:paraId="11AA233C"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xml:space="preserve">CONTADOR PÚBLICO </w:t>
                  </w:r>
                </w:p>
              </w:tc>
              <w:tc>
                <w:tcPr>
                  <w:tcW w:w="596" w:type="pct"/>
                  <w:tcBorders>
                    <w:top w:val="single" w:sz="4" w:space="0" w:color="auto"/>
                    <w:left w:val="nil"/>
                    <w:bottom w:val="single" w:sz="4" w:space="0" w:color="auto"/>
                    <w:right w:val="single" w:sz="4" w:space="0" w:color="auto"/>
                  </w:tcBorders>
                  <w:vAlign w:val="center"/>
                  <w:hideMark/>
                </w:tcPr>
                <w:p w14:paraId="471680C6"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$ 3.463.420</w:t>
                  </w:r>
                </w:p>
              </w:tc>
              <w:tc>
                <w:tcPr>
                  <w:tcW w:w="544" w:type="pct"/>
                  <w:tcBorders>
                    <w:top w:val="single" w:sz="4" w:space="0" w:color="auto"/>
                    <w:left w:val="nil"/>
                    <w:bottom w:val="single" w:sz="4" w:space="0" w:color="auto"/>
                    <w:right w:val="single" w:sz="4" w:space="0" w:color="auto"/>
                  </w:tcBorders>
                  <w:vAlign w:val="center"/>
                  <w:hideMark/>
                </w:tcPr>
                <w:p w14:paraId="45570CD0"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4" w:space="0" w:color="auto"/>
                    <w:left w:val="nil"/>
                    <w:bottom w:val="single" w:sz="4" w:space="0" w:color="auto"/>
                    <w:right w:val="single" w:sz="4" w:space="0" w:color="auto"/>
                  </w:tcBorders>
                  <w:vAlign w:val="center"/>
                  <w:hideMark/>
                </w:tcPr>
                <w:p w14:paraId="37935C15"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30%</w:t>
                  </w:r>
                </w:p>
              </w:tc>
              <w:tc>
                <w:tcPr>
                  <w:tcW w:w="486" w:type="pct"/>
                  <w:tcBorders>
                    <w:top w:val="single" w:sz="4" w:space="0" w:color="auto"/>
                    <w:left w:val="nil"/>
                    <w:bottom w:val="single" w:sz="4" w:space="0" w:color="auto"/>
                    <w:right w:val="single" w:sz="4" w:space="0" w:color="auto"/>
                  </w:tcBorders>
                  <w:vAlign w:val="center"/>
                  <w:hideMark/>
                </w:tcPr>
                <w:p w14:paraId="2B40674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single" w:sz="4" w:space="0" w:color="auto"/>
                    <w:left w:val="nil"/>
                    <w:bottom w:val="single" w:sz="4" w:space="0" w:color="auto"/>
                    <w:right w:val="single" w:sz="8" w:space="0" w:color="auto"/>
                  </w:tcBorders>
                  <w:vAlign w:val="center"/>
                  <w:hideMark/>
                </w:tcPr>
                <w:p w14:paraId="60C6B382"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1.558.539</w:t>
                  </w:r>
                </w:p>
              </w:tc>
            </w:tr>
            <w:tr w:rsidR="007D17A7" w:rsidRPr="007D17A7" w14:paraId="0C7D119F" w14:textId="77777777" w:rsidTr="007D17A7">
              <w:trPr>
                <w:trHeight w:val="315"/>
              </w:trPr>
              <w:tc>
                <w:tcPr>
                  <w:tcW w:w="307" w:type="pct"/>
                  <w:tcBorders>
                    <w:top w:val="nil"/>
                    <w:left w:val="single" w:sz="8" w:space="0" w:color="auto"/>
                    <w:bottom w:val="nil"/>
                    <w:right w:val="nil"/>
                  </w:tcBorders>
                  <w:vAlign w:val="center"/>
                  <w:hideMark/>
                </w:tcPr>
                <w:p w14:paraId="7D9B899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nil"/>
                    <w:left w:val="single" w:sz="4" w:space="0" w:color="auto"/>
                    <w:bottom w:val="nil"/>
                    <w:right w:val="single" w:sz="4" w:space="0" w:color="auto"/>
                  </w:tcBorders>
                  <w:vAlign w:val="center"/>
                  <w:hideMark/>
                </w:tcPr>
                <w:p w14:paraId="52FA3701"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ABOGADO EXPERTO EN CONTRATACIÓN ESTATAL</w:t>
                  </w:r>
                </w:p>
              </w:tc>
              <w:tc>
                <w:tcPr>
                  <w:tcW w:w="596" w:type="pct"/>
                  <w:tcBorders>
                    <w:top w:val="nil"/>
                    <w:left w:val="nil"/>
                    <w:bottom w:val="single" w:sz="4" w:space="0" w:color="auto"/>
                    <w:right w:val="single" w:sz="4" w:space="0" w:color="auto"/>
                  </w:tcBorders>
                  <w:vAlign w:val="center"/>
                  <w:hideMark/>
                </w:tcPr>
                <w:p w14:paraId="641CF069"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$ 3.463.420</w:t>
                  </w:r>
                </w:p>
              </w:tc>
              <w:tc>
                <w:tcPr>
                  <w:tcW w:w="544" w:type="pct"/>
                  <w:tcBorders>
                    <w:top w:val="nil"/>
                    <w:left w:val="nil"/>
                    <w:bottom w:val="single" w:sz="4" w:space="0" w:color="auto"/>
                    <w:right w:val="single" w:sz="4" w:space="0" w:color="auto"/>
                  </w:tcBorders>
                  <w:vAlign w:val="center"/>
                  <w:hideMark/>
                </w:tcPr>
                <w:p w14:paraId="453FDE2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3E3B9C72"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30%</w:t>
                  </w:r>
                </w:p>
              </w:tc>
              <w:tc>
                <w:tcPr>
                  <w:tcW w:w="486" w:type="pct"/>
                  <w:tcBorders>
                    <w:top w:val="nil"/>
                    <w:left w:val="nil"/>
                    <w:bottom w:val="single" w:sz="4" w:space="0" w:color="auto"/>
                    <w:right w:val="single" w:sz="4" w:space="0" w:color="auto"/>
                  </w:tcBorders>
                  <w:vAlign w:val="center"/>
                  <w:hideMark/>
                </w:tcPr>
                <w:p w14:paraId="0FEDA66C"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2B162B04"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1.558.539</w:t>
                  </w:r>
                </w:p>
              </w:tc>
            </w:tr>
            <w:tr w:rsidR="007D17A7" w:rsidRPr="007D17A7" w14:paraId="65F1797C" w14:textId="77777777" w:rsidTr="007D17A7">
              <w:trPr>
                <w:trHeight w:val="315"/>
              </w:trPr>
              <w:tc>
                <w:tcPr>
                  <w:tcW w:w="307" w:type="pct"/>
                  <w:tcBorders>
                    <w:top w:val="single" w:sz="4" w:space="0" w:color="auto"/>
                    <w:left w:val="single" w:sz="8" w:space="0" w:color="auto"/>
                    <w:bottom w:val="nil"/>
                    <w:right w:val="nil"/>
                  </w:tcBorders>
                  <w:vAlign w:val="center"/>
                  <w:hideMark/>
                </w:tcPr>
                <w:p w14:paraId="3519BA15"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single" w:sz="4" w:space="0" w:color="auto"/>
                    <w:left w:val="single" w:sz="4" w:space="0" w:color="auto"/>
                    <w:bottom w:val="nil"/>
                    <w:right w:val="single" w:sz="4" w:space="0" w:color="auto"/>
                  </w:tcBorders>
                  <w:vAlign w:val="center"/>
                  <w:hideMark/>
                </w:tcPr>
                <w:p w14:paraId="37048FB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INGENIERO ESTRUCTURAL</w:t>
                  </w:r>
                </w:p>
              </w:tc>
              <w:tc>
                <w:tcPr>
                  <w:tcW w:w="596" w:type="pct"/>
                  <w:tcBorders>
                    <w:top w:val="nil"/>
                    <w:left w:val="nil"/>
                    <w:bottom w:val="single" w:sz="4" w:space="0" w:color="auto"/>
                    <w:right w:val="nil"/>
                  </w:tcBorders>
                  <w:vAlign w:val="center"/>
                  <w:hideMark/>
                </w:tcPr>
                <w:p w14:paraId="450B5D3D"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$ 4.786.283</w:t>
                  </w:r>
                </w:p>
              </w:tc>
              <w:tc>
                <w:tcPr>
                  <w:tcW w:w="544" w:type="pct"/>
                  <w:tcBorders>
                    <w:top w:val="nil"/>
                    <w:left w:val="single" w:sz="4" w:space="0" w:color="auto"/>
                    <w:bottom w:val="nil"/>
                    <w:right w:val="single" w:sz="4" w:space="0" w:color="auto"/>
                  </w:tcBorders>
                  <w:vAlign w:val="center"/>
                  <w:hideMark/>
                </w:tcPr>
                <w:p w14:paraId="6004D89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34F69E4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40%</w:t>
                  </w:r>
                </w:p>
              </w:tc>
              <w:tc>
                <w:tcPr>
                  <w:tcW w:w="486" w:type="pct"/>
                  <w:tcBorders>
                    <w:top w:val="nil"/>
                    <w:left w:val="nil"/>
                    <w:bottom w:val="single" w:sz="4" w:space="0" w:color="auto"/>
                    <w:right w:val="single" w:sz="4" w:space="0" w:color="auto"/>
                  </w:tcBorders>
                  <w:vAlign w:val="center"/>
                  <w:hideMark/>
                </w:tcPr>
                <w:p w14:paraId="7423002D"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7DCABE3F"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2.871.770</w:t>
                  </w:r>
                </w:p>
              </w:tc>
            </w:tr>
            <w:tr w:rsidR="007D17A7" w:rsidRPr="007D17A7" w14:paraId="4D20680C" w14:textId="77777777" w:rsidTr="007D17A7">
              <w:trPr>
                <w:trHeight w:val="315"/>
              </w:trPr>
              <w:tc>
                <w:tcPr>
                  <w:tcW w:w="307" w:type="pct"/>
                  <w:tcBorders>
                    <w:top w:val="single" w:sz="4" w:space="0" w:color="auto"/>
                    <w:left w:val="single" w:sz="8" w:space="0" w:color="auto"/>
                    <w:bottom w:val="nil"/>
                    <w:right w:val="nil"/>
                  </w:tcBorders>
                  <w:vAlign w:val="center"/>
                  <w:hideMark/>
                </w:tcPr>
                <w:p w14:paraId="7BCE7AF6"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single" w:sz="4" w:space="0" w:color="auto"/>
                    <w:left w:val="single" w:sz="4" w:space="0" w:color="auto"/>
                    <w:bottom w:val="nil"/>
                    <w:right w:val="single" w:sz="4" w:space="0" w:color="auto"/>
                  </w:tcBorders>
                  <w:vAlign w:val="center"/>
                  <w:hideMark/>
                </w:tcPr>
                <w:p w14:paraId="3B50254E"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INGENIERO SANITARIO</w:t>
                  </w:r>
                </w:p>
              </w:tc>
              <w:tc>
                <w:tcPr>
                  <w:tcW w:w="596" w:type="pct"/>
                  <w:tcBorders>
                    <w:top w:val="nil"/>
                    <w:left w:val="nil"/>
                    <w:bottom w:val="single" w:sz="4" w:space="0" w:color="auto"/>
                    <w:right w:val="nil"/>
                  </w:tcBorders>
                  <w:vAlign w:val="center"/>
                  <w:hideMark/>
                </w:tcPr>
                <w:p w14:paraId="0CB3F795"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$ 3.463.420</w:t>
                  </w:r>
                </w:p>
              </w:tc>
              <w:tc>
                <w:tcPr>
                  <w:tcW w:w="544" w:type="pct"/>
                  <w:tcBorders>
                    <w:top w:val="single" w:sz="4" w:space="0" w:color="auto"/>
                    <w:left w:val="single" w:sz="4" w:space="0" w:color="auto"/>
                    <w:bottom w:val="nil"/>
                    <w:right w:val="single" w:sz="4" w:space="0" w:color="auto"/>
                  </w:tcBorders>
                  <w:vAlign w:val="center"/>
                  <w:hideMark/>
                </w:tcPr>
                <w:p w14:paraId="6F2DC53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49F42174"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30%</w:t>
                  </w:r>
                </w:p>
              </w:tc>
              <w:tc>
                <w:tcPr>
                  <w:tcW w:w="486" w:type="pct"/>
                  <w:tcBorders>
                    <w:top w:val="nil"/>
                    <w:left w:val="nil"/>
                    <w:bottom w:val="single" w:sz="4" w:space="0" w:color="auto"/>
                    <w:right w:val="single" w:sz="4" w:space="0" w:color="auto"/>
                  </w:tcBorders>
                  <w:vAlign w:val="center"/>
                  <w:hideMark/>
                </w:tcPr>
                <w:p w14:paraId="35B441D2"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5F4DF798"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1.558.539</w:t>
                  </w:r>
                </w:p>
              </w:tc>
            </w:tr>
            <w:tr w:rsidR="007D17A7" w:rsidRPr="007D17A7" w14:paraId="11BE346C" w14:textId="77777777" w:rsidTr="007D17A7">
              <w:trPr>
                <w:trHeight w:val="315"/>
              </w:trPr>
              <w:tc>
                <w:tcPr>
                  <w:tcW w:w="307" w:type="pct"/>
                  <w:tcBorders>
                    <w:top w:val="single" w:sz="4" w:space="0" w:color="auto"/>
                    <w:left w:val="single" w:sz="8" w:space="0" w:color="auto"/>
                    <w:bottom w:val="nil"/>
                    <w:right w:val="nil"/>
                  </w:tcBorders>
                  <w:vAlign w:val="center"/>
                  <w:hideMark/>
                </w:tcPr>
                <w:p w14:paraId="6F44686D"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1</w:t>
                  </w:r>
                </w:p>
              </w:tc>
              <w:tc>
                <w:tcPr>
                  <w:tcW w:w="1533" w:type="pct"/>
                  <w:tcBorders>
                    <w:top w:val="single" w:sz="4" w:space="0" w:color="auto"/>
                    <w:left w:val="single" w:sz="4" w:space="0" w:color="auto"/>
                    <w:bottom w:val="nil"/>
                    <w:right w:val="single" w:sz="4" w:space="0" w:color="auto"/>
                  </w:tcBorders>
                  <w:vAlign w:val="center"/>
                  <w:hideMark/>
                </w:tcPr>
                <w:p w14:paraId="2E67162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INGENIERO ELECTRICO</w:t>
                  </w:r>
                </w:p>
              </w:tc>
              <w:tc>
                <w:tcPr>
                  <w:tcW w:w="596" w:type="pct"/>
                  <w:tcBorders>
                    <w:top w:val="nil"/>
                    <w:left w:val="nil"/>
                    <w:bottom w:val="single" w:sz="4" w:space="0" w:color="auto"/>
                    <w:right w:val="nil"/>
                  </w:tcBorders>
                  <w:vAlign w:val="center"/>
                  <w:hideMark/>
                </w:tcPr>
                <w:p w14:paraId="43C9E069"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$ 3.463.420</w:t>
                  </w:r>
                </w:p>
              </w:tc>
              <w:tc>
                <w:tcPr>
                  <w:tcW w:w="544" w:type="pct"/>
                  <w:tcBorders>
                    <w:top w:val="single" w:sz="4" w:space="0" w:color="auto"/>
                    <w:left w:val="single" w:sz="4" w:space="0" w:color="auto"/>
                    <w:bottom w:val="nil"/>
                    <w:right w:val="single" w:sz="4" w:space="0" w:color="auto"/>
                  </w:tcBorders>
                  <w:vAlign w:val="center"/>
                  <w:hideMark/>
                </w:tcPr>
                <w:p w14:paraId="32B2FAD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174E6DD1"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30%</w:t>
                  </w:r>
                </w:p>
              </w:tc>
              <w:tc>
                <w:tcPr>
                  <w:tcW w:w="486" w:type="pct"/>
                  <w:tcBorders>
                    <w:top w:val="nil"/>
                    <w:left w:val="nil"/>
                    <w:bottom w:val="single" w:sz="4" w:space="0" w:color="auto"/>
                    <w:right w:val="single" w:sz="4" w:space="0" w:color="auto"/>
                  </w:tcBorders>
                  <w:vAlign w:val="center"/>
                  <w:hideMark/>
                </w:tcPr>
                <w:p w14:paraId="36D79EA1"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xml:space="preserve">1,5  </w:t>
                  </w:r>
                </w:p>
              </w:tc>
              <w:tc>
                <w:tcPr>
                  <w:tcW w:w="977" w:type="pct"/>
                  <w:tcBorders>
                    <w:top w:val="nil"/>
                    <w:left w:val="nil"/>
                    <w:bottom w:val="single" w:sz="4" w:space="0" w:color="auto"/>
                    <w:right w:val="single" w:sz="8" w:space="0" w:color="auto"/>
                  </w:tcBorders>
                  <w:vAlign w:val="center"/>
                  <w:hideMark/>
                </w:tcPr>
                <w:p w14:paraId="08ED46B5"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1.558.539</w:t>
                  </w:r>
                </w:p>
              </w:tc>
            </w:tr>
            <w:tr w:rsidR="007D17A7" w:rsidRPr="007D17A7" w14:paraId="2A36D2D8" w14:textId="77777777" w:rsidTr="007D17A7">
              <w:trPr>
                <w:trHeight w:val="315"/>
              </w:trPr>
              <w:tc>
                <w:tcPr>
                  <w:tcW w:w="307" w:type="pct"/>
                  <w:tcBorders>
                    <w:top w:val="single" w:sz="4" w:space="0" w:color="auto"/>
                    <w:left w:val="single" w:sz="8" w:space="0" w:color="auto"/>
                    <w:bottom w:val="nil"/>
                    <w:right w:val="nil"/>
                  </w:tcBorders>
                  <w:vAlign w:val="center"/>
                  <w:hideMark/>
                </w:tcPr>
                <w:p w14:paraId="48EDBC38"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4" w:space="0" w:color="auto"/>
                    <w:left w:val="single" w:sz="4" w:space="0" w:color="auto"/>
                    <w:bottom w:val="nil"/>
                    <w:right w:val="single" w:sz="4" w:space="0" w:color="auto"/>
                  </w:tcBorders>
                  <w:vAlign w:val="center"/>
                  <w:hideMark/>
                </w:tcPr>
                <w:p w14:paraId="635A97E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96" w:type="pct"/>
                  <w:tcBorders>
                    <w:top w:val="nil"/>
                    <w:left w:val="nil"/>
                    <w:bottom w:val="nil"/>
                    <w:right w:val="single" w:sz="4" w:space="0" w:color="auto"/>
                  </w:tcBorders>
                  <w:vAlign w:val="center"/>
                  <w:hideMark/>
                </w:tcPr>
                <w:p w14:paraId="2582071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4" w:space="0" w:color="auto"/>
                    <w:left w:val="nil"/>
                    <w:bottom w:val="nil"/>
                    <w:right w:val="single" w:sz="4" w:space="0" w:color="auto"/>
                  </w:tcBorders>
                  <w:vAlign w:val="center"/>
                  <w:hideMark/>
                </w:tcPr>
                <w:p w14:paraId="085670C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4" w:space="0" w:color="auto"/>
                    <w:right w:val="single" w:sz="4" w:space="0" w:color="auto"/>
                  </w:tcBorders>
                  <w:vAlign w:val="center"/>
                  <w:hideMark/>
                </w:tcPr>
                <w:p w14:paraId="7730FB9F"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4" w:space="0" w:color="auto"/>
                    <w:right w:val="single" w:sz="4" w:space="0" w:color="auto"/>
                  </w:tcBorders>
                  <w:vAlign w:val="center"/>
                  <w:hideMark/>
                </w:tcPr>
                <w:p w14:paraId="2D31FC99" w14:textId="77777777" w:rsidR="007D17A7" w:rsidRPr="007D17A7" w:rsidRDefault="007D17A7" w:rsidP="007D17A7">
                  <w:pPr>
                    <w:jc w:val="cente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nil"/>
                    <w:bottom w:val="single" w:sz="4" w:space="0" w:color="auto"/>
                    <w:right w:val="single" w:sz="8" w:space="0" w:color="auto"/>
                  </w:tcBorders>
                  <w:vAlign w:val="center"/>
                  <w:hideMark/>
                </w:tcPr>
                <w:p w14:paraId="71B43A8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r>
            <w:tr w:rsidR="007D17A7" w:rsidRPr="007D17A7" w14:paraId="130A33F1" w14:textId="77777777" w:rsidTr="007D17A7">
              <w:trPr>
                <w:trHeight w:val="630"/>
              </w:trPr>
              <w:tc>
                <w:tcPr>
                  <w:tcW w:w="307" w:type="pct"/>
                  <w:tcBorders>
                    <w:top w:val="single" w:sz="8" w:space="0" w:color="auto"/>
                    <w:left w:val="single" w:sz="8" w:space="0" w:color="auto"/>
                    <w:bottom w:val="single" w:sz="8" w:space="0" w:color="auto"/>
                    <w:right w:val="nil"/>
                  </w:tcBorders>
                  <w:vAlign w:val="center"/>
                  <w:hideMark/>
                </w:tcPr>
                <w:p w14:paraId="14437520"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1533" w:type="pct"/>
                  <w:tcBorders>
                    <w:top w:val="single" w:sz="8" w:space="0" w:color="auto"/>
                    <w:left w:val="single" w:sz="4" w:space="0" w:color="auto"/>
                    <w:bottom w:val="single" w:sz="8" w:space="0" w:color="auto"/>
                    <w:right w:val="nil"/>
                  </w:tcBorders>
                  <w:vAlign w:val="center"/>
                  <w:hideMark/>
                </w:tcPr>
                <w:p w14:paraId="7AF0F921"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SUBTOTAL COSTOS DE PERSONAL = SUMATORIA DE (5) = (6)</w:t>
                  </w:r>
                </w:p>
              </w:tc>
              <w:tc>
                <w:tcPr>
                  <w:tcW w:w="596" w:type="pct"/>
                  <w:tcBorders>
                    <w:top w:val="single" w:sz="8" w:space="0" w:color="auto"/>
                    <w:left w:val="nil"/>
                    <w:bottom w:val="single" w:sz="8" w:space="0" w:color="auto"/>
                    <w:right w:val="nil"/>
                  </w:tcBorders>
                  <w:vAlign w:val="center"/>
                  <w:hideMark/>
                </w:tcPr>
                <w:p w14:paraId="09926326"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44" w:type="pct"/>
                  <w:tcBorders>
                    <w:top w:val="single" w:sz="8" w:space="0" w:color="auto"/>
                    <w:left w:val="nil"/>
                    <w:bottom w:val="single" w:sz="8" w:space="0" w:color="auto"/>
                    <w:right w:val="nil"/>
                  </w:tcBorders>
                  <w:vAlign w:val="center"/>
                  <w:hideMark/>
                </w:tcPr>
                <w:p w14:paraId="4FF25B88"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56" w:type="pct"/>
                  <w:tcBorders>
                    <w:top w:val="single" w:sz="8" w:space="0" w:color="auto"/>
                    <w:left w:val="nil"/>
                    <w:bottom w:val="single" w:sz="8" w:space="0" w:color="auto"/>
                    <w:right w:val="nil"/>
                  </w:tcBorders>
                  <w:vAlign w:val="center"/>
                  <w:hideMark/>
                </w:tcPr>
                <w:p w14:paraId="1FAE4920"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486" w:type="pct"/>
                  <w:tcBorders>
                    <w:top w:val="single" w:sz="8" w:space="0" w:color="auto"/>
                    <w:left w:val="nil"/>
                    <w:bottom w:val="single" w:sz="8" w:space="0" w:color="auto"/>
                    <w:right w:val="nil"/>
                  </w:tcBorders>
                  <w:vAlign w:val="center"/>
                  <w:hideMark/>
                </w:tcPr>
                <w:p w14:paraId="7C38067F"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977" w:type="pct"/>
                  <w:tcBorders>
                    <w:top w:val="single" w:sz="8" w:space="0" w:color="auto"/>
                    <w:left w:val="single" w:sz="4" w:space="0" w:color="auto"/>
                    <w:bottom w:val="single" w:sz="8" w:space="0" w:color="auto"/>
                    <w:right w:val="single" w:sz="8" w:space="0" w:color="auto"/>
                  </w:tcBorders>
                  <w:vAlign w:val="center"/>
                  <w:hideMark/>
                </w:tcPr>
                <w:p w14:paraId="0C5E26FB"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$ 9.105.926,00</w:t>
                  </w:r>
                </w:p>
              </w:tc>
            </w:tr>
            <w:tr w:rsidR="007D17A7" w:rsidRPr="007D17A7" w14:paraId="1B68A33D" w14:textId="77777777" w:rsidTr="007D17A7">
              <w:trPr>
                <w:trHeight w:val="315"/>
              </w:trPr>
              <w:tc>
                <w:tcPr>
                  <w:tcW w:w="307" w:type="pct"/>
                  <w:tcBorders>
                    <w:top w:val="nil"/>
                    <w:left w:val="single" w:sz="8" w:space="0" w:color="auto"/>
                    <w:bottom w:val="single" w:sz="8" w:space="0" w:color="auto"/>
                    <w:right w:val="nil"/>
                  </w:tcBorders>
                  <w:vAlign w:val="center"/>
                  <w:hideMark/>
                </w:tcPr>
                <w:p w14:paraId="09776657"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1533" w:type="pct"/>
                  <w:tcBorders>
                    <w:top w:val="nil"/>
                    <w:left w:val="single" w:sz="4" w:space="0" w:color="auto"/>
                    <w:bottom w:val="single" w:sz="8" w:space="0" w:color="auto"/>
                    <w:right w:val="nil"/>
                  </w:tcBorders>
                  <w:vAlign w:val="center"/>
                  <w:hideMark/>
                </w:tcPr>
                <w:p w14:paraId="449DDD83"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FACTOR MULTIPLICADOR (7)</w:t>
                  </w:r>
                </w:p>
              </w:tc>
              <w:tc>
                <w:tcPr>
                  <w:tcW w:w="596" w:type="pct"/>
                  <w:tcBorders>
                    <w:top w:val="nil"/>
                    <w:left w:val="nil"/>
                    <w:bottom w:val="single" w:sz="8" w:space="0" w:color="auto"/>
                    <w:right w:val="nil"/>
                  </w:tcBorders>
                  <w:vAlign w:val="center"/>
                  <w:hideMark/>
                </w:tcPr>
                <w:p w14:paraId="7747D67C"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44" w:type="pct"/>
                  <w:tcBorders>
                    <w:top w:val="nil"/>
                    <w:left w:val="nil"/>
                    <w:bottom w:val="single" w:sz="8" w:space="0" w:color="auto"/>
                    <w:right w:val="nil"/>
                  </w:tcBorders>
                  <w:vAlign w:val="center"/>
                  <w:hideMark/>
                </w:tcPr>
                <w:p w14:paraId="19FC4278"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556" w:type="pct"/>
                  <w:tcBorders>
                    <w:top w:val="nil"/>
                    <w:left w:val="nil"/>
                    <w:bottom w:val="single" w:sz="8" w:space="0" w:color="auto"/>
                    <w:right w:val="nil"/>
                  </w:tcBorders>
                  <w:vAlign w:val="center"/>
                  <w:hideMark/>
                </w:tcPr>
                <w:p w14:paraId="7D8EACF6"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486" w:type="pct"/>
                  <w:tcBorders>
                    <w:top w:val="nil"/>
                    <w:left w:val="nil"/>
                    <w:bottom w:val="single" w:sz="8" w:space="0" w:color="auto"/>
                    <w:right w:val="nil"/>
                  </w:tcBorders>
                  <w:vAlign w:val="center"/>
                  <w:hideMark/>
                </w:tcPr>
                <w:p w14:paraId="658E627C"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c>
                <w:tcPr>
                  <w:tcW w:w="977" w:type="pct"/>
                  <w:tcBorders>
                    <w:top w:val="nil"/>
                    <w:left w:val="nil"/>
                    <w:bottom w:val="single" w:sz="8" w:space="0" w:color="auto"/>
                    <w:right w:val="single" w:sz="8" w:space="0" w:color="auto"/>
                  </w:tcBorders>
                  <w:vAlign w:val="center"/>
                  <w:hideMark/>
                </w:tcPr>
                <w:p w14:paraId="22651879"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1,96</w:t>
                  </w:r>
                </w:p>
              </w:tc>
            </w:tr>
            <w:tr w:rsidR="007D17A7" w:rsidRPr="007D17A7" w14:paraId="30519667" w14:textId="77777777" w:rsidTr="007D17A7">
              <w:trPr>
                <w:trHeight w:val="315"/>
              </w:trPr>
              <w:tc>
                <w:tcPr>
                  <w:tcW w:w="307" w:type="pct"/>
                  <w:tcBorders>
                    <w:top w:val="nil"/>
                    <w:left w:val="single" w:sz="8" w:space="0" w:color="auto"/>
                    <w:bottom w:val="single" w:sz="8" w:space="0" w:color="auto"/>
                    <w:right w:val="nil"/>
                  </w:tcBorders>
                  <w:vAlign w:val="center"/>
                  <w:hideMark/>
                </w:tcPr>
                <w:p w14:paraId="184B275D"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single" w:sz="8" w:space="0" w:color="auto"/>
                    <w:right w:val="nil"/>
                  </w:tcBorders>
                  <w:vAlign w:val="center"/>
                  <w:hideMark/>
                </w:tcPr>
                <w:p w14:paraId="1631EA36"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xml:space="preserve">TOTAL COSTOS DE PERSONAL = (6) * (7) = (A) </w:t>
                  </w:r>
                </w:p>
              </w:tc>
              <w:tc>
                <w:tcPr>
                  <w:tcW w:w="596" w:type="pct"/>
                  <w:tcBorders>
                    <w:top w:val="nil"/>
                    <w:left w:val="nil"/>
                    <w:bottom w:val="single" w:sz="8" w:space="0" w:color="auto"/>
                    <w:right w:val="nil"/>
                  </w:tcBorders>
                  <w:vAlign w:val="center"/>
                  <w:hideMark/>
                </w:tcPr>
                <w:p w14:paraId="13F2E1C7"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8" w:space="0" w:color="auto"/>
                    <w:right w:val="nil"/>
                  </w:tcBorders>
                  <w:vAlign w:val="center"/>
                  <w:hideMark/>
                </w:tcPr>
                <w:p w14:paraId="67CC3FB2"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8" w:space="0" w:color="auto"/>
                    <w:right w:val="nil"/>
                  </w:tcBorders>
                  <w:vAlign w:val="center"/>
                  <w:hideMark/>
                </w:tcPr>
                <w:p w14:paraId="21B4768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8" w:space="0" w:color="auto"/>
                    <w:right w:val="nil"/>
                  </w:tcBorders>
                  <w:vAlign w:val="center"/>
                  <w:hideMark/>
                </w:tcPr>
                <w:p w14:paraId="23347509"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single" w:sz="4" w:space="0" w:color="auto"/>
                    <w:bottom w:val="single" w:sz="8" w:space="0" w:color="auto"/>
                    <w:right w:val="single" w:sz="8" w:space="0" w:color="auto"/>
                  </w:tcBorders>
                  <w:vAlign w:val="center"/>
                  <w:hideMark/>
                </w:tcPr>
                <w:p w14:paraId="2E7A9923"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$ 17.847.615,00</w:t>
                  </w:r>
                </w:p>
              </w:tc>
            </w:tr>
            <w:tr w:rsidR="007D17A7" w:rsidRPr="007D17A7" w14:paraId="5C155B33" w14:textId="77777777" w:rsidTr="007D17A7">
              <w:trPr>
                <w:trHeight w:val="315"/>
              </w:trPr>
              <w:tc>
                <w:tcPr>
                  <w:tcW w:w="307" w:type="pct"/>
                  <w:tcBorders>
                    <w:top w:val="nil"/>
                    <w:left w:val="single" w:sz="8" w:space="0" w:color="auto"/>
                    <w:bottom w:val="nil"/>
                    <w:right w:val="nil"/>
                  </w:tcBorders>
                  <w:vAlign w:val="center"/>
                  <w:hideMark/>
                </w:tcPr>
                <w:p w14:paraId="4503BA38"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nil"/>
                    <w:bottom w:val="nil"/>
                    <w:right w:val="nil"/>
                  </w:tcBorders>
                  <w:vAlign w:val="center"/>
                  <w:hideMark/>
                </w:tcPr>
                <w:p w14:paraId="3B0BD727" w14:textId="77777777" w:rsidR="007D17A7" w:rsidRPr="007D17A7" w:rsidRDefault="007D17A7" w:rsidP="007D17A7">
                  <w:pPr>
                    <w:rPr>
                      <w:rFonts w:ascii="Arial" w:hAnsi="Arial" w:cs="Arial"/>
                      <w:color w:val="000000"/>
                      <w:sz w:val="14"/>
                      <w:szCs w:val="14"/>
                      <w:lang w:val="es-CO"/>
                    </w:rPr>
                  </w:pPr>
                </w:p>
              </w:tc>
              <w:tc>
                <w:tcPr>
                  <w:tcW w:w="596" w:type="pct"/>
                  <w:tcBorders>
                    <w:top w:val="nil"/>
                    <w:left w:val="nil"/>
                    <w:bottom w:val="nil"/>
                    <w:right w:val="nil"/>
                  </w:tcBorders>
                  <w:vAlign w:val="center"/>
                  <w:hideMark/>
                </w:tcPr>
                <w:p w14:paraId="5049C0B8" w14:textId="77777777" w:rsidR="007D17A7" w:rsidRPr="007D17A7" w:rsidRDefault="007D17A7" w:rsidP="007D17A7">
                  <w:pPr>
                    <w:rPr>
                      <w:sz w:val="14"/>
                      <w:szCs w:val="14"/>
                      <w:lang w:val="es-CO"/>
                    </w:rPr>
                  </w:pPr>
                </w:p>
              </w:tc>
              <w:tc>
                <w:tcPr>
                  <w:tcW w:w="544" w:type="pct"/>
                  <w:tcBorders>
                    <w:top w:val="nil"/>
                    <w:left w:val="nil"/>
                    <w:bottom w:val="nil"/>
                    <w:right w:val="nil"/>
                  </w:tcBorders>
                  <w:vAlign w:val="center"/>
                  <w:hideMark/>
                </w:tcPr>
                <w:p w14:paraId="38732C9C" w14:textId="77777777" w:rsidR="007D17A7" w:rsidRPr="007D17A7" w:rsidRDefault="007D17A7" w:rsidP="007D17A7">
                  <w:pPr>
                    <w:rPr>
                      <w:sz w:val="14"/>
                      <w:szCs w:val="14"/>
                      <w:lang w:val="es-CO"/>
                    </w:rPr>
                  </w:pPr>
                </w:p>
              </w:tc>
              <w:tc>
                <w:tcPr>
                  <w:tcW w:w="556" w:type="pct"/>
                  <w:tcBorders>
                    <w:top w:val="nil"/>
                    <w:left w:val="nil"/>
                    <w:bottom w:val="nil"/>
                    <w:right w:val="nil"/>
                  </w:tcBorders>
                  <w:vAlign w:val="center"/>
                  <w:hideMark/>
                </w:tcPr>
                <w:p w14:paraId="35832760" w14:textId="77777777" w:rsidR="007D17A7" w:rsidRPr="007D17A7" w:rsidRDefault="007D17A7" w:rsidP="007D17A7">
                  <w:pPr>
                    <w:rPr>
                      <w:sz w:val="14"/>
                      <w:szCs w:val="14"/>
                      <w:lang w:val="es-CO"/>
                    </w:rPr>
                  </w:pPr>
                </w:p>
              </w:tc>
              <w:tc>
                <w:tcPr>
                  <w:tcW w:w="486" w:type="pct"/>
                  <w:tcBorders>
                    <w:top w:val="nil"/>
                    <w:left w:val="nil"/>
                    <w:bottom w:val="nil"/>
                    <w:right w:val="nil"/>
                  </w:tcBorders>
                  <w:vAlign w:val="center"/>
                  <w:hideMark/>
                </w:tcPr>
                <w:p w14:paraId="038A6B64" w14:textId="77777777" w:rsidR="007D17A7" w:rsidRPr="007D17A7" w:rsidRDefault="007D17A7" w:rsidP="007D17A7">
                  <w:pPr>
                    <w:rPr>
                      <w:sz w:val="14"/>
                      <w:szCs w:val="14"/>
                      <w:lang w:val="es-CO"/>
                    </w:rPr>
                  </w:pPr>
                </w:p>
              </w:tc>
              <w:tc>
                <w:tcPr>
                  <w:tcW w:w="977" w:type="pct"/>
                  <w:tcBorders>
                    <w:top w:val="nil"/>
                    <w:left w:val="nil"/>
                    <w:bottom w:val="nil"/>
                    <w:right w:val="single" w:sz="8" w:space="0" w:color="auto"/>
                  </w:tcBorders>
                  <w:vAlign w:val="center"/>
                  <w:hideMark/>
                </w:tcPr>
                <w:p w14:paraId="704682D0"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r>
            <w:tr w:rsidR="007D17A7" w:rsidRPr="007D17A7" w14:paraId="7629FF9E" w14:textId="77777777" w:rsidTr="007D17A7">
              <w:trPr>
                <w:trHeight w:val="525"/>
              </w:trPr>
              <w:tc>
                <w:tcPr>
                  <w:tcW w:w="4023" w:type="pct"/>
                  <w:gridSpan w:val="6"/>
                  <w:tcBorders>
                    <w:top w:val="single" w:sz="8" w:space="0" w:color="auto"/>
                    <w:left w:val="single" w:sz="8" w:space="0" w:color="auto"/>
                    <w:bottom w:val="single" w:sz="8" w:space="0" w:color="auto"/>
                    <w:right w:val="nil"/>
                  </w:tcBorders>
                  <w:shd w:val="clear" w:color="CCCCCC" w:fill="D8D8D8"/>
                  <w:vAlign w:val="center"/>
                  <w:hideMark/>
                </w:tcPr>
                <w:p w14:paraId="3A589443"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lastRenderedPageBreak/>
                    <w:t>TOTAL OPERACIÓN VARIABLE  POR DEMANDA</w:t>
                  </w:r>
                </w:p>
              </w:tc>
              <w:tc>
                <w:tcPr>
                  <w:tcW w:w="977" w:type="pct"/>
                  <w:tcBorders>
                    <w:top w:val="single" w:sz="8" w:space="0" w:color="auto"/>
                    <w:left w:val="single" w:sz="8" w:space="0" w:color="auto"/>
                    <w:bottom w:val="single" w:sz="8" w:space="0" w:color="auto"/>
                    <w:right w:val="single" w:sz="8" w:space="0" w:color="auto"/>
                  </w:tcBorders>
                  <w:shd w:val="clear" w:color="CCCCCC" w:fill="D8D8D8"/>
                  <w:vAlign w:val="center"/>
                  <w:hideMark/>
                </w:tcPr>
                <w:p w14:paraId="733C94EB"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$ 17.847.615,00</w:t>
                  </w:r>
                </w:p>
              </w:tc>
            </w:tr>
            <w:tr w:rsidR="007D17A7" w:rsidRPr="007D17A7" w14:paraId="578DEA08" w14:textId="77777777" w:rsidTr="007D17A7">
              <w:trPr>
                <w:trHeight w:val="315"/>
              </w:trPr>
              <w:tc>
                <w:tcPr>
                  <w:tcW w:w="307" w:type="pct"/>
                  <w:tcBorders>
                    <w:top w:val="nil"/>
                    <w:left w:val="single" w:sz="8" w:space="0" w:color="auto"/>
                    <w:bottom w:val="nil"/>
                    <w:right w:val="nil"/>
                  </w:tcBorders>
                  <w:vAlign w:val="center"/>
                  <w:hideMark/>
                </w:tcPr>
                <w:p w14:paraId="4440412A"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nil"/>
                    <w:bottom w:val="nil"/>
                    <w:right w:val="nil"/>
                  </w:tcBorders>
                  <w:vAlign w:val="center"/>
                  <w:hideMark/>
                </w:tcPr>
                <w:p w14:paraId="7010D055" w14:textId="77777777" w:rsidR="007D17A7" w:rsidRPr="007D17A7" w:rsidRDefault="007D17A7" w:rsidP="007D17A7">
                  <w:pPr>
                    <w:rPr>
                      <w:rFonts w:ascii="Arial" w:hAnsi="Arial" w:cs="Arial"/>
                      <w:color w:val="000000"/>
                      <w:sz w:val="14"/>
                      <w:szCs w:val="14"/>
                      <w:lang w:val="es-CO"/>
                    </w:rPr>
                  </w:pPr>
                </w:p>
              </w:tc>
              <w:tc>
                <w:tcPr>
                  <w:tcW w:w="596" w:type="pct"/>
                  <w:tcBorders>
                    <w:top w:val="nil"/>
                    <w:left w:val="nil"/>
                    <w:bottom w:val="nil"/>
                    <w:right w:val="nil"/>
                  </w:tcBorders>
                  <w:vAlign w:val="center"/>
                  <w:hideMark/>
                </w:tcPr>
                <w:p w14:paraId="5015322E" w14:textId="77777777" w:rsidR="007D17A7" w:rsidRPr="007D17A7" w:rsidRDefault="007D17A7" w:rsidP="007D17A7">
                  <w:pPr>
                    <w:rPr>
                      <w:sz w:val="14"/>
                      <w:szCs w:val="14"/>
                      <w:lang w:val="es-CO"/>
                    </w:rPr>
                  </w:pPr>
                </w:p>
              </w:tc>
              <w:tc>
                <w:tcPr>
                  <w:tcW w:w="544" w:type="pct"/>
                  <w:tcBorders>
                    <w:top w:val="nil"/>
                    <w:left w:val="nil"/>
                    <w:bottom w:val="nil"/>
                    <w:right w:val="nil"/>
                  </w:tcBorders>
                  <w:vAlign w:val="center"/>
                  <w:hideMark/>
                </w:tcPr>
                <w:p w14:paraId="5832FEBA" w14:textId="77777777" w:rsidR="007D17A7" w:rsidRPr="007D17A7" w:rsidRDefault="007D17A7" w:rsidP="007D17A7">
                  <w:pPr>
                    <w:rPr>
                      <w:sz w:val="14"/>
                      <w:szCs w:val="14"/>
                      <w:lang w:val="es-CO"/>
                    </w:rPr>
                  </w:pPr>
                </w:p>
              </w:tc>
              <w:tc>
                <w:tcPr>
                  <w:tcW w:w="556" w:type="pct"/>
                  <w:tcBorders>
                    <w:top w:val="nil"/>
                    <w:left w:val="nil"/>
                    <w:bottom w:val="nil"/>
                    <w:right w:val="nil"/>
                  </w:tcBorders>
                  <w:vAlign w:val="center"/>
                  <w:hideMark/>
                </w:tcPr>
                <w:p w14:paraId="3763149D" w14:textId="77777777" w:rsidR="007D17A7" w:rsidRPr="007D17A7" w:rsidRDefault="007D17A7" w:rsidP="007D17A7">
                  <w:pPr>
                    <w:rPr>
                      <w:sz w:val="14"/>
                      <w:szCs w:val="14"/>
                      <w:lang w:val="es-CO"/>
                    </w:rPr>
                  </w:pPr>
                </w:p>
              </w:tc>
              <w:tc>
                <w:tcPr>
                  <w:tcW w:w="486" w:type="pct"/>
                  <w:tcBorders>
                    <w:top w:val="nil"/>
                    <w:left w:val="nil"/>
                    <w:bottom w:val="nil"/>
                    <w:right w:val="nil"/>
                  </w:tcBorders>
                  <w:vAlign w:val="center"/>
                  <w:hideMark/>
                </w:tcPr>
                <w:p w14:paraId="6F1AAC37" w14:textId="77777777" w:rsidR="007D17A7" w:rsidRPr="007D17A7" w:rsidRDefault="007D17A7" w:rsidP="007D17A7">
                  <w:pPr>
                    <w:rPr>
                      <w:sz w:val="14"/>
                      <w:szCs w:val="14"/>
                      <w:lang w:val="es-CO"/>
                    </w:rPr>
                  </w:pPr>
                </w:p>
              </w:tc>
              <w:tc>
                <w:tcPr>
                  <w:tcW w:w="977" w:type="pct"/>
                  <w:tcBorders>
                    <w:top w:val="nil"/>
                    <w:left w:val="nil"/>
                    <w:bottom w:val="nil"/>
                    <w:right w:val="single" w:sz="8" w:space="0" w:color="auto"/>
                  </w:tcBorders>
                  <w:vAlign w:val="center"/>
                  <w:hideMark/>
                </w:tcPr>
                <w:p w14:paraId="6D4DAA5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r>
            <w:tr w:rsidR="007D17A7" w:rsidRPr="007D17A7" w14:paraId="09DC39F2" w14:textId="77777777" w:rsidTr="007D17A7">
              <w:trPr>
                <w:trHeight w:val="315"/>
              </w:trPr>
              <w:tc>
                <w:tcPr>
                  <w:tcW w:w="307" w:type="pct"/>
                  <w:tcBorders>
                    <w:top w:val="single" w:sz="8" w:space="0" w:color="auto"/>
                    <w:left w:val="single" w:sz="8" w:space="0" w:color="auto"/>
                    <w:bottom w:val="nil"/>
                    <w:right w:val="nil"/>
                  </w:tcBorders>
                  <w:vAlign w:val="center"/>
                  <w:hideMark/>
                </w:tcPr>
                <w:p w14:paraId="7A5827EB"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8" w:space="0" w:color="auto"/>
                    <w:left w:val="single" w:sz="4" w:space="0" w:color="auto"/>
                    <w:bottom w:val="nil"/>
                    <w:right w:val="nil"/>
                  </w:tcBorders>
                  <w:vAlign w:val="center"/>
                  <w:hideMark/>
                </w:tcPr>
                <w:p w14:paraId="23005B9B"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COSTO BÁSICO = (A) + (B) = (C)</w:t>
                  </w:r>
                </w:p>
              </w:tc>
              <w:tc>
                <w:tcPr>
                  <w:tcW w:w="596" w:type="pct"/>
                  <w:tcBorders>
                    <w:top w:val="single" w:sz="8" w:space="0" w:color="auto"/>
                    <w:left w:val="nil"/>
                    <w:bottom w:val="nil"/>
                    <w:right w:val="nil"/>
                  </w:tcBorders>
                  <w:vAlign w:val="center"/>
                  <w:hideMark/>
                </w:tcPr>
                <w:p w14:paraId="5FC71F40"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single" w:sz="8" w:space="0" w:color="auto"/>
                    <w:left w:val="nil"/>
                    <w:bottom w:val="nil"/>
                    <w:right w:val="nil"/>
                  </w:tcBorders>
                  <w:vAlign w:val="center"/>
                  <w:hideMark/>
                </w:tcPr>
                <w:p w14:paraId="7506C133"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single" w:sz="8" w:space="0" w:color="auto"/>
                    <w:left w:val="nil"/>
                    <w:bottom w:val="nil"/>
                    <w:right w:val="nil"/>
                  </w:tcBorders>
                  <w:vAlign w:val="center"/>
                  <w:hideMark/>
                </w:tcPr>
                <w:p w14:paraId="1F2EB166"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8" w:space="0" w:color="auto"/>
                    <w:left w:val="nil"/>
                    <w:bottom w:val="nil"/>
                    <w:right w:val="nil"/>
                  </w:tcBorders>
                  <w:vAlign w:val="center"/>
                  <w:hideMark/>
                </w:tcPr>
                <w:p w14:paraId="5D5850D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8" w:space="0" w:color="auto"/>
                    <w:left w:val="single" w:sz="4" w:space="0" w:color="auto"/>
                    <w:bottom w:val="nil"/>
                    <w:right w:val="single" w:sz="8" w:space="0" w:color="auto"/>
                  </w:tcBorders>
                  <w:vAlign w:val="center"/>
                  <w:hideMark/>
                </w:tcPr>
                <w:p w14:paraId="20236B68"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$ 317.103.817,00</w:t>
                  </w:r>
                </w:p>
              </w:tc>
            </w:tr>
            <w:tr w:rsidR="007D17A7" w:rsidRPr="007D17A7" w14:paraId="560D9E38" w14:textId="77777777" w:rsidTr="007D17A7">
              <w:trPr>
                <w:trHeight w:val="615"/>
              </w:trPr>
              <w:tc>
                <w:tcPr>
                  <w:tcW w:w="307" w:type="pct"/>
                  <w:tcBorders>
                    <w:top w:val="nil"/>
                    <w:left w:val="single" w:sz="8" w:space="0" w:color="auto"/>
                    <w:bottom w:val="nil"/>
                    <w:right w:val="nil"/>
                  </w:tcBorders>
                  <w:vAlign w:val="center"/>
                  <w:hideMark/>
                </w:tcPr>
                <w:p w14:paraId="60A79F20"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nil"/>
                    <w:right w:val="nil"/>
                  </w:tcBorders>
                  <w:vAlign w:val="center"/>
                  <w:hideMark/>
                </w:tcPr>
                <w:p w14:paraId="199080E5"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Pólizas, Impuestos y Estampillas</w:t>
                  </w:r>
                </w:p>
              </w:tc>
              <w:tc>
                <w:tcPr>
                  <w:tcW w:w="596" w:type="pct"/>
                  <w:tcBorders>
                    <w:top w:val="nil"/>
                    <w:left w:val="nil"/>
                    <w:bottom w:val="nil"/>
                    <w:right w:val="nil"/>
                  </w:tcBorders>
                  <w:vAlign w:val="center"/>
                  <w:hideMark/>
                </w:tcPr>
                <w:p w14:paraId="57AD84BE"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 Nominal</w:t>
                  </w:r>
                </w:p>
              </w:tc>
              <w:tc>
                <w:tcPr>
                  <w:tcW w:w="544" w:type="pct"/>
                  <w:tcBorders>
                    <w:top w:val="nil"/>
                    <w:left w:val="nil"/>
                    <w:bottom w:val="nil"/>
                    <w:right w:val="nil"/>
                  </w:tcBorders>
                  <w:vAlign w:val="center"/>
                  <w:hideMark/>
                </w:tcPr>
                <w:p w14:paraId="36CA45AA" w14:textId="77777777" w:rsidR="007D17A7" w:rsidRPr="007D17A7" w:rsidRDefault="007D17A7" w:rsidP="007D17A7">
                  <w:pPr>
                    <w:jc w:val="center"/>
                    <w:rPr>
                      <w:rFonts w:ascii="Arial" w:hAnsi="Arial" w:cs="Arial"/>
                      <w:b/>
                      <w:bCs/>
                      <w:color w:val="000000"/>
                      <w:sz w:val="14"/>
                      <w:szCs w:val="14"/>
                      <w:lang w:val="es-CO"/>
                    </w:rPr>
                  </w:pPr>
                  <w:r w:rsidRPr="007D17A7">
                    <w:rPr>
                      <w:rFonts w:ascii="Arial" w:hAnsi="Arial" w:cs="Arial"/>
                      <w:b/>
                      <w:bCs/>
                      <w:color w:val="000000"/>
                      <w:sz w:val="14"/>
                      <w:szCs w:val="14"/>
                      <w:lang w:val="es-CO"/>
                    </w:rPr>
                    <w:t>(%) Costo Básico</w:t>
                  </w:r>
                </w:p>
              </w:tc>
              <w:tc>
                <w:tcPr>
                  <w:tcW w:w="556" w:type="pct"/>
                  <w:tcBorders>
                    <w:top w:val="nil"/>
                    <w:left w:val="nil"/>
                    <w:bottom w:val="nil"/>
                    <w:right w:val="nil"/>
                  </w:tcBorders>
                  <w:vAlign w:val="center"/>
                  <w:hideMark/>
                </w:tcPr>
                <w:p w14:paraId="08DF6008" w14:textId="77777777" w:rsidR="007D17A7" w:rsidRPr="007D17A7" w:rsidRDefault="007D17A7" w:rsidP="007D17A7">
                  <w:pPr>
                    <w:jc w:val="center"/>
                    <w:rPr>
                      <w:rFonts w:ascii="Arial" w:hAnsi="Arial" w:cs="Arial"/>
                      <w:b/>
                      <w:bCs/>
                      <w:color w:val="000000"/>
                      <w:sz w:val="14"/>
                      <w:szCs w:val="14"/>
                      <w:lang w:val="es-CO"/>
                    </w:rPr>
                  </w:pPr>
                </w:p>
              </w:tc>
              <w:tc>
                <w:tcPr>
                  <w:tcW w:w="486" w:type="pct"/>
                  <w:tcBorders>
                    <w:top w:val="nil"/>
                    <w:left w:val="nil"/>
                    <w:bottom w:val="nil"/>
                    <w:right w:val="nil"/>
                  </w:tcBorders>
                  <w:vAlign w:val="center"/>
                  <w:hideMark/>
                </w:tcPr>
                <w:p w14:paraId="7C73BB24" w14:textId="77777777" w:rsidR="007D17A7" w:rsidRPr="007D17A7" w:rsidRDefault="007D17A7" w:rsidP="007D17A7">
                  <w:pPr>
                    <w:rPr>
                      <w:sz w:val="14"/>
                      <w:szCs w:val="14"/>
                      <w:lang w:val="es-CO"/>
                    </w:rPr>
                  </w:pPr>
                </w:p>
              </w:tc>
              <w:tc>
                <w:tcPr>
                  <w:tcW w:w="977" w:type="pct"/>
                  <w:tcBorders>
                    <w:top w:val="nil"/>
                    <w:left w:val="single" w:sz="4" w:space="0" w:color="auto"/>
                    <w:bottom w:val="nil"/>
                    <w:right w:val="single" w:sz="8" w:space="0" w:color="auto"/>
                  </w:tcBorders>
                  <w:vAlign w:val="center"/>
                  <w:hideMark/>
                </w:tcPr>
                <w:p w14:paraId="7EDF42AB"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 </w:t>
                  </w:r>
                </w:p>
              </w:tc>
            </w:tr>
            <w:tr w:rsidR="007D17A7" w:rsidRPr="007D17A7" w14:paraId="66DE9EEC" w14:textId="77777777" w:rsidTr="007D17A7">
              <w:trPr>
                <w:trHeight w:val="660"/>
              </w:trPr>
              <w:tc>
                <w:tcPr>
                  <w:tcW w:w="307" w:type="pct"/>
                  <w:tcBorders>
                    <w:top w:val="nil"/>
                    <w:left w:val="single" w:sz="8" w:space="0" w:color="auto"/>
                    <w:bottom w:val="nil"/>
                    <w:right w:val="nil"/>
                  </w:tcBorders>
                  <w:vAlign w:val="center"/>
                  <w:hideMark/>
                </w:tcPr>
                <w:p w14:paraId="637BAD2C"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nil"/>
                    <w:right w:val="nil"/>
                  </w:tcBorders>
                  <w:vAlign w:val="center"/>
                  <w:hideMark/>
                </w:tcPr>
                <w:p w14:paraId="1AAF613B"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Polizas</w:t>
                  </w:r>
                </w:p>
              </w:tc>
              <w:tc>
                <w:tcPr>
                  <w:tcW w:w="596" w:type="pct"/>
                  <w:tcBorders>
                    <w:top w:val="nil"/>
                    <w:left w:val="nil"/>
                    <w:bottom w:val="nil"/>
                    <w:right w:val="nil"/>
                  </w:tcBorders>
                  <w:vAlign w:val="center"/>
                  <w:hideMark/>
                </w:tcPr>
                <w:p w14:paraId="5531CBA8"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0,657%</w:t>
                  </w:r>
                </w:p>
              </w:tc>
              <w:tc>
                <w:tcPr>
                  <w:tcW w:w="544" w:type="pct"/>
                  <w:tcBorders>
                    <w:top w:val="nil"/>
                    <w:left w:val="nil"/>
                    <w:bottom w:val="nil"/>
                    <w:right w:val="nil"/>
                  </w:tcBorders>
                  <w:vAlign w:val="center"/>
                  <w:hideMark/>
                </w:tcPr>
                <w:p w14:paraId="725EC0D9"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0,7698346%</w:t>
                  </w:r>
                </w:p>
              </w:tc>
              <w:tc>
                <w:tcPr>
                  <w:tcW w:w="556" w:type="pct"/>
                  <w:tcBorders>
                    <w:top w:val="nil"/>
                    <w:left w:val="nil"/>
                    <w:bottom w:val="nil"/>
                    <w:right w:val="nil"/>
                  </w:tcBorders>
                  <w:vAlign w:val="center"/>
                  <w:hideMark/>
                </w:tcPr>
                <w:p w14:paraId="38193659" w14:textId="77777777" w:rsidR="007D17A7" w:rsidRPr="007D17A7" w:rsidRDefault="007D17A7" w:rsidP="007D17A7">
                  <w:pPr>
                    <w:jc w:val="right"/>
                    <w:rPr>
                      <w:rFonts w:ascii="Arial" w:hAnsi="Arial" w:cs="Arial"/>
                      <w:color w:val="000000"/>
                      <w:sz w:val="14"/>
                      <w:szCs w:val="14"/>
                      <w:lang w:val="es-CO"/>
                    </w:rPr>
                  </w:pPr>
                </w:p>
              </w:tc>
              <w:tc>
                <w:tcPr>
                  <w:tcW w:w="486" w:type="pct"/>
                  <w:tcBorders>
                    <w:top w:val="nil"/>
                    <w:left w:val="nil"/>
                    <w:bottom w:val="nil"/>
                    <w:right w:val="nil"/>
                  </w:tcBorders>
                  <w:noWrap/>
                  <w:vAlign w:val="bottom"/>
                  <w:hideMark/>
                </w:tcPr>
                <w:p w14:paraId="3A46D55D" w14:textId="77777777" w:rsidR="007D17A7" w:rsidRPr="007D17A7" w:rsidRDefault="007D17A7" w:rsidP="007D17A7">
                  <w:pPr>
                    <w:rPr>
                      <w:sz w:val="14"/>
                      <w:szCs w:val="14"/>
                      <w:lang w:val="es-CO"/>
                    </w:rPr>
                  </w:pPr>
                </w:p>
              </w:tc>
              <w:tc>
                <w:tcPr>
                  <w:tcW w:w="977" w:type="pct"/>
                  <w:tcBorders>
                    <w:top w:val="nil"/>
                    <w:left w:val="single" w:sz="4" w:space="0" w:color="auto"/>
                    <w:bottom w:val="nil"/>
                    <w:right w:val="single" w:sz="8" w:space="0" w:color="auto"/>
                  </w:tcBorders>
                  <w:vAlign w:val="center"/>
                  <w:hideMark/>
                </w:tcPr>
                <w:p w14:paraId="4A74333E"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$ 2.441.175,00</w:t>
                  </w:r>
                </w:p>
              </w:tc>
            </w:tr>
            <w:tr w:rsidR="007D17A7" w:rsidRPr="007D17A7" w14:paraId="0AC2FFA0" w14:textId="77777777" w:rsidTr="007D17A7">
              <w:trPr>
                <w:trHeight w:val="600"/>
              </w:trPr>
              <w:tc>
                <w:tcPr>
                  <w:tcW w:w="307" w:type="pct"/>
                  <w:tcBorders>
                    <w:top w:val="nil"/>
                    <w:left w:val="single" w:sz="8" w:space="0" w:color="auto"/>
                    <w:bottom w:val="nil"/>
                    <w:right w:val="nil"/>
                  </w:tcBorders>
                  <w:vAlign w:val="center"/>
                  <w:hideMark/>
                </w:tcPr>
                <w:p w14:paraId="0583B5EE"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nil"/>
                    <w:right w:val="nil"/>
                  </w:tcBorders>
                  <w:vAlign w:val="center"/>
                  <w:hideMark/>
                </w:tcPr>
                <w:p w14:paraId="28E7180C"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Impuestos y Estampillas</w:t>
                  </w:r>
                </w:p>
              </w:tc>
              <w:tc>
                <w:tcPr>
                  <w:tcW w:w="596" w:type="pct"/>
                  <w:tcBorders>
                    <w:top w:val="nil"/>
                    <w:left w:val="nil"/>
                    <w:bottom w:val="nil"/>
                    <w:right w:val="nil"/>
                  </w:tcBorders>
                  <w:vAlign w:val="center"/>
                  <w:hideMark/>
                </w:tcPr>
                <w:p w14:paraId="44923AC2"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14,00%</w:t>
                  </w:r>
                </w:p>
              </w:tc>
              <w:tc>
                <w:tcPr>
                  <w:tcW w:w="544" w:type="pct"/>
                  <w:tcBorders>
                    <w:top w:val="nil"/>
                    <w:left w:val="nil"/>
                    <w:bottom w:val="nil"/>
                    <w:right w:val="nil"/>
                  </w:tcBorders>
                  <w:vAlign w:val="center"/>
                  <w:hideMark/>
                </w:tcPr>
                <w:p w14:paraId="38E4F95F"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16,4043916%</w:t>
                  </w:r>
                </w:p>
              </w:tc>
              <w:tc>
                <w:tcPr>
                  <w:tcW w:w="556" w:type="pct"/>
                  <w:tcBorders>
                    <w:top w:val="nil"/>
                    <w:left w:val="nil"/>
                    <w:bottom w:val="nil"/>
                    <w:right w:val="nil"/>
                  </w:tcBorders>
                  <w:vAlign w:val="center"/>
                  <w:hideMark/>
                </w:tcPr>
                <w:p w14:paraId="433F83A2" w14:textId="77777777" w:rsidR="007D17A7" w:rsidRPr="007D17A7" w:rsidRDefault="007D17A7" w:rsidP="007D17A7">
                  <w:pPr>
                    <w:jc w:val="right"/>
                    <w:rPr>
                      <w:rFonts w:ascii="Arial" w:hAnsi="Arial" w:cs="Arial"/>
                      <w:color w:val="000000"/>
                      <w:sz w:val="14"/>
                      <w:szCs w:val="14"/>
                      <w:lang w:val="es-CO"/>
                    </w:rPr>
                  </w:pPr>
                </w:p>
              </w:tc>
              <w:tc>
                <w:tcPr>
                  <w:tcW w:w="486" w:type="pct"/>
                  <w:tcBorders>
                    <w:top w:val="nil"/>
                    <w:left w:val="nil"/>
                    <w:bottom w:val="nil"/>
                    <w:right w:val="nil"/>
                  </w:tcBorders>
                  <w:noWrap/>
                  <w:vAlign w:val="bottom"/>
                  <w:hideMark/>
                </w:tcPr>
                <w:p w14:paraId="76A9BAAF" w14:textId="77777777" w:rsidR="007D17A7" w:rsidRPr="007D17A7" w:rsidRDefault="007D17A7" w:rsidP="007D17A7">
                  <w:pPr>
                    <w:rPr>
                      <w:sz w:val="14"/>
                      <w:szCs w:val="14"/>
                      <w:lang w:val="es-CO"/>
                    </w:rPr>
                  </w:pPr>
                </w:p>
              </w:tc>
              <w:tc>
                <w:tcPr>
                  <w:tcW w:w="977" w:type="pct"/>
                  <w:tcBorders>
                    <w:top w:val="nil"/>
                    <w:left w:val="single" w:sz="4" w:space="0" w:color="auto"/>
                    <w:bottom w:val="nil"/>
                    <w:right w:val="single" w:sz="8" w:space="0" w:color="auto"/>
                  </w:tcBorders>
                  <w:vAlign w:val="center"/>
                  <w:hideMark/>
                </w:tcPr>
                <w:p w14:paraId="686BCDCC"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$ 52.018.952,00</w:t>
                  </w:r>
                </w:p>
              </w:tc>
            </w:tr>
            <w:tr w:rsidR="007D17A7" w:rsidRPr="007D17A7" w14:paraId="41210613" w14:textId="77777777" w:rsidTr="007D17A7">
              <w:trPr>
                <w:trHeight w:val="315"/>
              </w:trPr>
              <w:tc>
                <w:tcPr>
                  <w:tcW w:w="307" w:type="pct"/>
                  <w:tcBorders>
                    <w:top w:val="nil"/>
                    <w:left w:val="single" w:sz="8" w:space="0" w:color="auto"/>
                    <w:bottom w:val="nil"/>
                    <w:right w:val="single" w:sz="4" w:space="0" w:color="auto"/>
                  </w:tcBorders>
                  <w:vAlign w:val="center"/>
                  <w:hideMark/>
                </w:tcPr>
                <w:p w14:paraId="75D561E8"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single" w:sz="4" w:space="0" w:color="auto"/>
                    <w:left w:val="nil"/>
                    <w:bottom w:val="single" w:sz="4" w:space="0" w:color="auto"/>
                    <w:right w:val="nil"/>
                  </w:tcBorders>
                  <w:vAlign w:val="center"/>
                  <w:hideMark/>
                </w:tcPr>
                <w:p w14:paraId="1619F7BF"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IVA = 19% * (C) = (D)</w:t>
                  </w:r>
                </w:p>
              </w:tc>
              <w:tc>
                <w:tcPr>
                  <w:tcW w:w="596" w:type="pct"/>
                  <w:tcBorders>
                    <w:top w:val="single" w:sz="4" w:space="0" w:color="auto"/>
                    <w:left w:val="nil"/>
                    <w:bottom w:val="single" w:sz="4" w:space="0" w:color="auto"/>
                    <w:right w:val="nil"/>
                  </w:tcBorders>
                  <w:vAlign w:val="center"/>
                  <w:hideMark/>
                </w:tcPr>
                <w:p w14:paraId="7D42149A"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19,00%</w:t>
                  </w:r>
                </w:p>
              </w:tc>
              <w:tc>
                <w:tcPr>
                  <w:tcW w:w="544" w:type="pct"/>
                  <w:tcBorders>
                    <w:top w:val="single" w:sz="4" w:space="0" w:color="auto"/>
                    <w:left w:val="nil"/>
                    <w:bottom w:val="single" w:sz="4" w:space="0" w:color="auto"/>
                    <w:right w:val="nil"/>
                  </w:tcBorders>
                  <w:vAlign w:val="center"/>
                  <w:hideMark/>
                </w:tcPr>
                <w:p w14:paraId="6B1D5D51" w14:textId="77777777" w:rsidR="007D17A7" w:rsidRPr="007D17A7" w:rsidRDefault="007D17A7" w:rsidP="007D17A7">
                  <w:pPr>
                    <w:jc w:val="right"/>
                    <w:rPr>
                      <w:rFonts w:ascii="Arial" w:hAnsi="Arial" w:cs="Arial"/>
                      <w:color w:val="000000"/>
                      <w:sz w:val="14"/>
                      <w:szCs w:val="14"/>
                      <w:lang w:val="es-CO"/>
                    </w:rPr>
                  </w:pPr>
                  <w:r w:rsidRPr="007D17A7">
                    <w:rPr>
                      <w:rFonts w:ascii="Arial" w:hAnsi="Arial" w:cs="Arial"/>
                      <w:color w:val="000000"/>
                      <w:sz w:val="14"/>
                      <w:szCs w:val="14"/>
                      <w:lang w:val="es-CO"/>
                    </w:rPr>
                    <w:t>22,2631029%</w:t>
                  </w:r>
                </w:p>
              </w:tc>
              <w:tc>
                <w:tcPr>
                  <w:tcW w:w="556" w:type="pct"/>
                  <w:tcBorders>
                    <w:top w:val="single" w:sz="4" w:space="0" w:color="auto"/>
                    <w:left w:val="nil"/>
                    <w:bottom w:val="single" w:sz="4" w:space="0" w:color="auto"/>
                    <w:right w:val="nil"/>
                  </w:tcBorders>
                  <w:vAlign w:val="center"/>
                  <w:hideMark/>
                </w:tcPr>
                <w:p w14:paraId="6091D28D"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single" w:sz="4" w:space="0" w:color="auto"/>
                    <w:left w:val="nil"/>
                    <w:bottom w:val="single" w:sz="4" w:space="0" w:color="auto"/>
                    <w:right w:val="nil"/>
                  </w:tcBorders>
                  <w:vAlign w:val="center"/>
                  <w:hideMark/>
                </w:tcPr>
                <w:p w14:paraId="55475B3D"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single" w:sz="4" w:space="0" w:color="auto"/>
                    <w:left w:val="single" w:sz="4" w:space="0" w:color="auto"/>
                    <w:bottom w:val="single" w:sz="4" w:space="0" w:color="auto"/>
                    <w:right w:val="single" w:sz="8" w:space="0" w:color="auto"/>
                  </w:tcBorders>
                  <w:vAlign w:val="center"/>
                  <w:hideMark/>
                </w:tcPr>
                <w:p w14:paraId="2D842235" w14:textId="77777777" w:rsidR="007D17A7" w:rsidRPr="007D17A7" w:rsidRDefault="007D17A7" w:rsidP="007D17A7">
                  <w:pPr>
                    <w:jc w:val="right"/>
                    <w:rPr>
                      <w:rFonts w:ascii="Arial" w:hAnsi="Arial" w:cs="Arial"/>
                      <w:b/>
                      <w:bCs/>
                      <w:color w:val="000000"/>
                      <w:sz w:val="14"/>
                      <w:szCs w:val="14"/>
                      <w:lang w:val="es-CO"/>
                    </w:rPr>
                  </w:pPr>
                  <w:r w:rsidRPr="007D17A7">
                    <w:rPr>
                      <w:rFonts w:ascii="Arial" w:hAnsi="Arial" w:cs="Arial"/>
                      <w:b/>
                      <w:bCs/>
                      <w:color w:val="000000"/>
                      <w:sz w:val="14"/>
                      <w:szCs w:val="14"/>
                      <w:lang w:val="es-CO"/>
                    </w:rPr>
                    <w:t>$ 70.597.149,00</w:t>
                  </w:r>
                </w:p>
              </w:tc>
            </w:tr>
            <w:tr w:rsidR="007D17A7" w:rsidRPr="007D17A7" w14:paraId="424BB838" w14:textId="77777777" w:rsidTr="007D17A7">
              <w:trPr>
                <w:trHeight w:val="315"/>
              </w:trPr>
              <w:tc>
                <w:tcPr>
                  <w:tcW w:w="307" w:type="pct"/>
                  <w:tcBorders>
                    <w:top w:val="nil"/>
                    <w:left w:val="single" w:sz="8" w:space="0" w:color="auto"/>
                    <w:bottom w:val="single" w:sz="8" w:space="0" w:color="auto"/>
                    <w:right w:val="nil"/>
                  </w:tcBorders>
                  <w:vAlign w:val="center"/>
                  <w:hideMark/>
                </w:tcPr>
                <w:p w14:paraId="2AF2D0E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1533" w:type="pct"/>
                  <w:tcBorders>
                    <w:top w:val="nil"/>
                    <w:left w:val="single" w:sz="4" w:space="0" w:color="auto"/>
                    <w:bottom w:val="single" w:sz="8" w:space="0" w:color="auto"/>
                    <w:right w:val="nil"/>
                  </w:tcBorders>
                  <w:vAlign w:val="center"/>
                  <w:hideMark/>
                </w:tcPr>
                <w:p w14:paraId="404625FC" w14:textId="77777777" w:rsidR="007D17A7" w:rsidRPr="007D17A7" w:rsidRDefault="007D17A7" w:rsidP="007D17A7">
                  <w:pPr>
                    <w:rPr>
                      <w:rFonts w:ascii="Arial" w:hAnsi="Arial" w:cs="Arial"/>
                      <w:b/>
                      <w:bCs/>
                      <w:color w:val="000000"/>
                      <w:sz w:val="14"/>
                      <w:szCs w:val="14"/>
                      <w:lang w:val="es-CO"/>
                    </w:rPr>
                  </w:pPr>
                  <w:r w:rsidRPr="007D17A7">
                    <w:rPr>
                      <w:rFonts w:ascii="Arial" w:hAnsi="Arial" w:cs="Arial"/>
                      <w:b/>
                      <w:bCs/>
                      <w:color w:val="000000"/>
                      <w:sz w:val="14"/>
                      <w:szCs w:val="14"/>
                      <w:lang w:val="es-CO"/>
                    </w:rPr>
                    <w:t>COSTO TOTAL = (C) + (D)</w:t>
                  </w:r>
                </w:p>
              </w:tc>
              <w:tc>
                <w:tcPr>
                  <w:tcW w:w="596" w:type="pct"/>
                  <w:tcBorders>
                    <w:top w:val="nil"/>
                    <w:left w:val="nil"/>
                    <w:bottom w:val="single" w:sz="8" w:space="0" w:color="auto"/>
                    <w:right w:val="nil"/>
                  </w:tcBorders>
                  <w:vAlign w:val="center"/>
                  <w:hideMark/>
                </w:tcPr>
                <w:p w14:paraId="5E2C011F"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44" w:type="pct"/>
                  <w:tcBorders>
                    <w:top w:val="nil"/>
                    <w:left w:val="nil"/>
                    <w:bottom w:val="single" w:sz="8" w:space="0" w:color="auto"/>
                    <w:right w:val="nil"/>
                  </w:tcBorders>
                  <w:vAlign w:val="center"/>
                  <w:hideMark/>
                </w:tcPr>
                <w:p w14:paraId="5933F487"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556" w:type="pct"/>
                  <w:tcBorders>
                    <w:top w:val="nil"/>
                    <w:left w:val="nil"/>
                    <w:bottom w:val="single" w:sz="8" w:space="0" w:color="auto"/>
                    <w:right w:val="nil"/>
                  </w:tcBorders>
                  <w:vAlign w:val="center"/>
                  <w:hideMark/>
                </w:tcPr>
                <w:p w14:paraId="3938B8F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486" w:type="pct"/>
                  <w:tcBorders>
                    <w:top w:val="nil"/>
                    <w:left w:val="nil"/>
                    <w:bottom w:val="single" w:sz="8" w:space="0" w:color="auto"/>
                    <w:right w:val="nil"/>
                  </w:tcBorders>
                  <w:vAlign w:val="center"/>
                  <w:hideMark/>
                </w:tcPr>
                <w:p w14:paraId="501C67A5" w14:textId="77777777" w:rsidR="007D17A7" w:rsidRPr="007D17A7" w:rsidRDefault="007D17A7" w:rsidP="007D17A7">
                  <w:pPr>
                    <w:rPr>
                      <w:rFonts w:ascii="Arial" w:hAnsi="Arial" w:cs="Arial"/>
                      <w:color w:val="000000"/>
                      <w:sz w:val="14"/>
                      <w:szCs w:val="14"/>
                      <w:lang w:val="es-CO"/>
                    </w:rPr>
                  </w:pPr>
                  <w:r w:rsidRPr="007D17A7">
                    <w:rPr>
                      <w:rFonts w:ascii="Arial" w:hAnsi="Arial" w:cs="Arial"/>
                      <w:color w:val="000000"/>
                      <w:sz w:val="14"/>
                      <w:szCs w:val="14"/>
                      <w:lang w:val="es-CO"/>
                    </w:rPr>
                    <w:t> </w:t>
                  </w:r>
                </w:p>
              </w:tc>
              <w:tc>
                <w:tcPr>
                  <w:tcW w:w="977" w:type="pct"/>
                  <w:tcBorders>
                    <w:top w:val="nil"/>
                    <w:left w:val="single" w:sz="4" w:space="0" w:color="auto"/>
                    <w:bottom w:val="single" w:sz="8" w:space="0" w:color="auto"/>
                    <w:right w:val="single" w:sz="8" w:space="0" w:color="auto"/>
                  </w:tcBorders>
                  <w:shd w:val="clear" w:color="CCCCCC" w:fill="BFBFBF"/>
                  <w:vAlign w:val="center"/>
                  <w:hideMark/>
                </w:tcPr>
                <w:p w14:paraId="6CC0FA35" w14:textId="067A5A66" w:rsidR="007D17A7" w:rsidRPr="007D17A7" w:rsidRDefault="007D17A7" w:rsidP="00527E99">
                  <w:pPr>
                    <w:jc w:val="right"/>
                    <w:rPr>
                      <w:rFonts w:ascii="Arial" w:hAnsi="Arial" w:cs="Arial"/>
                      <w:b/>
                      <w:bCs/>
                      <w:color w:val="000000"/>
                      <w:sz w:val="14"/>
                      <w:szCs w:val="14"/>
                      <w:lang w:val="es-CO"/>
                    </w:rPr>
                  </w:pPr>
                  <w:r>
                    <w:rPr>
                      <w:rFonts w:ascii="Arial" w:hAnsi="Arial" w:cs="Arial"/>
                      <w:b/>
                      <w:bCs/>
                      <w:color w:val="000000"/>
                      <w:sz w:val="14"/>
                      <w:szCs w:val="14"/>
                      <w:lang w:val="es-CO"/>
                    </w:rPr>
                    <w:t>$ 442.161.093,00</w:t>
                  </w:r>
                </w:p>
              </w:tc>
            </w:tr>
          </w:tbl>
          <w:p w14:paraId="5383B9E9" w14:textId="77777777" w:rsidR="006B208B" w:rsidRPr="00FB47DF" w:rsidRDefault="006B208B">
            <w:pPr>
              <w:jc w:val="both"/>
              <w:rPr>
                <w:rFonts w:ascii="Arial" w:eastAsia="Arial" w:hAnsi="Arial" w:cs="Arial"/>
                <w:sz w:val="24"/>
                <w:szCs w:val="24"/>
                <w:lang w:val="es-CO"/>
              </w:rPr>
            </w:pPr>
          </w:p>
        </w:tc>
      </w:tr>
      <w:tr w:rsidR="00D768A3" w14:paraId="388E13AE"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E9DD8AB" w14:textId="77777777" w:rsidR="00D768A3" w:rsidRDefault="00A0753E">
            <w:pPr>
              <w:widowControl/>
              <w:pBdr>
                <w:top w:val="nil"/>
                <w:left w:val="nil"/>
                <w:bottom w:val="nil"/>
                <w:right w:val="nil"/>
                <w:between w:val="nil"/>
              </w:pBdr>
              <w:spacing w:before="60" w:after="60"/>
              <w:jc w:val="both"/>
              <w:rPr>
                <w:rFonts w:ascii="Arial" w:eastAsia="Arial" w:hAnsi="Arial" w:cs="Arial"/>
                <w:color w:val="000000"/>
                <w:sz w:val="24"/>
                <w:szCs w:val="24"/>
              </w:rPr>
            </w:pPr>
            <w:r>
              <w:rPr>
                <w:rFonts w:ascii="Arial" w:eastAsia="Arial" w:hAnsi="Arial" w:cs="Arial"/>
                <w:color w:val="000000"/>
                <w:sz w:val="24"/>
                <w:szCs w:val="24"/>
              </w:rPr>
              <w:lastRenderedPageBreak/>
              <w:t>8.1 PRESUPUESTO OFICIAL DEL PROCESO</w:t>
            </w:r>
          </w:p>
        </w:tc>
      </w:tr>
      <w:tr w:rsidR="00D768A3" w14:paraId="6D134789"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ED885D5" w14:textId="77777777" w:rsidR="00A65BD5" w:rsidRPr="000D1E2C" w:rsidRDefault="00A65BD5" w:rsidP="00A65BD5">
            <w:pPr>
              <w:widowControl/>
              <w:pBdr>
                <w:top w:val="nil"/>
                <w:left w:val="nil"/>
                <w:bottom w:val="nil"/>
                <w:right w:val="nil"/>
                <w:between w:val="nil"/>
              </w:pBdr>
              <w:jc w:val="both"/>
              <w:rPr>
                <w:rFonts w:ascii="Arial" w:eastAsia="Arial" w:hAnsi="Arial" w:cs="Arial"/>
                <w:color w:val="000000"/>
                <w:sz w:val="24"/>
                <w:szCs w:val="24"/>
                <w:lang w:val="es-CO"/>
              </w:rPr>
            </w:pPr>
            <w:bookmarkStart w:id="4" w:name="_heading=h.9xol3u8jqwax" w:colFirst="0" w:colLast="0"/>
            <w:bookmarkEnd w:id="4"/>
          </w:p>
          <w:p w14:paraId="5C57B6C8" w14:textId="4FADC3EA" w:rsidR="00D768A3" w:rsidRPr="000D1E2C" w:rsidRDefault="00A0753E" w:rsidP="00A65BD5">
            <w:pPr>
              <w:widowControl/>
              <w:pBdr>
                <w:top w:val="nil"/>
                <w:left w:val="nil"/>
                <w:bottom w:val="nil"/>
                <w:right w:val="nil"/>
                <w:between w:val="nil"/>
              </w:pBdr>
              <w:jc w:val="both"/>
              <w:rPr>
                <w:rFonts w:ascii="Arial" w:eastAsia="Arial" w:hAnsi="Arial" w:cs="Arial"/>
                <w:color w:val="000000"/>
                <w:sz w:val="24"/>
                <w:szCs w:val="24"/>
                <w:lang w:val="es-CO"/>
              </w:rPr>
            </w:pPr>
            <w:r w:rsidRPr="000D1E2C">
              <w:rPr>
                <w:rFonts w:ascii="Arial" w:eastAsia="Arial" w:hAnsi="Arial" w:cs="Arial"/>
                <w:color w:val="000000"/>
                <w:sz w:val="24"/>
                <w:szCs w:val="24"/>
                <w:lang w:val="es-CO"/>
              </w:rPr>
              <w:t xml:space="preserve">El valor estimado para la contratación es la suma de </w:t>
            </w:r>
            <w:r w:rsidR="00900014">
              <w:rPr>
                <w:rFonts w:ascii="Arial" w:eastAsia="Arial" w:hAnsi="Arial" w:cs="Arial"/>
                <w:color w:val="000000"/>
                <w:sz w:val="24"/>
                <w:szCs w:val="24"/>
                <w:lang w:val="es-CO"/>
              </w:rPr>
              <w:t>CUATROCIENTOS CUARENTA Y DOS MILLONES CIENTO SESENTA</w:t>
            </w:r>
            <w:r w:rsidR="00527E99">
              <w:rPr>
                <w:rFonts w:ascii="Arial" w:eastAsia="Arial" w:hAnsi="Arial" w:cs="Arial"/>
                <w:color w:val="000000"/>
                <w:sz w:val="24"/>
                <w:szCs w:val="24"/>
                <w:lang w:val="es-CO"/>
              </w:rPr>
              <w:t xml:space="preserve"> Y UN</w:t>
            </w:r>
            <w:r w:rsidR="00900014">
              <w:rPr>
                <w:rFonts w:ascii="Arial" w:eastAsia="Arial" w:hAnsi="Arial" w:cs="Arial"/>
                <w:color w:val="000000"/>
                <w:sz w:val="24"/>
                <w:szCs w:val="24"/>
                <w:lang w:val="es-CO"/>
              </w:rPr>
              <w:t xml:space="preserve"> MIL </w:t>
            </w:r>
            <w:r w:rsidR="00527E99">
              <w:rPr>
                <w:rFonts w:ascii="Arial" w:eastAsia="Arial" w:hAnsi="Arial" w:cs="Arial"/>
                <w:color w:val="000000"/>
                <w:sz w:val="24"/>
                <w:szCs w:val="24"/>
                <w:lang w:val="es-CO"/>
              </w:rPr>
              <w:t>NOVENTA Y TRES</w:t>
            </w:r>
            <w:r w:rsidR="006B208B" w:rsidRPr="000D1E2C">
              <w:rPr>
                <w:rFonts w:ascii="Arial" w:eastAsia="Arial" w:hAnsi="Arial" w:cs="Arial"/>
                <w:color w:val="000000"/>
                <w:sz w:val="24"/>
                <w:szCs w:val="24"/>
                <w:lang w:val="es-CO"/>
              </w:rPr>
              <w:t xml:space="preserve"> PESOS</w:t>
            </w:r>
            <w:r w:rsidRPr="000D1E2C">
              <w:rPr>
                <w:rFonts w:ascii="Arial" w:eastAsia="Arial" w:hAnsi="Arial" w:cs="Arial"/>
                <w:color w:val="000000"/>
                <w:sz w:val="24"/>
                <w:szCs w:val="24"/>
                <w:lang w:val="es-CO"/>
              </w:rPr>
              <w:t xml:space="preserve"> M/CTE (</w:t>
            </w:r>
            <w:r w:rsidR="00A65BD5" w:rsidRPr="000D1E2C">
              <w:rPr>
                <w:rFonts w:ascii="Arial" w:eastAsia="Arial" w:hAnsi="Arial" w:cs="Arial"/>
                <w:b/>
                <w:bCs/>
                <w:color w:val="000000"/>
                <w:sz w:val="24"/>
                <w:szCs w:val="24"/>
                <w:lang w:val="es"/>
              </w:rPr>
              <w:t>$</w:t>
            </w:r>
            <w:r w:rsidR="00900014" w:rsidRPr="00900014">
              <w:rPr>
                <w:rFonts w:ascii="Arial" w:eastAsia="Arial" w:hAnsi="Arial" w:cs="Arial"/>
                <w:b/>
                <w:bCs/>
                <w:color w:val="000000"/>
                <w:sz w:val="24"/>
                <w:szCs w:val="24"/>
                <w:lang w:val="es"/>
              </w:rPr>
              <w:t>442.16</w:t>
            </w:r>
            <w:r w:rsidR="00527E99">
              <w:rPr>
                <w:rFonts w:ascii="Arial" w:eastAsia="Arial" w:hAnsi="Arial" w:cs="Arial"/>
                <w:b/>
                <w:bCs/>
                <w:color w:val="000000"/>
                <w:sz w:val="24"/>
                <w:szCs w:val="24"/>
                <w:lang w:val="es"/>
              </w:rPr>
              <w:t>1</w:t>
            </w:r>
            <w:r w:rsidR="00900014" w:rsidRPr="00900014">
              <w:rPr>
                <w:rFonts w:ascii="Arial" w:eastAsia="Arial" w:hAnsi="Arial" w:cs="Arial"/>
                <w:b/>
                <w:bCs/>
                <w:color w:val="000000"/>
                <w:sz w:val="24"/>
                <w:szCs w:val="24"/>
                <w:lang w:val="es"/>
              </w:rPr>
              <w:t>.</w:t>
            </w:r>
            <w:r w:rsidR="00527E99">
              <w:rPr>
                <w:rFonts w:ascii="Arial" w:eastAsia="Arial" w:hAnsi="Arial" w:cs="Arial"/>
                <w:b/>
                <w:bCs/>
                <w:color w:val="000000"/>
                <w:sz w:val="24"/>
                <w:szCs w:val="24"/>
                <w:lang w:val="es"/>
              </w:rPr>
              <w:t>093</w:t>
            </w:r>
            <w:r w:rsidR="00900014" w:rsidRPr="00900014">
              <w:rPr>
                <w:rFonts w:ascii="Arial" w:eastAsia="Arial" w:hAnsi="Arial" w:cs="Arial"/>
                <w:b/>
                <w:bCs/>
                <w:color w:val="000000"/>
                <w:sz w:val="24"/>
                <w:szCs w:val="24"/>
                <w:lang w:val="es"/>
              </w:rPr>
              <w:t>,00</w:t>
            </w:r>
            <w:r w:rsidRPr="000D1E2C">
              <w:rPr>
                <w:rFonts w:ascii="Arial" w:eastAsia="Arial" w:hAnsi="Arial" w:cs="Arial"/>
                <w:color w:val="000000"/>
                <w:sz w:val="24"/>
                <w:szCs w:val="24"/>
                <w:lang w:val="es-CO"/>
              </w:rPr>
              <w:t>) incluido IVA, y los demás impuestos y/o gravámenes que resulten aplicables.</w:t>
            </w:r>
          </w:p>
          <w:p w14:paraId="2C0C1104" w14:textId="77777777" w:rsidR="00D768A3" w:rsidRPr="000D1E2C"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0553CE80" w14:textId="580EF9A7" w:rsidR="00D768A3" w:rsidRPr="000D1E2C" w:rsidRDefault="000D1E2C">
            <w:pPr>
              <w:jc w:val="both"/>
              <w:rPr>
                <w:rFonts w:ascii="Arial" w:eastAsia="Arial" w:hAnsi="Arial" w:cs="Arial"/>
                <w:b/>
                <w:sz w:val="24"/>
                <w:szCs w:val="24"/>
                <w:lang w:val="es-CO"/>
              </w:rPr>
            </w:pPr>
            <w:r w:rsidRPr="000D1E2C">
              <w:rPr>
                <w:rFonts w:ascii="Arial" w:eastAsia="Arial" w:hAnsi="Arial" w:cs="Arial"/>
                <w:b/>
                <w:sz w:val="24"/>
                <w:szCs w:val="24"/>
                <w:lang w:val="es-CO"/>
              </w:rPr>
              <w:t>Forma de pago:</w:t>
            </w:r>
          </w:p>
          <w:p w14:paraId="7B25CAA1" w14:textId="77777777" w:rsidR="00D768A3" w:rsidRDefault="00D768A3">
            <w:pPr>
              <w:widowControl/>
              <w:pBdr>
                <w:top w:val="nil"/>
                <w:left w:val="nil"/>
                <w:bottom w:val="nil"/>
                <w:right w:val="nil"/>
                <w:between w:val="nil"/>
              </w:pBdr>
              <w:jc w:val="both"/>
              <w:rPr>
                <w:rFonts w:ascii="Arial" w:eastAsia="Arial" w:hAnsi="Arial" w:cs="Arial"/>
                <w:color w:val="000000"/>
                <w:sz w:val="24"/>
                <w:szCs w:val="24"/>
                <w:lang w:val="es-CO"/>
              </w:rPr>
            </w:pPr>
          </w:p>
          <w:p w14:paraId="546A3C11" w14:textId="77777777" w:rsid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r w:rsidRPr="00271CC6">
              <w:rPr>
                <w:rFonts w:ascii="Arial" w:eastAsia="Arial" w:hAnsi="Arial" w:cs="Arial"/>
                <w:color w:val="000000"/>
                <w:sz w:val="24"/>
                <w:szCs w:val="24"/>
                <w:lang w:val="es-CO"/>
              </w:rPr>
              <w:t>El valor del contrato que se suscriba como resultado del presente proceso de selección es a precio global fijo no reajustable; por lo tanto, el proponente deberá proyectar todos los costos en que puede incurrir durante la ejecución del contrato, los cuales deberá tener en cuenta en el valor de su propuesta. </w:t>
            </w:r>
          </w:p>
          <w:p w14:paraId="0F026C59" w14:textId="77777777" w:rsidR="00205CC1" w:rsidRPr="00271CC6" w:rsidRDefault="00205CC1" w:rsidP="00271CC6">
            <w:pPr>
              <w:pBdr>
                <w:top w:val="nil"/>
                <w:left w:val="nil"/>
                <w:bottom w:val="nil"/>
                <w:right w:val="nil"/>
                <w:between w:val="nil"/>
              </w:pBdr>
              <w:jc w:val="both"/>
              <w:rPr>
                <w:rFonts w:ascii="Arial" w:eastAsia="Arial" w:hAnsi="Arial" w:cs="Arial"/>
                <w:color w:val="000000"/>
                <w:sz w:val="24"/>
                <w:szCs w:val="24"/>
                <w:lang w:val="es-CO"/>
              </w:rPr>
            </w:pPr>
          </w:p>
          <w:p w14:paraId="0A8F4580"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r w:rsidRPr="00271CC6">
              <w:rPr>
                <w:rFonts w:ascii="Arial" w:eastAsia="Arial" w:hAnsi="Arial" w:cs="Arial"/>
                <w:color w:val="000000"/>
                <w:sz w:val="24"/>
                <w:szCs w:val="24"/>
                <w:lang w:val="es-CO"/>
              </w:rPr>
              <w:t>La Secretaría del Deporte y la Recreación pagará al contratista el valor del contrato mediante actas parciales y acta final, de acuerdo con el porcentaje de avance facturado de las obras ejecutadas del contrato objeto de la interventoría y de acuerdo con los recursos realmente dedicados a la obra en el período a facturar, soportadas con los informes de la interventoría escritos y digitales; estos porcentajes de avance deberán coincidir con los porcentajes de avance de los informes de obra ya facturados; los informes serán recibidos a satisfacción por parte del supervisor del contrato; los pagos se harán de la siguiente manera: </w:t>
            </w:r>
          </w:p>
          <w:p w14:paraId="3569F380"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p>
          <w:p w14:paraId="3CAF5196"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r w:rsidRPr="00271CC6">
              <w:rPr>
                <w:rFonts w:ascii="Arial" w:eastAsia="Arial" w:hAnsi="Arial" w:cs="Arial"/>
                <w:color w:val="000000"/>
                <w:sz w:val="24"/>
                <w:szCs w:val="24"/>
                <w:lang w:val="es-CO"/>
              </w:rPr>
              <w:lastRenderedPageBreak/>
              <w:t>Hasta el noventa por ciento (90%) del valor del contrato mediante actas parciales previa certificación de cumplimiento a satisfacción expedida por el supervisor del contrato. </w:t>
            </w:r>
          </w:p>
          <w:p w14:paraId="2CD9CA66"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p>
          <w:p w14:paraId="3A367BE7"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r w:rsidRPr="00271CC6">
              <w:rPr>
                <w:rFonts w:ascii="Arial" w:eastAsia="Arial" w:hAnsi="Arial" w:cs="Arial"/>
                <w:color w:val="000000"/>
                <w:sz w:val="24"/>
                <w:szCs w:val="24"/>
                <w:lang w:val="es-CO"/>
              </w:rPr>
              <w:t>Un pago final correspondiente al saldo del valor del contrato, es decir, el diez por ciento (10%), que será cancelado a la finalización de la interventoría, lo cual se dará con la presentación de los siguientes documentos: </w:t>
            </w:r>
          </w:p>
          <w:p w14:paraId="573C2662" w14:textId="77777777" w:rsidR="00271CC6" w:rsidRPr="00271CC6" w:rsidRDefault="00271CC6" w:rsidP="00BE4B51">
            <w:pPr>
              <w:pStyle w:val="Sinespaciado"/>
              <w:rPr>
                <w:lang w:val="es-CO"/>
              </w:rPr>
            </w:pPr>
            <w:r w:rsidRPr="00271CC6">
              <w:rPr>
                <w:lang w:val="es-CO"/>
              </w:rPr>
              <w:br/>
            </w:r>
          </w:p>
          <w:p w14:paraId="399952CC" w14:textId="77777777" w:rsidR="00271CC6" w:rsidRPr="00271CC6" w:rsidRDefault="00271CC6">
            <w:pPr>
              <w:numPr>
                <w:ilvl w:val="0"/>
                <w:numId w:val="10"/>
              </w:numPr>
              <w:pBdr>
                <w:top w:val="nil"/>
                <w:left w:val="nil"/>
                <w:bottom w:val="nil"/>
                <w:right w:val="nil"/>
                <w:between w:val="nil"/>
              </w:pBdr>
              <w:jc w:val="both"/>
              <w:rPr>
                <w:rFonts w:ascii="Arial" w:eastAsia="Arial" w:hAnsi="Arial" w:cs="Arial"/>
                <w:color w:val="000000"/>
                <w:sz w:val="24"/>
                <w:szCs w:val="24"/>
                <w:lang w:val="es-CO"/>
              </w:rPr>
            </w:pPr>
            <w:r w:rsidRPr="00271CC6">
              <w:rPr>
                <w:rFonts w:ascii="Arial" w:eastAsia="Arial" w:hAnsi="Arial" w:cs="Arial"/>
                <w:color w:val="000000"/>
                <w:sz w:val="24"/>
                <w:szCs w:val="24"/>
                <w:lang w:val="es-CO"/>
              </w:rPr>
              <w:t>Acta de la entrega y recibo final de la obra objeto de la interventoría, suscrita por el contratista de la obra objeto de interventoría y el Interventor; </w:t>
            </w:r>
          </w:p>
          <w:p w14:paraId="4A0A23BE" w14:textId="77777777" w:rsidR="00271CC6" w:rsidRPr="00271CC6" w:rsidRDefault="00271CC6">
            <w:pPr>
              <w:numPr>
                <w:ilvl w:val="0"/>
                <w:numId w:val="10"/>
              </w:numPr>
              <w:pBdr>
                <w:top w:val="nil"/>
                <w:left w:val="nil"/>
                <w:bottom w:val="nil"/>
                <w:right w:val="nil"/>
                <w:between w:val="nil"/>
              </w:pBdr>
              <w:jc w:val="both"/>
              <w:rPr>
                <w:rFonts w:ascii="Arial" w:eastAsia="Arial" w:hAnsi="Arial" w:cs="Arial"/>
                <w:color w:val="000000"/>
                <w:sz w:val="24"/>
                <w:szCs w:val="24"/>
                <w:lang w:val="es-CO"/>
              </w:rPr>
            </w:pPr>
            <w:r w:rsidRPr="00271CC6">
              <w:rPr>
                <w:rFonts w:ascii="Arial" w:eastAsia="Arial" w:hAnsi="Arial" w:cs="Arial"/>
                <w:color w:val="000000"/>
                <w:sz w:val="24"/>
                <w:szCs w:val="24"/>
                <w:lang w:val="es-CO"/>
              </w:rPr>
              <w:t>Informe final por parte del Supervisor del contrato de interventoría y recibo a satisfacción por parte de la Entidad. Toda autorización de pago requiere previa presentación de los documentos adicionales que se detallan más adelante.</w:t>
            </w:r>
          </w:p>
          <w:p w14:paraId="0209FC61"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p>
          <w:p w14:paraId="5423CC3C"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r w:rsidRPr="00271CC6">
              <w:rPr>
                <w:rFonts w:ascii="Arial" w:eastAsia="Arial" w:hAnsi="Arial" w:cs="Arial"/>
                <w:color w:val="000000"/>
                <w:sz w:val="24"/>
                <w:szCs w:val="24"/>
                <w:lang w:val="es-CO"/>
              </w:rPr>
              <w:t>El valor final del contrato será el resultante de la sumatoria de todos los recursos aplicados a la interventoría de la obra multiplicado por los valores ofertados, pero nunca podrá ser superior al valor nominal o modificado del contrato.</w:t>
            </w:r>
          </w:p>
          <w:p w14:paraId="7C5F0013"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p>
          <w:p w14:paraId="6392C76B"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r w:rsidRPr="00271CC6">
              <w:rPr>
                <w:rFonts w:ascii="Arial" w:eastAsia="Arial" w:hAnsi="Arial" w:cs="Arial"/>
                <w:color w:val="000000"/>
                <w:sz w:val="24"/>
                <w:szCs w:val="24"/>
                <w:lang w:val="es-CO"/>
              </w:rPr>
              <w:t>Para efectos del pago de las actas referidas, el contratista debe acreditar el pago de los aportes parafiscales y su afiliación obligatoria y de todo el personal asignado a la obra y pago actualizado, del sistema de seguridad social integral salud y pensión, conforme a las normas sobre la materia, so pena de hacerse acreedor a las sanciones establecidas en la misma por incumplimientos.</w:t>
            </w:r>
          </w:p>
          <w:p w14:paraId="10F95114" w14:textId="77777777" w:rsidR="00271CC6" w:rsidRPr="00271CC6" w:rsidRDefault="00271CC6" w:rsidP="00271CC6">
            <w:pPr>
              <w:pBdr>
                <w:top w:val="nil"/>
                <w:left w:val="nil"/>
                <w:bottom w:val="nil"/>
                <w:right w:val="nil"/>
                <w:between w:val="nil"/>
              </w:pBdr>
              <w:jc w:val="both"/>
              <w:rPr>
                <w:rFonts w:ascii="Arial" w:eastAsia="Arial" w:hAnsi="Arial" w:cs="Arial"/>
                <w:color w:val="000000"/>
                <w:sz w:val="24"/>
                <w:szCs w:val="24"/>
                <w:lang w:val="es-CO"/>
              </w:rPr>
            </w:pPr>
          </w:p>
          <w:p w14:paraId="1656F759" w14:textId="59E241F8" w:rsidR="00271CC6" w:rsidRPr="000D1E2C" w:rsidRDefault="00271CC6" w:rsidP="00D2694B">
            <w:pPr>
              <w:pBdr>
                <w:top w:val="nil"/>
                <w:left w:val="nil"/>
                <w:bottom w:val="nil"/>
                <w:right w:val="nil"/>
                <w:between w:val="nil"/>
              </w:pBdr>
              <w:jc w:val="both"/>
              <w:rPr>
                <w:rFonts w:ascii="Arial" w:eastAsia="Arial" w:hAnsi="Arial" w:cs="Arial"/>
                <w:color w:val="000000"/>
                <w:sz w:val="24"/>
                <w:szCs w:val="24"/>
                <w:lang w:val="es-CO"/>
              </w:rPr>
            </w:pPr>
            <w:r w:rsidRPr="00271CC6">
              <w:rPr>
                <w:rFonts w:ascii="Arial" w:eastAsia="Arial" w:hAnsi="Arial" w:cs="Arial"/>
                <w:color w:val="000000"/>
                <w:sz w:val="24"/>
                <w:szCs w:val="24"/>
                <w:lang w:val="es-CO"/>
              </w:rPr>
              <w:t xml:space="preserve">Los pagos estarán sujetos a la disponibilidad de los recursos del programa anual de caja PAC de la Secretaría del Deporte y la Recreación Municipal y a los recursos disponibles de la Tesorería Municipal. </w:t>
            </w:r>
          </w:p>
          <w:p w14:paraId="51B6CE40" w14:textId="77777777" w:rsidR="00D768A3" w:rsidRPr="000D1E2C" w:rsidRDefault="00D768A3" w:rsidP="00271CC6">
            <w:pPr>
              <w:pBdr>
                <w:top w:val="nil"/>
                <w:left w:val="nil"/>
                <w:bottom w:val="nil"/>
                <w:right w:val="nil"/>
                <w:between w:val="nil"/>
              </w:pBdr>
              <w:jc w:val="both"/>
              <w:rPr>
                <w:rFonts w:ascii="Arial" w:eastAsia="Arial" w:hAnsi="Arial" w:cs="Arial"/>
                <w:color w:val="000000"/>
                <w:sz w:val="24"/>
                <w:szCs w:val="24"/>
                <w:lang w:val="es-CO"/>
              </w:rPr>
            </w:pPr>
          </w:p>
        </w:tc>
      </w:tr>
      <w:tr w:rsidR="00D768A3" w14:paraId="4842D447"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7AC4E41" w14:textId="77777777" w:rsidR="00D768A3" w:rsidRDefault="00A0753E">
            <w:pPr>
              <w:widowControl/>
              <w:pBdr>
                <w:top w:val="nil"/>
                <w:left w:val="nil"/>
                <w:bottom w:val="nil"/>
                <w:right w:val="nil"/>
                <w:between w:val="nil"/>
              </w:pBdr>
              <w:spacing w:before="60" w:after="60"/>
              <w:jc w:val="both"/>
              <w:rPr>
                <w:rFonts w:ascii="Arial" w:eastAsia="Arial" w:hAnsi="Arial" w:cs="Arial"/>
                <w:color w:val="000000"/>
                <w:sz w:val="24"/>
                <w:szCs w:val="24"/>
              </w:rPr>
            </w:pPr>
            <w:r>
              <w:rPr>
                <w:rFonts w:ascii="Arial" w:eastAsia="Arial" w:hAnsi="Arial" w:cs="Arial"/>
                <w:color w:val="000000"/>
                <w:sz w:val="24"/>
                <w:szCs w:val="24"/>
              </w:rPr>
              <w:lastRenderedPageBreak/>
              <w:t>8.2 IMPUESTOS, TASAS Y CONTRIBUCIONES</w:t>
            </w:r>
          </w:p>
        </w:tc>
      </w:tr>
      <w:tr w:rsidR="00D768A3" w14:paraId="5B50E965"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56A5729" w14:textId="77777777" w:rsidR="00CB2368" w:rsidRDefault="00CB2368">
            <w:pPr>
              <w:jc w:val="both"/>
              <w:rPr>
                <w:rFonts w:ascii="Arial" w:eastAsia="Arial" w:hAnsi="Arial" w:cs="Arial"/>
                <w:sz w:val="24"/>
                <w:szCs w:val="24"/>
                <w:lang w:val="es-CO"/>
              </w:rPr>
            </w:pPr>
          </w:p>
          <w:p w14:paraId="46D67844" w14:textId="0466C398" w:rsidR="00D768A3" w:rsidRPr="00D67D8A" w:rsidRDefault="00A0753E">
            <w:pPr>
              <w:jc w:val="both"/>
              <w:rPr>
                <w:rFonts w:ascii="Arial" w:eastAsia="Arial" w:hAnsi="Arial" w:cs="Arial"/>
                <w:sz w:val="24"/>
                <w:szCs w:val="24"/>
                <w:lang w:val="es-CO"/>
              </w:rPr>
            </w:pPr>
            <w:r w:rsidRPr="00D67D8A">
              <w:rPr>
                <w:rFonts w:ascii="Arial" w:eastAsia="Arial" w:hAnsi="Arial" w:cs="Arial"/>
                <w:sz w:val="24"/>
                <w:szCs w:val="24"/>
                <w:lang w:val="es-CO"/>
              </w:rPr>
              <w:t>El Departamento Administrativo de Hacienda del Distrito de Santiago de Cali, efectúa en el momento del pago de factura, una serie de deducciones y retenciones por concepto de tasas del orden distrital, las cuales serán aplicadas a la eventual contratación, esto sin alterar los impuestos de orden nacional, así:</w:t>
            </w:r>
          </w:p>
          <w:p w14:paraId="2CD0A5B1" w14:textId="77777777" w:rsidR="00D768A3" w:rsidRPr="00D67D8A" w:rsidRDefault="00D768A3">
            <w:pPr>
              <w:jc w:val="both"/>
              <w:rPr>
                <w:rFonts w:ascii="Arial" w:eastAsia="Arial" w:hAnsi="Arial" w:cs="Arial"/>
                <w:sz w:val="24"/>
                <w:szCs w:val="24"/>
                <w:lang w:val="es-CO"/>
              </w:rPr>
            </w:pPr>
          </w:p>
          <w:tbl>
            <w:tblPr>
              <w:tblW w:w="8780" w:type="dxa"/>
              <w:tblCellMar>
                <w:left w:w="70" w:type="dxa"/>
                <w:right w:w="70" w:type="dxa"/>
              </w:tblCellMar>
              <w:tblLook w:val="04A0" w:firstRow="1" w:lastRow="0" w:firstColumn="1" w:lastColumn="0" w:noHBand="0" w:noVBand="1"/>
            </w:tblPr>
            <w:tblGrid>
              <w:gridCol w:w="3320"/>
              <w:gridCol w:w="1240"/>
              <w:gridCol w:w="2980"/>
              <w:gridCol w:w="1240"/>
            </w:tblGrid>
            <w:tr w:rsidR="0082101F" w:rsidRPr="0082101F" w14:paraId="672D0951" w14:textId="77777777" w:rsidTr="0082101F">
              <w:trPr>
                <w:trHeight w:val="615"/>
              </w:trPr>
              <w:tc>
                <w:tcPr>
                  <w:tcW w:w="332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CCEEC43" w14:textId="77777777" w:rsidR="0082101F" w:rsidRPr="0082101F" w:rsidRDefault="0082101F" w:rsidP="0082101F">
                  <w:pPr>
                    <w:jc w:val="center"/>
                    <w:rPr>
                      <w:rFonts w:ascii="Arial" w:hAnsi="Arial" w:cs="Arial"/>
                      <w:b/>
                      <w:bCs/>
                      <w:color w:val="000000"/>
                      <w:sz w:val="18"/>
                      <w:szCs w:val="18"/>
                      <w:lang w:val="es-CO"/>
                    </w:rPr>
                  </w:pPr>
                  <w:r w:rsidRPr="0082101F">
                    <w:rPr>
                      <w:rFonts w:ascii="Arial" w:hAnsi="Arial" w:cs="Arial"/>
                      <w:b/>
                      <w:bCs/>
                      <w:color w:val="000000"/>
                      <w:sz w:val="18"/>
                      <w:szCs w:val="18"/>
                      <w:lang w:val="es-CO"/>
                    </w:rPr>
                    <w:lastRenderedPageBreak/>
                    <w:t>CONTRATOS</w:t>
                  </w:r>
                </w:p>
              </w:tc>
              <w:tc>
                <w:tcPr>
                  <w:tcW w:w="1240" w:type="dxa"/>
                  <w:tcBorders>
                    <w:top w:val="single" w:sz="4" w:space="0" w:color="auto"/>
                    <w:left w:val="nil"/>
                    <w:bottom w:val="single" w:sz="4" w:space="0" w:color="auto"/>
                    <w:right w:val="single" w:sz="4" w:space="0" w:color="auto"/>
                  </w:tcBorders>
                  <w:shd w:val="clear" w:color="000000" w:fill="F2F2F2"/>
                  <w:vAlign w:val="center"/>
                  <w:hideMark/>
                </w:tcPr>
                <w:p w14:paraId="194A9FF5" w14:textId="77777777" w:rsidR="0082101F" w:rsidRPr="0082101F" w:rsidRDefault="0082101F" w:rsidP="0082101F">
                  <w:pPr>
                    <w:jc w:val="center"/>
                    <w:rPr>
                      <w:rFonts w:ascii="Arial" w:hAnsi="Arial" w:cs="Arial"/>
                      <w:b/>
                      <w:bCs/>
                      <w:color w:val="000000"/>
                      <w:sz w:val="18"/>
                      <w:szCs w:val="18"/>
                      <w:lang w:val="es-CO"/>
                    </w:rPr>
                  </w:pPr>
                  <w:r w:rsidRPr="0082101F">
                    <w:rPr>
                      <w:rFonts w:ascii="Arial" w:hAnsi="Arial" w:cs="Arial"/>
                      <w:b/>
                      <w:bCs/>
                      <w:color w:val="000000"/>
                      <w:sz w:val="18"/>
                      <w:szCs w:val="18"/>
                      <w:lang w:val="es-CO"/>
                    </w:rPr>
                    <w:t>% A APLICAR</w:t>
                  </w:r>
                </w:p>
              </w:tc>
              <w:tc>
                <w:tcPr>
                  <w:tcW w:w="4220" w:type="dxa"/>
                  <w:gridSpan w:val="2"/>
                  <w:tcBorders>
                    <w:top w:val="single" w:sz="4" w:space="0" w:color="auto"/>
                    <w:left w:val="nil"/>
                    <w:bottom w:val="single" w:sz="4" w:space="0" w:color="auto"/>
                    <w:right w:val="single" w:sz="4" w:space="0" w:color="auto"/>
                  </w:tcBorders>
                  <w:shd w:val="clear" w:color="000000" w:fill="F2F2F2"/>
                  <w:vAlign w:val="center"/>
                  <w:hideMark/>
                </w:tcPr>
                <w:p w14:paraId="5EE736C5" w14:textId="77777777" w:rsidR="0082101F" w:rsidRPr="0082101F" w:rsidRDefault="0082101F" w:rsidP="0082101F">
                  <w:pPr>
                    <w:jc w:val="center"/>
                    <w:rPr>
                      <w:rFonts w:ascii="Arial" w:hAnsi="Arial" w:cs="Arial"/>
                      <w:b/>
                      <w:bCs/>
                      <w:color w:val="000000"/>
                      <w:sz w:val="18"/>
                      <w:szCs w:val="18"/>
                      <w:lang w:val="es-CO"/>
                    </w:rPr>
                  </w:pPr>
                  <w:r w:rsidRPr="0082101F">
                    <w:rPr>
                      <w:rFonts w:ascii="Arial" w:hAnsi="Arial" w:cs="Arial"/>
                      <w:b/>
                      <w:bCs/>
                      <w:color w:val="000000"/>
                      <w:sz w:val="18"/>
                      <w:szCs w:val="18"/>
                      <w:lang w:val="es-CO"/>
                    </w:rPr>
                    <w:t>DISCRIMINADOS ASÍ:</w:t>
                  </w:r>
                </w:p>
              </w:tc>
            </w:tr>
            <w:tr w:rsidR="0082101F" w:rsidRPr="0082101F" w14:paraId="084E7C6A" w14:textId="77777777" w:rsidTr="0082101F">
              <w:trPr>
                <w:trHeight w:val="480"/>
              </w:trPr>
              <w:tc>
                <w:tcPr>
                  <w:tcW w:w="3320" w:type="dxa"/>
                  <w:vMerge w:val="restart"/>
                  <w:tcBorders>
                    <w:top w:val="nil"/>
                    <w:left w:val="single" w:sz="4" w:space="0" w:color="auto"/>
                    <w:bottom w:val="single" w:sz="4" w:space="0" w:color="auto"/>
                    <w:right w:val="single" w:sz="4" w:space="0" w:color="auto"/>
                  </w:tcBorders>
                  <w:vAlign w:val="center"/>
                  <w:hideMark/>
                </w:tcPr>
                <w:p w14:paraId="45CB5BE4"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Mayores de: $213.266.928  (4,072 UVT)</w:t>
                  </w:r>
                </w:p>
              </w:tc>
              <w:tc>
                <w:tcPr>
                  <w:tcW w:w="1240" w:type="dxa"/>
                  <w:vMerge w:val="restart"/>
                  <w:tcBorders>
                    <w:top w:val="nil"/>
                    <w:left w:val="single" w:sz="4" w:space="0" w:color="auto"/>
                    <w:bottom w:val="single" w:sz="4" w:space="0" w:color="auto"/>
                    <w:right w:val="single" w:sz="4" w:space="0" w:color="auto"/>
                  </w:tcBorders>
                  <w:vAlign w:val="center"/>
                  <w:hideMark/>
                </w:tcPr>
                <w:p w14:paraId="25911026"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14,00%</w:t>
                  </w:r>
                </w:p>
              </w:tc>
              <w:tc>
                <w:tcPr>
                  <w:tcW w:w="2980" w:type="dxa"/>
                  <w:tcBorders>
                    <w:top w:val="nil"/>
                    <w:left w:val="nil"/>
                    <w:bottom w:val="single" w:sz="4" w:space="0" w:color="auto"/>
                    <w:right w:val="single" w:sz="4" w:space="0" w:color="auto"/>
                  </w:tcBorders>
                  <w:vAlign w:val="center"/>
                  <w:hideMark/>
                </w:tcPr>
                <w:p w14:paraId="49253EDF" w14:textId="77777777" w:rsidR="0082101F" w:rsidRPr="0082101F" w:rsidRDefault="0082101F" w:rsidP="0082101F">
                  <w:pPr>
                    <w:jc w:val="both"/>
                    <w:rPr>
                      <w:rFonts w:ascii="Arial" w:hAnsi="Arial" w:cs="Arial"/>
                      <w:color w:val="000000"/>
                      <w:sz w:val="18"/>
                      <w:szCs w:val="18"/>
                      <w:lang w:val="es-CO"/>
                    </w:rPr>
                  </w:pPr>
                  <w:r w:rsidRPr="0082101F">
                    <w:rPr>
                      <w:rFonts w:ascii="Arial" w:hAnsi="Arial" w:cs="Arial"/>
                      <w:color w:val="000000"/>
                      <w:sz w:val="18"/>
                      <w:szCs w:val="18"/>
                      <w:lang w:val="es-CO"/>
                    </w:rPr>
                    <w:t xml:space="preserve">Pro Desarrollo </w:t>
                  </w:r>
                </w:p>
              </w:tc>
              <w:tc>
                <w:tcPr>
                  <w:tcW w:w="1240" w:type="dxa"/>
                  <w:tcBorders>
                    <w:top w:val="nil"/>
                    <w:left w:val="nil"/>
                    <w:bottom w:val="single" w:sz="4" w:space="0" w:color="auto"/>
                    <w:right w:val="single" w:sz="4" w:space="0" w:color="auto"/>
                  </w:tcBorders>
                  <w:vAlign w:val="center"/>
                  <w:hideMark/>
                </w:tcPr>
                <w:p w14:paraId="34E9CC46"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3,50%</w:t>
                  </w:r>
                </w:p>
              </w:tc>
            </w:tr>
            <w:tr w:rsidR="0082101F" w:rsidRPr="0082101F" w14:paraId="09453A79" w14:textId="77777777" w:rsidTr="0082101F">
              <w:trPr>
                <w:trHeight w:val="288"/>
              </w:trPr>
              <w:tc>
                <w:tcPr>
                  <w:tcW w:w="3320" w:type="dxa"/>
                  <w:vMerge/>
                  <w:tcBorders>
                    <w:top w:val="nil"/>
                    <w:left w:val="single" w:sz="4" w:space="0" w:color="auto"/>
                    <w:bottom w:val="single" w:sz="4" w:space="0" w:color="auto"/>
                    <w:right w:val="single" w:sz="4" w:space="0" w:color="auto"/>
                  </w:tcBorders>
                  <w:vAlign w:val="center"/>
                  <w:hideMark/>
                </w:tcPr>
                <w:p w14:paraId="46079FF6" w14:textId="77777777" w:rsidR="0082101F" w:rsidRPr="0082101F" w:rsidRDefault="0082101F" w:rsidP="0082101F">
                  <w:pPr>
                    <w:rPr>
                      <w:rFonts w:ascii="Arial" w:hAnsi="Arial" w:cs="Arial"/>
                      <w:color w:val="000000"/>
                      <w:sz w:val="18"/>
                      <w:szCs w:val="18"/>
                      <w:lang w:val="es-CO"/>
                    </w:rPr>
                  </w:pPr>
                </w:p>
              </w:tc>
              <w:tc>
                <w:tcPr>
                  <w:tcW w:w="1240" w:type="dxa"/>
                  <w:vMerge/>
                  <w:tcBorders>
                    <w:top w:val="nil"/>
                    <w:left w:val="single" w:sz="4" w:space="0" w:color="auto"/>
                    <w:bottom w:val="single" w:sz="4" w:space="0" w:color="auto"/>
                    <w:right w:val="single" w:sz="4" w:space="0" w:color="auto"/>
                  </w:tcBorders>
                  <w:vAlign w:val="center"/>
                  <w:hideMark/>
                </w:tcPr>
                <w:p w14:paraId="2D9075B6" w14:textId="77777777" w:rsidR="0082101F" w:rsidRPr="0082101F" w:rsidRDefault="0082101F" w:rsidP="0082101F">
                  <w:pPr>
                    <w:rPr>
                      <w:rFonts w:ascii="Arial" w:hAnsi="Arial" w:cs="Arial"/>
                      <w:color w:val="000000"/>
                      <w:sz w:val="18"/>
                      <w:szCs w:val="18"/>
                      <w:lang w:val="es-CO"/>
                    </w:rPr>
                  </w:pPr>
                </w:p>
              </w:tc>
              <w:tc>
                <w:tcPr>
                  <w:tcW w:w="2980" w:type="dxa"/>
                  <w:tcBorders>
                    <w:top w:val="nil"/>
                    <w:left w:val="nil"/>
                    <w:bottom w:val="single" w:sz="4" w:space="0" w:color="auto"/>
                    <w:right w:val="single" w:sz="4" w:space="0" w:color="auto"/>
                  </w:tcBorders>
                  <w:vAlign w:val="center"/>
                  <w:hideMark/>
                </w:tcPr>
                <w:p w14:paraId="1A009CB0" w14:textId="77777777" w:rsidR="0082101F" w:rsidRPr="0082101F" w:rsidRDefault="0082101F" w:rsidP="0082101F">
                  <w:pPr>
                    <w:jc w:val="both"/>
                    <w:rPr>
                      <w:rFonts w:ascii="Arial" w:hAnsi="Arial" w:cs="Arial"/>
                      <w:color w:val="000000"/>
                      <w:sz w:val="18"/>
                      <w:szCs w:val="18"/>
                      <w:lang w:val="es-CO"/>
                    </w:rPr>
                  </w:pPr>
                  <w:r w:rsidRPr="0082101F">
                    <w:rPr>
                      <w:rFonts w:ascii="Arial" w:hAnsi="Arial" w:cs="Arial"/>
                      <w:color w:val="000000"/>
                      <w:sz w:val="18"/>
                      <w:szCs w:val="18"/>
                      <w:lang w:val="es-CO"/>
                    </w:rPr>
                    <w:t xml:space="preserve">Pro Univalle     </w:t>
                  </w:r>
                </w:p>
              </w:tc>
              <w:tc>
                <w:tcPr>
                  <w:tcW w:w="1240" w:type="dxa"/>
                  <w:tcBorders>
                    <w:top w:val="nil"/>
                    <w:left w:val="nil"/>
                    <w:bottom w:val="single" w:sz="4" w:space="0" w:color="auto"/>
                    <w:right w:val="single" w:sz="4" w:space="0" w:color="auto"/>
                  </w:tcBorders>
                  <w:vAlign w:val="center"/>
                  <w:hideMark/>
                </w:tcPr>
                <w:p w14:paraId="2487D00D"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2,00%</w:t>
                  </w:r>
                </w:p>
              </w:tc>
            </w:tr>
            <w:tr w:rsidR="0082101F" w:rsidRPr="0082101F" w14:paraId="2EAB7BE3" w14:textId="77777777" w:rsidTr="0082101F">
              <w:trPr>
                <w:trHeight w:val="288"/>
              </w:trPr>
              <w:tc>
                <w:tcPr>
                  <w:tcW w:w="3320" w:type="dxa"/>
                  <w:vMerge/>
                  <w:tcBorders>
                    <w:top w:val="nil"/>
                    <w:left w:val="single" w:sz="4" w:space="0" w:color="auto"/>
                    <w:bottom w:val="single" w:sz="4" w:space="0" w:color="auto"/>
                    <w:right w:val="single" w:sz="4" w:space="0" w:color="auto"/>
                  </w:tcBorders>
                  <w:vAlign w:val="center"/>
                  <w:hideMark/>
                </w:tcPr>
                <w:p w14:paraId="3FE0ECD4" w14:textId="77777777" w:rsidR="0082101F" w:rsidRPr="0082101F" w:rsidRDefault="0082101F" w:rsidP="0082101F">
                  <w:pPr>
                    <w:rPr>
                      <w:rFonts w:ascii="Arial" w:hAnsi="Arial" w:cs="Arial"/>
                      <w:color w:val="000000"/>
                      <w:sz w:val="18"/>
                      <w:szCs w:val="18"/>
                      <w:lang w:val="es-CO"/>
                    </w:rPr>
                  </w:pPr>
                </w:p>
              </w:tc>
              <w:tc>
                <w:tcPr>
                  <w:tcW w:w="1240" w:type="dxa"/>
                  <w:vMerge/>
                  <w:tcBorders>
                    <w:top w:val="nil"/>
                    <w:left w:val="single" w:sz="4" w:space="0" w:color="auto"/>
                    <w:bottom w:val="single" w:sz="4" w:space="0" w:color="auto"/>
                    <w:right w:val="single" w:sz="4" w:space="0" w:color="auto"/>
                  </w:tcBorders>
                  <w:vAlign w:val="center"/>
                  <w:hideMark/>
                </w:tcPr>
                <w:p w14:paraId="32EA55B0" w14:textId="77777777" w:rsidR="0082101F" w:rsidRPr="0082101F" w:rsidRDefault="0082101F" w:rsidP="0082101F">
                  <w:pPr>
                    <w:rPr>
                      <w:rFonts w:ascii="Arial" w:hAnsi="Arial" w:cs="Arial"/>
                      <w:color w:val="000000"/>
                      <w:sz w:val="18"/>
                      <w:szCs w:val="18"/>
                      <w:lang w:val="es-CO"/>
                    </w:rPr>
                  </w:pPr>
                </w:p>
              </w:tc>
              <w:tc>
                <w:tcPr>
                  <w:tcW w:w="2980" w:type="dxa"/>
                  <w:tcBorders>
                    <w:top w:val="nil"/>
                    <w:left w:val="nil"/>
                    <w:bottom w:val="single" w:sz="4" w:space="0" w:color="auto"/>
                    <w:right w:val="single" w:sz="4" w:space="0" w:color="auto"/>
                  </w:tcBorders>
                  <w:vAlign w:val="center"/>
                  <w:hideMark/>
                </w:tcPr>
                <w:p w14:paraId="62E5FE27" w14:textId="77777777" w:rsidR="0082101F" w:rsidRPr="0082101F" w:rsidRDefault="0082101F" w:rsidP="0082101F">
                  <w:pPr>
                    <w:jc w:val="both"/>
                    <w:rPr>
                      <w:rFonts w:ascii="Arial" w:hAnsi="Arial" w:cs="Arial"/>
                      <w:color w:val="000000"/>
                      <w:sz w:val="18"/>
                      <w:szCs w:val="18"/>
                      <w:lang w:val="es-CO"/>
                    </w:rPr>
                  </w:pPr>
                  <w:r w:rsidRPr="0082101F">
                    <w:rPr>
                      <w:rFonts w:ascii="Arial" w:hAnsi="Arial" w:cs="Arial"/>
                      <w:color w:val="000000"/>
                      <w:sz w:val="18"/>
                      <w:szCs w:val="18"/>
                      <w:lang w:val="es-CO"/>
                    </w:rPr>
                    <w:t xml:space="preserve">Pro Hospital     </w:t>
                  </w:r>
                </w:p>
              </w:tc>
              <w:tc>
                <w:tcPr>
                  <w:tcW w:w="1240" w:type="dxa"/>
                  <w:tcBorders>
                    <w:top w:val="nil"/>
                    <w:left w:val="nil"/>
                    <w:bottom w:val="single" w:sz="4" w:space="0" w:color="auto"/>
                    <w:right w:val="single" w:sz="4" w:space="0" w:color="auto"/>
                  </w:tcBorders>
                  <w:vAlign w:val="center"/>
                  <w:hideMark/>
                </w:tcPr>
                <w:p w14:paraId="2C54075E"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1,00%</w:t>
                  </w:r>
                </w:p>
              </w:tc>
            </w:tr>
            <w:tr w:rsidR="0082101F" w:rsidRPr="0082101F" w14:paraId="3A2FC01B" w14:textId="77777777" w:rsidTr="0082101F">
              <w:trPr>
                <w:trHeight w:val="288"/>
              </w:trPr>
              <w:tc>
                <w:tcPr>
                  <w:tcW w:w="3320" w:type="dxa"/>
                  <w:vMerge/>
                  <w:tcBorders>
                    <w:top w:val="nil"/>
                    <w:left w:val="single" w:sz="4" w:space="0" w:color="auto"/>
                    <w:bottom w:val="single" w:sz="4" w:space="0" w:color="auto"/>
                    <w:right w:val="single" w:sz="4" w:space="0" w:color="auto"/>
                  </w:tcBorders>
                  <w:vAlign w:val="center"/>
                  <w:hideMark/>
                </w:tcPr>
                <w:p w14:paraId="03BC8C09" w14:textId="77777777" w:rsidR="0082101F" w:rsidRPr="0082101F" w:rsidRDefault="0082101F" w:rsidP="0082101F">
                  <w:pPr>
                    <w:rPr>
                      <w:rFonts w:ascii="Arial" w:hAnsi="Arial" w:cs="Arial"/>
                      <w:color w:val="000000"/>
                      <w:sz w:val="18"/>
                      <w:szCs w:val="18"/>
                      <w:lang w:val="es-CO"/>
                    </w:rPr>
                  </w:pPr>
                </w:p>
              </w:tc>
              <w:tc>
                <w:tcPr>
                  <w:tcW w:w="1240" w:type="dxa"/>
                  <w:vMerge/>
                  <w:tcBorders>
                    <w:top w:val="nil"/>
                    <w:left w:val="single" w:sz="4" w:space="0" w:color="auto"/>
                    <w:bottom w:val="single" w:sz="4" w:space="0" w:color="auto"/>
                    <w:right w:val="single" w:sz="4" w:space="0" w:color="auto"/>
                  </w:tcBorders>
                  <w:vAlign w:val="center"/>
                  <w:hideMark/>
                </w:tcPr>
                <w:p w14:paraId="7354DD34" w14:textId="77777777" w:rsidR="0082101F" w:rsidRPr="0082101F" w:rsidRDefault="0082101F" w:rsidP="0082101F">
                  <w:pPr>
                    <w:rPr>
                      <w:rFonts w:ascii="Arial" w:hAnsi="Arial" w:cs="Arial"/>
                      <w:color w:val="000000"/>
                      <w:sz w:val="18"/>
                      <w:szCs w:val="18"/>
                      <w:lang w:val="es-CO"/>
                    </w:rPr>
                  </w:pPr>
                </w:p>
              </w:tc>
              <w:tc>
                <w:tcPr>
                  <w:tcW w:w="2980" w:type="dxa"/>
                  <w:tcBorders>
                    <w:top w:val="nil"/>
                    <w:left w:val="nil"/>
                    <w:bottom w:val="single" w:sz="4" w:space="0" w:color="auto"/>
                    <w:right w:val="single" w:sz="4" w:space="0" w:color="auto"/>
                  </w:tcBorders>
                  <w:vAlign w:val="center"/>
                  <w:hideMark/>
                </w:tcPr>
                <w:p w14:paraId="19B70CFA" w14:textId="77777777" w:rsidR="0082101F" w:rsidRPr="0082101F" w:rsidRDefault="0082101F" w:rsidP="0082101F">
                  <w:pPr>
                    <w:jc w:val="both"/>
                    <w:rPr>
                      <w:rFonts w:ascii="Arial" w:hAnsi="Arial" w:cs="Arial"/>
                      <w:color w:val="000000"/>
                      <w:sz w:val="18"/>
                      <w:szCs w:val="18"/>
                      <w:lang w:val="es-CO"/>
                    </w:rPr>
                  </w:pPr>
                  <w:r w:rsidRPr="0082101F">
                    <w:rPr>
                      <w:rFonts w:ascii="Arial" w:hAnsi="Arial" w:cs="Arial"/>
                      <w:color w:val="000000"/>
                      <w:sz w:val="18"/>
                      <w:szCs w:val="18"/>
                      <w:lang w:val="es-CO"/>
                    </w:rPr>
                    <w:t xml:space="preserve">Pro UniPacifico </w:t>
                  </w:r>
                </w:p>
              </w:tc>
              <w:tc>
                <w:tcPr>
                  <w:tcW w:w="1240" w:type="dxa"/>
                  <w:tcBorders>
                    <w:top w:val="nil"/>
                    <w:left w:val="nil"/>
                    <w:bottom w:val="single" w:sz="4" w:space="0" w:color="auto"/>
                    <w:right w:val="single" w:sz="4" w:space="0" w:color="auto"/>
                  </w:tcBorders>
                  <w:vAlign w:val="center"/>
                  <w:hideMark/>
                </w:tcPr>
                <w:p w14:paraId="1E799AAE"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0,50%</w:t>
                  </w:r>
                </w:p>
              </w:tc>
            </w:tr>
            <w:tr w:rsidR="0082101F" w:rsidRPr="0082101F" w14:paraId="7E570FAD" w14:textId="77777777" w:rsidTr="0082101F">
              <w:trPr>
                <w:trHeight w:val="288"/>
              </w:trPr>
              <w:tc>
                <w:tcPr>
                  <w:tcW w:w="3320" w:type="dxa"/>
                  <w:vMerge/>
                  <w:tcBorders>
                    <w:top w:val="nil"/>
                    <w:left w:val="single" w:sz="4" w:space="0" w:color="auto"/>
                    <w:bottom w:val="single" w:sz="4" w:space="0" w:color="auto"/>
                    <w:right w:val="single" w:sz="4" w:space="0" w:color="auto"/>
                  </w:tcBorders>
                  <w:vAlign w:val="center"/>
                  <w:hideMark/>
                </w:tcPr>
                <w:p w14:paraId="54E99CCE" w14:textId="77777777" w:rsidR="0082101F" w:rsidRPr="0082101F" w:rsidRDefault="0082101F" w:rsidP="0082101F">
                  <w:pPr>
                    <w:rPr>
                      <w:rFonts w:ascii="Arial" w:hAnsi="Arial" w:cs="Arial"/>
                      <w:color w:val="000000"/>
                      <w:sz w:val="18"/>
                      <w:szCs w:val="18"/>
                      <w:lang w:val="es-CO"/>
                    </w:rPr>
                  </w:pPr>
                </w:p>
              </w:tc>
              <w:tc>
                <w:tcPr>
                  <w:tcW w:w="1240" w:type="dxa"/>
                  <w:vMerge/>
                  <w:tcBorders>
                    <w:top w:val="nil"/>
                    <w:left w:val="single" w:sz="4" w:space="0" w:color="auto"/>
                    <w:bottom w:val="single" w:sz="4" w:space="0" w:color="auto"/>
                    <w:right w:val="single" w:sz="4" w:space="0" w:color="auto"/>
                  </w:tcBorders>
                  <w:vAlign w:val="center"/>
                  <w:hideMark/>
                </w:tcPr>
                <w:p w14:paraId="2131723D" w14:textId="77777777" w:rsidR="0082101F" w:rsidRPr="0082101F" w:rsidRDefault="0082101F" w:rsidP="0082101F">
                  <w:pPr>
                    <w:rPr>
                      <w:rFonts w:ascii="Arial" w:hAnsi="Arial" w:cs="Arial"/>
                      <w:color w:val="000000"/>
                      <w:sz w:val="18"/>
                      <w:szCs w:val="18"/>
                      <w:lang w:val="es-CO"/>
                    </w:rPr>
                  </w:pPr>
                </w:p>
              </w:tc>
              <w:tc>
                <w:tcPr>
                  <w:tcW w:w="2980" w:type="dxa"/>
                  <w:tcBorders>
                    <w:top w:val="nil"/>
                    <w:left w:val="nil"/>
                    <w:bottom w:val="single" w:sz="4" w:space="0" w:color="auto"/>
                    <w:right w:val="single" w:sz="4" w:space="0" w:color="auto"/>
                  </w:tcBorders>
                  <w:vAlign w:val="center"/>
                  <w:hideMark/>
                </w:tcPr>
                <w:p w14:paraId="00F85B1E" w14:textId="77777777" w:rsidR="0082101F" w:rsidRPr="0082101F" w:rsidRDefault="0082101F" w:rsidP="0082101F">
                  <w:pPr>
                    <w:jc w:val="both"/>
                    <w:rPr>
                      <w:rFonts w:ascii="Arial" w:hAnsi="Arial" w:cs="Arial"/>
                      <w:color w:val="000000"/>
                      <w:sz w:val="18"/>
                      <w:szCs w:val="18"/>
                      <w:lang w:val="es-CO"/>
                    </w:rPr>
                  </w:pPr>
                  <w:r w:rsidRPr="0082101F">
                    <w:rPr>
                      <w:rFonts w:ascii="Arial" w:hAnsi="Arial" w:cs="Arial"/>
                      <w:color w:val="000000"/>
                      <w:sz w:val="18"/>
                      <w:szCs w:val="18"/>
                      <w:lang w:val="es-CO"/>
                    </w:rPr>
                    <w:t xml:space="preserve">Pro Cultura       </w:t>
                  </w:r>
                </w:p>
              </w:tc>
              <w:tc>
                <w:tcPr>
                  <w:tcW w:w="1240" w:type="dxa"/>
                  <w:tcBorders>
                    <w:top w:val="nil"/>
                    <w:left w:val="nil"/>
                    <w:bottom w:val="single" w:sz="4" w:space="0" w:color="auto"/>
                    <w:right w:val="single" w:sz="4" w:space="0" w:color="auto"/>
                  </w:tcBorders>
                  <w:vAlign w:val="center"/>
                  <w:hideMark/>
                </w:tcPr>
                <w:p w14:paraId="52CC2FEA"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1,00%</w:t>
                  </w:r>
                </w:p>
              </w:tc>
            </w:tr>
            <w:tr w:rsidR="0082101F" w:rsidRPr="0082101F" w14:paraId="0F93F82F" w14:textId="77777777" w:rsidTr="0082101F">
              <w:trPr>
                <w:trHeight w:val="288"/>
              </w:trPr>
              <w:tc>
                <w:tcPr>
                  <w:tcW w:w="3320" w:type="dxa"/>
                  <w:vMerge/>
                  <w:tcBorders>
                    <w:top w:val="nil"/>
                    <w:left w:val="single" w:sz="4" w:space="0" w:color="auto"/>
                    <w:bottom w:val="single" w:sz="4" w:space="0" w:color="auto"/>
                    <w:right w:val="single" w:sz="4" w:space="0" w:color="auto"/>
                  </w:tcBorders>
                  <w:vAlign w:val="center"/>
                  <w:hideMark/>
                </w:tcPr>
                <w:p w14:paraId="6D016C30" w14:textId="77777777" w:rsidR="0082101F" w:rsidRPr="0082101F" w:rsidRDefault="0082101F" w:rsidP="0082101F">
                  <w:pPr>
                    <w:rPr>
                      <w:rFonts w:ascii="Arial" w:hAnsi="Arial" w:cs="Arial"/>
                      <w:color w:val="000000"/>
                      <w:sz w:val="18"/>
                      <w:szCs w:val="18"/>
                      <w:lang w:val="es-CO"/>
                    </w:rPr>
                  </w:pPr>
                </w:p>
              </w:tc>
              <w:tc>
                <w:tcPr>
                  <w:tcW w:w="1240" w:type="dxa"/>
                  <w:vMerge/>
                  <w:tcBorders>
                    <w:top w:val="nil"/>
                    <w:left w:val="single" w:sz="4" w:space="0" w:color="auto"/>
                    <w:bottom w:val="single" w:sz="4" w:space="0" w:color="auto"/>
                    <w:right w:val="single" w:sz="4" w:space="0" w:color="auto"/>
                  </w:tcBorders>
                  <w:vAlign w:val="center"/>
                  <w:hideMark/>
                </w:tcPr>
                <w:p w14:paraId="6AA04F84" w14:textId="77777777" w:rsidR="0082101F" w:rsidRPr="0082101F" w:rsidRDefault="0082101F" w:rsidP="0082101F">
                  <w:pPr>
                    <w:rPr>
                      <w:rFonts w:ascii="Arial" w:hAnsi="Arial" w:cs="Arial"/>
                      <w:color w:val="000000"/>
                      <w:sz w:val="18"/>
                      <w:szCs w:val="18"/>
                      <w:lang w:val="es-CO"/>
                    </w:rPr>
                  </w:pPr>
                </w:p>
              </w:tc>
              <w:tc>
                <w:tcPr>
                  <w:tcW w:w="2980" w:type="dxa"/>
                  <w:tcBorders>
                    <w:top w:val="nil"/>
                    <w:left w:val="nil"/>
                    <w:bottom w:val="single" w:sz="4" w:space="0" w:color="auto"/>
                    <w:right w:val="single" w:sz="4" w:space="0" w:color="auto"/>
                  </w:tcBorders>
                  <w:vAlign w:val="center"/>
                  <w:hideMark/>
                </w:tcPr>
                <w:p w14:paraId="23177251" w14:textId="77777777" w:rsidR="0082101F" w:rsidRPr="0082101F" w:rsidRDefault="0082101F" w:rsidP="0082101F">
                  <w:pPr>
                    <w:jc w:val="both"/>
                    <w:rPr>
                      <w:rFonts w:ascii="Arial" w:hAnsi="Arial" w:cs="Arial"/>
                      <w:color w:val="000000"/>
                      <w:sz w:val="18"/>
                      <w:szCs w:val="18"/>
                      <w:lang w:val="es-CO"/>
                    </w:rPr>
                  </w:pPr>
                  <w:r w:rsidRPr="0082101F">
                    <w:rPr>
                      <w:rFonts w:ascii="Arial" w:hAnsi="Arial" w:cs="Arial"/>
                      <w:color w:val="000000"/>
                      <w:sz w:val="18"/>
                      <w:szCs w:val="18"/>
                      <w:lang w:val="es-CO"/>
                    </w:rPr>
                    <w:t xml:space="preserve">Pro Adulto Mayor       </w:t>
                  </w:r>
                </w:p>
              </w:tc>
              <w:tc>
                <w:tcPr>
                  <w:tcW w:w="1240" w:type="dxa"/>
                  <w:tcBorders>
                    <w:top w:val="nil"/>
                    <w:left w:val="nil"/>
                    <w:bottom w:val="single" w:sz="4" w:space="0" w:color="auto"/>
                    <w:right w:val="single" w:sz="4" w:space="0" w:color="auto"/>
                  </w:tcBorders>
                  <w:vAlign w:val="center"/>
                  <w:hideMark/>
                </w:tcPr>
                <w:p w14:paraId="55894E76"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2,00%</w:t>
                  </w:r>
                </w:p>
              </w:tc>
            </w:tr>
            <w:tr w:rsidR="0082101F" w:rsidRPr="0082101F" w14:paraId="5CA4EAC2" w14:textId="77777777" w:rsidTr="0082101F">
              <w:trPr>
                <w:trHeight w:val="288"/>
              </w:trPr>
              <w:tc>
                <w:tcPr>
                  <w:tcW w:w="3320" w:type="dxa"/>
                  <w:vMerge/>
                  <w:tcBorders>
                    <w:top w:val="nil"/>
                    <w:left w:val="single" w:sz="4" w:space="0" w:color="auto"/>
                    <w:bottom w:val="single" w:sz="4" w:space="0" w:color="auto"/>
                    <w:right w:val="single" w:sz="4" w:space="0" w:color="auto"/>
                  </w:tcBorders>
                  <w:vAlign w:val="center"/>
                  <w:hideMark/>
                </w:tcPr>
                <w:p w14:paraId="3AA4EB75" w14:textId="77777777" w:rsidR="0082101F" w:rsidRPr="0082101F" w:rsidRDefault="0082101F" w:rsidP="0082101F">
                  <w:pPr>
                    <w:rPr>
                      <w:rFonts w:ascii="Arial" w:hAnsi="Arial" w:cs="Arial"/>
                      <w:color w:val="000000"/>
                      <w:sz w:val="18"/>
                      <w:szCs w:val="18"/>
                      <w:lang w:val="es-CO"/>
                    </w:rPr>
                  </w:pPr>
                </w:p>
              </w:tc>
              <w:tc>
                <w:tcPr>
                  <w:tcW w:w="1240" w:type="dxa"/>
                  <w:vMerge/>
                  <w:tcBorders>
                    <w:top w:val="nil"/>
                    <w:left w:val="single" w:sz="4" w:space="0" w:color="auto"/>
                    <w:bottom w:val="single" w:sz="4" w:space="0" w:color="auto"/>
                    <w:right w:val="single" w:sz="4" w:space="0" w:color="auto"/>
                  </w:tcBorders>
                  <w:vAlign w:val="center"/>
                  <w:hideMark/>
                </w:tcPr>
                <w:p w14:paraId="63E9ACD0" w14:textId="77777777" w:rsidR="0082101F" w:rsidRPr="0082101F" w:rsidRDefault="0082101F" w:rsidP="0082101F">
                  <w:pPr>
                    <w:rPr>
                      <w:rFonts w:ascii="Arial" w:hAnsi="Arial" w:cs="Arial"/>
                      <w:color w:val="000000"/>
                      <w:sz w:val="18"/>
                      <w:szCs w:val="18"/>
                      <w:lang w:val="es-CO"/>
                    </w:rPr>
                  </w:pPr>
                </w:p>
              </w:tc>
              <w:tc>
                <w:tcPr>
                  <w:tcW w:w="2980" w:type="dxa"/>
                  <w:tcBorders>
                    <w:top w:val="nil"/>
                    <w:left w:val="nil"/>
                    <w:bottom w:val="single" w:sz="4" w:space="0" w:color="auto"/>
                    <w:right w:val="single" w:sz="4" w:space="0" w:color="auto"/>
                  </w:tcBorders>
                  <w:vAlign w:val="center"/>
                  <w:hideMark/>
                </w:tcPr>
                <w:p w14:paraId="16978214" w14:textId="77777777" w:rsidR="0082101F" w:rsidRPr="0082101F" w:rsidRDefault="0082101F" w:rsidP="0082101F">
                  <w:pPr>
                    <w:rPr>
                      <w:rFonts w:ascii="Arial" w:hAnsi="Arial" w:cs="Arial"/>
                      <w:color w:val="000000"/>
                      <w:sz w:val="18"/>
                      <w:szCs w:val="18"/>
                      <w:lang w:val="es-CO"/>
                    </w:rPr>
                  </w:pPr>
                  <w:r w:rsidRPr="0082101F">
                    <w:rPr>
                      <w:rFonts w:ascii="Arial" w:hAnsi="Arial" w:cs="Arial"/>
                      <w:color w:val="000000"/>
                      <w:sz w:val="18"/>
                      <w:szCs w:val="18"/>
                      <w:lang w:val="es-CO"/>
                    </w:rPr>
                    <w:t xml:space="preserve">Pro Deporte y Recreación       </w:t>
                  </w:r>
                </w:p>
              </w:tc>
              <w:tc>
                <w:tcPr>
                  <w:tcW w:w="1240" w:type="dxa"/>
                  <w:tcBorders>
                    <w:top w:val="nil"/>
                    <w:left w:val="nil"/>
                    <w:bottom w:val="single" w:sz="4" w:space="0" w:color="auto"/>
                    <w:right w:val="single" w:sz="4" w:space="0" w:color="auto"/>
                  </w:tcBorders>
                  <w:vAlign w:val="center"/>
                  <w:hideMark/>
                </w:tcPr>
                <w:p w14:paraId="4D65FCED"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2,00%</w:t>
                  </w:r>
                </w:p>
              </w:tc>
            </w:tr>
            <w:tr w:rsidR="0082101F" w:rsidRPr="0082101F" w14:paraId="4B59A82A" w14:textId="77777777" w:rsidTr="0082101F">
              <w:trPr>
                <w:trHeight w:val="288"/>
              </w:trPr>
              <w:tc>
                <w:tcPr>
                  <w:tcW w:w="3320" w:type="dxa"/>
                  <w:vMerge/>
                  <w:tcBorders>
                    <w:top w:val="nil"/>
                    <w:left w:val="single" w:sz="4" w:space="0" w:color="auto"/>
                    <w:bottom w:val="single" w:sz="4" w:space="0" w:color="auto"/>
                    <w:right w:val="single" w:sz="4" w:space="0" w:color="auto"/>
                  </w:tcBorders>
                  <w:vAlign w:val="center"/>
                  <w:hideMark/>
                </w:tcPr>
                <w:p w14:paraId="3DCF0C70" w14:textId="77777777" w:rsidR="0082101F" w:rsidRPr="0082101F" w:rsidRDefault="0082101F" w:rsidP="0082101F">
                  <w:pPr>
                    <w:rPr>
                      <w:rFonts w:ascii="Arial" w:hAnsi="Arial" w:cs="Arial"/>
                      <w:color w:val="000000"/>
                      <w:sz w:val="18"/>
                      <w:szCs w:val="18"/>
                      <w:lang w:val="es-CO"/>
                    </w:rPr>
                  </w:pPr>
                </w:p>
              </w:tc>
              <w:tc>
                <w:tcPr>
                  <w:tcW w:w="1240" w:type="dxa"/>
                  <w:vMerge/>
                  <w:tcBorders>
                    <w:top w:val="nil"/>
                    <w:left w:val="single" w:sz="4" w:space="0" w:color="auto"/>
                    <w:bottom w:val="single" w:sz="4" w:space="0" w:color="auto"/>
                    <w:right w:val="single" w:sz="4" w:space="0" w:color="auto"/>
                  </w:tcBorders>
                  <w:vAlign w:val="center"/>
                  <w:hideMark/>
                </w:tcPr>
                <w:p w14:paraId="4B1CF71C" w14:textId="77777777" w:rsidR="0082101F" w:rsidRPr="0082101F" w:rsidRDefault="0082101F" w:rsidP="0082101F">
                  <w:pPr>
                    <w:rPr>
                      <w:rFonts w:ascii="Arial" w:hAnsi="Arial" w:cs="Arial"/>
                      <w:color w:val="000000"/>
                      <w:sz w:val="18"/>
                      <w:szCs w:val="18"/>
                      <w:lang w:val="es-CO"/>
                    </w:rPr>
                  </w:pPr>
                </w:p>
              </w:tc>
              <w:tc>
                <w:tcPr>
                  <w:tcW w:w="2980" w:type="dxa"/>
                  <w:tcBorders>
                    <w:top w:val="nil"/>
                    <w:left w:val="nil"/>
                    <w:bottom w:val="single" w:sz="4" w:space="0" w:color="auto"/>
                    <w:right w:val="single" w:sz="4" w:space="0" w:color="auto"/>
                  </w:tcBorders>
                  <w:vAlign w:val="center"/>
                  <w:hideMark/>
                </w:tcPr>
                <w:p w14:paraId="3140BF85" w14:textId="77777777" w:rsidR="0082101F" w:rsidRPr="0082101F" w:rsidRDefault="0082101F" w:rsidP="0082101F">
                  <w:pPr>
                    <w:jc w:val="both"/>
                    <w:rPr>
                      <w:rFonts w:ascii="Arial" w:hAnsi="Arial" w:cs="Arial"/>
                      <w:color w:val="000000"/>
                      <w:sz w:val="18"/>
                      <w:szCs w:val="18"/>
                      <w:lang w:val="es-CO"/>
                    </w:rPr>
                  </w:pPr>
                  <w:r w:rsidRPr="0082101F">
                    <w:rPr>
                      <w:rFonts w:ascii="Arial" w:hAnsi="Arial" w:cs="Arial"/>
                      <w:color w:val="000000"/>
                      <w:sz w:val="18"/>
                      <w:szCs w:val="18"/>
                      <w:lang w:val="es-CO"/>
                    </w:rPr>
                    <w:t>Justicia Familiar</w:t>
                  </w:r>
                </w:p>
              </w:tc>
              <w:tc>
                <w:tcPr>
                  <w:tcW w:w="1240" w:type="dxa"/>
                  <w:tcBorders>
                    <w:top w:val="nil"/>
                    <w:left w:val="nil"/>
                    <w:bottom w:val="single" w:sz="4" w:space="0" w:color="auto"/>
                    <w:right w:val="single" w:sz="4" w:space="0" w:color="auto"/>
                  </w:tcBorders>
                  <w:vAlign w:val="center"/>
                  <w:hideMark/>
                </w:tcPr>
                <w:p w14:paraId="1C001CB2" w14:textId="77777777" w:rsidR="0082101F" w:rsidRPr="0082101F" w:rsidRDefault="0082101F" w:rsidP="0082101F">
                  <w:pPr>
                    <w:jc w:val="center"/>
                    <w:rPr>
                      <w:rFonts w:ascii="Arial" w:hAnsi="Arial" w:cs="Arial"/>
                      <w:color w:val="000000"/>
                      <w:sz w:val="18"/>
                      <w:szCs w:val="18"/>
                      <w:lang w:val="es-CO"/>
                    </w:rPr>
                  </w:pPr>
                  <w:r w:rsidRPr="0082101F">
                    <w:rPr>
                      <w:rFonts w:ascii="Arial" w:hAnsi="Arial" w:cs="Arial"/>
                      <w:color w:val="000000"/>
                      <w:sz w:val="18"/>
                      <w:szCs w:val="18"/>
                      <w:lang w:val="es-CO"/>
                    </w:rPr>
                    <w:t>2,00%</w:t>
                  </w:r>
                </w:p>
              </w:tc>
            </w:tr>
          </w:tbl>
          <w:p w14:paraId="0A5C9DB2" w14:textId="77777777" w:rsidR="00D768A3" w:rsidRPr="00D67D8A" w:rsidRDefault="00D768A3">
            <w:pPr>
              <w:jc w:val="both"/>
              <w:rPr>
                <w:rFonts w:ascii="Arial" w:eastAsia="Arial" w:hAnsi="Arial" w:cs="Arial"/>
                <w:sz w:val="24"/>
                <w:szCs w:val="24"/>
                <w:lang w:val="es-CO"/>
              </w:rPr>
            </w:pPr>
          </w:p>
          <w:p w14:paraId="1E1A6F23" w14:textId="77777777" w:rsidR="00D768A3" w:rsidRPr="00257E26" w:rsidRDefault="00A0753E">
            <w:pPr>
              <w:widowControl/>
              <w:pBdr>
                <w:top w:val="nil"/>
                <w:left w:val="nil"/>
                <w:bottom w:val="nil"/>
                <w:right w:val="nil"/>
                <w:between w:val="nil"/>
              </w:pBdr>
              <w:jc w:val="both"/>
              <w:rPr>
                <w:rFonts w:ascii="Arial" w:eastAsia="Arial" w:hAnsi="Arial" w:cs="Arial"/>
                <w:color w:val="000000"/>
                <w:sz w:val="24"/>
                <w:szCs w:val="24"/>
                <w:lang w:val="es-CO"/>
              </w:rPr>
            </w:pPr>
            <w:r w:rsidRPr="00257E26">
              <w:rPr>
                <w:rFonts w:ascii="Arial" w:eastAsia="Arial" w:hAnsi="Arial" w:cs="Arial"/>
                <w:b/>
                <w:color w:val="000000"/>
                <w:sz w:val="24"/>
                <w:szCs w:val="24"/>
                <w:lang w:val="es-CO"/>
              </w:rPr>
              <w:t xml:space="preserve">Nota: </w:t>
            </w:r>
            <w:r w:rsidRPr="00257E26">
              <w:rPr>
                <w:rFonts w:ascii="Arial" w:eastAsia="Arial" w:hAnsi="Arial" w:cs="Arial"/>
                <w:color w:val="000000"/>
                <w:sz w:val="24"/>
                <w:szCs w:val="24"/>
                <w:lang w:val="es-CO"/>
              </w:rPr>
              <w:t>Los valores anunciados pueden tener modificaciones en cualquier momento y se aplicarán los que se encuentren vigentes al realizar el pago por parte del Departamento Administrativo de Hacienda Distrital, de conformidad con los Acuerdos Distritales y Ordenanzas Departamentales, según sea el caso.</w:t>
            </w:r>
          </w:p>
          <w:p w14:paraId="49B90DBD" w14:textId="77777777" w:rsidR="00B852D4" w:rsidRPr="00D67D8A" w:rsidRDefault="00B852D4" w:rsidP="00B852D4">
            <w:pPr>
              <w:pBdr>
                <w:top w:val="nil"/>
                <w:left w:val="nil"/>
                <w:bottom w:val="nil"/>
                <w:right w:val="nil"/>
                <w:between w:val="nil"/>
              </w:pBdr>
              <w:jc w:val="both"/>
              <w:rPr>
                <w:rFonts w:ascii="Arial" w:eastAsia="Arial" w:hAnsi="Arial" w:cs="Arial"/>
                <w:color w:val="808080"/>
                <w:sz w:val="20"/>
                <w:szCs w:val="20"/>
                <w:lang w:val="es-CO"/>
              </w:rPr>
            </w:pPr>
          </w:p>
        </w:tc>
      </w:tr>
      <w:tr w:rsidR="00774500" w14:paraId="6295C0B0"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A16AA72" w14:textId="78958743" w:rsidR="00774500" w:rsidRPr="0082101F" w:rsidRDefault="00774500" w:rsidP="00774500">
            <w:pPr>
              <w:widowControl/>
              <w:numPr>
                <w:ilvl w:val="0"/>
                <w:numId w:val="1"/>
              </w:numPr>
              <w:pBdr>
                <w:top w:val="nil"/>
                <w:left w:val="nil"/>
                <w:bottom w:val="nil"/>
                <w:right w:val="nil"/>
                <w:between w:val="nil"/>
              </w:pBdr>
              <w:spacing w:before="60" w:after="60"/>
              <w:ind w:left="0" w:firstLine="0"/>
              <w:rPr>
                <w:rFonts w:ascii="Arial" w:eastAsia="Arial" w:hAnsi="Arial" w:cs="Arial"/>
                <w:color w:val="000000"/>
                <w:sz w:val="24"/>
                <w:szCs w:val="24"/>
                <w:lang w:val="es-CO"/>
              </w:rPr>
            </w:pPr>
            <w:r w:rsidRPr="0082101F">
              <w:rPr>
                <w:rFonts w:ascii="Arial" w:eastAsia="Arial" w:hAnsi="Arial" w:cs="Arial"/>
                <w:color w:val="000000"/>
                <w:sz w:val="24"/>
                <w:szCs w:val="24"/>
                <w:lang w:val="es-CO"/>
              </w:rPr>
              <w:lastRenderedPageBreak/>
              <w:t xml:space="preserve">ASPECTOS </w:t>
            </w:r>
            <w:r w:rsidRPr="0082101F">
              <w:rPr>
                <w:rFonts w:ascii="Arial" w:eastAsia="Arial" w:hAnsi="Arial" w:cs="Arial"/>
                <w:sz w:val="24"/>
                <w:szCs w:val="24"/>
                <w:lang w:val="es-CO"/>
              </w:rPr>
              <w:t>TÉCNICOS</w:t>
            </w:r>
            <w:r w:rsidRPr="0082101F">
              <w:rPr>
                <w:rFonts w:ascii="Arial" w:eastAsia="Arial" w:hAnsi="Arial" w:cs="Arial"/>
                <w:color w:val="000000"/>
                <w:sz w:val="24"/>
                <w:szCs w:val="24"/>
                <w:lang w:val="es-CO"/>
              </w:rPr>
              <w:t xml:space="preserve"> DEL BIEN, OBRA O SERVICIO</w:t>
            </w:r>
          </w:p>
        </w:tc>
      </w:tr>
      <w:tr w:rsidR="00394497" w:rsidRPr="005B6BCB" w14:paraId="2D963224"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5B52F51E" w14:textId="77777777" w:rsidR="00E04F4A" w:rsidRDefault="00E04F4A" w:rsidP="00E04F4A">
            <w:pPr>
              <w:tabs>
                <w:tab w:val="left" w:pos="1050"/>
              </w:tabs>
              <w:jc w:val="both"/>
              <w:rPr>
                <w:rFonts w:ascii="Arial" w:eastAsia="Arial" w:hAnsi="Arial" w:cs="Arial"/>
                <w:color w:val="000000"/>
                <w:sz w:val="24"/>
                <w:szCs w:val="24"/>
                <w:lang w:val="es-CO"/>
              </w:rPr>
            </w:pPr>
          </w:p>
          <w:p w14:paraId="54734E1C" w14:textId="50C238E9"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 xml:space="preserve">El objeto del presente proceso corresponde a la prestación de un servicio profesional especializado de </w:t>
            </w:r>
            <w:r w:rsidRPr="00E04F4A">
              <w:rPr>
                <w:rFonts w:ascii="Arial" w:eastAsia="Arial" w:hAnsi="Arial" w:cs="Arial"/>
                <w:b/>
                <w:bCs/>
                <w:color w:val="000000"/>
                <w:sz w:val="24"/>
                <w:szCs w:val="24"/>
                <w:lang w:val="es-CO"/>
              </w:rPr>
              <w:t>interventoría técnica, administrativa, jurídica, financiera, ambiental y contable</w:t>
            </w:r>
            <w:r w:rsidRPr="00E04F4A">
              <w:rPr>
                <w:rFonts w:ascii="Arial" w:eastAsia="Arial" w:hAnsi="Arial" w:cs="Arial"/>
                <w:color w:val="000000"/>
                <w:sz w:val="24"/>
                <w:szCs w:val="24"/>
                <w:lang w:val="es-CO"/>
              </w:rPr>
              <w:t xml:space="preserve"> a los contratos de obra que resulten adjudicados en el proceso de Licitación Pública cuyo objeto es la adecuación y mejoramiento de la infraestructura de los escenarios deportivos y recreativos del Distrito Especial, Deportivo, Cultural, Turístico, Empresarial y de Servicios de Santiago de Cali.</w:t>
            </w:r>
          </w:p>
          <w:p w14:paraId="05314626"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66885CEA" w14:textId="77777777"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Desde el punto de vista técnico, el servicio de interventoría comprende el seguimiento, vigilancia y control integral de la ejecución de los contratos de obra, verificando que las actividades desarrolladas por los contratistas se ajusten a los estudios, diseños, planos, especificaciones técnicas, cantidades de obra, presupuesto, programación, procedimientos constructivos, normas aplicables y demás documentos que hagan parte de los respectivos contratos.</w:t>
            </w:r>
          </w:p>
          <w:p w14:paraId="2F206729"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1861678F" w14:textId="77777777"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 xml:space="preserve">La naturaleza del servicio requiere la participación de un </w:t>
            </w:r>
            <w:r w:rsidRPr="00E04F4A">
              <w:rPr>
                <w:rFonts w:ascii="Arial" w:eastAsia="Arial" w:hAnsi="Arial" w:cs="Arial"/>
                <w:b/>
                <w:bCs/>
                <w:color w:val="000000"/>
                <w:sz w:val="24"/>
                <w:szCs w:val="24"/>
                <w:lang w:val="es-CO"/>
              </w:rPr>
              <w:t>equipo interdisciplinario de profesionales y personal técnico</w:t>
            </w:r>
            <w:r w:rsidRPr="00E04F4A">
              <w:rPr>
                <w:rFonts w:ascii="Arial" w:eastAsia="Arial" w:hAnsi="Arial" w:cs="Arial"/>
                <w:color w:val="000000"/>
                <w:sz w:val="24"/>
                <w:szCs w:val="24"/>
                <w:lang w:val="es-CO"/>
              </w:rPr>
              <w:t xml:space="preserve">, con conocimientos y experiencia en las diferentes áreas relacionadas con la ejecución y control de proyectos de infraestructura, de </w:t>
            </w:r>
            <w:r w:rsidRPr="00E04F4A">
              <w:rPr>
                <w:rFonts w:ascii="Arial" w:eastAsia="Arial" w:hAnsi="Arial" w:cs="Arial"/>
                <w:color w:val="000000"/>
                <w:sz w:val="24"/>
                <w:szCs w:val="24"/>
                <w:lang w:val="es-CO"/>
              </w:rPr>
              <w:lastRenderedPageBreak/>
              <w:t>acuerdo con las necesidades y características de los contratos de obra objeto de seguimiento.</w:t>
            </w:r>
          </w:p>
          <w:p w14:paraId="66FFD177"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6BCE97A9" w14:textId="77777777"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Dentro de las actividades técnicas propias del servicio se encuentran, entre otras, la revisión de estudios, diseños y documentos técnicos; verificación de cantidades de obra; seguimiento a la programación y avance físico; control de calidad de materiales y procedimientos constructivos; revisión de ensayos y pruebas; seguimiento a los costos y ejecución financiera; verificación de las condiciones de seguridad y salud en el trabajo; seguimiento ambiental; revisión de actas y soportes; identificación de riesgos y desviaciones; emisión de conceptos técnicos; elaboración de informes y demás actividades necesarias para garantizar el adecuado control de los contratos de obra.</w:t>
            </w:r>
          </w:p>
          <w:p w14:paraId="4883F44A"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6F9D2FDE" w14:textId="77777777"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La interventoría deberá contar, además, con la capacidad técnica y operativa para atender los diferentes frentes de obra y las especialidades que se requieran durante la ejecución contractual, incluyendo, según las necesidades de los proyectos, aspectos relacionados con arquitectura, ingeniería civil, estructuras, instalaciones eléctricas e hidrosanitarias, topografía, seguridad y salud en el trabajo, gestión ambiental y demás disciplinas requeridas.</w:t>
            </w:r>
          </w:p>
          <w:p w14:paraId="44FED180"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7C42530D" w14:textId="77777777"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En razón a que las obras objeto de seguimiento se desarrollarán en diferentes escenarios deportivos y recreativos del Distrito de Santiago de Cali, el servicio demanda capacidad de coordinación, programación, desplazamiento y atención de los diferentes frentes de intervención, así como mecanismos que permitan realizar un seguimiento oportuno y documentado de la ejecución contractual.</w:t>
            </w:r>
          </w:p>
          <w:p w14:paraId="2B813274"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17792039" w14:textId="77777777"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En este sentido, el mercado de los servicios de interventoría se caracteriza por requerir no solamente conocimiento especializado, sino también capacidad organizacional y operativa para conformar y disponer de equipos de trabajo interdisciplinarios, realizar visitas e inspecciones, efectuar mediciones y verificaciones, revisar documentación y generar los informes y conceptos requeridos por la Entidad.</w:t>
            </w:r>
          </w:p>
          <w:p w14:paraId="3B1C0A91"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1CD5DFFC" w14:textId="77777777"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 xml:space="preserve">Para el presente proceso, los </w:t>
            </w:r>
            <w:r w:rsidRPr="00E04F4A">
              <w:rPr>
                <w:rFonts w:ascii="Arial" w:eastAsia="Arial" w:hAnsi="Arial" w:cs="Arial"/>
                <w:b/>
                <w:bCs/>
                <w:color w:val="000000"/>
                <w:sz w:val="24"/>
                <w:szCs w:val="24"/>
                <w:lang w:val="es-CO"/>
              </w:rPr>
              <w:t>aspectos, actividades, procedimientos, obligaciones, perfiles profesionales, recursos técnicos, equipos, ensayos, controles, verificaciones y demás condiciones requeridas para la prestación del servicio se encuentran desarrollados de manera específica en el documento denominado “Anexo 1 – Anexo Técnico Interventoría”</w:t>
            </w:r>
            <w:r w:rsidRPr="00E04F4A">
              <w:rPr>
                <w:rFonts w:ascii="Arial" w:eastAsia="Arial" w:hAnsi="Arial" w:cs="Arial"/>
                <w:color w:val="000000"/>
                <w:sz w:val="24"/>
                <w:szCs w:val="24"/>
                <w:lang w:val="es-CO"/>
              </w:rPr>
              <w:t xml:space="preserve">, el cual hace parte integral de los documentos del proceso y constituye el referente técnico para la estructuración y </w:t>
            </w:r>
            <w:r w:rsidRPr="00E04F4A">
              <w:rPr>
                <w:rFonts w:ascii="Arial" w:eastAsia="Arial" w:hAnsi="Arial" w:cs="Arial"/>
                <w:color w:val="000000"/>
                <w:sz w:val="24"/>
                <w:szCs w:val="24"/>
                <w:lang w:val="es-CO"/>
              </w:rPr>
              <w:lastRenderedPageBreak/>
              <w:t>ejecución del contrato de interventoría.</w:t>
            </w:r>
          </w:p>
          <w:p w14:paraId="357855B9"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53FE7FA4" w14:textId="77777777"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El Anexo 1 – Anexo Técnico Interventoría establece el alcance de la gestión que deberá desarrollar el interventor y contempla el seguimiento de los componentes técnico, administrativo, financiero, jurídico, social, ambiental y de seguridad y salud en el trabajo, de acuerdo con las obligaciones y procedimientos establecidos por la Secretaría del Deporte y la Recreación, los documentos del proceso, el contrato que se suscriba y la normatividad aplicable.</w:t>
            </w:r>
          </w:p>
          <w:p w14:paraId="28D49B36"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6573A026" w14:textId="77777777" w:rsidR="00E04F4A" w:rsidRP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 xml:space="preserve">Así mismo, el Anexo Técnico establece que las actividades y procedimientos necesarios para verificar el cumplimiento de las obligaciones del contratista de obra, tales como </w:t>
            </w:r>
            <w:r w:rsidRPr="00E04F4A">
              <w:rPr>
                <w:rFonts w:ascii="Arial" w:eastAsia="Arial" w:hAnsi="Arial" w:cs="Arial"/>
                <w:b/>
                <w:bCs/>
                <w:color w:val="000000"/>
                <w:sz w:val="24"/>
                <w:szCs w:val="24"/>
                <w:lang w:val="es-CO"/>
              </w:rPr>
              <w:t>pruebas técnicas, utilización de equipos, muestreos, ensayos, controles y verificaciones</w:t>
            </w:r>
            <w:r w:rsidRPr="00E04F4A">
              <w:rPr>
                <w:rFonts w:ascii="Arial" w:eastAsia="Arial" w:hAnsi="Arial" w:cs="Arial"/>
                <w:color w:val="000000"/>
                <w:sz w:val="24"/>
                <w:szCs w:val="24"/>
                <w:lang w:val="es-CO"/>
              </w:rPr>
              <w:t>, aun cuando no se encuentren descritos expresamente, deberán ser asumidos por el interventor cuando resulten necesarios para efectuar dicha verificación.</w:t>
            </w:r>
          </w:p>
          <w:p w14:paraId="1FD3CF63" w14:textId="77777777" w:rsidR="00E04F4A" w:rsidRP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De igual manera, corresponde al interventor evaluar la labor adelantada por el contratista de obra, procurando que las obras se ejecuten mediante procedimientos confiables y acordes con las buenas prácticas de ingeniería y arquitectura, y aportar las soluciones que sean necesarias frente a las dificultades técnicas, administrativas, financieras, jurídicas y ambientales que se presenten durante el desarrollo del proyecto.</w:t>
            </w:r>
          </w:p>
          <w:p w14:paraId="1BC7CCED" w14:textId="77777777" w:rsidR="00E04F4A"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El componente técnico de la interventoría comprende igualmente el seguimiento al programa de ejecución de obra y el control de los costos del proyecto, así como la verificación de las condiciones de seguridad en el trabajo, el manejo de los impactos ambientales y las condiciones de señalización y seguridad de las zonas de influencia de las obras.</w:t>
            </w:r>
          </w:p>
          <w:p w14:paraId="6D4210EC" w14:textId="77777777" w:rsidR="00E04F4A" w:rsidRPr="00E04F4A" w:rsidRDefault="00E04F4A" w:rsidP="00E04F4A">
            <w:pPr>
              <w:tabs>
                <w:tab w:val="left" w:pos="1050"/>
              </w:tabs>
              <w:jc w:val="both"/>
              <w:rPr>
                <w:rFonts w:ascii="Arial" w:eastAsia="Arial" w:hAnsi="Arial" w:cs="Arial"/>
                <w:color w:val="000000"/>
                <w:sz w:val="24"/>
                <w:szCs w:val="24"/>
                <w:lang w:val="es-CO"/>
              </w:rPr>
            </w:pPr>
          </w:p>
          <w:p w14:paraId="010A222A" w14:textId="77777777" w:rsidR="00C4680E" w:rsidRDefault="00E04F4A" w:rsidP="00E04F4A">
            <w:pPr>
              <w:tabs>
                <w:tab w:val="left" w:pos="1050"/>
              </w:tabs>
              <w:jc w:val="both"/>
              <w:rPr>
                <w:rFonts w:ascii="Arial" w:eastAsia="Arial" w:hAnsi="Arial" w:cs="Arial"/>
                <w:color w:val="000000"/>
                <w:sz w:val="24"/>
                <w:szCs w:val="24"/>
                <w:lang w:val="es-CO"/>
              </w:rPr>
            </w:pPr>
            <w:r w:rsidRPr="00E04F4A">
              <w:rPr>
                <w:rFonts w:ascii="Arial" w:eastAsia="Arial" w:hAnsi="Arial" w:cs="Arial"/>
                <w:color w:val="000000"/>
                <w:sz w:val="24"/>
                <w:szCs w:val="24"/>
                <w:lang w:val="es-CO"/>
              </w:rPr>
              <w:t xml:space="preserve">En consecuencia, para efectos del presente Análisis del Sector, los aspectos técnicos del servicio deben entenderse de manera integral con lo establecido en el </w:t>
            </w:r>
            <w:r w:rsidRPr="00E04F4A">
              <w:rPr>
                <w:rFonts w:ascii="Arial" w:eastAsia="Arial" w:hAnsi="Arial" w:cs="Arial"/>
                <w:b/>
                <w:bCs/>
                <w:color w:val="000000"/>
                <w:sz w:val="24"/>
                <w:szCs w:val="24"/>
                <w:lang w:val="es-CO"/>
              </w:rPr>
              <w:t>Anexo 1 – Anexo Técnico Interventoría</w:t>
            </w:r>
            <w:r w:rsidRPr="00E04F4A">
              <w:rPr>
                <w:rFonts w:ascii="Arial" w:eastAsia="Arial" w:hAnsi="Arial" w:cs="Arial"/>
                <w:color w:val="000000"/>
                <w:sz w:val="24"/>
                <w:szCs w:val="24"/>
                <w:lang w:val="es-CO"/>
              </w:rPr>
              <w:t>, documento en el cual se encuentran detallados el alcance, las actividades, obligaciones, procedimientos, recursos y demás requerimientos técnicos que deberán ser atendidos por el futuro contratista de interventoría.</w:t>
            </w:r>
          </w:p>
          <w:p w14:paraId="69A9AE72" w14:textId="6F7A2D3C" w:rsidR="00E04F4A" w:rsidRPr="005B6BCB" w:rsidRDefault="00E04F4A" w:rsidP="00E04F4A">
            <w:pPr>
              <w:tabs>
                <w:tab w:val="left" w:pos="1050"/>
              </w:tabs>
              <w:jc w:val="both"/>
              <w:rPr>
                <w:rFonts w:ascii="Arial" w:eastAsia="Arial" w:hAnsi="Arial" w:cs="Arial"/>
                <w:color w:val="000000"/>
                <w:sz w:val="24"/>
                <w:szCs w:val="24"/>
                <w:lang w:val="es-CO"/>
              </w:rPr>
            </w:pPr>
          </w:p>
        </w:tc>
      </w:tr>
      <w:tr w:rsidR="00394497" w14:paraId="2206EF1B"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60E6A0A" w14:textId="77777777" w:rsidR="00394497" w:rsidRDefault="00394497" w:rsidP="00394497">
            <w:pPr>
              <w:widowControl/>
              <w:numPr>
                <w:ilvl w:val="0"/>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ANÁLISIS DE RIESGOS</w:t>
            </w:r>
          </w:p>
        </w:tc>
      </w:tr>
      <w:tr w:rsidR="00394497" w14:paraId="79C3E65C"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734D639" w14:textId="77777777" w:rsidR="00394497" w:rsidRDefault="00394497" w:rsidP="00394497">
            <w:pPr>
              <w:widowControl/>
              <w:pBdr>
                <w:top w:val="nil"/>
                <w:left w:val="nil"/>
                <w:bottom w:val="nil"/>
                <w:right w:val="nil"/>
                <w:between w:val="nil"/>
              </w:pBdr>
              <w:jc w:val="both"/>
              <w:rPr>
                <w:rFonts w:ascii="Arial" w:eastAsia="Arial" w:hAnsi="Arial" w:cs="Arial"/>
                <w:color w:val="000000"/>
                <w:sz w:val="24"/>
                <w:szCs w:val="24"/>
                <w:lang w:val="es-CO"/>
              </w:rPr>
            </w:pPr>
          </w:p>
          <w:p w14:paraId="1599731B" w14:textId="2852AFF3" w:rsidR="00394497" w:rsidRPr="00D67D8A" w:rsidRDefault="00394497" w:rsidP="00394497">
            <w:pPr>
              <w:widowControl/>
              <w:pBdr>
                <w:top w:val="nil"/>
                <w:left w:val="nil"/>
                <w:bottom w:val="nil"/>
                <w:right w:val="nil"/>
                <w:between w:val="nil"/>
              </w:pBdr>
              <w:jc w:val="both"/>
              <w:rPr>
                <w:rFonts w:ascii="Arial" w:eastAsia="Arial" w:hAnsi="Arial" w:cs="Arial"/>
                <w:color w:val="000000"/>
                <w:sz w:val="24"/>
                <w:szCs w:val="24"/>
                <w:lang w:val="es-CO"/>
              </w:rPr>
            </w:pPr>
            <w:r w:rsidRPr="00D67D8A">
              <w:rPr>
                <w:rFonts w:ascii="Arial" w:eastAsia="Arial" w:hAnsi="Arial" w:cs="Arial"/>
                <w:color w:val="000000"/>
                <w:sz w:val="24"/>
                <w:szCs w:val="24"/>
                <w:lang w:val="es-CO"/>
              </w:rPr>
              <w:t>Se anexa al expediente virtual del presente proceso, el documento Matriz de Riesgos publicado en la plataforma pública de SECOP II.</w:t>
            </w:r>
          </w:p>
          <w:p w14:paraId="3AE18BFB" w14:textId="77777777" w:rsidR="00394497" w:rsidRPr="00D67D8A" w:rsidRDefault="00394497" w:rsidP="00394497">
            <w:pPr>
              <w:widowControl/>
              <w:pBdr>
                <w:top w:val="nil"/>
                <w:left w:val="nil"/>
                <w:bottom w:val="nil"/>
                <w:right w:val="nil"/>
                <w:between w:val="nil"/>
              </w:pBdr>
              <w:jc w:val="both"/>
              <w:rPr>
                <w:rFonts w:ascii="Arial" w:eastAsia="Arial" w:hAnsi="Arial" w:cs="Arial"/>
                <w:color w:val="000000"/>
                <w:sz w:val="24"/>
                <w:szCs w:val="24"/>
                <w:lang w:val="es-CO"/>
              </w:rPr>
            </w:pPr>
          </w:p>
        </w:tc>
      </w:tr>
      <w:tr w:rsidR="00394497" w14:paraId="4250B283" w14:textId="77777777" w:rsidTr="00FD2B6C">
        <w:trPr>
          <w:trHeight w:val="22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B6950E1" w14:textId="77777777" w:rsidR="00394497" w:rsidRDefault="00394497" w:rsidP="00394497">
            <w:pPr>
              <w:widowControl/>
              <w:numPr>
                <w:ilvl w:val="0"/>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CONCLUSIONES</w:t>
            </w:r>
          </w:p>
        </w:tc>
      </w:tr>
      <w:tr w:rsidR="00907BF6" w14:paraId="512F05AA" w14:textId="77777777" w:rsidTr="00907BF6">
        <w:trPr>
          <w:trHeight w:val="227"/>
        </w:trPr>
        <w:tc>
          <w:tcPr>
            <w:tcW w:w="9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B744F12" w14:textId="77777777" w:rsidR="00907BF6" w:rsidRDefault="00907BF6" w:rsidP="00907BF6">
            <w:pPr>
              <w:widowControl/>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Con base en la información compilada en este documento se puede concluir que debido a las especificidades de la presente contratación se identificaron procesos que guardaran algún tipo de similitud con el objeto y/o tipo de contratación.</w:t>
            </w:r>
          </w:p>
          <w:p w14:paraId="480A37F6" w14:textId="77777777" w:rsidR="00907BF6" w:rsidRDefault="00907BF6" w:rsidP="00907BF6">
            <w:pPr>
              <w:widowControl/>
              <w:pBdr>
                <w:top w:val="nil"/>
                <w:left w:val="nil"/>
                <w:bottom w:val="nil"/>
                <w:right w:val="nil"/>
                <w:between w:val="nil"/>
              </w:pBdr>
              <w:jc w:val="both"/>
              <w:rPr>
                <w:rFonts w:ascii="Arial" w:eastAsia="Arial" w:hAnsi="Arial" w:cs="Arial"/>
                <w:color w:val="000000"/>
                <w:sz w:val="24"/>
                <w:szCs w:val="24"/>
              </w:rPr>
            </w:pPr>
          </w:p>
          <w:p w14:paraId="4B11AAB7" w14:textId="77777777" w:rsidR="00907BF6" w:rsidRDefault="00907BF6" w:rsidP="00907BF6">
            <w:pPr>
              <w:widowControl/>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El propósito de esta medida es minimizar los riesgos asumidos en la planeación, estructuración, publicación, adjudicación y ejecución del presente proceso. </w:t>
            </w:r>
          </w:p>
          <w:p w14:paraId="7FCEF9DB" w14:textId="77777777" w:rsidR="00907BF6" w:rsidRDefault="00907BF6" w:rsidP="00907BF6">
            <w:pPr>
              <w:widowControl/>
              <w:pBdr>
                <w:top w:val="nil"/>
                <w:left w:val="nil"/>
                <w:bottom w:val="nil"/>
                <w:right w:val="nil"/>
                <w:between w:val="nil"/>
              </w:pBdr>
              <w:jc w:val="both"/>
              <w:rPr>
                <w:rFonts w:ascii="Arial" w:eastAsia="Arial" w:hAnsi="Arial" w:cs="Arial"/>
                <w:color w:val="000000"/>
                <w:sz w:val="24"/>
                <w:szCs w:val="24"/>
              </w:rPr>
            </w:pPr>
          </w:p>
          <w:p w14:paraId="42543C6C" w14:textId="77777777" w:rsidR="00907BF6" w:rsidRDefault="00907BF6" w:rsidP="00907BF6">
            <w:pPr>
              <w:widowControl/>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Las condiciones macroeconómicas, jurídicas y técnicas, entre otras, están entre los parámetros de procesos similares y se asegura la pluralidad de proponentes en el proceso de adjudicación. Sin embargo, para garantizar que la necesidad de la Entidad sea atendida de manera concurrida maximizando los recursos y la satisfacción de la necesidad se realizan las siguientes recomendaciones:</w:t>
            </w:r>
          </w:p>
          <w:p w14:paraId="349ECA6F" w14:textId="77777777" w:rsidR="00907BF6" w:rsidRDefault="00907BF6" w:rsidP="00907BF6">
            <w:pPr>
              <w:widowControl/>
              <w:pBdr>
                <w:top w:val="nil"/>
                <w:left w:val="nil"/>
                <w:bottom w:val="nil"/>
                <w:right w:val="nil"/>
                <w:between w:val="nil"/>
              </w:pBdr>
              <w:jc w:val="both"/>
              <w:rPr>
                <w:rFonts w:ascii="Arial" w:eastAsia="Arial" w:hAnsi="Arial" w:cs="Arial"/>
                <w:color w:val="000000"/>
                <w:sz w:val="24"/>
                <w:szCs w:val="24"/>
              </w:rPr>
            </w:pPr>
          </w:p>
          <w:p w14:paraId="4AC8DDF0" w14:textId="77777777" w:rsidR="00907BF6" w:rsidRPr="00865FB9" w:rsidRDefault="00907BF6" w:rsidP="00907BF6">
            <w:pPr>
              <w:pStyle w:val="Prrafodelista"/>
              <w:numPr>
                <w:ilvl w:val="0"/>
                <w:numId w:val="11"/>
              </w:numPr>
              <w:pBdr>
                <w:top w:val="nil"/>
                <w:left w:val="nil"/>
                <w:bottom w:val="nil"/>
                <w:right w:val="nil"/>
                <w:between w:val="nil"/>
              </w:pBdr>
              <w:rPr>
                <w:rFonts w:ascii="Arial" w:eastAsia="Arial" w:hAnsi="Arial" w:cs="Arial"/>
                <w:color w:val="000000"/>
                <w:lang w:val="en-US"/>
              </w:rPr>
            </w:pPr>
            <w:r w:rsidRPr="00BF2666">
              <w:rPr>
                <w:rFonts w:ascii="Arial" w:eastAsia="Arial" w:hAnsi="Arial" w:cs="Arial"/>
                <w:color w:val="000000"/>
                <w:lang w:val="en-US"/>
              </w:rPr>
              <w:t xml:space="preserve">Modalidad de selección: Conforme al Decreto No. 4112.010.20.0004 del 6 de enero de 2026 por el cual se fijan las cuantías para contratar en el Distrito de Santiago de Cali para la vigencia 2026 y lo mencionado en el Decreto 1082 de 2015, donde se establecen los criterios a tener en cuenta para llevar a cabo la modalidad de contratación de un proyecto de acuerdo al contexto, es posible concluir que </w:t>
            </w:r>
            <w:r w:rsidRPr="00BF2666">
              <w:rPr>
                <w:rFonts w:ascii="Arial" w:eastAsia="Arial" w:hAnsi="Arial" w:cs="Arial"/>
                <w:lang w:val="en-US"/>
              </w:rPr>
              <w:t>la modalidad de selección establecida para esta convocatoria se aplicará la modalidad de CONCURSO DE MÉRITOS, según lo previsto numeral 2 del artículo 32 de la Ley 80 de 1993, de conformidad con lo dispuesto en el numeral 3 del artículo 2 de la Ley 1150 de 2007 en concordancia con el artículo 2.2.1.2.1.3.1 y siguientes del Decreto 1082 de 2015, modificado por el artículo 2 del Decreto 399 de 2021.</w:t>
            </w:r>
          </w:p>
          <w:p w14:paraId="16F72352" w14:textId="77777777" w:rsidR="00907BF6" w:rsidRPr="00865FB9" w:rsidRDefault="00907BF6" w:rsidP="00907BF6">
            <w:pPr>
              <w:pStyle w:val="Prrafodelista"/>
              <w:pBdr>
                <w:top w:val="nil"/>
                <w:left w:val="nil"/>
                <w:bottom w:val="nil"/>
                <w:right w:val="nil"/>
                <w:between w:val="nil"/>
              </w:pBdr>
              <w:ind w:left="720"/>
              <w:rPr>
                <w:rFonts w:ascii="Arial" w:eastAsia="Arial" w:hAnsi="Arial" w:cs="Arial"/>
                <w:color w:val="000000"/>
                <w:lang w:val="en-US"/>
              </w:rPr>
            </w:pPr>
          </w:p>
          <w:p w14:paraId="2212C02E" w14:textId="298EBCED" w:rsidR="00907BF6" w:rsidRDefault="00907BF6" w:rsidP="00907BF6">
            <w:pPr>
              <w:pStyle w:val="Prrafodelista"/>
              <w:numPr>
                <w:ilvl w:val="0"/>
                <w:numId w:val="11"/>
              </w:numPr>
              <w:pBdr>
                <w:top w:val="nil"/>
                <w:left w:val="nil"/>
                <w:bottom w:val="nil"/>
                <w:right w:val="nil"/>
                <w:between w:val="nil"/>
              </w:pBdr>
              <w:rPr>
                <w:rFonts w:ascii="Arial" w:eastAsia="Arial" w:hAnsi="Arial" w:cs="Arial"/>
                <w:color w:val="000000"/>
                <w:lang w:val="en-US"/>
              </w:rPr>
            </w:pPr>
            <w:r w:rsidRPr="00865FB9">
              <w:rPr>
                <w:rFonts w:ascii="Arial" w:eastAsia="Arial" w:hAnsi="Arial" w:cs="Arial"/>
                <w:lang w:val="en-US"/>
              </w:rPr>
              <w:t>Presupuesto</w:t>
            </w:r>
            <w:r w:rsidRPr="00865FB9">
              <w:rPr>
                <w:rFonts w:ascii="Arial" w:eastAsia="Arial" w:hAnsi="Arial" w:cs="Arial"/>
                <w:color w:val="000000"/>
                <w:lang w:val="en-US"/>
              </w:rPr>
              <w:t xml:space="preserve">: </w:t>
            </w:r>
            <w:r w:rsidRPr="00DC3F48">
              <w:rPr>
                <w:rFonts w:ascii="Arial" w:eastAsia="Arial" w:hAnsi="Arial" w:cs="Arial"/>
                <w:color w:val="000000"/>
                <w:lang w:val="en-US"/>
              </w:rPr>
              <w:t xml:space="preserve">El valor estimado para la contratación es la suma de </w:t>
            </w:r>
            <w:r w:rsidR="00B266E6" w:rsidRPr="00B266E6">
              <w:rPr>
                <w:rFonts w:ascii="Arial" w:eastAsia="Arial" w:hAnsi="Arial" w:cs="Arial"/>
                <w:color w:val="000000"/>
                <w:lang w:val="en-US"/>
              </w:rPr>
              <w:t xml:space="preserve">CUATROCIENTOS CUARENTA Y DOS MILLONES CIENTO SESENTA Y UN MIL NOVENTA Y TRES PESOS M/CTE ($442.161.093,00) </w:t>
            </w:r>
            <w:r w:rsidR="006D2F01" w:rsidRPr="006D2F01">
              <w:rPr>
                <w:rFonts w:ascii="Arial" w:eastAsia="Arial" w:hAnsi="Arial" w:cs="Arial"/>
                <w:color w:val="000000"/>
                <w:lang w:val="en-US"/>
              </w:rPr>
              <w:t>incluido IVA, y los demás impuestos y/o gravámenes que resulten aplicables.</w:t>
            </w:r>
          </w:p>
          <w:p w14:paraId="446371D0" w14:textId="77777777" w:rsidR="00907BF6" w:rsidRPr="0072402F" w:rsidRDefault="00907BF6" w:rsidP="00907BF6">
            <w:pPr>
              <w:pStyle w:val="Prrafodelista"/>
              <w:rPr>
                <w:rFonts w:ascii="Arial" w:eastAsia="Arial" w:hAnsi="Arial" w:cs="Arial"/>
                <w:color w:val="000000"/>
                <w:lang w:val="en-US"/>
              </w:rPr>
            </w:pPr>
          </w:p>
          <w:p w14:paraId="36120EE1" w14:textId="77777777" w:rsidR="00907BF6" w:rsidRDefault="00907BF6" w:rsidP="00907BF6">
            <w:pPr>
              <w:pStyle w:val="Prrafodelista"/>
              <w:numPr>
                <w:ilvl w:val="0"/>
                <w:numId w:val="11"/>
              </w:numPr>
              <w:pBdr>
                <w:top w:val="nil"/>
                <w:left w:val="nil"/>
                <w:bottom w:val="nil"/>
                <w:right w:val="nil"/>
                <w:between w:val="nil"/>
              </w:pBdr>
              <w:rPr>
                <w:rFonts w:ascii="Arial" w:eastAsia="Arial" w:hAnsi="Arial" w:cs="Arial"/>
                <w:color w:val="000000"/>
                <w:lang w:val="en-US"/>
              </w:rPr>
            </w:pPr>
            <w:r w:rsidRPr="0072402F">
              <w:rPr>
                <w:rFonts w:ascii="Arial" w:eastAsia="Arial" w:hAnsi="Arial" w:cs="Arial"/>
                <w:color w:val="000000"/>
                <w:lang w:val="en-US"/>
              </w:rPr>
              <w:t>Forma de pago:</w:t>
            </w:r>
            <w:r>
              <w:rPr>
                <w:rFonts w:ascii="Arial" w:eastAsia="Arial" w:hAnsi="Arial" w:cs="Arial"/>
                <w:color w:val="000000"/>
                <w:lang w:val="en-US"/>
              </w:rPr>
              <w:t xml:space="preserve"> M</w:t>
            </w:r>
            <w:r w:rsidRPr="008D1BD8">
              <w:rPr>
                <w:rFonts w:ascii="Arial" w:eastAsia="Arial" w:hAnsi="Arial" w:cs="Arial"/>
                <w:color w:val="000000"/>
                <w:lang w:val="en-US"/>
              </w:rPr>
              <w:t xml:space="preserve">ediante actas parciales, de acuerdo con los avances de las actividades ejecutadas objeto del proyecto, soportadas con los informes de la interventoría y/o supervisor, escritos y digitales, donde se refleje el avance de las actividades; los informes serán recibidos a satisfacción por parte del supervisor del contrato; los pagos se harán de la siguiente manera: </w:t>
            </w:r>
          </w:p>
          <w:p w14:paraId="6DD1B12A" w14:textId="77777777" w:rsidR="00907BF6" w:rsidRPr="00675C01" w:rsidRDefault="00907BF6" w:rsidP="00907BF6">
            <w:pPr>
              <w:pStyle w:val="Prrafodelista"/>
              <w:rPr>
                <w:rFonts w:ascii="Arial" w:eastAsia="Arial" w:hAnsi="Arial" w:cs="Arial"/>
                <w:color w:val="000000"/>
                <w:lang w:val="en-US"/>
              </w:rPr>
            </w:pPr>
          </w:p>
          <w:p w14:paraId="208699E3" w14:textId="77777777" w:rsidR="00907BF6" w:rsidRDefault="00907BF6" w:rsidP="00907BF6">
            <w:pPr>
              <w:pStyle w:val="Prrafodelista"/>
              <w:pBdr>
                <w:top w:val="nil"/>
                <w:left w:val="nil"/>
                <w:bottom w:val="nil"/>
                <w:right w:val="nil"/>
                <w:between w:val="nil"/>
              </w:pBdr>
              <w:ind w:left="720"/>
              <w:rPr>
                <w:rFonts w:ascii="Arial" w:eastAsia="Arial" w:hAnsi="Arial" w:cs="Arial"/>
                <w:color w:val="000000"/>
                <w:lang w:val="en-US"/>
              </w:rPr>
            </w:pPr>
            <w:r w:rsidRPr="008D1BD8">
              <w:rPr>
                <w:rFonts w:ascii="Arial" w:eastAsia="Arial" w:hAnsi="Arial" w:cs="Arial"/>
                <w:color w:val="000000"/>
                <w:lang w:val="en-US"/>
              </w:rPr>
              <w:t xml:space="preserve">1) Hasta el noventa por ciento (90%) mediante actas parciales, liquidadas según sea el </w:t>
            </w:r>
            <w:proofErr w:type="gramStart"/>
            <w:r w:rsidRPr="008D1BD8">
              <w:rPr>
                <w:rFonts w:ascii="Arial" w:eastAsia="Arial" w:hAnsi="Arial" w:cs="Arial"/>
                <w:color w:val="000000"/>
                <w:lang w:val="en-US"/>
              </w:rPr>
              <w:t>avance  de</w:t>
            </w:r>
            <w:proofErr w:type="gramEnd"/>
            <w:r w:rsidRPr="008D1BD8">
              <w:rPr>
                <w:rFonts w:ascii="Arial" w:eastAsia="Arial" w:hAnsi="Arial" w:cs="Arial"/>
                <w:color w:val="000000"/>
                <w:lang w:val="en-US"/>
              </w:rPr>
              <w:t xml:space="preserve">  las </w:t>
            </w:r>
            <w:proofErr w:type="gramStart"/>
            <w:r w:rsidRPr="008D1BD8">
              <w:rPr>
                <w:rFonts w:ascii="Arial" w:eastAsia="Arial" w:hAnsi="Arial" w:cs="Arial"/>
                <w:color w:val="000000"/>
                <w:lang w:val="en-US"/>
              </w:rPr>
              <w:t>actividades,  previa</w:t>
            </w:r>
            <w:proofErr w:type="gramEnd"/>
            <w:r w:rsidRPr="008D1BD8">
              <w:rPr>
                <w:rFonts w:ascii="Arial" w:eastAsia="Arial" w:hAnsi="Arial" w:cs="Arial"/>
                <w:color w:val="000000"/>
                <w:lang w:val="en-US"/>
              </w:rPr>
              <w:t xml:space="preserve"> certificación del cumplimiento a satisfacción expedida por el supervisor del contrato. </w:t>
            </w:r>
          </w:p>
          <w:p w14:paraId="66CA563B" w14:textId="77777777" w:rsidR="00907BF6" w:rsidRPr="00865FB9" w:rsidRDefault="00907BF6" w:rsidP="00907BF6">
            <w:pPr>
              <w:pStyle w:val="Prrafodelista"/>
              <w:pBdr>
                <w:top w:val="nil"/>
                <w:left w:val="nil"/>
                <w:bottom w:val="nil"/>
                <w:right w:val="nil"/>
                <w:between w:val="nil"/>
              </w:pBdr>
              <w:ind w:left="720"/>
              <w:rPr>
                <w:rFonts w:ascii="Arial" w:eastAsia="Arial" w:hAnsi="Arial" w:cs="Arial"/>
                <w:color w:val="000000"/>
                <w:lang w:val="en-US"/>
              </w:rPr>
            </w:pPr>
            <w:r w:rsidRPr="008D1BD8">
              <w:rPr>
                <w:rFonts w:ascii="Arial" w:eastAsia="Arial" w:hAnsi="Arial" w:cs="Arial"/>
                <w:color w:val="000000"/>
                <w:lang w:val="en-US"/>
              </w:rPr>
              <w:t>2) Un pago final correspondiente al saldo del valor del contrato, es decir, el diez por ciento (10%), que será cancelado a la finalización de los estudios, previa entrega del informe final por parte de la interventoría y/o supervisor y recibo a satisfacción por parte de la Entidad</w:t>
            </w:r>
            <w:r>
              <w:rPr>
                <w:rFonts w:ascii="Arial" w:eastAsia="Arial" w:hAnsi="Arial" w:cs="Arial"/>
                <w:color w:val="000000"/>
                <w:lang w:val="en-US"/>
              </w:rPr>
              <w:t>.</w:t>
            </w:r>
          </w:p>
          <w:p w14:paraId="7B5AFB2F" w14:textId="77777777" w:rsidR="00907BF6" w:rsidRPr="00B72EB4" w:rsidRDefault="00907BF6" w:rsidP="00907BF6">
            <w:pPr>
              <w:pBdr>
                <w:top w:val="nil"/>
                <w:left w:val="nil"/>
                <w:bottom w:val="nil"/>
                <w:right w:val="nil"/>
                <w:between w:val="nil"/>
              </w:pBdr>
              <w:ind w:left="720" w:right="141"/>
              <w:jc w:val="both"/>
              <w:rPr>
                <w:rFonts w:ascii="Arial" w:eastAsia="Arial" w:hAnsi="Arial" w:cs="Arial"/>
                <w:color w:val="000000"/>
                <w:sz w:val="24"/>
                <w:szCs w:val="24"/>
                <w:lang w:val="es-CO"/>
              </w:rPr>
            </w:pPr>
          </w:p>
          <w:p w14:paraId="6C632D89" w14:textId="77777777" w:rsidR="00907BF6" w:rsidRPr="00975BE7" w:rsidRDefault="00907BF6" w:rsidP="00907BF6">
            <w:pPr>
              <w:pStyle w:val="Prrafodelista"/>
              <w:numPr>
                <w:ilvl w:val="0"/>
                <w:numId w:val="11"/>
              </w:numPr>
              <w:rPr>
                <w:rFonts w:ascii="Arial" w:eastAsia="Arial" w:hAnsi="Arial" w:cs="Arial"/>
              </w:rPr>
            </w:pPr>
            <w:r w:rsidRPr="007B3681">
              <w:rPr>
                <w:rFonts w:ascii="Arial" w:eastAsia="Arial" w:hAnsi="Arial" w:cs="Arial"/>
              </w:rPr>
              <w:t>Códigos UNSPSC</w:t>
            </w:r>
            <w:r>
              <w:rPr>
                <w:rFonts w:ascii="Arial" w:eastAsia="Arial" w:hAnsi="Arial" w:cs="Arial"/>
              </w:rPr>
              <w:t xml:space="preserve">: </w:t>
            </w:r>
            <w:r w:rsidRPr="00EA2193">
              <w:rPr>
                <w:rFonts w:ascii="Arial" w:eastAsia="Arial" w:hAnsi="Arial" w:cs="Arial"/>
              </w:rPr>
              <w:t>El presente proceso contractual se puede clasificar a partir del estándar de Clasificación internacional de actividades productivas UNSPSC como:</w:t>
            </w:r>
          </w:p>
          <w:p w14:paraId="33D6DD87" w14:textId="77777777" w:rsidR="00907BF6" w:rsidRPr="00B72EB4" w:rsidRDefault="00907BF6" w:rsidP="00907BF6">
            <w:pPr>
              <w:jc w:val="both"/>
              <w:rPr>
                <w:rFonts w:ascii="Arial" w:eastAsia="Arial" w:hAnsi="Arial" w:cs="Arial"/>
                <w:sz w:val="24"/>
                <w:szCs w:val="24"/>
                <w:lang w:val="es-CO"/>
              </w:rPr>
            </w:pPr>
          </w:p>
          <w:tbl>
            <w:tblPr>
              <w:tblW w:w="0" w:type="auto"/>
              <w:jc w:val="center"/>
              <w:tblLook w:val="0400" w:firstRow="0" w:lastRow="0" w:firstColumn="0" w:lastColumn="0" w:noHBand="0" w:noVBand="1"/>
            </w:tblPr>
            <w:tblGrid>
              <w:gridCol w:w="1405"/>
              <w:gridCol w:w="3838"/>
              <w:gridCol w:w="2174"/>
              <w:gridCol w:w="1823"/>
            </w:tblGrid>
            <w:tr w:rsidR="00907BF6" w:rsidRPr="00F828BF" w14:paraId="4EFFE932" w14:textId="77777777" w:rsidTr="00257C1B">
              <w:trPr>
                <w:trHeight w:val="362"/>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54FD4827" w14:textId="77777777" w:rsidR="00907BF6" w:rsidRPr="00F828BF" w:rsidRDefault="00907BF6" w:rsidP="00907BF6">
                  <w:pPr>
                    <w:jc w:val="center"/>
                    <w:rPr>
                      <w:rFonts w:ascii="Arial" w:eastAsia="Arial" w:hAnsi="Arial" w:cs="Arial"/>
                      <w:b/>
                    </w:rPr>
                  </w:pPr>
                  <w:r w:rsidRPr="00F828BF">
                    <w:rPr>
                      <w:rFonts w:ascii="Arial" w:eastAsia="Arial" w:hAnsi="Arial" w:cs="Arial"/>
                      <w:b/>
                    </w:rPr>
                    <w:t>CÓDIGO UNSPSC</w:t>
                  </w:r>
                </w:p>
              </w:tc>
              <w:tc>
                <w:tcPr>
                  <w:tcW w:w="0" w:type="auto"/>
                  <w:tcBorders>
                    <w:top w:val="single" w:sz="6" w:space="0" w:color="000000"/>
                    <w:left w:val="single" w:sz="6" w:space="0" w:color="000000"/>
                    <w:bottom w:val="single" w:sz="6" w:space="0" w:color="000000"/>
                    <w:right w:val="single" w:sz="6" w:space="0" w:color="000000"/>
                  </w:tcBorders>
                  <w:vAlign w:val="center"/>
                </w:tcPr>
                <w:p w14:paraId="13C5DE48" w14:textId="77777777" w:rsidR="00907BF6" w:rsidRPr="00F828BF" w:rsidRDefault="00907BF6" w:rsidP="00907BF6">
                  <w:pPr>
                    <w:jc w:val="center"/>
                    <w:rPr>
                      <w:rFonts w:ascii="Arial" w:eastAsia="Arial" w:hAnsi="Arial" w:cs="Arial"/>
                      <w:b/>
                    </w:rPr>
                  </w:pPr>
                  <w:r w:rsidRPr="00F828BF">
                    <w:rPr>
                      <w:rFonts w:ascii="Arial" w:eastAsia="Arial" w:hAnsi="Arial" w:cs="Arial"/>
                      <w:b/>
                    </w:rPr>
                    <w:t>SEGMENTO</w:t>
                  </w:r>
                </w:p>
              </w:tc>
              <w:tc>
                <w:tcPr>
                  <w:tcW w:w="0" w:type="auto"/>
                  <w:tcBorders>
                    <w:top w:val="single" w:sz="6" w:space="0" w:color="000000"/>
                    <w:left w:val="single" w:sz="6" w:space="0" w:color="000000"/>
                    <w:bottom w:val="single" w:sz="6" w:space="0" w:color="000000"/>
                    <w:right w:val="single" w:sz="6" w:space="0" w:color="000000"/>
                  </w:tcBorders>
                  <w:vAlign w:val="center"/>
                </w:tcPr>
                <w:p w14:paraId="28ED2907" w14:textId="77777777" w:rsidR="00907BF6" w:rsidRPr="00F828BF" w:rsidRDefault="00907BF6" w:rsidP="00907BF6">
                  <w:pPr>
                    <w:jc w:val="center"/>
                    <w:rPr>
                      <w:rFonts w:ascii="Arial" w:eastAsia="Arial" w:hAnsi="Arial" w:cs="Arial"/>
                      <w:b/>
                    </w:rPr>
                  </w:pPr>
                  <w:r w:rsidRPr="00F828BF">
                    <w:rPr>
                      <w:rFonts w:ascii="Arial" w:eastAsia="Arial" w:hAnsi="Arial" w:cs="Arial"/>
                      <w:b/>
                    </w:rPr>
                    <w:t>FAMILIA</w:t>
                  </w:r>
                </w:p>
              </w:tc>
              <w:tc>
                <w:tcPr>
                  <w:tcW w:w="0" w:type="auto"/>
                  <w:tcBorders>
                    <w:top w:val="single" w:sz="6" w:space="0" w:color="000000"/>
                    <w:left w:val="single" w:sz="6" w:space="0" w:color="000000"/>
                    <w:bottom w:val="single" w:sz="6" w:space="0" w:color="000000"/>
                    <w:right w:val="single" w:sz="6" w:space="0" w:color="000000"/>
                  </w:tcBorders>
                  <w:vAlign w:val="center"/>
                </w:tcPr>
                <w:p w14:paraId="2D4BC637" w14:textId="77777777" w:rsidR="00907BF6" w:rsidRPr="00F828BF" w:rsidRDefault="00907BF6" w:rsidP="00907BF6">
                  <w:pPr>
                    <w:jc w:val="center"/>
                    <w:rPr>
                      <w:rFonts w:ascii="Arial" w:eastAsia="Arial" w:hAnsi="Arial" w:cs="Arial"/>
                      <w:b/>
                    </w:rPr>
                  </w:pPr>
                  <w:r w:rsidRPr="00F828BF">
                    <w:rPr>
                      <w:rFonts w:ascii="Arial" w:eastAsia="Arial" w:hAnsi="Arial" w:cs="Arial"/>
                      <w:b/>
                    </w:rPr>
                    <w:t>CLASE</w:t>
                  </w:r>
                </w:p>
              </w:tc>
            </w:tr>
            <w:tr w:rsidR="00907BF6" w:rsidRPr="00F828BF" w14:paraId="42CBBA29" w14:textId="77777777" w:rsidTr="00257C1B">
              <w:trPr>
                <w:trHeight w:val="362"/>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4AA20C5D" w14:textId="77777777" w:rsidR="00907BF6" w:rsidRPr="00F828BF" w:rsidRDefault="00907BF6" w:rsidP="00907BF6">
                  <w:pPr>
                    <w:jc w:val="center"/>
                    <w:rPr>
                      <w:rFonts w:ascii="Arial" w:eastAsia="Arial" w:hAnsi="Arial" w:cs="Arial"/>
                    </w:rPr>
                  </w:pPr>
                  <w:r w:rsidRPr="00F828BF">
                    <w:rPr>
                      <w:rFonts w:ascii="Arial" w:eastAsia="Arial" w:hAnsi="Arial" w:cs="Arial"/>
                    </w:rPr>
                    <w:t>80101600</w:t>
                  </w:r>
                </w:p>
              </w:tc>
              <w:tc>
                <w:tcPr>
                  <w:tcW w:w="0" w:type="auto"/>
                  <w:tcBorders>
                    <w:top w:val="single" w:sz="6" w:space="0" w:color="000000"/>
                    <w:left w:val="single" w:sz="6" w:space="0" w:color="000000"/>
                    <w:bottom w:val="single" w:sz="6" w:space="0" w:color="000000"/>
                    <w:right w:val="single" w:sz="6" w:space="0" w:color="000000"/>
                  </w:tcBorders>
                  <w:vAlign w:val="center"/>
                </w:tcPr>
                <w:p w14:paraId="45C12686" w14:textId="77777777" w:rsidR="00907BF6" w:rsidRPr="00F828BF" w:rsidRDefault="00907BF6" w:rsidP="00907BF6">
                  <w:pPr>
                    <w:jc w:val="center"/>
                    <w:rPr>
                      <w:rFonts w:ascii="Arial" w:eastAsia="Arial" w:hAnsi="Arial" w:cs="Arial"/>
                      <w:lang w:val="es-CO"/>
                    </w:rPr>
                  </w:pPr>
                  <w:r w:rsidRPr="00F828BF">
                    <w:rPr>
                      <w:rFonts w:ascii="Arial" w:eastAsia="Arial" w:hAnsi="Arial" w:cs="Arial"/>
                      <w:lang w:val="es-CO"/>
                    </w:rPr>
                    <w:t>Servicios de gestión, servicios profesionales de Empresa y Servicios Administrativos</w:t>
                  </w:r>
                </w:p>
              </w:tc>
              <w:tc>
                <w:tcPr>
                  <w:tcW w:w="0" w:type="auto"/>
                  <w:tcBorders>
                    <w:top w:val="single" w:sz="6" w:space="0" w:color="000000"/>
                    <w:left w:val="single" w:sz="6" w:space="0" w:color="000000"/>
                    <w:bottom w:val="single" w:sz="6" w:space="0" w:color="000000"/>
                    <w:right w:val="single" w:sz="6" w:space="0" w:color="000000"/>
                  </w:tcBorders>
                  <w:vAlign w:val="center"/>
                </w:tcPr>
                <w:p w14:paraId="1DEFBB3F" w14:textId="77777777" w:rsidR="00907BF6" w:rsidRPr="00F828BF" w:rsidRDefault="00907BF6" w:rsidP="00907BF6">
                  <w:pPr>
                    <w:jc w:val="center"/>
                    <w:rPr>
                      <w:rFonts w:ascii="Arial" w:eastAsia="Arial" w:hAnsi="Arial" w:cs="Arial"/>
                      <w:lang w:val="es-CO"/>
                    </w:rPr>
                  </w:pPr>
                  <w:r w:rsidRPr="00F828BF">
                    <w:rPr>
                      <w:rFonts w:ascii="Arial" w:eastAsia="Arial" w:hAnsi="Arial" w:cs="Arial"/>
                      <w:lang w:val="es-CO"/>
                    </w:rPr>
                    <w:t>Servicios de Asesoría de Gestión</w:t>
                  </w:r>
                </w:p>
              </w:tc>
              <w:tc>
                <w:tcPr>
                  <w:tcW w:w="0" w:type="auto"/>
                  <w:tcBorders>
                    <w:top w:val="single" w:sz="6" w:space="0" w:color="000000"/>
                    <w:left w:val="single" w:sz="6" w:space="0" w:color="000000"/>
                    <w:bottom w:val="single" w:sz="6" w:space="0" w:color="000000"/>
                    <w:right w:val="single" w:sz="6" w:space="0" w:color="000000"/>
                  </w:tcBorders>
                  <w:vAlign w:val="center"/>
                </w:tcPr>
                <w:p w14:paraId="10EF2E31" w14:textId="77777777" w:rsidR="00907BF6" w:rsidRPr="00F828BF" w:rsidRDefault="00907BF6" w:rsidP="00907BF6">
                  <w:pPr>
                    <w:jc w:val="center"/>
                    <w:rPr>
                      <w:rFonts w:ascii="Arial" w:eastAsia="Arial" w:hAnsi="Arial" w:cs="Arial"/>
                    </w:rPr>
                  </w:pPr>
                  <w:r w:rsidRPr="00F828BF">
                    <w:rPr>
                      <w:rFonts w:ascii="Arial" w:eastAsia="Arial" w:hAnsi="Arial" w:cs="Arial"/>
                    </w:rPr>
                    <w:t>Gerencia de proyectos</w:t>
                  </w:r>
                </w:p>
              </w:tc>
            </w:tr>
            <w:tr w:rsidR="00907BF6" w:rsidRPr="00F828BF" w14:paraId="5D3D339F" w14:textId="77777777" w:rsidTr="00257C1B">
              <w:trPr>
                <w:trHeight w:val="362"/>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1CB17EC1" w14:textId="77777777" w:rsidR="00907BF6" w:rsidRPr="00F828BF" w:rsidRDefault="00907BF6" w:rsidP="00907BF6">
                  <w:pPr>
                    <w:jc w:val="center"/>
                    <w:rPr>
                      <w:rFonts w:ascii="Arial" w:eastAsia="Arial" w:hAnsi="Arial" w:cs="Arial"/>
                    </w:rPr>
                  </w:pPr>
                  <w:r w:rsidRPr="00F828BF">
                    <w:rPr>
                      <w:rFonts w:ascii="Arial" w:eastAsia="Arial" w:hAnsi="Arial" w:cs="Arial"/>
                    </w:rPr>
                    <w:t>81101500</w:t>
                  </w:r>
                </w:p>
              </w:tc>
              <w:tc>
                <w:tcPr>
                  <w:tcW w:w="0" w:type="auto"/>
                  <w:tcBorders>
                    <w:top w:val="single" w:sz="6" w:space="0" w:color="000000"/>
                    <w:left w:val="single" w:sz="6" w:space="0" w:color="000000"/>
                    <w:bottom w:val="single" w:sz="6" w:space="0" w:color="000000"/>
                    <w:right w:val="single" w:sz="6" w:space="0" w:color="000000"/>
                  </w:tcBorders>
                  <w:vAlign w:val="center"/>
                </w:tcPr>
                <w:p w14:paraId="60586D01" w14:textId="77777777" w:rsidR="00907BF6" w:rsidRPr="00F828BF" w:rsidRDefault="00907BF6" w:rsidP="00907BF6">
                  <w:pPr>
                    <w:jc w:val="center"/>
                    <w:rPr>
                      <w:rFonts w:ascii="Arial" w:eastAsia="Arial" w:hAnsi="Arial" w:cs="Arial"/>
                      <w:lang w:val="es-CO"/>
                    </w:rPr>
                  </w:pPr>
                  <w:r w:rsidRPr="00F828BF">
                    <w:rPr>
                      <w:rFonts w:ascii="Arial" w:eastAsia="Arial" w:hAnsi="Arial" w:cs="Arial"/>
                      <w:lang w:val="es-CO"/>
                    </w:rPr>
                    <w:t>Servicios Basados en Ingeniería, Investigación y Tecnología</w:t>
                  </w:r>
                </w:p>
              </w:tc>
              <w:tc>
                <w:tcPr>
                  <w:tcW w:w="0" w:type="auto"/>
                  <w:tcBorders>
                    <w:top w:val="single" w:sz="6" w:space="0" w:color="000000"/>
                    <w:left w:val="single" w:sz="6" w:space="0" w:color="000000"/>
                    <w:bottom w:val="single" w:sz="6" w:space="0" w:color="000000"/>
                    <w:right w:val="single" w:sz="6" w:space="0" w:color="000000"/>
                  </w:tcBorders>
                  <w:vAlign w:val="center"/>
                </w:tcPr>
                <w:p w14:paraId="3B5AB6BA" w14:textId="77777777" w:rsidR="00907BF6" w:rsidRPr="00F828BF" w:rsidRDefault="00907BF6" w:rsidP="00907BF6">
                  <w:pPr>
                    <w:jc w:val="center"/>
                    <w:rPr>
                      <w:rFonts w:ascii="Arial" w:eastAsia="Arial" w:hAnsi="Arial" w:cs="Arial"/>
                    </w:rPr>
                  </w:pPr>
                  <w:r w:rsidRPr="00F828BF">
                    <w:rPr>
                      <w:rFonts w:ascii="Arial" w:eastAsia="Arial" w:hAnsi="Arial" w:cs="Arial"/>
                    </w:rPr>
                    <w:t>Servicios profesionales de ingeniería</w:t>
                  </w:r>
                </w:p>
              </w:tc>
              <w:tc>
                <w:tcPr>
                  <w:tcW w:w="0" w:type="auto"/>
                  <w:tcBorders>
                    <w:top w:val="single" w:sz="6" w:space="0" w:color="000000"/>
                    <w:left w:val="single" w:sz="6" w:space="0" w:color="000000"/>
                    <w:bottom w:val="single" w:sz="6" w:space="0" w:color="000000"/>
                    <w:right w:val="single" w:sz="6" w:space="0" w:color="000000"/>
                  </w:tcBorders>
                  <w:vAlign w:val="center"/>
                </w:tcPr>
                <w:p w14:paraId="2220BE9C" w14:textId="77777777" w:rsidR="00907BF6" w:rsidRPr="00F828BF" w:rsidRDefault="00907BF6" w:rsidP="00907BF6">
                  <w:pPr>
                    <w:jc w:val="center"/>
                    <w:rPr>
                      <w:rFonts w:ascii="Arial" w:eastAsia="Arial" w:hAnsi="Arial" w:cs="Arial"/>
                    </w:rPr>
                  </w:pPr>
                  <w:r w:rsidRPr="00F828BF">
                    <w:rPr>
                      <w:rFonts w:ascii="Arial" w:eastAsia="Arial" w:hAnsi="Arial" w:cs="Arial"/>
                    </w:rPr>
                    <w:t>Ingeniería civil y arquitectura</w:t>
                  </w:r>
                </w:p>
              </w:tc>
            </w:tr>
          </w:tbl>
          <w:p w14:paraId="0FF24982" w14:textId="77777777" w:rsidR="00907BF6" w:rsidRPr="00B72EB4" w:rsidRDefault="00907BF6" w:rsidP="00907BF6">
            <w:pPr>
              <w:jc w:val="both"/>
              <w:rPr>
                <w:rFonts w:ascii="Arial" w:eastAsia="Arial" w:hAnsi="Arial" w:cs="Arial"/>
                <w:sz w:val="24"/>
                <w:szCs w:val="24"/>
              </w:rPr>
            </w:pPr>
          </w:p>
          <w:p w14:paraId="5CFAC589" w14:textId="77777777" w:rsidR="00907BF6" w:rsidRPr="00B72EB4" w:rsidRDefault="00907BF6" w:rsidP="00907BF6">
            <w:pPr>
              <w:pStyle w:val="Textoindependiente"/>
              <w:numPr>
                <w:ilvl w:val="0"/>
                <w:numId w:val="8"/>
              </w:numPr>
              <w:autoSpaceDE w:val="0"/>
              <w:autoSpaceDN w:val="0"/>
              <w:spacing w:before="160" w:after="240" w:line="240" w:lineRule="auto"/>
              <w:ind w:right="141"/>
              <w:jc w:val="both"/>
              <w:rPr>
                <w:rFonts w:ascii="Arial" w:hAnsi="Arial" w:cs="Arial"/>
                <w:szCs w:val="24"/>
              </w:rPr>
            </w:pPr>
            <w:r>
              <w:rPr>
                <w:rFonts w:ascii="Arial" w:hAnsi="Arial" w:cs="Arial"/>
                <w:szCs w:val="24"/>
              </w:rPr>
              <w:t xml:space="preserve">Garantías: </w:t>
            </w:r>
            <w:r w:rsidRPr="00B72EB4">
              <w:rPr>
                <w:rFonts w:ascii="Arial" w:hAnsi="Arial" w:cs="Arial"/>
                <w:szCs w:val="24"/>
              </w:rPr>
              <w:t>Se</w:t>
            </w:r>
            <w:r w:rsidRPr="00B72EB4">
              <w:rPr>
                <w:rFonts w:ascii="Arial" w:hAnsi="Arial" w:cs="Arial"/>
                <w:spacing w:val="-7"/>
                <w:szCs w:val="24"/>
              </w:rPr>
              <w:t xml:space="preserve"> </w:t>
            </w:r>
            <w:r w:rsidRPr="00B72EB4">
              <w:rPr>
                <w:rFonts w:ascii="Arial" w:hAnsi="Arial" w:cs="Arial"/>
                <w:szCs w:val="24"/>
              </w:rPr>
              <w:t>tiene</w:t>
            </w:r>
            <w:r w:rsidRPr="00B72EB4">
              <w:rPr>
                <w:rFonts w:ascii="Arial" w:hAnsi="Arial" w:cs="Arial"/>
                <w:spacing w:val="-8"/>
                <w:szCs w:val="24"/>
              </w:rPr>
              <w:t xml:space="preserve"> </w:t>
            </w:r>
            <w:r w:rsidRPr="00B72EB4">
              <w:rPr>
                <w:rFonts w:ascii="Arial" w:hAnsi="Arial" w:cs="Arial"/>
                <w:szCs w:val="24"/>
              </w:rPr>
              <w:t>que</w:t>
            </w:r>
            <w:r w:rsidRPr="00B72EB4">
              <w:rPr>
                <w:rFonts w:ascii="Arial" w:hAnsi="Arial" w:cs="Arial"/>
                <w:spacing w:val="-8"/>
                <w:szCs w:val="24"/>
              </w:rPr>
              <w:t xml:space="preserve"> </w:t>
            </w:r>
            <w:r w:rsidRPr="00B72EB4">
              <w:rPr>
                <w:rFonts w:ascii="Arial" w:hAnsi="Arial" w:cs="Arial"/>
                <w:szCs w:val="24"/>
              </w:rPr>
              <w:t>la</w:t>
            </w:r>
            <w:r w:rsidRPr="00B72EB4">
              <w:rPr>
                <w:rFonts w:ascii="Arial" w:hAnsi="Arial" w:cs="Arial"/>
                <w:spacing w:val="-9"/>
                <w:szCs w:val="24"/>
              </w:rPr>
              <w:t xml:space="preserve"> </w:t>
            </w:r>
            <w:r w:rsidRPr="00B72EB4">
              <w:rPr>
                <w:rFonts w:ascii="Arial" w:hAnsi="Arial" w:cs="Arial"/>
                <w:szCs w:val="24"/>
              </w:rPr>
              <w:t>garantía</w:t>
            </w:r>
            <w:r w:rsidRPr="00B72EB4">
              <w:rPr>
                <w:rFonts w:ascii="Arial" w:hAnsi="Arial" w:cs="Arial"/>
                <w:spacing w:val="-8"/>
                <w:szCs w:val="24"/>
              </w:rPr>
              <w:t xml:space="preserve"> </w:t>
            </w:r>
            <w:r w:rsidRPr="00B72EB4">
              <w:rPr>
                <w:rFonts w:ascii="Arial" w:hAnsi="Arial" w:cs="Arial"/>
                <w:szCs w:val="24"/>
              </w:rPr>
              <w:t>única</w:t>
            </w:r>
            <w:r w:rsidRPr="00B72EB4">
              <w:rPr>
                <w:rFonts w:ascii="Arial" w:hAnsi="Arial" w:cs="Arial"/>
                <w:spacing w:val="-10"/>
                <w:szCs w:val="24"/>
              </w:rPr>
              <w:t xml:space="preserve"> </w:t>
            </w:r>
            <w:r w:rsidRPr="00B72EB4">
              <w:rPr>
                <w:rFonts w:ascii="Arial" w:hAnsi="Arial" w:cs="Arial"/>
                <w:szCs w:val="24"/>
              </w:rPr>
              <w:t>es</w:t>
            </w:r>
            <w:r w:rsidRPr="00B72EB4">
              <w:rPr>
                <w:rFonts w:ascii="Arial" w:hAnsi="Arial" w:cs="Arial"/>
                <w:spacing w:val="-9"/>
                <w:szCs w:val="24"/>
              </w:rPr>
              <w:t xml:space="preserve"> </w:t>
            </w:r>
            <w:r w:rsidRPr="00B72EB4">
              <w:rPr>
                <w:rFonts w:ascii="Arial" w:hAnsi="Arial" w:cs="Arial"/>
                <w:szCs w:val="24"/>
              </w:rPr>
              <w:t>el</w:t>
            </w:r>
            <w:r w:rsidRPr="00B72EB4">
              <w:rPr>
                <w:rFonts w:ascii="Arial" w:hAnsi="Arial" w:cs="Arial"/>
                <w:spacing w:val="-12"/>
                <w:szCs w:val="24"/>
              </w:rPr>
              <w:t xml:space="preserve"> </w:t>
            </w:r>
            <w:r w:rsidRPr="00B72EB4">
              <w:rPr>
                <w:rFonts w:ascii="Arial" w:hAnsi="Arial" w:cs="Arial"/>
                <w:szCs w:val="24"/>
              </w:rPr>
              <w:t>medio</w:t>
            </w:r>
            <w:r w:rsidRPr="00B72EB4">
              <w:rPr>
                <w:rFonts w:ascii="Arial" w:hAnsi="Arial" w:cs="Arial"/>
                <w:spacing w:val="-11"/>
                <w:szCs w:val="24"/>
              </w:rPr>
              <w:t xml:space="preserve"> </w:t>
            </w:r>
            <w:r w:rsidRPr="00B72EB4">
              <w:rPr>
                <w:rFonts w:ascii="Arial" w:hAnsi="Arial" w:cs="Arial"/>
                <w:szCs w:val="24"/>
              </w:rPr>
              <w:t>para</w:t>
            </w:r>
            <w:r w:rsidRPr="00B72EB4">
              <w:rPr>
                <w:rFonts w:ascii="Arial" w:hAnsi="Arial" w:cs="Arial"/>
                <w:spacing w:val="-9"/>
                <w:szCs w:val="24"/>
              </w:rPr>
              <w:t xml:space="preserve"> </w:t>
            </w:r>
            <w:r w:rsidRPr="00B72EB4">
              <w:rPr>
                <w:rFonts w:ascii="Arial" w:hAnsi="Arial" w:cs="Arial"/>
                <w:szCs w:val="24"/>
              </w:rPr>
              <w:t>amparar</w:t>
            </w:r>
            <w:r w:rsidRPr="00B72EB4">
              <w:rPr>
                <w:rFonts w:ascii="Arial" w:hAnsi="Arial" w:cs="Arial"/>
                <w:spacing w:val="-9"/>
                <w:szCs w:val="24"/>
              </w:rPr>
              <w:t xml:space="preserve"> </w:t>
            </w:r>
            <w:r w:rsidRPr="00B72EB4">
              <w:rPr>
                <w:rFonts w:ascii="Arial" w:hAnsi="Arial" w:cs="Arial"/>
                <w:szCs w:val="24"/>
              </w:rPr>
              <w:t>un</w:t>
            </w:r>
            <w:r w:rsidRPr="00B72EB4">
              <w:rPr>
                <w:rFonts w:ascii="Arial" w:hAnsi="Arial" w:cs="Arial"/>
                <w:spacing w:val="-11"/>
                <w:szCs w:val="24"/>
              </w:rPr>
              <w:t xml:space="preserve"> </w:t>
            </w:r>
            <w:r w:rsidRPr="00B72EB4">
              <w:rPr>
                <w:rFonts w:ascii="Arial" w:hAnsi="Arial" w:cs="Arial"/>
                <w:szCs w:val="24"/>
              </w:rPr>
              <w:t>conjunto de riesgos presentes en la contratación. Es así como la garantía debe contener todos los amparos que se requieran en función del contrato, esto es, aquellos que correspondan al alcance de las obligaciones y prestaciones del respectivo contrato estatal,</w:t>
            </w:r>
            <w:r w:rsidRPr="00B72EB4">
              <w:rPr>
                <w:rFonts w:ascii="Arial" w:hAnsi="Arial" w:cs="Arial"/>
                <w:spacing w:val="-12"/>
                <w:szCs w:val="24"/>
              </w:rPr>
              <w:t xml:space="preserve"> </w:t>
            </w:r>
            <w:r w:rsidRPr="00B72EB4">
              <w:rPr>
                <w:rFonts w:ascii="Arial" w:hAnsi="Arial" w:cs="Arial"/>
                <w:szCs w:val="24"/>
              </w:rPr>
              <w:t>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6"/>
              <w:gridCol w:w="3175"/>
              <w:gridCol w:w="832"/>
              <w:gridCol w:w="2923"/>
            </w:tblGrid>
            <w:tr w:rsidR="00907BF6" w:rsidRPr="00B72EB4" w14:paraId="34D6B661" w14:textId="77777777" w:rsidTr="00257C1B">
              <w:trPr>
                <w:trHeight w:val="70"/>
                <w:tblHeader/>
              </w:trPr>
              <w:tc>
                <w:tcPr>
                  <w:tcW w:w="0" w:type="auto"/>
                  <w:shd w:val="clear" w:color="auto" w:fill="C0C0C0"/>
                  <w:vAlign w:val="center"/>
                </w:tcPr>
                <w:p w14:paraId="1B78F349" w14:textId="77777777" w:rsidR="00907BF6" w:rsidRPr="00B72EB4" w:rsidRDefault="00907BF6" w:rsidP="00907BF6">
                  <w:pPr>
                    <w:jc w:val="center"/>
                    <w:rPr>
                      <w:rFonts w:ascii="Arial" w:hAnsi="Arial" w:cs="Arial"/>
                      <w:b/>
                      <w:bCs/>
                      <w:iCs/>
                      <w:sz w:val="18"/>
                      <w:szCs w:val="18"/>
                      <w:lang w:val="es-CO"/>
                    </w:rPr>
                  </w:pPr>
                  <w:r w:rsidRPr="00B72EB4">
                    <w:rPr>
                      <w:rFonts w:ascii="Arial" w:hAnsi="Arial" w:cs="Arial"/>
                      <w:b/>
                      <w:bCs/>
                      <w:iCs/>
                      <w:sz w:val="18"/>
                      <w:szCs w:val="18"/>
                      <w:lang w:val="es-CO"/>
                    </w:rPr>
                    <w:t>RIESGOS</w:t>
                  </w:r>
                </w:p>
              </w:tc>
              <w:tc>
                <w:tcPr>
                  <w:tcW w:w="0" w:type="auto"/>
                  <w:shd w:val="clear" w:color="auto" w:fill="C0C0C0"/>
                  <w:vAlign w:val="center"/>
                </w:tcPr>
                <w:p w14:paraId="0A19FB2F" w14:textId="77777777" w:rsidR="00907BF6" w:rsidRPr="00B72EB4" w:rsidRDefault="00907BF6" w:rsidP="00907BF6">
                  <w:pPr>
                    <w:jc w:val="center"/>
                    <w:rPr>
                      <w:rFonts w:ascii="Arial" w:hAnsi="Arial" w:cs="Arial"/>
                      <w:b/>
                      <w:bCs/>
                      <w:iCs/>
                      <w:sz w:val="18"/>
                      <w:szCs w:val="18"/>
                      <w:lang w:val="es-CO"/>
                    </w:rPr>
                  </w:pPr>
                  <w:r w:rsidRPr="00B72EB4">
                    <w:rPr>
                      <w:rFonts w:ascii="Arial" w:hAnsi="Arial" w:cs="Arial"/>
                      <w:b/>
                      <w:bCs/>
                      <w:iCs/>
                      <w:sz w:val="18"/>
                      <w:szCs w:val="18"/>
                      <w:lang w:val="es-CO"/>
                    </w:rPr>
                    <w:t>DESCRIPCIÓN</w:t>
                  </w:r>
                </w:p>
              </w:tc>
              <w:tc>
                <w:tcPr>
                  <w:tcW w:w="0" w:type="auto"/>
                  <w:shd w:val="clear" w:color="auto" w:fill="C0C0C0"/>
                  <w:vAlign w:val="center"/>
                </w:tcPr>
                <w:p w14:paraId="21C5EE60" w14:textId="77777777" w:rsidR="00907BF6" w:rsidRPr="00B72EB4" w:rsidRDefault="00907BF6" w:rsidP="00907BF6">
                  <w:pPr>
                    <w:jc w:val="center"/>
                    <w:rPr>
                      <w:rFonts w:ascii="Arial" w:hAnsi="Arial" w:cs="Arial"/>
                      <w:b/>
                      <w:bCs/>
                      <w:iCs/>
                      <w:sz w:val="18"/>
                      <w:szCs w:val="18"/>
                      <w:lang w:val="es-CO"/>
                    </w:rPr>
                  </w:pPr>
                  <w:r w:rsidRPr="00B72EB4">
                    <w:rPr>
                      <w:rFonts w:ascii="Arial" w:hAnsi="Arial" w:cs="Arial"/>
                      <w:b/>
                      <w:bCs/>
                      <w:iCs/>
                      <w:sz w:val="18"/>
                      <w:szCs w:val="18"/>
                      <w:lang w:val="es-CO"/>
                    </w:rPr>
                    <w:t>%</w:t>
                  </w:r>
                </w:p>
              </w:tc>
              <w:tc>
                <w:tcPr>
                  <w:tcW w:w="0" w:type="auto"/>
                  <w:shd w:val="clear" w:color="auto" w:fill="C0C0C0"/>
                  <w:vAlign w:val="center"/>
                </w:tcPr>
                <w:p w14:paraId="4156AA79" w14:textId="77777777" w:rsidR="00907BF6" w:rsidRPr="00B72EB4" w:rsidRDefault="00907BF6" w:rsidP="00907BF6">
                  <w:pPr>
                    <w:jc w:val="center"/>
                    <w:rPr>
                      <w:rFonts w:ascii="Arial" w:hAnsi="Arial" w:cs="Arial"/>
                      <w:b/>
                      <w:bCs/>
                      <w:iCs/>
                      <w:sz w:val="18"/>
                      <w:szCs w:val="18"/>
                      <w:lang w:val="es-CO"/>
                    </w:rPr>
                  </w:pPr>
                  <w:r w:rsidRPr="00B72EB4">
                    <w:rPr>
                      <w:rFonts w:ascii="Arial" w:hAnsi="Arial" w:cs="Arial"/>
                      <w:b/>
                      <w:bCs/>
                      <w:iCs/>
                      <w:sz w:val="18"/>
                      <w:szCs w:val="18"/>
                      <w:lang w:val="es-CO"/>
                    </w:rPr>
                    <w:t>VIGENCIA</w:t>
                  </w:r>
                </w:p>
              </w:tc>
            </w:tr>
            <w:tr w:rsidR="00907BF6" w:rsidRPr="00B72EB4" w14:paraId="60F701E0" w14:textId="77777777" w:rsidTr="00257C1B">
              <w:trPr>
                <w:trHeight w:val="20"/>
              </w:trPr>
              <w:tc>
                <w:tcPr>
                  <w:tcW w:w="0" w:type="auto"/>
                  <w:vAlign w:val="center"/>
                </w:tcPr>
                <w:p w14:paraId="2C1F7996" w14:textId="77777777" w:rsidR="00907BF6" w:rsidRPr="00B72EB4" w:rsidRDefault="00907BF6" w:rsidP="00907BF6">
                  <w:pPr>
                    <w:tabs>
                      <w:tab w:val="left" w:pos="9072"/>
                    </w:tabs>
                    <w:rPr>
                      <w:rFonts w:ascii="Arial" w:hAnsi="Arial" w:cs="Arial"/>
                      <w:b/>
                      <w:iCs/>
                      <w:sz w:val="18"/>
                      <w:szCs w:val="18"/>
                      <w:lang w:val="es-CO"/>
                    </w:rPr>
                  </w:pPr>
                  <w:r w:rsidRPr="00B72EB4">
                    <w:rPr>
                      <w:rFonts w:ascii="Arial" w:hAnsi="Arial" w:cs="Arial"/>
                      <w:b/>
                      <w:iCs/>
                      <w:sz w:val="18"/>
                      <w:szCs w:val="18"/>
                      <w:lang w:val="es-CO"/>
                    </w:rPr>
                    <w:t xml:space="preserve">Cumplimiento </w:t>
                  </w:r>
                </w:p>
                <w:p w14:paraId="4E883ADF" w14:textId="77777777" w:rsidR="00907BF6" w:rsidRPr="00B72EB4" w:rsidRDefault="00907BF6" w:rsidP="00907BF6">
                  <w:pPr>
                    <w:tabs>
                      <w:tab w:val="left" w:pos="9072"/>
                    </w:tabs>
                    <w:autoSpaceDE w:val="0"/>
                    <w:adjustRightInd w:val="0"/>
                    <w:rPr>
                      <w:rFonts w:ascii="Arial" w:hAnsi="Arial" w:cs="Arial"/>
                      <w:iCs/>
                      <w:sz w:val="18"/>
                      <w:szCs w:val="18"/>
                      <w:lang w:val="es-CO"/>
                    </w:rPr>
                  </w:pPr>
                  <w:r w:rsidRPr="00B72EB4">
                    <w:rPr>
                      <w:rFonts w:ascii="Arial" w:hAnsi="Arial" w:cs="Arial"/>
                      <w:iCs/>
                      <w:sz w:val="18"/>
                      <w:szCs w:val="18"/>
                      <w:lang w:val="es-CO"/>
                    </w:rPr>
                    <w:t>(Artículos 2.2.1.2.3.1.7 y 2.2.1.2.3.1.12. del Decreto 1082 de 2015)</w:t>
                  </w:r>
                </w:p>
              </w:tc>
              <w:tc>
                <w:tcPr>
                  <w:tcW w:w="0" w:type="auto"/>
                  <w:vAlign w:val="center"/>
                </w:tcPr>
                <w:p w14:paraId="5B474C82" w14:textId="77777777" w:rsidR="00907BF6" w:rsidRPr="00B72EB4" w:rsidRDefault="00907BF6" w:rsidP="00907BF6">
                  <w:pPr>
                    <w:tabs>
                      <w:tab w:val="left" w:pos="9072"/>
                    </w:tabs>
                    <w:jc w:val="both"/>
                    <w:rPr>
                      <w:rFonts w:ascii="Arial" w:hAnsi="Arial" w:cs="Arial"/>
                      <w:iCs/>
                      <w:sz w:val="18"/>
                      <w:szCs w:val="18"/>
                      <w:lang w:val="es-CO"/>
                    </w:rPr>
                  </w:pPr>
                  <w:r w:rsidRPr="00B72EB4">
                    <w:rPr>
                      <w:rFonts w:ascii="Arial" w:hAnsi="Arial" w:cs="Arial"/>
                      <w:iCs/>
                      <w:sz w:val="18"/>
                      <w:szCs w:val="18"/>
                      <w:lang w:val="es-CO"/>
                    </w:rPr>
                    <w:t>Ejecución cabal de las actividades inherentes al objeto contractual, por parte del contratista</w:t>
                  </w:r>
                </w:p>
              </w:tc>
              <w:tc>
                <w:tcPr>
                  <w:tcW w:w="0" w:type="auto"/>
                  <w:vAlign w:val="center"/>
                </w:tcPr>
                <w:p w14:paraId="594F0CB7" w14:textId="77777777" w:rsidR="00907BF6" w:rsidRPr="00B72EB4" w:rsidRDefault="00907BF6" w:rsidP="00907BF6">
                  <w:pPr>
                    <w:tabs>
                      <w:tab w:val="left" w:pos="9072"/>
                    </w:tabs>
                    <w:jc w:val="center"/>
                    <w:rPr>
                      <w:rFonts w:ascii="Arial" w:hAnsi="Arial" w:cs="Arial"/>
                      <w:iCs/>
                      <w:sz w:val="18"/>
                      <w:szCs w:val="18"/>
                      <w:lang w:val="es-CO"/>
                    </w:rPr>
                  </w:pPr>
                  <w:r w:rsidRPr="00B72EB4">
                    <w:rPr>
                      <w:rFonts w:ascii="Arial" w:hAnsi="Arial" w:cs="Arial"/>
                      <w:iCs/>
                      <w:sz w:val="18"/>
                      <w:szCs w:val="18"/>
                      <w:lang w:val="es-CO"/>
                    </w:rPr>
                    <w:t>20%</w:t>
                  </w:r>
                </w:p>
              </w:tc>
              <w:tc>
                <w:tcPr>
                  <w:tcW w:w="0" w:type="auto"/>
                  <w:vAlign w:val="center"/>
                </w:tcPr>
                <w:p w14:paraId="48A79B20" w14:textId="77777777" w:rsidR="00907BF6" w:rsidRPr="00B72EB4" w:rsidRDefault="00907BF6" w:rsidP="00907BF6">
                  <w:pPr>
                    <w:tabs>
                      <w:tab w:val="left" w:pos="9072"/>
                    </w:tabs>
                    <w:jc w:val="both"/>
                    <w:rPr>
                      <w:rFonts w:ascii="Arial" w:hAnsi="Arial" w:cs="Arial"/>
                      <w:iCs/>
                      <w:sz w:val="18"/>
                      <w:szCs w:val="18"/>
                      <w:lang w:val="es-CO"/>
                    </w:rPr>
                  </w:pPr>
                  <w:r w:rsidRPr="00B72EB4">
                    <w:rPr>
                      <w:rFonts w:ascii="Arial" w:hAnsi="Arial" w:cs="Arial"/>
                      <w:iCs/>
                      <w:sz w:val="18"/>
                      <w:szCs w:val="18"/>
                      <w:lang w:val="es-CO"/>
                    </w:rPr>
                    <w:t>Por la duración del contrato y seis (6) meses mas</w:t>
                  </w:r>
                </w:p>
              </w:tc>
            </w:tr>
            <w:tr w:rsidR="00907BF6" w:rsidRPr="00B72EB4" w14:paraId="2FE6F384" w14:textId="77777777" w:rsidTr="00257C1B">
              <w:trPr>
                <w:trHeight w:val="20"/>
              </w:trPr>
              <w:tc>
                <w:tcPr>
                  <w:tcW w:w="0" w:type="auto"/>
                  <w:vAlign w:val="center"/>
                </w:tcPr>
                <w:p w14:paraId="7F0FD3C0" w14:textId="77777777" w:rsidR="00907BF6" w:rsidRPr="00B72EB4" w:rsidRDefault="00907BF6" w:rsidP="00907BF6">
                  <w:pPr>
                    <w:tabs>
                      <w:tab w:val="left" w:pos="9072"/>
                    </w:tabs>
                    <w:rPr>
                      <w:rFonts w:ascii="Arial" w:hAnsi="Arial" w:cs="Arial"/>
                      <w:b/>
                      <w:iCs/>
                      <w:sz w:val="18"/>
                      <w:szCs w:val="18"/>
                      <w:lang w:val="es-CO"/>
                    </w:rPr>
                  </w:pPr>
                  <w:r w:rsidRPr="00B72EB4">
                    <w:rPr>
                      <w:rFonts w:ascii="Arial" w:hAnsi="Arial" w:cs="Arial"/>
                      <w:b/>
                      <w:iCs/>
                      <w:sz w:val="18"/>
                      <w:szCs w:val="18"/>
                      <w:lang w:val="es-CO"/>
                    </w:rPr>
                    <w:t>Pago de Salarios</w:t>
                  </w:r>
                </w:p>
                <w:p w14:paraId="1D3B63BD" w14:textId="77777777" w:rsidR="00907BF6" w:rsidRPr="00B72EB4" w:rsidRDefault="00907BF6" w:rsidP="00907BF6">
                  <w:pPr>
                    <w:tabs>
                      <w:tab w:val="left" w:pos="9072"/>
                    </w:tabs>
                    <w:rPr>
                      <w:rFonts w:ascii="Arial" w:hAnsi="Arial" w:cs="Arial"/>
                      <w:b/>
                      <w:iCs/>
                      <w:sz w:val="18"/>
                      <w:szCs w:val="18"/>
                      <w:lang w:val="es-CO"/>
                    </w:rPr>
                  </w:pPr>
                  <w:r w:rsidRPr="00B72EB4">
                    <w:rPr>
                      <w:rFonts w:ascii="Arial" w:hAnsi="Arial" w:cs="Arial"/>
                      <w:iCs/>
                      <w:sz w:val="18"/>
                      <w:szCs w:val="18"/>
                      <w:lang w:val="es-CO"/>
                    </w:rPr>
                    <w:t>(Artículo 2.2.1.2.3.1.13 del Decreto 1082 de 2015)</w:t>
                  </w:r>
                </w:p>
              </w:tc>
              <w:tc>
                <w:tcPr>
                  <w:tcW w:w="0" w:type="auto"/>
                  <w:vAlign w:val="center"/>
                </w:tcPr>
                <w:p w14:paraId="0A6E0E39" w14:textId="77777777" w:rsidR="00907BF6" w:rsidRPr="00B72EB4" w:rsidRDefault="00907BF6" w:rsidP="00907BF6">
                  <w:pPr>
                    <w:tabs>
                      <w:tab w:val="left" w:pos="9072"/>
                    </w:tabs>
                    <w:jc w:val="both"/>
                    <w:rPr>
                      <w:rFonts w:ascii="Arial" w:hAnsi="Arial" w:cs="Arial"/>
                      <w:iCs/>
                      <w:sz w:val="18"/>
                      <w:szCs w:val="18"/>
                      <w:lang w:val="es-CO"/>
                    </w:rPr>
                  </w:pPr>
                  <w:r w:rsidRPr="00B72EB4">
                    <w:rPr>
                      <w:rFonts w:ascii="Arial" w:hAnsi="Arial" w:cs="Arial"/>
                      <w:iCs/>
                      <w:sz w:val="18"/>
                      <w:szCs w:val="18"/>
                      <w:lang w:val="es-CO"/>
                    </w:rPr>
                    <w:t>Prestaciones sociales e indemnizaciones laborales.</w:t>
                  </w:r>
                </w:p>
              </w:tc>
              <w:tc>
                <w:tcPr>
                  <w:tcW w:w="0" w:type="auto"/>
                  <w:vAlign w:val="center"/>
                </w:tcPr>
                <w:p w14:paraId="3B245BE7" w14:textId="77777777" w:rsidR="00907BF6" w:rsidRPr="00B72EB4" w:rsidRDefault="00907BF6" w:rsidP="00907BF6">
                  <w:pPr>
                    <w:tabs>
                      <w:tab w:val="left" w:pos="9072"/>
                    </w:tabs>
                    <w:jc w:val="center"/>
                    <w:rPr>
                      <w:rFonts w:ascii="Arial" w:hAnsi="Arial" w:cs="Arial"/>
                      <w:iCs/>
                      <w:sz w:val="18"/>
                      <w:szCs w:val="18"/>
                      <w:lang w:val="es-CO"/>
                    </w:rPr>
                  </w:pPr>
                  <w:r w:rsidRPr="00B72EB4">
                    <w:rPr>
                      <w:rFonts w:ascii="Arial" w:hAnsi="Arial" w:cs="Arial"/>
                      <w:iCs/>
                      <w:sz w:val="18"/>
                      <w:szCs w:val="18"/>
                      <w:lang w:val="es-CO"/>
                    </w:rPr>
                    <w:t>10%</w:t>
                  </w:r>
                </w:p>
              </w:tc>
              <w:tc>
                <w:tcPr>
                  <w:tcW w:w="0" w:type="auto"/>
                  <w:vAlign w:val="center"/>
                </w:tcPr>
                <w:p w14:paraId="7CE6736C" w14:textId="77777777" w:rsidR="00907BF6" w:rsidRPr="00B72EB4" w:rsidRDefault="00907BF6" w:rsidP="00907BF6">
                  <w:pPr>
                    <w:tabs>
                      <w:tab w:val="left" w:pos="9072"/>
                    </w:tabs>
                    <w:jc w:val="both"/>
                    <w:rPr>
                      <w:rFonts w:ascii="Arial" w:hAnsi="Arial" w:cs="Arial"/>
                      <w:iCs/>
                      <w:sz w:val="18"/>
                      <w:szCs w:val="18"/>
                      <w:lang w:val="es-CO"/>
                    </w:rPr>
                  </w:pPr>
                  <w:r w:rsidRPr="00B72EB4">
                    <w:rPr>
                      <w:rFonts w:ascii="Arial" w:hAnsi="Arial" w:cs="Arial"/>
                      <w:iCs/>
                      <w:sz w:val="18"/>
                      <w:szCs w:val="18"/>
                      <w:lang w:val="es-CO"/>
                    </w:rPr>
                    <w:t>Por la duración del contrato y tres años mas</w:t>
                  </w:r>
                </w:p>
              </w:tc>
            </w:tr>
            <w:tr w:rsidR="00907BF6" w:rsidRPr="00B72EB4" w14:paraId="09A2D32A" w14:textId="77777777" w:rsidTr="00257C1B">
              <w:trPr>
                <w:trHeight w:val="70"/>
              </w:trPr>
              <w:tc>
                <w:tcPr>
                  <w:tcW w:w="0" w:type="auto"/>
                  <w:vAlign w:val="center"/>
                </w:tcPr>
                <w:p w14:paraId="4A18DD67" w14:textId="77777777" w:rsidR="00907BF6" w:rsidRPr="00B72EB4" w:rsidRDefault="00907BF6" w:rsidP="00907BF6">
                  <w:pPr>
                    <w:tabs>
                      <w:tab w:val="left" w:pos="9072"/>
                    </w:tabs>
                    <w:rPr>
                      <w:rFonts w:ascii="Arial" w:hAnsi="Arial" w:cs="Arial"/>
                      <w:b/>
                      <w:iCs/>
                      <w:sz w:val="18"/>
                      <w:szCs w:val="18"/>
                      <w:lang w:val="es-CO"/>
                    </w:rPr>
                  </w:pPr>
                  <w:r w:rsidRPr="00B72EB4">
                    <w:rPr>
                      <w:rFonts w:ascii="Arial" w:hAnsi="Arial" w:cs="Arial"/>
                      <w:b/>
                      <w:iCs/>
                      <w:sz w:val="18"/>
                      <w:szCs w:val="18"/>
                      <w:lang w:val="es-CO"/>
                    </w:rPr>
                    <w:t xml:space="preserve">Calidad de Servicio </w:t>
                  </w:r>
                </w:p>
                <w:p w14:paraId="36F29914" w14:textId="77777777" w:rsidR="00907BF6" w:rsidRPr="00B72EB4" w:rsidRDefault="00907BF6" w:rsidP="00907BF6">
                  <w:pPr>
                    <w:tabs>
                      <w:tab w:val="left" w:pos="9072"/>
                    </w:tabs>
                    <w:rPr>
                      <w:rFonts w:ascii="Arial" w:hAnsi="Arial" w:cs="Arial"/>
                      <w:b/>
                      <w:iCs/>
                      <w:sz w:val="18"/>
                      <w:szCs w:val="18"/>
                      <w:lang w:val="es-CO"/>
                    </w:rPr>
                  </w:pPr>
                  <w:r w:rsidRPr="00B72EB4">
                    <w:rPr>
                      <w:rFonts w:ascii="Arial" w:hAnsi="Arial" w:cs="Arial"/>
                      <w:iCs/>
                      <w:sz w:val="18"/>
                      <w:szCs w:val="18"/>
                      <w:lang w:val="es-CO"/>
                    </w:rPr>
                    <w:t>(Artículos 2.2.1.2.3.1.15 y del Decreto 1082 de 2015)</w:t>
                  </w:r>
                </w:p>
              </w:tc>
              <w:tc>
                <w:tcPr>
                  <w:tcW w:w="0" w:type="auto"/>
                  <w:vAlign w:val="center"/>
                </w:tcPr>
                <w:p w14:paraId="13E753E2" w14:textId="77777777" w:rsidR="00907BF6" w:rsidRPr="00B72EB4" w:rsidRDefault="00907BF6" w:rsidP="00907BF6">
                  <w:pPr>
                    <w:tabs>
                      <w:tab w:val="left" w:pos="9072"/>
                    </w:tabs>
                    <w:jc w:val="both"/>
                    <w:rPr>
                      <w:rFonts w:ascii="Arial" w:hAnsi="Arial" w:cs="Arial"/>
                      <w:iCs/>
                      <w:sz w:val="18"/>
                      <w:szCs w:val="18"/>
                      <w:lang w:val="es-CO"/>
                    </w:rPr>
                  </w:pPr>
                  <w:r w:rsidRPr="00B72EB4">
                    <w:rPr>
                      <w:rFonts w:ascii="Arial" w:hAnsi="Arial" w:cs="Arial"/>
                      <w:iCs/>
                      <w:sz w:val="18"/>
                      <w:szCs w:val="18"/>
                    </w:rPr>
                    <w:t xml:space="preserve">Este amparo cubre a la Entidad Estatal por los perjuicios derivados de </w:t>
                  </w:r>
                  <w:r w:rsidRPr="00B72EB4">
                    <w:rPr>
                      <w:rFonts w:ascii="Arial" w:hAnsi="Arial" w:cs="Arial"/>
                      <w:iCs/>
                      <w:sz w:val="18"/>
                      <w:szCs w:val="18"/>
                    </w:rPr>
                    <w:lastRenderedPageBreak/>
                    <w:t>la deficiente calidad del servicio prestado.</w:t>
                  </w:r>
                </w:p>
              </w:tc>
              <w:tc>
                <w:tcPr>
                  <w:tcW w:w="0" w:type="auto"/>
                  <w:vAlign w:val="center"/>
                </w:tcPr>
                <w:p w14:paraId="2C89C0BF" w14:textId="77777777" w:rsidR="00907BF6" w:rsidRPr="00B72EB4" w:rsidRDefault="00907BF6" w:rsidP="00907BF6">
                  <w:pPr>
                    <w:tabs>
                      <w:tab w:val="left" w:pos="9072"/>
                    </w:tabs>
                    <w:jc w:val="center"/>
                    <w:rPr>
                      <w:rFonts w:ascii="Arial" w:hAnsi="Arial" w:cs="Arial"/>
                      <w:iCs/>
                      <w:sz w:val="18"/>
                      <w:szCs w:val="18"/>
                      <w:lang w:val="es-CO"/>
                    </w:rPr>
                  </w:pPr>
                  <w:r w:rsidRPr="00B72EB4">
                    <w:rPr>
                      <w:rFonts w:ascii="Arial" w:hAnsi="Arial" w:cs="Arial"/>
                      <w:iCs/>
                      <w:sz w:val="18"/>
                      <w:szCs w:val="18"/>
                      <w:lang w:val="es-CO"/>
                    </w:rPr>
                    <w:lastRenderedPageBreak/>
                    <w:t>20%</w:t>
                  </w:r>
                </w:p>
              </w:tc>
              <w:tc>
                <w:tcPr>
                  <w:tcW w:w="0" w:type="auto"/>
                  <w:vAlign w:val="center"/>
                </w:tcPr>
                <w:p w14:paraId="3BB42957" w14:textId="77777777" w:rsidR="00907BF6" w:rsidRPr="00B72EB4" w:rsidRDefault="00907BF6" w:rsidP="00907BF6">
                  <w:pPr>
                    <w:tabs>
                      <w:tab w:val="left" w:pos="9072"/>
                    </w:tabs>
                    <w:jc w:val="both"/>
                    <w:rPr>
                      <w:rFonts w:ascii="Arial" w:hAnsi="Arial" w:cs="Arial"/>
                      <w:iCs/>
                      <w:sz w:val="18"/>
                      <w:szCs w:val="18"/>
                      <w:lang w:val="es-CO"/>
                    </w:rPr>
                  </w:pPr>
                  <w:r w:rsidRPr="00B72EB4">
                    <w:rPr>
                      <w:rFonts w:ascii="Arial" w:hAnsi="Arial" w:cs="Arial"/>
                      <w:iCs/>
                      <w:sz w:val="18"/>
                      <w:szCs w:val="18"/>
                      <w:lang w:val="es-CO"/>
                    </w:rPr>
                    <w:t xml:space="preserve">Por cinco (05) años contados a partir de la fecha de recibo del informe final del contrato de </w:t>
                  </w:r>
                  <w:r w:rsidRPr="00B72EB4">
                    <w:rPr>
                      <w:rFonts w:ascii="Arial" w:hAnsi="Arial" w:cs="Arial"/>
                      <w:iCs/>
                      <w:sz w:val="18"/>
                      <w:szCs w:val="18"/>
                      <w:lang w:val="es-CO"/>
                    </w:rPr>
                    <w:lastRenderedPageBreak/>
                    <w:t>interventoría y previo recibo a satisfacción del objeto del contrato de obra</w:t>
                  </w:r>
                </w:p>
              </w:tc>
            </w:tr>
            <w:tr w:rsidR="00907BF6" w:rsidRPr="00B72EB4" w14:paraId="4C33B50A" w14:textId="77777777" w:rsidTr="00257C1B">
              <w:trPr>
                <w:trHeight w:val="1241"/>
              </w:trPr>
              <w:tc>
                <w:tcPr>
                  <w:tcW w:w="0" w:type="auto"/>
                  <w:vAlign w:val="center"/>
                </w:tcPr>
                <w:p w14:paraId="468B9C98" w14:textId="77777777" w:rsidR="00907BF6" w:rsidRPr="00B72EB4" w:rsidRDefault="00907BF6" w:rsidP="00907BF6">
                  <w:pPr>
                    <w:tabs>
                      <w:tab w:val="left" w:pos="9072"/>
                    </w:tabs>
                    <w:rPr>
                      <w:rFonts w:ascii="Arial" w:hAnsi="Arial" w:cs="Arial"/>
                      <w:b/>
                      <w:iCs/>
                      <w:sz w:val="18"/>
                      <w:szCs w:val="18"/>
                      <w:lang w:val="es-CO"/>
                    </w:rPr>
                  </w:pPr>
                  <w:r w:rsidRPr="00B72EB4">
                    <w:rPr>
                      <w:rFonts w:ascii="Arial" w:hAnsi="Arial" w:cs="Arial"/>
                      <w:b/>
                      <w:iCs/>
                      <w:sz w:val="18"/>
                      <w:szCs w:val="18"/>
                      <w:lang w:val="es-CO"/>
                    </w:rPr>
                    <w:lastRenderedPageBreak/>
                    <w:t>Responsabilidad Extracontractual</w:t>
                  </w:r>
                </w:p>
                <w:p w14:paraId="75033EBE" w14:textId="77777777" w:rsidR="00907BF6" w:rsidRPr="00B72EB4" w:rsidRDefault="00907BF6" w:rsidP="00907BF6">
                  <w:pPr>
                    <w:tabs>
                      <w:tab w:val="left" w:pos="9072"/>
                    </w:tabs>
                    <w:rPr>
                      <w:rFonts w:ascii="Arial" w:hAnsi="Arial" w:cs="Arial"/>
                      <w:b/>
                      <w:iCs/>
                      <w:sz w:val="18"/>
                      <w:szCs w:val="18"/>
                      <w:lang w:val="es-CO"/>
                    </w:rPr>
                  </w:pPr>
                  <w:r w:rsidRPr="00B72EB4">
                    <w:rPr>
                      <w:rFonts w:ascii="Arial" w:hAnsi="Arial" w:cs="Arial"/>
                      <w:b/>
                      <w:iCs/>
                      <w:sz w:val="18"/>
                      <w:szCs w:val="18"/>
                      <w:lang w:val="es-CO"/>
                    </w:rPr>
                    <w:t xml:space="preserve">Calidad de Servicio </w:t>
                  </w:r>
                </w:p>
                <w:p w14:paraId="188B02D3" w14:textId="77777777" w:rsidR="00907BF6" w:rsidRPr="00B72EB4" w:rsidRDefault="00907BF6" w:rsidP="00907BF6">
                  <w:pPr>
                    <w:tabs>
                      <w:tab w:val="left" w:pos="9072"/>
                    </w:tabs>
                    <w:rPr>
                      <w:rFonts w:ascii="Arial" w:hAnsi="Arial" w:cs="Arial"/>
                      <w:iCs/>
                      <w:sz w:val="18"/>
                      <w:szCs w:val="18"/>
                      <w:lang w:val="es-CO"/>
                    </w:rPr>
                  </w:pPr>
                  <w:r w:rsidRPr="00B72EB4">
                    <w:rPr>
                      <w:rFonts w:ascii="Arial" w:hAnsi="Arial" w:cs="Arial"/>
                      <w:iCs/>
                      <w:sz w:val="18"/>
                      <w:szCs w:val="18"/>
                      <w:lang w:val="es-CO"/>
                    </w:rPr>
                    <w:t>(Artículos 2.2.1.2.3.1.5, 2.2.1.2.3.1.8. y 2.2.1.2.3.1.17 del Decreto 1082 de 2015)</w:t>
                  </w:r>
                </w:p>
              </w:tc>
              <w:tc>
                <w:tcPr>
                  <w:tcW w:w="0" w:type="auto"/>
                  <w:vAlign w:val="center"/>
                </w:tcPr>
                <w:p w14:paraId="27F81F9C" w14:textId="77777777" w:rsidR="00907BF6" w:rsidRPr="00B72EB4" w:rsidRDefault="00907BF6" w:rsidP="00907BF6">
                  <w:pPr>
                    <w:tabs>
                      <w:tab w:val="left" w:pos="9072"/>
                    </w:tabs>
                    <w:jc w:val="both"/>
                    <w:rPr>
                      <w:rFonts w:ascii="Arial" w:hAnsi="Arial" w:cs="Arial"/>
                      <w:iCs/>
                      <w:sz w:val="18"/>
                      <w:szCs w:val="18"/>
                      <w:lang w:val="es-CO"/>
                    </w:rPr>
                  </w:pPr>
                  <w:r w:rsidRPr="00B72EB4">
                    <w:rPr>
                      <w:rFonts w:ascii="Arial" w:hAnsi="Arial" w:cs="Arial"/>
                      <w:iCs/>
                      <w:sz w:val="18"/>
                      <w:szCs w:val="18"/>
                    </w:rPr>
                    <w:t>Protege eventuales reclamaciones de terceros derivadas de la responsabilidad extracontractual que surja de las actuaciones, hechos u omisiones del contratista.</w:t>
                  </w:r>
                </w:p>
              </w:tc>
              <w:tc>
                <w:tcPr>
                  <w:tcW w:w="0" w:type="auto"/>
                  <w:vAlign w:val="center"/>
                </w:tcPr>
                <w:p w14:paraId="74E17E08" w14:textId="77777777" w:rsidR="00907BF6" w:rsidRPr="00B72EB4" w:rsidRDefault="00907BF6" w:rsidP="00907BF6">
                  <w:pPr>
                    <w:tabs>
                      <w:tab w:val="left" w:pos="9072"/>
                    </w:tabs>
                    <w:jc w:val="center"/>
                    <w:rPr>
                      <w:rFonts w:ascii="Arial" w:hAnsi="Arial" w:cs="Arial"/>
                      <w:iCs/>
                      <w:sz w:val="18"/>
                      <w:szCs w:val="18"/>
                      <w:lang w:val="es-CO"/>
                    </w:rPr>
                  </w:pPr>
                  <w:r w:rsidRPr="00B72EB4">
                    <w:rPr>
                      <w:rFonts w:ascii="Arial" w:hAnsi="Arial" w:cs="Arial"/>
                      <w:iCs/>
                      <w:sz w:val="18"/>
                      <w:szCs w:val="18"/>
                      <w:lang w:val="es-CO"/>
                    </w:rPr>
                    <w:t>200 SMMLV</w:t>
                  </w:r>
                </w:p>
              </w:tc>
              <w:tc>
                <w:tcPr>
                  <w:tcW w:w="0" w:type="auto"/>
                  <w:vAlign w:val="center"/>
                </w:tcPr>
                <w:p w14:paraId="09ACFB5C" w14:textId="77777777" w:rsidR="00907BF6" w:rsidRPr="00B72EB4" w:rsidRDefault="00907BF6" w:rsidP="00907BF6">
                  <w:pPr>
                    <w:tabs>
                      <w:tab w:val="left" w:pos="9072"/>
                    </w:tabs>
                    <w:jc w:val="both"/>
                    <w:rPr>
                      <w:rFonts w:ascii="Arial" w:hAnsi="Arial" w:cs="Arial"/>
                      <w:iCs/>
                      <w:sz w:val="18"/>
                      <w:szCs w:val="18"/>
                      <w:lang w:val="es-CO"/>
                    </w:rPr>
                  </w:pPr>
                  <w:r w:rsidRPr="00B72EB4">
                    <w:rPr>
                      <w:rFonts w:ascii="Arial" w:hAnsi="Arial" w:cs="Arial"/>
                      <w:iCs/>
                      <w:sz w:val="18"/>
                      <w:szCs w:val="18"/>
                      <w:lang w:val="es-CO"/>
                    </w:rPr>
                    <w:t>Con vigencia igual al tiempo de ejecución del contrato, contada a partir de la fecha de suscripción.</w:t>
                  </w:r>
                </w:p>
              </w:tc>
            </w:tr>
          </w:tbl>
          <w:p w14:paraId="1C77C920" w14:textId="77777777" w:rsidR="00907BF6" w:rsidRDefault="00907BF6" w:rsidP="00907BF6">
            <w:pPr>
              <w:widowControl/>
              <w:pBdr>
                <w:top w:val="nil"/>
                <w:left w:val="nil"/>
                <w:bottom w:val="nil"/>
                <w:right w:val="nil"/>
                <w:between w:val="nil"/>
              </w:pBdr>
              <w:jc w:val="both"/>
              <w:rPr>
                <w:rFonts w:ascii="Arial" w:eastAsia="Arial" w:hAnsi="Arial" w:cs="Arial"/>
                <w:color w:val="000000"/>
                <w:sz w:val="24"/>
                <w:szCs w:val="24"/>
              </w:rPr>
            </w:pPr>
          </w:p>
          <w:p w14:paraId="3A6B7FE8" w14:textId="77777777" w:rsidR="00907BF6" w:rsidRPr="00F828BF" w:rsidRDefault="00907BF6" w:rsidP="00907BF6">
            <w:pPr>
              <w:pStyle w:val="Prrafodelista"/>
              <w:numPr>
                <w:ilvl w:val="0"/>
                <w:numId w:val="8"/>
              </w:numPr>
              <w:pBdr>
                <w:top w:val="nil"/>
                <w:left w:val="nil"/>
                <w:bottom w:val="nil"/>
                <w:right w:val="nil"/>
                <w:between w:val="nil"/>
              </w:pBdr>
              <w:rPr>
                <w:rFonts w:ascii="Arial" w:eastAsia="Arial" w:hAnsi="Arial" w:cs="Arial"/>
                <w:color w:val="000000"/>
                <w:lang w:val="en-US"/>
              </w:rPr>
            </w:pPr>
            <w:r w:rsidRPr="00F828BF">
              <w:rPr>
                <w:rFonts w:ascii="Arial" w:eastAsia="Arial" w:hAnsi="Arial" w:cs="Arial"/>
                <w:color w:val="000000"/>
                <w:lang w:val="en-US"/>
              </w:rPr>
              <w:t>Riesgos: Los riesgos eventuales que se puedan derivar del proceso de contratación se determinan en la Matriz de Riesgo establecida para el proceso, la cual hace parte integral de los documentos del proceso. 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 y teniendo en referencia los lineamientos establecidos por el DACP - DISTRITO DE CALI a través de la matriz de riesgo.</w:t>
            </w:r>
          </w:p>
          <w:p w14:paraId="4916B25C" w14:textId="77777777" w:rsidR="00907BF6" w:rsidRPr="00B72EB4" w:rsidRDefault="00907BF6" w:rsidP="00907BF6">
            <w:pPr>
              <w:jc w:val="both"/>
              <w:rPr>
                <w:rFonts w:ascii="Arial" w:eastAsia="Arial" w:hAnsi="Arial" w:cs="Arial"/>
                <w:sz w:val="24"/>
                <w:szCs w:val="24"/>
                <w:lang w:val="es-CO"/>
              </w:rPr>
            </w:pPr>
          </w:p>
          <w:p w14:paraId="06C54D6A" w14:textId="77777777" w:rsidR="00907BF6" w:rsidRPr="00D67D8A" w:rsidRDefault="00907BF6" w:rsidP="00907BF6">
            <w:pPr>
              <w:jc w:val="both"/>
              <w:rPr>
                <w:rFonts w:ascii="Arial" w:eastAsia="Arial" w:hAnsi="Arial" w:cs="Arial"/>
                <w:sz w:val="24"/>
                <w:szCs w:val="24"/>
                <w:lang w:val="es-CO"/>
              </w:rPr>
            </w:pPr>
            <w:r w:rsidRPr="00B72EB4">
              <w:rPr>
                <w:rFonts w:ascii="Arial" w:eastAsia="Arial" w:hAnsi="Arial" w:cs="Arial"/>
                <w:sz w:val="24"/>
                <w:szCs w:val="24"/>
                <w:lang w:val="es-CO"/>
              </w:rPr>
              <w:t>Las anteriores consideraciones, son recomendaciones brindadas desde el análisis del sector, en un punto de vista financiero, sin embargo, las solicitudes del proceso se establecen expresamente en los estudios previos.</w:t>
            </w:r>
          </w:p>
          <w:p w14:paraId="1B9F8145" w14:textId="77777777" w:rsidR="00907BF6" w:rsidRPr="00D67D8A" w:rsidRDefault="00907BF6" w:rsidP="00907BF6">
            <w:pPr>
              <w:jc w:val="both"/>
              <w:rPr>
                <w:rFonts w:ascii="Arial" w:eastAsia="Arial" w:hAnsi="Arial" w:cs="Arial"/>
                <w:sz w:val="24"/>
                <w:szCs w:val="24"/>
                <w:lang w:val="es-CO"/>
              </w:rPr>
            </w:pPr>
          </w:p>
        </w:tc>
      </w:tr>
      <w:tr w:rsidR="00907BF6" w14:paraId="56E1400E" w14:textId="77777777" w:rsidTr="00907BF6">
        <w:trPr>
          <w:trHeight w:val="227"/>
        </w:trPr>
        <w:tc>
          <w:tcPr>
            <w:tcW w:w="9396"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3F91D2F" w14:textId="77777777" w:rsidR="00907BF6" w:rsidRDefault="00907BF6" w:rsidP="00907BF6">
            <w:pPr>
              <w:widowControl/>
              <w:numPr>
                <w:ilvl w:val="0"/>
                <w:numId w:val="1"/>
              </w:numPr>
              <w:pBdr>
                <w:top w:val="nil"/>
                <w:left w:val="nil"/>
                <w:bottom w:val="nil"/>
                <w:right w:val="nil"/>
                <w:between w:val="nil"/>
              </w:pBdr>
              <w:spacing w:before="60" w:after="60"/>
              <w:ind w:left="0" w:firstLine="0"/>
              <w:rPr>
                <w:rFonts w:ascii="Arial" w:eastAsia="Arial" w:hAnsi="Arial" w:cs="Arial"/>
                <w:color w:val="000000"/>
                <w:sz w:val="24"/>
                <w:szCs w:val="24"/>
              </w:rPr>
            </w:pPr>
            <w:r>
              <w:rPr>
                <w:rFonts w:ascii="Arial" w:eastAsia="Arial" w:hAnsi="Arial" w:cs="Arial"/>
                <w:color w:val="000000"/>
                <w:sz w:val="24"/>
                <w:szCs w:val="24"/>
              </w:rPr>
              <w:lastRenderedPageBreak/>
              <w:t>FIRMA RESPONSABLES</w:t>
            </w:r>
          </w:p>
        </w:tc>
      </w:tr>
      <w:tr w:rsidR="00907BF6" w14:paraId="7C8D1CFB" w14:textId="77777777" w:rsidTr="00907BF6">
        <w:trPr>
          <w:trHeight w:val="227"/>
        </w:trPr>
        <w:tc>
          <w:tcPr>
            <w:tcW w:w="93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634AD4" w14:textId="77777777" w:rsidR="00907BF6" w:rsidRDefault="00907BF6" w:rsidP="00907BF6">
            <w:pPr>
              <w:pBdr>
                <w:top w:val="nil"/>
                <w:left w:val="nil"/>
                <w:bottom w:val="nil"/>
                <w:right w:val="nil"/>
                <w:between w:val="nil"/>
              </w:pBdr>
              <w:jc w:val="both"/>
              <w:rPr>
                <w:rFonts w:ascii="Arial" w:eastAsia="Arial" w:hAnsi="Arial" w:cs="Arial"/>
                <w:color w:val="000000"/>
                <w:sz w:val="24"/>
                <w:szCs w:val="24"/>
              </w:rPr>
            </w:pPr>
          </w:p>
          <w:p w14:paraId="6E3A7683" w14:textId="42C6088D" w:rsidR="00907BF6" w:rsidRDefault="00907BF6" w:rsidP="00907BF6">
            <w:pPr>
              <w:pBdr>
                <w:top w:val="nil"/>
                <w:left w:val="nil"/>
                <w:bottom w:val="nil"/>
                <w:right w:val="nil"/>
                <w:between w:val="nil"/>
              </w:pBdr>
              <w:jc w:val="both"/>
              <w:rPr>
                <w:rFonts w:ascii="Arial" w:eastAsia="Arial" w:hAnsi="Arial" w:cs="Arial"/>
                <w:sz w:val="24"/>
                <w:szCs w:val="24"/>
              </w:rPr>
            </w:pPr>
            <w:r w:rsidRPr="0050660F">
              <w:rPr>
                <w:rFonts w:ascii="Arial" w:hAnsi="Arial" w:cs="Arial"/>
                <w:noProof/>
              </w:rPr>
              <w:drawing>
                <wp:anchor distT="0" distB="0" distL="114300" distR="114300" simplePos="0" relativeHeight="251660288" behindDoc="1" locked="0" layoutInCell="1" allowOverlap="1" wp14:anchorId="45632EC0" wp14:editId="4D51B0D5">
                  <wp:simplePos x="0" y="0"/>
                  <wp:positionH relativeFrom="column">
                    <wp:posOffset>629920</wp:posOffset>
                  </wp:positionH>
                  <wp:positionV relativeFrom="paragraph">
                    <wp:posOffset>128270</wp:posOffset>
                  </wp:positionV>
                  <wp:extent cx="1303020" cy="701040"/>
                  <wp:effectExtent l="0" t="0" r="0" b="3810"/>
                  <wp:wrapNone/>
                  <wp:docPr id="9573817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03020" cy="701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E17514" w14:textId="7B2E858A" w:rsidR="00907BF6" w:rsidRDefault="00907BF6" w:rsidP="00907BF6">
            <w:pPr>
              <w:pBdr>
                <w:top w:val="nil"/>
                <w:left w:val="nil"/>
                <w:bottom w:val="nil"/>
                <w:right w:val="nil"/>
                <w:between w:val="nil"/>
              </w:pBdr>
              <w:jc w:val="both"/>
              <w:rPr>
                <w:rFonts w:ascii="Arial" w:eastAsia="Arial" w:hAnsi="Arial" w:cs="Arial"/>
                <w:sz w:val="24"/>
                <w:szCs w:val="24"/>
              </w:rPr>
            </w:pPr>
          </w:p>
          <w:p w14:paraId="0B5552EA" w14:textId="77777777" w:rsidR="00907BF6" w:rsidRPr="00D67D8A" w:rsidRDefault="00907BF6" w:rsidP="00907BF6">
            <w:pPr>
              <w:pBdr>
                <w:top w:val="nil"/>
                <w:left w:val="nil"/>
                <w:bottom w:val="nil"/>
                <w:right w:val="nil"/>
                <w:between w:val="nil"/>
              </w:pBdr>
              <w:jc w:val="both"/>
              <w:rPr>
                <w:rFonts w:ascii="Arial" w:eastAsia="Arial" w:hAnsi="Arial" w:cs="Arial"/>
                <w:sz w:val="24"/>
                <w:szCs w:val="24"/>
                <w:lang w:val="es-CO"/>
              </w:rPr>
            </w:pPr>
            <w:r w:rsidRPr="00D67D8A">
              <w:rPr>
                <w:rFonts w:ascii="Arial" w:eastAsia="Arial" w:hAnsi="Arial" w:cs="Arial"/>
                <w:sz w:val="24"/>
                <w:szCs w:val="24"/>
                <w:lang w:val="es-CO"/>
              </w:rPr>
              <w:t>________________________________________</w:t>
            </w:r>
          </w:p>
          <w:p w14:paraId="305DAE39" w14:textId="77777777" w:rsidR="00907BF6" w:rsidRDefault="00907BF6" w:rsidP="00907BF6">
            <w:pPr>
              <w:pBdr>
                <w:top w:val="nil"/>
                <w:left w:val="nil"/>
                <w:bottom w:val="nil"/>
                <w:right w:val="nil"/>
                <w:between w:val="nil"/>
              </w:pBdr>
              <w:jc w:val="both"/>
              <w:rPr>
                <w:rFonts w:ascii="Arial" w:eastAsia="Arial" w:hAnsi="Arial" w:cs="Arial"/>
                <w:sz w:val="24"/>
                <w:szCs w:val="24"/>
                <w:lang w:val="es-CO"/>
              </w:rPr>
            </w:pPr>
            <w:r>
              <w:rPr>
                <w:rFonts w:ascii="Arial" w:eastAsia="Arial" w:hAnsi="Arial" w:cs="Arial"/>
                <w:sz w:val="24"/>
                <w:szCs w:val="24"/>
                <w:lang w:val="es-CO"/>
              </w:rPr>
              <w:t>DIANA MARCELA VARGAS GUARIN</w:t>
            </w:r>
          </w:p>
          <w:p w14:paraId="261B8592" w14:textId="035A0AD1" w:rsidR="00907BF6" w:rsidRPr="00D67D8A" w:rsidRDefault="00907BF6" w:rsidP="00907BF6">
            <w:pPr>
              <w:pBdr>
                <w:top w:val="nil"/>
                <w:left w:val="nil"/>
                <w:bottom w:val="nil"/>
                <w:right w:val="nil"/>
                <w:between w:val="nil"/>
              </w:pBdr>
              <w:jc w:val="both"/>
              <w:rPr>
                <w:rFonts w:ascii="Arial" w:eastAsia="Arial" w:hAnsi="Arial" w:cs="Arial"/>
                <w:color w:val="000000"/>
                <w:sz w:val="24"/>
                <w:szCs w:val="24"/>
                <w:lang w:val="es-CO"/>
              </w:rPr>
            </w:pPr>
            <w:r w:rsidRPr="00D67D8A">
              <w:rPr>
                <w:rFonts w:ascii="Arial" w:eastAsia="Arial" w:hAnsi="Arial" w:cs="Arial"/>
                <w:sz w:val="24"/>
                <w:szCs w:val="24"/>
                <w:lang w:val="es-CO"/>
              </w:rPr>
              <w:t>Rol</w:t>
            </w:r>
            <w:r w:rsidRPr="00D67D8A">
              <w:rPr>
                <w:rFonts w:ascii="Arial" w:eastAsia="Arial" w:hAnsi="Arial" w:cs="Arial"/>
                <w:color w:val="000000"/>
                <w:sz w:val="24"/>
                <w:szCs w:val="24"/>
                <w:lang w:val="es-CO"/>
              </w:rPr>
              <w:t xml:space="preserve"> financiero</w:t>
            </w:r>
          </w:p>
          <w:p w14:paraId="08E002AA" w14:textId="77777777" w:rsidR="00907BF6" w:rsidRDefault="00907BF6" w:rsidP="00907BF6">
            <w:p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Equipo Estructurador</w:t>
            </w:r>
          </w:p>
          <w:p w14:paraId="14D2F852" w14:textId="77777777" w:rsidR="00907BF6" w:rsidRDefault="00907BF6" w:rsidP="00907BF6">
            <w:pPr>
              <w:widowControl/>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w:t>
            </w:r>
          </w:p>
        </w:tc>
      </w:tr>
      <w:tr w:rsidR="00907BF6" w14:paraId="595E0E14" w14:textId="77777777" w:rsidTr="00907BF6">
        <w:trPr>
          <w:trHeight w:val="227"/>
        </w:trPr>
        <w:tc>
          <w:tcPr>
            <w:tcW w:w="93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9DB60E" w14:textId="77777777" w:rsidR="00907BF6" w:rsidRDefault="00907BF6" w:rsidP="00907BF6">
            <w:pPr>
              <w:widowControl/>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24"/>
                <w:szCs w:val="24"/>
              </w:rPr>
              <w:t>Anexos 1: Matriz de riesgos</w:t>
            </w:r>
          </w:p>
        </w:tc>
      </w:tr>
    </w:tbl>
    <w:p w14:paraId="084EEAB0" w14:textId="77777777" w:rsidR="00D768A3" w:rsidRDefault="00D768A3">
      <w:pPr>
        <w:rPr>
          <w:rFonts w:ascii="Arial" w:eastAsia="Arial" w:hAnsi="Arial" w:cs="Arial"/>
          <w:sz w:val="24"/>
          <w:szCs w:val="24"/>
        </w:rPr>
      </w:pPr>
    </w:p>
    <w:sectPr w:rsidR="00D768A3">
      <w:headerReference w:type="default" r:id="rId56"/>
      <w:footerReference w:type="default" r:id="rId57"/>
      <w:pgSz w:w="12242" w:h="15842"/>
      <w:pgMar w:top="1418" w:right="1418" w:bottom="1418" w:left="1418" w:header="1134" w:footer="11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3B3127" w14:textId="77777777" w:rsidR="007D1694" w:rsidRDefault="007D1694">
      <w:r>
        <w:separator/>
      </w:r>
    </w:p>
  </w:endnote>
  <w:endnote w:type="continuationSeparator" w:id="0">
    <w:p w14:paraId="5569EC47" w14:textId="77777777" w:rsidR="007D1694" w:rsidRDefault="007D1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1120241A-0CBB-C74A-A200-D16A65953280}"/>
  </w:font>
  <w:font w:name="Wingdings">
    <w:panose1 w:val="05000000000000000000"/>
    <w:charset w:val="4D"/>
    <w:family w:val="decorative"/>
    <w:pitch w:val="variable"/>
    <w:sig w:usb0="00000003" w:usb1="00000000" w:usb2="00000000" w:usb3="00000000" w:csb0="80000001" w:csb1="00000000"/>
    <w:embedRegular r:id="rId3" w:fontKey="{9020533D-C0E6-F44F-B36B-9443BD474199}"/>
  </w:font>
  <w:font w:name="Times New Roman">
    <w:panose1 w:val="02020603050405020304"/>
    <w:charset w:val="00"/>
    <w:family w:val="roman"/>
    <w:pitch w:val="variable"/>
    <w:sig w:usb0="E0002EFF" w:usb1="C000785B" w:usb2="00000009" w:usb3="00000000" w:csb0="000001FF" w:csb1="00000000"/>
    <w:embedRegular r:id="rId4" w:fontKey="{1F77C8D0-7CBA-6046-AE18-7CCC69251D81}"/>
    <w:embedBold r:id="rId5" w:fontKey="{2542515B-57D8-F342-8E99-77FCAB42BB5F}"/>
    <w:embedItalic r:id="rId6" w:fontKey="{41EBE66B-3D75-8E49-BCF8-9DBBC037DF45}"/>
  </w:font>
  <w:font w:name="Symbol">
    <w:panose1 w:val="05050102010706020507"/>
    <w:charset w:val="02"/>
    <w:family w:val="decorative"/>
    <w:pitch w:val="variable"/>
    <w:sig w:usb0="00000000" w:usb1="10000000" w:usb2="00000000" w:usb3="00000000" w:csb0="80000000" w:csb1="00000000"/>
    <w:embedRegular r:id="rId7" w:fontKey="{4FD06AEA-9D8A-6D4C-A14B-63DCAA233855}"/>
  </w:font>
  <w:font w:name="Arial">
    <w:panose1 w:val="020B0604020202020204"/>
    <w:charset w:val="00"/>
    <w:family w:val="swiss"/>
    <w:pitch w:val="variable"/>
    <w:sig w:usb0="E0002EFF" w:usb1="C000785B" w:usb2="00000009" w:usb3="00000000" w:csb0="000001FF" w:csb1="00000000"/>
    <w:embedRegular r:id="rId8" w:fontKey="{CC02EEFD-0031-704E-808E-5863FE0AEEAE}"/>
    <w:embedBold r:id="rId9" w:fontKey="{AC7F7EC3-C094-D741-83C7-D08574D1D44A}"/>
    <w:embedItalic r:id="rId10" w:fontKey="{F90B51D4-FAA3-6845-96D8-7D7B6A8CAB06}"/>
    <w:embedBoldItalic r:id="rId11" w:fontKey="{389B7513-3219-8D4B-A8AC-FE8CE7988343}"/>
  </w:font>
  <w:font w:name="Calibri">
    <w:panose1 w:val="020F0502020204030204"/>
    <w:charset w:val="00"/>
    <w:family w:val="swiss"/>
    <w:pitch w:val="variable"/>
    <w:sig w:usb0="E4002EFF" w:usb1="C000247B" w:usb2="00000009" w:usb3="00000000" w:csb0="000001FF" w:csb1="00000000"/>
    <w:embedRegular r:id="rId12" w:fontKey="{7DDDC37D-2CF3-6E40-8E6F-AC9728394955}"/>
    <w:embedBold r:id="rId13" w:fontKey="{9506B00D-99D1-CC40-B39B-823B3B271EF9}"/>
    <w:embedItalic r:id="rId14" w:fontKey="{CCED3A2C-FA4B-B048-A790-3C64F182D953}"/>
  </w:font>
  <w:font w:name="Tahoma">
    <w:panose1 w:val="020B0604030504040204"/>
    <w:charset w:val="00"/>
    <w:family w:val="swiss"/>
    <w:pitch w:val="variable"/>
    <w:sig w:usb0="E1002EFF" w:usb1="C000605B" w:usb2="00000029" w:usb3="00000000" w:csb0="000101FF" w:csb1="00000000"/>
    <w:embedRegular r:id="rId15" w:fontKey="{E2AAA7EC-A1AE-E544-A425-9CB9E70DA45E}"/>
  </w:font>
  <w:font w:name="Segoe UI Black">
    <w:panose1 w:val="020B0604020202020204"/>
    <w:charset w:val="00"/>
    <w:family w:val="swiss"/>
    <w:pitch w:val="variable"/>
    <w:sig w:usb0="E00002FF" w:usb1="4000E47F" w:usb2="00000021" w:usb3="00000000" w:csb0="0000019F" w:csb1="00000000"/>
  </w:font>
  <w:font w:name="Segoe UI">
    <w:panose1 w:val="020B0604020202020204"/>
    <w:charset w:val="00"/>
    <w:family w:val="swiss"/>
    <w:pitch w:val="variable"/>
    <w:sig w:usb0="E4002EFF" w:usb1="C000E47F" w:usb2="00000009" w:usb3="00000000" w:csb0="000001FF" w:csb1="00000000"/>
    <w:embedRegular r:id="rId16" w:fontKey="{DDC914CA-20E1-2449-9DD6-EB1D751DC45B}"/>
  </w:font>
  <w:font w:name="Arial Narrow">
    <w:panose1 w:val="020B0606020202030204"/>
    <w:charset w:val="00"/>
    <w:family w:val="swiss"/>
    <w:pitch w:val="variable"/>
    <w:sig w:usb0="00000287" w:usb1="00000800" w:usb2="00000000" w:usb3="00000000" w:csb0="0000009F" w:csb1="00000000"/>
    <w:embedRegular r:id="rId17" w:fontKey="{2FA8AC66-8E83-D048-BA2B-0EDA948A1979}"/>
    <w:embedBold r:id="rId18" w:fontKey="{5C54FE47-C0C7-D84E-8E12-D0CB2E9AEC55}"/>
  </w:font>
  <w:font w:name="Cambria Math">
    <w:panose1 w:val="02040503050406030204"/>
    <w:charset w:val="00"/>
    <w:family w:val="roman"/>
    <w:pitch w:val="variable"/>
    <w:sig w:usb0="E00002FF" w:usb1="420024FF" w:usb2="00000000" w:usb3="00000000" w:csb0="0000019F" w:csb1="00000000"/>
    <w:embedRegular r:id="rId19" w:fontKey="{1D5B53F3-068F-384D-8115-AF966C85859A}"/>
    <w:embedItalic r:id="rId20" w:fontKey="{51B8EEE6-1340-D347-991A-F3C7FE2E40A6}"/>
  </w:font>
  <w:font w:name="Cambria">
    <w:panose1 w:val="02040503050406030204"/>
    <w:charset w:val="00"/>
    <w:family w:val="roman"/>
    <w:pitch w:val="variable"/>
    <w:sig w:usb0="E00006FF" w:usb1="420024FF" w:usb2="02000000" w:usb3="00000000" w:csb0="0000019F" w:csb1="00000000"/>
    <w:embedRegular r:id="rId21" w:fontKey="{3016568B-E269-4C48-9EDD-5F4CEC187D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98506C" w14:textId="77777777" w:rsidR="00D768A3" w:rsidRDefault="00A0753E">
    <w:pPr>
      <w:pBdr>
        <w:top w:val="nil"/>
        <w:left w:val="nil"/>
        <w:bottom w:val="nil"/>
        <w:right w:val="nil"/>
        <w:between w:val="nil"/>
      </w:pBdr>
      <w:tabs>
        <w:tab w:val="center" w:pos="4252"/>
        <w:tab w:val="right" w:pos="8504"/>
      </w:tabs>
      <w:jc w:val="both"/>
      <w:rPr>
        <w:color w:val="000000"/>
      </w:rPr>
    </w:pPr>
    <w:r>
      <w:rPr>
        <w:rFonts w:ascii="Arial" w:eastAsia="Arial" w:hAnsi="Arial" w:cs="Arial"/>
        <w:color w:val="000000"/>
        <w:sz w:val="16"/>
        <w:szCs w:val="16"/>
      </w:rPr>
      <w:t xml:space="preserve">Este documento es propiedad de la Administración Central del Distrito de Santiago de Cali. Prohibida su copia, alteración o modificación por cualquier medio, sin previa autorización del </w:t>
    </w:r>
    <w:proofErr w:type="gramStart"/>
    <w:r>
      <w:rPr>
        <w:rFonts w:ascii="Arial" w:eastAsia="Arial" w:hAnsi="Arial" w:cs="Arial"/>
        <w:color w:val="000000"/>
        <w:sz w:val="16"/>
        <w:szCs w:val="16"/>
      </w:rPr>
      <w:t>Alcalde</w:t>
    </w:r>
    <w:proofErr w:type="gramEnd"/>
    <w:r>
      <w:rPr>
        <w:rFonts w:ascii="Arial" w:eastAsia="Arial" w:hAnsi="Arial" w:cs="Arial"/>
        <w:color w:val="000000"/>
        <w:sz w:val="16"/>
        <w:szCs w:val="16"/>
      </w:rPr>
      <w:t>.</w:t>
    </w:r>
  </w:p>
  <w:p w14:paraId="5952402F" w14:textId="77777777" w:rsidR="00D768A3" w:rsidRDefault="00A0753E">
    <w:pPr>
      <w:pBdr>
        <w:top w:val="nil"/>
        <w:left w:val="nil"/>
        <w:bottom w:val="nil"/>
        <w:right w:val="nil"/>
        <w:between w:val="nil"/>
      </w:pBdr>
      <w:tabs>
        <w:tab w:val="center" w:pos="4252"/>
        <w:tab w:val="right" w:pos="8504"/>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5D14C3">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5D14C3">
      <w:rPr>
        <w:rFonts w:ascii="Arial" w:eastAsia="Arial" w:hAnsi="Arial" w:cs="Arial"/>
        <w:noProof/>
        <w:color w:val="000000"/>
        <w:sz w:val="16"/>
        <w:szCs w:val="16"/>
      </w:rPr>
      <w:t>2</w:t>
    </w:r>
    <w:r>
      <w:rPr>
        <w:rFonts w:ascii="Arial" w:eastAsia="Arial" w:hAnsi="Arial" w:cs="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7E5DD6" w14:textId="77777777" w:rsidR="007D1694" w:rsidRDefault="007D1694">
      <w:r>
        <w:separator/>
      </w:r>
    </w:p>
  </w:footnote>
  <w:footnote w:type="continuationSeparator" w:id="0">
    <w:p w14:paraId="761EDCCB" w14:textId="77777777" w:rsidR="007D1694" w:rsidRDefault="007D16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2EAEC7" w14:textId="77777777" w:rsidR="00D768A3" w:rsidRDefault="00D768A3">
    <w:pPr>
      <w:widowControl w:val="0"/>
      <w:pBdr>
        <w:top w:val="nil"/>
        <w:left w:val="nil"/>
        <w:bottom w:val="nil"/>
        <w:right w:val="nil"/>
        <w:between w:val="nil"/>
      </w:pBdr>
      <w:spacing w:line="276" w:lineRule="auto"/>
      <w:rPr>
        <w:rFonts w:ascii="Arial" w:eastAsia="Arial" w:hAnsi="Arial" w:cs="Arial"/>
        <w:color w:val="000000"/>
        <w:sz w:val="14"/>
        <w:szCs w:val="14"/>
      </w:rPr>
    </w:pPr>
  </w:p>
  <w:tbl>
    <w:tblPr>
      <w:tblStyle w:val="af9"/>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5"/>
      <w:gridCol w:w="3969"/>
      <w:gridCol w:w="1418"/>
      <w:gridCol w:w="1021"/>
    </w:tblGrid>
    <w:tr w:rsidR="00D768A3" w14:paraId="4C220D99" w14:textId="77777777" w:rsidTr="005D14C3">
      <w:trPr>
        <w:cantSplit/>
        <w:trHeight w:val="841"/>
      </w:trPr>
      <w:tc>
        <w:tcPr>
          <w:tcW w:w="2835" w:type="dxa"/>
          <w:vMerge w:val="restart"/>
          <w:vAlign w:val="center"/>
        </w:tcPr>
        <w:p w14:paraId="48F4037A" w14:textId="77777777" w:rsidR="00D768A3" w:rsidRDefault="00A0753E">
          <w:pPr>
            <w:widowControl/>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14"/>
              <w:szCs w:val="14"/>
            </w:rPr>
          </w:pPr>
          <w:r>
            <w:rPr>
              <w:noProof/>
              <w:color w:val="000000"/>
              <w:sz w:val="14"/>
              <w:szCs w:val="14"/>
            </w:rPr>
            <w:drawing>
              <wp:inline distT="0" distB="0" distL="0" distR="0" wp14:anchorId="00A31AD2" wp14:editId="0C4892D4">
                <wp:extent cx="1080000" cy="831504"/>
                <wp:effectExtent l="0" t="0" r="0" b="0"/>
                <wp:docPr id="2023080958"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31504"/>
                        </a:xfrm>
                        <a:prstGeom prst="rect">
                          <a:avLst/>
                        </a:prstGeom>
                        <a:ln/>
                      </pic:spPr>
                    </pic:pic>
                  </a:graphicData>
                </a:graphic>
              </wp:inline>
            </w:drawing>
          </w:r>
        </w:p>
        <w:p w14:paraId="54362A79" w14:textId="77777777" w:rsidR="00D768A3" w:rsidRDefault="00D768A3">
          <w:pPr>
            <w:widowControl/>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14"/>
              <w:szCs w:val="14"/>
            </w:rPr>
          </w:pPr>
        </w:p>
        <w:p w14:paraId="3D0844EA" w14:textId="77777777" w:rsidR="00D768A3" w:rsidRPr="00D67D8A" w:rsidRDefault="00A0753E">
          <w:pPr>
            <w:tabs>
              <w:tab w:val="center" w:pos="4320"/>
              <w:tab w:val="right" w:pos="8640"/>
            </w:tabs>
            <w:jc w:val="center"/>
            <w:rPr>
              <w:rFonts w:ascii="Arial" w:eastAsia="Arial" w:hAnsi="Arial" w:cs="Arial"/>
              <w:lang w:val="es-CO"/>
            </w:rPr>
          </w:pPr>
          <w:r w:rsidRPr="00D67D8A">
            <w:rPr>
              <w:rFonts w:ascii="Arial" w:eastAsia="Arial" w:hAnsi="Arial" w:cs="Arial"/>
              <w:lang w:val="es-CO"/>
            </w:rPr>
            <w:t>GESTIÓN JURÍDICO ADMINISTRATIVA</w:t>
          </w:r>
        </w:p>
        <w:p w14:paraId="0148A080" w14:textId="77777777" w:rsidR="00D768A3" w:rsidRPr="00D67D8A" w:rsidRDefault="00A0753E">
          <w:pPr>
            <w:widowControl/>
            <w:pBdr>
              <w:top w:val="nil"/>
              <w:left w:val="nil"/>
              <w:bottom w:val="nil"/>
              <w:right w:val="nil"/>
              <w:between w:val="nil"/>
            </w:pBdr>
            <w:tabs>
              <w:tab w:val="center" w:pos="4252"/>
              <w:tab w:val="right" w:pos="8504"/>
            </w:tabs>
            <w:jc w:val="center"/>
            <w:rPr>
              <w:rFonts w:ascii="Arial" w:eastAsia="Arial" w:hAnsi="Arial" w:cs="Arial"/>
              <w:color w:val="000000"/>
              <w:sz w:val="14"/>
              <w:szCs w:val="14"/>
              <w:lang w:val="es-CO"/>
            </w:rPr>
          </w:pPr>
          <w:r w:rsidRPr="00D67D8A">
            <w:rPr>
              <w:rFonts w:ascii="Arial" w:eastAsia="Arial" w:hAnsi="Arial" w:cs="Arial"/>
              <w:color w:val="000000"/>
              <w:sz w:val="20"/>
              <w:szCs w:val="20"/>
              <w:lang w:val="es-CO"/>
            </w:rPr>
            <w:t>GESTIÓN CONTRACTUAL</w:t>
          </w:r>
        </w:p>
      </w:tc>
      <w:tc>
        <w:tcPr>
          <w:tcW w:w="3969" w:type="dxa"/>
          <w:vMerge w:val="restart"/>
          <w:vAlign w:val="center"/>
        </w:tcPr>
        <w:p w14:paraId="5A41F9A8" w14:textId="77777777" w:rsidR="00D768A3" w:rsidRPr="00D67D8A" w:rsidRDefault="00A0753E">
          <w:pPr>
            <w:widowControl/>
            <w:pBdr>
              <w:top w:val="nil"/>
              <w:left w:val="nil"/>
              <w:bottom w:val="nil"/>
              <w:right w:val="nil"/>
              <w:between w:val="nil"/>
            </w:pBdr>
            <w:tabs>
              <w:tab w:val="center" w:pos="4252"/>
              <w:tab w:val="right" w:pos="8504"/>
            </w:tabs>
            <w:jc w:val="center"/>
            <w:rPr>
              <w:rFonts w:ascii="Arial" w:eastAsia="Arial" w:hAnsi="Arial" w:cs="Arial"/>
              <w:color w:val="000000"/>
              <w:sz w:val="20"/>
              <w:szCs w:val="20"/>
              <w:lang w:val="es-CO"/>
            </w:rPr>
          </w:pPr>
          <w:r w:rsidRPr="00D67D8A">
            <w:rPr>
              <w:rFonts w:ascii="Arial" w:eastAsia="Arial" w:hAnsi="Arial" w:cs="Arial"/>
              <w:color w:val="000000"/>
              <w:sz w:val="20"/>
              <w:szCs w:val="20"/>
              <w:lang w:val="es-CO"/>
            </w:rPr>
            <w:t xml:space="preserve">MODELO INTEGRADO DE PLANEACIÓN Y GESTIÓN </w:t>
          </w:r>
        </w:p>
        <w:p w14:paraId="301393DA" w14:textId="77777777" w:rsidR="00D768A3" w:rsidRPr="00D67D8A" w:rsidRDefault="00A0753E">
          <w:pPr>
            <w:widowControl/>
            <w:pBdr>
              <w:top w:val="nil"/>
              <w:left w:val="nil"/>
              <w:bottom w:val="nil"/>
              <w:right w:val="nil"/>
              <w:between w:val="nil"/>
            </w:pBdr>
            <w:tabs>
              <w:tab w:val="center" w:pos="4252"/>
              <w:tab w:val="right" w:pos="8504"/>
            </w:tabs>
            <w:jc w:val="center"/>
            <w:rPr>
              <w:rFonts w:ascii="Arial" w:eastAsia="Arial" w:hAnsi="Arial" w:cs="Arial"/>
              <w:color w:val="000000"/>
              <w:sz w:val="20"/>
              <w:szCs w:val="20"/>
              <w:lang w:val="es-CO"/>
            </w:rPr>
          </w:pPr>
          <w:r w:rsidRPr="00D67D8A">
            <w:rPr>
              <w:rFonts w:ascii="Arial" w:eastAsia="Arial" w:hAnsi="Arial" w:cs="Arial"/>
              <w:color w:val="000000"/>
              <w:sz w:val="20"/>
              <w:szCs w:val="20"/>
              <w:lang w:val="es-CO"/>
            </w:rPr>
            <w:t>(MIPG)</w:t>
          </w:r>
        </w:p>
        <w:p w14:paraId="7A1BCDC3" w14:textId="77777777" w:rsidR="00D768A3" w:rsidRPr="00D67D8A" w:rsidRDefault="00D768A3">
          <w:pPr>
            <w:widowControl/>
            <w:pBdr>
              <w:top w:val="nil"/>
              <w:left w:val="nil"/>
              <w:bottom w:val="nil"/>
              <w:right w:val="nil"/>
              <w:between w:val="nil"/>
            </w:pBdr>
            <w:tabs>
              <w:tab w:val="center" w:pos="4252"/>
              <w:tab w:val="right" w:pos="8504"/>
            </w:tabs>
            <w:jc w:val="center"/>
            <w:rPr>
              <w:rFonts w:ascii="Arial" w:eastAsia="Arial" w:hAnsi="Arial" w:cs="Arial"/>
              <w:color w:val="000000"/>
              <w:sz w:val="20"/>
              <w:szCs w:val="20"/>
              <w:lang w:val="es-CO"/>
            </w:rPr>
          </w:pPr>
        </w:p>
        <w:p w14:paraId="17B19B31" w14:textId="77777777" w:rsidR="00D768A3" w:rsidRPr="00D67D8A" w:rsidRDefault="00A0753E">
          <w:pPr>
            <w:widowControl/>
            <w:pBdr>
              <w:top w:val="nil"/>
              <w:left w:val="nil"/>
              <w:bottom w:val="nil"/>
              <w:right w:val="nil"/>
              <w:between w:val="nil"/>
            </w:pBdr>
            <w:tabs>
              <w:tab w:val="center" w:pos="4252"/>
              <w:tab w:val="right" w:pos="8504"/>
            </w:tabs>
            <w:jc w:val="center"/>
            <w:rPr>
              <w:rFonts w:ascii="Arial" w:eastAsia="Arial" w:hAnsi="Arial" w:cs="Arial"/>
              <w:color w:val="000000"/>
              <w:sz w:val="24"/>
              <w:szCs w:val="24"/>
              <w:lang w:val="es-CO"/>
            </w:rPr>
          </w:pPr>
          <w:r w:rsidRPr="00D67D8A">
            <w:rPr>
              <w:rFonts w:ascii="Arial" w:eastAsia="Arial" w:hAnsi="Arial" w:cs="Arial"/>
              <w:color w:val="000000"/>
              <w:sz w:val="24"/>
              <w:szCs w:val="24"/>
              <w:lang w:val="es-CO"/>
            </w:rPr>
            <w:t>ESTRUCTURACIÓN DEL ANÁLISIS DEL SECTOR</w:t>
          </w:r>
        </w:p>
      </w:tc>
      <w:tc>
        <w:tcPr>
          <w:tcW w:w="2439" w:type="dxa"/>
          <w:gridSpan w:val="2"/>
          <w:vAlign w:val="center"/>
        </w:tcPr>
        <w:p w14:paraId="139B6944" w14:textId="77777777" w:rsidR="00D768A3" w:rsidRDefault="00A0753E">
          <w:pPr>
            <w:jc w:val="center"/>
            <w:rPr>
              <w:rFonts w:ascii="Arial" w:eastAsia="Arial" w:hAnsi="Arial" w:cs="Arial"/>
            </w:rPr>
          </w:pPr>
          <w:r>
            <w:rPr>
              <w:rFonts w:ascii="Arial" w:eastAsia="Arial" w:hAnsi="Arial" w:cs="Arial"/>
              <w:color w:val="515151"/>
              <w:highlight w:val="white"/>
            </w:rPr>
            <w:t>MAJA01.04.</w:t>
          </w:r>
          <w:proofErr w:type="gramStart"/>
          <w:r>
            <w:rPr>
              <w:rFonts w:ascii="Arial" w:eastAsia="Arial" w:hAnsi="Arial" w:cs="Arial"/>
              <w:color w:val="515151"/>
              <w:highlight w:val="white"/>
            </w:rPr>
            <w:t>01.P001.F</w:t>
          </w:r>
          <w:proofErr w:type="gramEnd"/>
          <w:r>
            <w:rPr>
              <w:rFonts w:ascii="Arial" w:eastAsia="Arial" w:hAnsi="Arial" w:cs="Arial"/>
              <w:color w:val="515151"/>
              <w:highlight w:val="white"/>
            </w:rPr>
            <w:t>004 </w:t>
          </w:r>
        </w:p>
      </w:tc>
    </w:tr>
    <w:tr w:rsidR="00D768A3" w14:paraId="7271A811" w14:textId="77777777" w:rsidTr="005D14C3">
      <w:trPr>
        <w:cantSplit/>
        <w:trHeight w:val="483"/>
      </w:trPr>
      <w:tc>
        <w:tcPr>
          <w:tcW w:w="2835" w:type="dxa"/>
          <w:vMerge/>
          <w:vAlign w:val="center"/>
        </w:tcPr>
        <w:p w14:paraId="517093C0" w14:textId="77777777" w:rsidR="00D768A3" w:rsidRDefault="00D768A3">
          <w:pPr>
            <w:pBdr>
              <w:top w:val="nil"/>
              <w:left w:val="nil"/>
              <w:bottom w:val="nil"/>
              <w:right w:val="nil"/>
              <w:between w:val="nil"/>
            </w:pBdr>
            <w:spacing w:line="276" w:lineRule="auto"/>
            <w:rPr>
              <w:rFonts w:ascii="Arial" w:eastAsia="Arial" w:hAnsi="Arial" w:cs="Arial"/>
            </w:rPr>
          </w:pPr>
        </w:p>
      </w:tc>
      <w:tc>
        <w:tcPr>
          <w:tcW w:w="3969" w:type="dxa"/>
          <w:vMerge/>
          <w:vAlign w:val="center"/>
        </w:tcPr>
        <w:p w14:paraId="66E11F8A" w14:textId="77777777" w:rsidR="00D768A3" w:rsidRDefault="00D768A3">
          <w:pPr>
            <w:pBdr>
              <w:top w:val="nil"/>
              <w:left w:val="nil"/>
              <w:bottom w:val="nil"/>
              <w:right w:val="nil"/>
              <w:between w:val="nil"/>
            </w:pBdr>
            <w:spacing w:line="276" w:lineRule="auto"/>
            <w:rPr>
              <w:rFonts w:ascii="Arial" w:eastAsia="Arial" w:hAnsi="Arial" w:cs="Arial"/>
            </w:rPr>
          </w:pPr>
        </w:p>
      </w:tc>
      <w:tc>
        <w:tcPr>
          <w:tcW w:w="1418" w:type="dxa"/>
          <w:vAlign w:val="center"/>
        </w:tcPr>
        <w:p w14:paraId="6583D576" w14:textId="77777777" w:rsidR="00D768A3" w:rsidRDefault="00A0753E">
          <w:pPr>
            <w:widowControl/>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021" w:type="dxa"/>
          <w:vAlign w:val="center"/>
        </w:tcPr>
        <w:p w14:paraId="0DA0F207" w14:textId="77777777" w:rsidR="00D768A3" w:rsidRDefault="00A0753E">
          <w:pPr>
            <w:widowControl/>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001</w:t>
          </w:r>
        </w:p>
      </w:tc>
    </w:tr>
  </w:tbl>
  <w:p w14:paraId="0D4996DB" w14:textId="77777777" w:rsidR="00D768A3" w:rsidRDefault="00D768A3">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261120"/>
    <w:multiLevelType w:val="multilevel"/>
    <w:tmpl w:val="32EE3F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073E71"/>
    <w:multiLevelType w:val="multilevel"/>
    <w:tmpl w:val="814A74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9BD2631"/>
    <w:multiLevelType w:val="hybridMultilevel"/>
    <w:tmpl w:val="AFF864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C03D17"/>
    <w:multiLevelType w:val="multilevel"/>
    <w:tmpl w:val="B42EC57C"/>
    <w:lvl w:ilvl="0">
      <w:start w:val="1"/>
      <w:numFmt w:val="bullet"/>
      <w:lvlText w:val="●"/>
      <w:lvlJc w:val="left"/>
      <w:pPr>
        <w:ind w:left="928" w:hanging="360"/>
      </w:pPr>
      <w:rPr>
        <w:rFonts w:ascii="Noto Sans Symbols" w:eastAsia="Noto Sans Symbols" w:hAnsi="Noto Sans Symbols" w:cs="Noto Sans Symbols"/>
      </w:rPr>
    </w:lvl>
    <w:lvl w:ilvl="1">
      <w:start w:val="1"/>
      <w:numFmt w:val="lowerRoman"/>
      <w:lvlText w:val="%2."/>
      <w:lvlJc w:val="left"/>
      <w:pPr>
        <w:ind w:left="1800" w:hanging="720"/>
      </w:pPr>
      <w:rPr>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DF33A0"/>
    <w:multiLevelType w:val="multilevel"/>
    <w:tmpl w:val="4024F400"/>
    <w:lvl w:ilvl="0">
      <w:start w:val="1"/>
      <w:numFmt w:val="decimal"/>
      <w:lvlText w:val="%1."/>
      <w:lvlJc w:val="left"/>
      <w:pPr>
        <w:ind w:left="680" w:hanging="340"/>
      </w:pPr>
      <w:rPr>
        <w:rFonts w:ascii="Arial" w:eastAsia="Arial" w:hAnsi="Arial" w:cs="Arial"/>
        <w:sz w:val="24"/>
        <w:szCs w:val="24"/>
      </w:rPr>
    </w:lvl>
    <w:lvl w:ilvl="1">
      <w:start w:val="1"/>
      <w:numFmt w:val="decimal"/>
      <w:lvlText w:val="%1.%2."/>
      <w:lvlJc w:val="left"/>
      <w:pPr>
        <w:ind w:left="2609" w:hanging="1474"/>
      </w:pPr>
      <w:rPr>
        <w:sz w:val="24"/>
        <w:szCs w:val="24"/>
      </w:rPr>
    </w:lvl>
    <w:lvl w:ilvl="2">
      <w:start w:val="1"/>
      <w:numFmt w:val="decimal"/>
      <w:lvlText w:val="%1.%2.%3"/>
      <w:lvlJc w:val="left"/>
      <w:pPr>
        <w:ind w:left="1440" w:hanging="340"/>
      </w:pPr>
    </w:lvl>
    <w:lvl w:ilvl="3">
      <w:start w:val="1"/>
      <w:numFmt w:val="decimal"/>
      <w:lvlText w:val="%1.%2.%3.%4"/>
      <w:lvlJc w:val="left"/>
      <w:pPr>
        <w:ind w:left="1820" w:hanging="340"/>
      </w:pPr>
    </w:lvl>
    <w:lvl w:ilvl="4">
      <w:start w:val="1"/>
      <w:numFmt w:val="decimal"/>
      <w:lvlText w:val="%1.%2.%3.%4.%5"/>
      <w:lvlJc w:val="left"/>
      <w:pPr>
        <w:ind w:left="2200" w:hanging="340"/>
      </w:pPr>
    </w:lvl>
    <w:lvl w:ilvl="5">
      <w:start w:val="1"/>
      <w:numFmt w:val="decimal"/>
      <w:lvlText w:val="%1.%2.%3.%4.%5.%6"/>
      <w:lvlJc w:val="left"/>
      <w:pPr>
        <w:ind w:left="2580" w:hanging="340"/>
      </w:pPr>
    </w:lvl>
    <w:lvl w:ilvl="6">
      <w:start w:val="1"/>
      <w:numFmt w:val="decimal"/>
      <w:lvlText w:val="%1.%2.%3.%4.%5.%6.%7"/>
      <w:lvlJc w:val="left"/>
      <w:pPr>
        <w:ind w:left="2960" w:hanging="340"/>
      </w:pPr>
    </w:lvl>
    <w:lvl w:ilvl="7">
      <w:start w:val="1"/>
      <w:numFmt w:val="decimal"/>
      <w:lvlText w:val="%1.%2.%3.%4.%5.%6.%7.%8"/>
      <w:lvlJc w:val="left"/>
      <w:pPr>
        <w:ind w:left="3340" w:hanging="340"/>
      </w:pPr>
    </w:lvl>
    <w:lvl w:ilvl="8">
      <w:start w:val="1"/>
      <w:numFmt w:val="decimal"/>
      <w:lvlText w:val="%1.%2.%3.%4.%5.%6.%7.%8.%9"/>
      <w:lvlJc w:val="left"/>
      <w:pPr>
        <w:ind w:left="3720" w:hanging="340"/>
      </w:pPr>
    </w:lvl>
  </w:abstractNum>
  <w:abstractNum w:abstractNumId="5" w15:restartNumberingAfterBreak="0">
    <w:nsid w:val="238C5800"/>
    <w:multiLevelType w:val="hybridMultilevel"/>
    <w:tmpl w:val="621C28C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26FC43E3"/>
    <w:multiLevelType w:val="multilevel"/>
    <w:tmpl w:val="4CF26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FDA3343"/>
    <w:multiLevelType w:val="multilevel"/>
    <w:tmpl w:val="A4B0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434EAD"/>
    <w:multiLevelType w:val="hybridMultilevel"/>
    <w:tmpl w:val="1AD256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091A10"/>
    <w:multiLevelType w:val="hybridMultilevel"/>
    <w:tmpl w:val="1BF28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D641AE0"/>
    <w:multiLevelType w:val="hybridMultilevel"/>
    <w:tmpl w:val="78C69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32F47A4"/>
    <w:multiLevelType w:val="multilevel"/>
    <w:tmpl w:val="29A28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6BE4512"/>
    <w:multiLevelType w:val="hybridMultilevel"/>
    <w:tmpl w:val="FC5E381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68BE07CC"/>
    <w:multiLevelType w:val="multilevel"/>
    <w:tmpl w:val="9DC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246D68"/>
    <w:multiLevelType w:val="multilevel"/>
    <w:tmpl w:val="DBAC09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51216348">
    <w:abstractNumId w:val="4"/>
  </w:num>
  <w:num w:numId="2" w16cid:durableId="2144304341">
    <w:abstractNumId w:val="3"/>
  </w:num>
  <w:num w:numId="3" w16cid:durableId="1682512294">
    <w:abstractNumId w:val="11"/>
  </w:num>
  <w:num w:numId="4" w16cid:durableId="1294212980">
    <w:abstractNumId w:val="0"/>
  </w:num>
  <w:num w:numId="5" w16cid:durableId="245304774">
    <w:abstractNumId w:val="1"/>
  </w:num>
  <w:num w:numId="6" w16cid:durableId="1692997069">
    <w:abstractNumId w:val="6"/>
  </w:num>
  <w:num w:numId="7" w16cid:durableId="1211303661">
    <w:abstractNumId w:val="14"/>
  </w:num>
  <w:num w:numId="8" w16cid:durableId="542988302">
    <w:abstractNumId w:val="10"/>
  </w:num>
  <w:num w:numId="9" w16cid:durableId="728115594">
    <w:abstractNumId w:val="7"/>
  </w:num>
  <w:num w:numId="10" w16cid:durableId="2140800449">
    <w:abstractNumId w:val="13"/>
  </w:num>
  <w:num w:numId="11" w16cid:durableId="766198757">
    <w:abstractNumId w:val="9"/>
  </w:num>
  <w:num w:numId="12" w16cid:durableId="2026201329">
    <w:abstractNumId w:val="8"/>
  </w:num>
  <w:num w:numId="13" w16cid:durableId="877818036">
    <w:abstractNumId w:val="12"/>
  </w:num>
  <w:num w:numId="14" w16cid:durableId="1997419913">
    <w:abstractNumId w:val="2"/>
  </w:num>
  <w:num w:numId="15" w16cid:durableId="950862471">
    <w:abstractNumId w:val="5"/>
  </w:num>
  <w:numIdMacAtCleanup w:val="1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4"/>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8A3"/>
    <w:rsid w:val="00000CF7"/>
    <w:rsid w:val="00004AA5"/>
    <w:rsid w:val="00004EC1"/>
    <w:rsid w:val="00005FC0"/>
    <w:rsid w:val="00007ADC"/>
    <w:rsid w:val="0001407C"/>
    <w:rsid w:val="00014EBE"/>
    <w:rsid w:val="0001796B"/>
    <w:rsid w:val="0002075E"/>
    <w:rsid w:val="000246DD"/>
    <w:rsid w:val="000271E6"/>
    <w:rsid w:val="000339E8"/>
    <w:rsid w:val="00046C30"/>
    <w:rsid w:val="000569DE"/>
    <w:rsid w:val="000659B2"/>
    <w:rsid w:val="00070A3A"/>
    <w:rsid w:val="00071977"/>
    <w:rsid w:val="00082D1C"/>
    <w:rsid w:val="00085FAD"/>
    <w:rsid w:val="0009698E"/>
    <w:rsid w:val="000A2618"/>
    <w:rsid w:val="000A4A28"/>
    <w:rsid w:val="000B47D6"/>
    <w:rsid w:val="000C19DE"/>
    <w:rsid w:val="000C1B8F"/>
    <w:rsid w:val="000C2904"/>
    <w:rsid w:val="000C2F2B"/>
    <w:rsid w:val="000C6452"/>
    <w:rsid w:val="000D1E2C"/>
    <w:rsid w:val="000E1145"/>
    <w:rsid w:val="000E3ED4"/>
    <w:rsid w:val="000F7A55"/>
    <w:rsid w:val="00100D88"/>
    <w:rsid w:val="001347CD"/>
    <w:rsid w:val="00134F7E"/>
    <w:rsid w:val="00145EF9"/>
    <w:rsid w:val="00146BB6"/>
    <w:rsid w:val="001520B1"/>
    <w:rsid w:val="001601C4"/>
    <w:rsid w:val="001610A2"/>
    <w:rsid w:val="0016531E"/>
    <w:rsid w:val="00177B1F"/>
    <w:rsid w:val="001A09F6"/>
    <w:rsid w:val="001A12BD"/>
    <w:rsid w:val="001A6840"/>
    <w:rsid w:val="001A7001"/>
    <w:rsid w:val="001B14AB"/>
    <w:rsid w:val="001B4615"/>
    <w:rsid w:val="001C06F5"/>
    <w:rsid w:val="001D7D9B"/>
    <w:rsid w:val="001E2723"/>
    <w:rsid w:val="001E7A06"/>
    <w:rsid w:val="001F1B0E"/>
    <w:rsid w:val="001F326F"/>
    <w:rsid w:val="001F3887"/>
    <w:rsid w:val="00205CC1"/>
    <w:rsid w:val="0022008F"/>
    <w:rsid w:val="002348E0"/>
    <w:rsid w:val="00234F4A"/>
    <w:rsid w:val="002351A5"/>
    <w:rsid w:val="002359DA"/>
    <w:rsid w:val="00235A13"/>
    <w:rsid w:val="00250516"/>
    <w:rsid w:val="00255A62"/>
    <w:rsid w:val="002566BF"/>
    <w:rsid w:val="00257E26"/>
    <w:rsid w:val="0026185E"/>
    <w:rsid w:val="0026599B"/>
    <w:rsid w:val="00266E2F"/>
    <w:rsid w:val="00271CC6"/>
    <w:rsid w:val="002740D2"/>
    <w:rsid w:val="00274EEA"/>
    <w:rsid w:val="0027598A"/>
    <w:rsid w:val="002766F8"/>
    <w:rsid w:val="002769AF"/>
    <w:rsid w:val="0028115F"/>
    <w:rsid w:val="00281337"/>
    <w:rsid w:val="00296776"/>
    <w:rsid w:val="002A2660"/>
    <w:rsid w:val="002A2A8B"/>
    <w:rsid w:val="002A6155"/>
    <w:rsid w:val="002B2A5E"/>
    <w:rsid w:val="002B56DA"/>
    <w:rsid w:val="002C0272"/>
    <w:rsid w:val="002C22EF"/>
    <w:rsid w:val="002D15FA"/>
    <w:rsid w:val="002E5819"/>
    <w:rsid w:val="002F1968"/>
    <w:rsid w:val="002F5A0A"/>
    <w:rsid w:val="00313F38"/>
    <w:rsid w:val="0031549D"/>
    <w:rsid w:val="00335527"/>
    <w:rsid w:val="003416E9"/>
    <w:rsid w:val="00345518"/>
    <w:rsid w:val="00345ABE"/>
    <w:rsid w:val="00345B60"/>
    <w:rsid w:val="00347065"/>
    <w:rsid w:val="00353E55"/>
    <w:rsid w:val="00360EA6"/>
    <w:rsid w:val="0036114D"/>
    <w:rsid w:val="0036266E"/>
    <w:rsid w:val="003642B8"/>
    <w:rsid w:val="003663E6"/>
    <w:rsid w:val="00367337"/>
    <w:rsid w:val="00370DD7"/>
    <w:rsid w:val="0037129A"/>
    <w:rsid w:val="003729BB"/>
    <w:rsid w:val="00382B5D"/>
    <w:rsid w:val="00391FA1"/>
    <w:rsid w:val="00392C09"/>
    <w:rsid w:val="00393DC8"/>
    <w:rsid w:val="00394497"/>
    <w:rsid w:val="00397684"/>
    <w:rsid w:val="003A05C9"/>
    <w:rsid w:val="003A6192"/>
    <w:rsid w:val="003C042C"/>
    <w:rsid w:val="003C058F"/>
    <w:rsid w:val="003C3695"/>
    <w:rsid w:val="003C4DA4"/>
    <w:rsid w:val="003D3EEC"/>
    <w:rsid w:val="003E0BFD"/>
    <w:rsid w:val="003E2737"/>
    <w:rsid w:val="003E3F03"/>
    <w:rsid w:val="003E64E8"/>
    <w:rsid w:val="003E7809"/>
    <w:rsid w:val="003E7C22"/>
    <w:rsid w:val="00401A0E"/>
    <w:rsid w:val="004169BA"/>
    <w:rsid w:val="0041769A"/>
    <w:rsid w:val="00422159"/>
    <w:rsid w:val="004266F9"/>
    <w:rsid w:val="0042707F"/>
    <w:rsid w:val="004308E3"/>
    <w:rsid w:val="00432F9B"/>
    <w:rsid w:val="00433CF2"/>
    <w:rsid w:val="00437D1D"/>
    <w:rsid w:val="004405D9"/>
    <w:rsid w:val="004420DD"/>
    <w:rsid w:val="00443298"/>
    <w:rsid w:val="00444D1D"/>
    <w:rsid w:val="004507E9"/>
    <w:rsid w:val="00454DAB"/>
    <w:rsid w:val="004573DB"/>
    <w:rsid w:val="00463E07"/>
    <w:rsid w:val="00473439"/>
    <w:rsid w:val="00473A57"/>
    <w:rsid w:val="00473C52"/>
    <w:rsid w:val="00476491"/>
    <w:rsid w:val="004777FB"/>
    <w:rsid w:val="0048073A"/>
    <w:rsid w:val="00490BCD"/>
    <w:rsid w:val="004A11A9"/>
    <w:rsid w:val="004A450B"/>
    <w:rsid w:val="004A7F07"/>
    <w:rsid w:val="004B5863"/>
    <w:rsid w:val="004B761E"/>
    <w:rsid w:val="004C533A"/>
    <w:rsid w:val="004C7F9D"/>
    <w:rsid w:val="004D5565"/>
    <w:rsid w:val="004F349D"/>
    <w:rsid w:val="004F473C"/>
    <w:rsid w:val="004F5ED0"/>
    <w:rsid w:val="0050011E"/>
    <w:rsid w:val="00502FA7"/>
    <w:rsid w:val="00506692"/>
    <w:rsid w:val="00506FB6"/>
    <w:rsid w:val="005109B2"/>
    <w:rsid w:val="00516715"/>
    <w:rsid w:val="00521BEA"/>
    <w:rsid w:val="00522D03"/>
    <w:rsid w:val="005276A2"/>
    <w:rsid w:val="00527E99"/>
    <w:rsid w:val="00531FE5"/>
    <w:rsid w:val="00542161"/>
    <w:rsid w:val="005448B2"/>
    <w:rsid w:val="005448FB"/>
    <w:rsid w:val="00563B4E"/>
    <w:rsid w:val="00570020"/>
    <w:rsid w:val="005801B6"/>
    <w:rsid w:val="00581791"/>
    <w:rsid w:val="00590902"/>
    <w:rsid w:val="005949BC"/>
    <w:rsid w:val="005A0A8D"/>
    <w:rsid w:val="005A0D36"/>
    <w:rsid w:val="005A45A9"/>
    <w:rsid w:val="005B67E4"/>
    <w:rsid w:val="005B6BCB"/>
    <w:rsid w:val="005C47F2"/>
    <w:rsid w:val="005C7269"/>
    <w:rsid w:val="005C745C"/>
    <w:rsid w:val="005D14C3"/>
    <w:rsid w:val="005D18D1"/>
    <w:rsid w:val="005D3A54"/>
    <w:rsid w:val="005D5062"/>
    <w:rsid w:val="005E07C6"/>
    <w:rsid w:val="005E4239"/>
    <w:rsid w:val="005F6346"/>
    <w:rsid w:val="005F7547"/>
    <w:rsid w:val="005F7CF0"/>
    <w:rsid w:val="00602620"/>
    <w:rsid w:val="006101D3"/>
    <w:rsid w:val="006109D3"/>
    <w:rsid w:val="00614944"/>
    <w:rsid w:val="00621435"/>
    <w:rsid w:val="006263EB"/>
    <w:rsid w:val="006266B5"/>
    <w:rsid w:val="00631DE3"/>
    <w:rsid w:val="00633279"/>
    <w:rsid w:val="00633DA3"/>
    <w:rsid w:val="00635117"/>
    <w:rsid w:val="00640D92"/>
    <w:rsid w:val="00643BD1"/>
    <w:rsid w:val="00650E29"/>
    <w:rsid w:val="00654007"/>
    <w:rsid w:val="006571F8"/>
    <w:rsid w:val="00662997"/>
    <w:rsid w:val="006652AD"/>
    <w:rsid w:val="00666D16"/>
    <w:rsid w:val="00670FBB"/>
    <w:rsid w:val="00674EAE"/>
    <w:rsid w:val="00687A5E"/>
    <w:rsid w:val="00693D28"/>
    <w:rsid w:val="006A0770"/>
    <w:rsid w:val="006A320A"/>
    <w:rsid w:val="006A41FB"/>
    <w:rsid w:val="006A64F6"/>
    <w:rsid w:val="006B0E2D"/>
    <w:rsid w:val="006B13CD"/>
    <w:rsid w:val="006B208B"/>
    <w:rsid w:val="006D0174"/>
    <w:rsid w:val="006D0FE4"/>
    <w:rsid w:val="006D1252"/>
    <w:rsid w:val="006D2F01"/>
    <w:rsid w:val="006D746C"/>
    <w:rsid w:val="006F0FAB"/>
    <w:rsid w:val="006F32F5"/>
    <w:rsid w:val="006F6AFA"/>
    <w:rsid w:val="00705A82"/>
    <w:rsid w:val="00707963"/>
    <w:rsid w:val="00722834"/>
    <w:rsid w:val="0074021D"/>
    <w:rsid w:val="0074117A"/>
    <w:rsid w:val="007445F8"/>
    <w:rsid w:val="00745B0F"/>
    <w:rsid w:val="00747DA1"/>
    <w:rsid w:val="00756C42"/>
    <w:rsid w:val="007612CA"/>
    <w:rsid w:val="00765A49"/>
    <w:rsid w:val="00767077"/>
    <w:rsid w:val="007719DF"/>
    <w:rsid w:val="00773060"/>
    <w:rsid w:val="007733B2"/>
    <w:rsid w:val="00774500"/>
    <w:rsid w:val="00776492"/>
    <w:rsid w:val="00783B64"/>
    <w:rsid w:val="00784193"/>
    <w:rsid w:val="0079232D"/>
    <w:rsid w:val="007962D9"/>
    <w:rsid w:val="007A6700"/>
    <w:rsid w:val="007A7E29"/>
    <w:rsid w:val="007B0EC2"/>
    <w:rsid w:val="007C38B5"/>
    <w:rsid w:val="007D10E7"/>
    <w:rsid w:val="007D1694"/>
    <w:rsid w:val="007D17A7"/>
    <w:rsid w:val="007D1ABD"/>
    <w:rsid w:val="007E3FE9"/>
    <w:rsid w:val="007E5022"/>
    <w:rsid w:val="007F099C"/>
    <w:rsid w:val="007F1996"/>
    <w:rsid w:val="00810346"/>
    <w:rsid w:val="008121A1"/>
    <w:rsid w:val="008131FA"/>
    <w:rsid w:val="0082101F"/>
    <w:rsid w:val="008237BD"/>
    <w:rsid w:val="0082469A"/>
    <w:rsid w:val="00840039"/>
    <w:rsid w:val="00844333"/>
    <w:rsid w:val="0084664B"/>
    <w:rsid w:val="00857469"/>
    <w:rsid w:val="00862516"/>
    <w:rsid w:val="00864735"/>
    <w:rsid w:val="008666BC"/>
    <w:rsid w:val="00884C56"/>
    <w:rsid w:val="00884FE5"/>
    <w:rsid w:val="00886E1E"/>
    <w:rsid w:val="008958E4"/>
    <w:rsid w:val="008A139D"/>
    <w:rsid w:val="008A3B8E"/>
    <w:rsid w:val="008B0485"/>
    <w:rsid w:val="008C0C7E"/>
    <w:rsid w:val="008C2C65"/>
    <w:rsid w:val="008C49A9"/>
    <w:rsid w:val="008C5C4D"/>
    <w:rsid w:val="008D6309"/>
    <w:rsid w:val="008F551B"/>
    <w:rsid w:val="00900014"/>
    <w:rsid w:val="0090250C"/>
    <w:rsid w:val="009068B9"/>
    <w:rsid w:val="00907BF6"/>
    <w:rsid w:val="00911528"/>
    <w:rsid w:val="00915A78"/>
    <w:rsid w:val="0092123C"/>
    <w:rsid w:val="009252A2"/>
    <w:rsid w:val="00941459"/>
    <w:rsid w:val="0094539A"/>
    <w:rsid w:val="00945A7B"/>
    <w:rsid w:val="00946B0D"/>
    <w:rsid w:val="00946F42"/>
    <w:rsid w:val="00953AE3"/>
    <w:rsid w:val="009666F5"/>
    <w:rsid w:val="00967790"/>
    <w:rsid w:val="00975932"/>
    <w:rsid w:val="00982097"/>
    <w:rsid w:val="00984EC4"/>
    <w:rsid w:val="009906B9"/>
    <w:rsid w:val="009A2261"/>
    <w:rsid w:val="009A6C4F"/>
    <w:rsid w:val="009B2996"/>
    <w:rsid w:val="009B3468"/>
    <w:rsid w:val="009C0513"/>
    <w:rsid w:val="009C18DB"/>
    <w:rsid w:val="009D23F7"/>
    <w:rsid w:val="009D2440"/>
    <w:rsid w:val="009E60A4"/>
    <w:rsid w:val="009E6A49"/>
    <w:rsid w:val="009E78B8"/>
    <w:rsid w:val="009F0802"/>
    <w:rsid w:val="009F22F1"/>
    <w:rsid w:val="009F464A"/>
    <w:rsid w:val="00A0753E"/>
    <w:rsid w:val="00A174A0"/>
    <w:rsid w:val="00A20116"/>
    <w:rsid w:val="00A22506"/>
    <w:rsid w:val="00A24C1F"/>
    <w:rsid w:val="00A33199"/>
    <w:rsid w:val="00A3379C"/>
    <w:rsid w:val="00A35D06"/>
    <w:rsid w:val="00A35D56"/>
    <w:rsid w:val="00A40210"/>
    <w:rsid w:val="00A40799"/>
    <w:rsid w:val="00A505F1"/>
    <w:rsid w:val="00A51CB8"/>
    <w:rsid w:val="00A553A3"/>
    <w:rsid w:val="00A65BD5"/>
    <w:rsid w:val="00A9797B"/>
    <w:rsid w:val="00AA1152"/>
    <w:rsid w:val="00AA5098"/>
    <w:rsid w:val="00AC0EF2"/>
    <w:rsid w:val="00AC664E"/>
    <w:rsid w:val="00AD0029"/>
    <w:rsid w:val="00AD18BA"/>
    <w:rsid w:val="00AD436A"/>
    <w:rsid w:val="00AD6C47"/>
    <w:rsid w:val="00AE0BC9"/>
    <w:rsid w:val="00AE755E"/>
    <w:rsid w:val="00AE7F60"/>
    <w:rsid w:val="00AF5287"/>
    <w:rsid w:val="00AF636E"/>
    <w:rsid w:val="00B23D41"/>
    <w:rsid w:val="00B266E6"/>
    <w:rsid w:val="00B27AAF"/>
    <w:rsid w:val="00B312B0"/>
    <w:rsid w:val="00B42ACF"/>
    <w:rsid w:val="00B43585"/>
    <w:rsid w:val="00B43F6B"/>
    <w:rsid w:val="00B4462A"/>
    <w:rsid w:val="00B47254"/>
    <w:rsid w:val="00B53A2D"/>
    <w:rsid w:val="00B567F2"/>
    <w:rsid w:val="00B6441D"/>
    <w:rsid w:val="00B64B4F"/>
    <w:rsid w:val="00B67BB0"/>
    <w:rsid w:val="00B72AED"/>
    <w:rsid w:val="00B72EB4"/>
    <w:rsid w:val="00B751D0"/>
    <w:rsid w:val="00B81ECD"/>
    <w:rsid w:val="00B83A9C"/>
    <w:rsid w:val="00B842F1"/>
    <w:rsid w:val="00B852D4"/>
    <w:rsid w:val="00B95254"/>
    <w:rsid w:val="00BA2002"/>
    <w:rsid w:val="00BA36C7"/>
    <w:rsid w:val="00BB5220"/>
    <w:rsid w:val="00BB7803"/>
    <w:rsid w:val="00BC32A2"/>
    <w:rsid w:val="00BC47A5"/>
    <w:rsid w:val="00BC5DAC"/>
    <w:rsid w:val="00BC70C7"/>
    <w:rsid w:val="00BD6717"/>
    <w:rsid w:val="00BE4B51"/>
    <w:rsid w:val="00BE680B"/>
    <w:rsid w:val="00BF2EDE"/>
    <w:rsid w:val="00BF307E"/>
    <w:rsid w:val="00C04020"/>
    <w:rsid w:val="00C05172"/>
    <w:rsid w:val="00C11CB7"/>
    <w:rsid w:val="00C1376A"/>
    <w:rsid w:val="00C35366"/>
    <w:rsid w:val="00C461FB"/>
    <w:rsid w:val="00C4680E"/>
    <w:rsid w:val="00C47A80"/>
    <w:rsid w:val="00C53C90"/>
    <w:rsid w:val="00C5726C"/>
    <w:rsid w:val="00C57AF7"/>
    <w:rsid w:val="00C6025F"/>
    <w:rsid w:val="00C60626"/>
    <w:rsid w:val="00C617E2"/>
    <w:rsid w:val="00C67DFA"/>
    <w:rsid w:val="00C71235"/>
    <w:rsid w:val="00C73A63"/>
    <w:rsid w:val="00C77486"/>
    <w:rsid w:val="00C8316C"/>
    <w:rsid w:val="00C83D9A"/>
    <w:rsid w:val="00C92034"/>
    <w:rsid w:val="00C92C48"/>
    <w:rsid w:val="00CA13EC"/>
    <w:rsid w:val="00CB2368"/>
    <w:rsid w:val="00CC43D2"/>
    <w:rsid w:val="00CE308C"/>
    <w:rsid w:val="00CE3AE3"/>
    <w:rsid w:val="00D01628"/>
    <w:rsid w:val="00D06709"/>
    <w:rsid w:val="00D077BE"/>
    <w:rsid w:val="00D104BC"/>
    <w:rsid w:val="00D10E0A"/>
    <w:rsid w:val="00D12BEE"/>
    <w:rsid w:val="00D16876"/>
    <w:rsid w:val="00D243CD"/>
    <w:rsid w:val="00D266E0"/>
    <w:rsid w:val="00D2694B"/>
    <w:rsid w:val="00D27766"/>
    <w:rsid w:val="00D3174D"/>
    <w:rsid w:val="00D32514"/>
    <w:rsid w:val="00D347C1"/>
    <w:rsid w:val="00D428A9"/>
    <w:rsid w:val="00D52504"/>
    <w:rsid w:val="00D52DE0"/>
    <w:rsid w:val="00D56304"/>
    <w:rsid w:val="00D62A69"/>
    <w:rsid w:val="00D64F1E"/>
    <w:rsid w:val="00D67D8A"/>
    <w:rsid w:val="00D717E0"/>
    <w:rsid w:val="00D748E3"/>
    <w:rsid w:val="00D768A3"/>
    <w:rsid w:val="00D85AE6"/>
    <w:rsid w:val="00D92835"/>
    <w:rsid w:val="00DA347E"/>
    <w:rsid w:val="00DA460F"/>
    <w:rsid w:val="00DA5567"/>
    <w:rsid w:val="00DB43C0"/>
    <w:rsid w:val="00DB4764"/>
    <w:rsid w:val="00DB4FF3"/>
    <w:rsid w:val="00DC239A"/>
    <w:rsid w:val="00DD3830"/>
    <w:rsid w:val="00DD5F0C"/>
    <w:rsid w:val="00DF1401"/>
    <w:rsid w:val="00E0239A"/>
    <w:rsid w:val="00E0326F"/>
    <w:rsid w:val="00E04F4A"/>
    <w:rsid w:val="00E055AA"/>
    <w:rsid w:val="00E11C72"/>
    <w:rsid w:val="00E122D5"/>
    <w:rsid w:val="00E15432"/>
    <w:rsid w:val="00E24E65"/>
    <w:rsid w:val="00E31EAA"/>
    <w:rsid w:val="00E37787"/>
    <w:rsid w:val="00E4215C"/>
    <w:rsid w:val="00E42D8D"/>
    <w:rsid w:val="00E45020"/>
    <w:rsid w:val="00E47DFC"/>
    <w:rsid w:val="00E67014"/>
    <w:rsid w:val="00E7021F"/>
    <w:rsid w:val="00E71653"/>
    <w:rsid w:val="00E718CF"/>
    <w:rsid w:val="00E7394A"/>
    <w:rsid w:val="00E80CFE"/>
    <w:rsid w:val="00E81790"/>
    <w:rsid w:val="00E97C1D"/>
    <w:rsid w:val="00EA21E4"/>
    <w:rsid w:val="00EA3054"/>
    <w:rsid w:val="00EA6880"/>
    <w:rsid w:val="00EB221F"/>
    <w:rsid w:val="00EC78F4"/>
    <w:rsid w:val="00ED0BD7"/>
    <w:rsid w:val="00ED1E4E"/>
    <w:rsid w:val="00ED35F4"/>
    <w:rsid w:val="00ED65D9"/>
    <w:rsid w:val="00ED6F6F"/>
    <w:rsid w:val="00EE2C14"/>
    <w:rsid w:val="00EF59D1"/>
    <w:rsid w:val="00F020BB"/>
    <w:rsid w:val="00F058D1"/>
    <w:rsid w:val="00F1375B"/>
    <w:rsid w:val="00F20AB9"/>
    <w:rsid w:val="00F20E2D"/>
    <w:rsid w:val="00F2339E"/>
    <w:rsid w:val="00F247AE"/>
    <w:rsid w:val="00F24C48"/>
    <w:rsid w:val="00F26449"/>
    <w:rsid w:val="00F32A25"/>
    <w:rsid w:val="00F66BAD"/>
    <w:rsid w:val="00F71B1B"/>
    <w:rsid w:val="00F80944"/>
    <w:rsid w:val="00F81548"/>
    <w:rsid w:val="00F86B6A"/>
    <w:rsid w:val="00F87430"/>
    <w:rsid w:val="00FA4B17"/>
    <w:rsid w:val="00FB28AA"/>
    <w:rsid w:val="00FB47DF"/>
    <w:rsid w:val="00FC66F9"/>
    <w:rsid w:val="00FC75A8"/>
    <w:rsid w:val="00FD24BA"/>
    <w:rsid w:val="00FD2B6C"/>
    <w:rsid w:val="00FD3D96"/>
    <w:rsid w:val="00FD7490"/>
    <w:rsid w:val="00FE4F36"/>
    <w:rsid w:val="00FE59AB"/>
    <w:rsid w:val="00FE7770"/>
    <w:rsid w:val="00FF154E"/>
    <w:rsid w:val="00FF45A0"/>
    <w:rsid w:val="00FF48DC"/>
    <w:rsid w:val="00FF68C9"/>
    <w:rsid w:val="00FF7D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0A75F"/>
  <w15:docId w15:val="{1E548543-16EE-4511-A5E6-79A08B93B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i/>
      <w:color w:val="595959"/>
      <w:sz w:val="22"/>
      <w:szCs w:val="22"/>
    </w:rPr>
  </w:style>
  <w:style w:type="paragraph" w:styleId="Ttulo7">
    <w:name w:val="heading 7"/>
    <w:basedOn w:val="Normal"/>
    <w:next w:val="Normal"/>
    <w:link w:val="Ttulo7Car"/>
    <w:uiPriority w:val="9"/>
    <w:semiHidden/>
    <w:unhideWhenUsed/>
    <w:qFormat/>
    <w:rsid w:val="00F85C2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rPr>
  </w:style>
  <w:style w:type="paragraph" w:styleId="Ttulo8">
    <w:name w:val="heading 8"/>
    <w:basedOn w:val="Normal"/>
    <w:next w:val="Normal"/>
    <w:link w:val="Ttulo8Car"/>
    <w:uiPriority w:val="9"/>
    <w:semiHidden/>
    <w:unhideWhenUsed/>
    <w:qFormat/>
    <w:rsid w:val="00F85C2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rPr>
  </w:style>
  <w:style w:type="paragraph" w:styleId="Ttulo9">
    <w:name w:val="heading 9"/>
    <w:basedOn w:val="Normal"/>
    <w:next w:val="Normal"/>
    <w:link w:val="Ttulo9Car"/>
    <w:uiPriority w:val="9"/>
    <w:semiHidden/>
    <w:unhideWhenUsed/>
    <w:qFormat/>
    <w:rsid w:val="00F85C2A"/>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
    <w:name w:val="Body Text"/>
    <w:basedOn w:val="Normal"/>
    <w:pPr>
      <w:spacing w:line="480" w:lineRule="auto"/>
    </w:pPr>
    <w:rPr>
      <w:sz w:val="24"/>
      <w:lang w:val="es-CO"/>
    </w:rPr>
  </w:style>
  <w:style w:type="paragraph" w:styleId="Textoindependiente2">
    <w:name w:val="Body Text 2"/>
    <w:basedOn w:val="Normal"/>
    <w:link w:val="Textoindependiente2Car"/>
    <w:pPr>
      <w:spacing w:line="480" w:lineRule="auto"/>
      <w:jc w:val="both"/>
    </w:pPr>
    <w:rPr>
      <w:sz w:val="24"/>
      <w:lang w:val="es-CO"/>
    </w:rPr>
  </w:style>
  <w:style w:type="paragraph" w:styleId="Encabezado">
    <w:name w:val="header"/>
    <w:basedOn w:val="Normal"/>
    <w:uiPriority w:val="99"/>
    <w:pPr>
      <w:tabs>
        <w:tab w:val="center" w:pos="4252"/>
        <w:tab w:val="right" w:pos="8504"/>
      </w:tabs>
    </w:pPr>
  </w:style>
  <w:style w:type="paragraph" w:styleId="Piedepgina">
    <w:name w:val="footer"/>
    <w:basedOn w:val="Normal"/>
    <w:pPr>
      <w:tabs>
        <w:tab w:val="center" w:pos="4252"/>
        <w:tab w:val="right" w:pos="8504"/>
      </w:tabs>
    </w:pPr>
  </w:style>
  <w:style w:type="paragraph" w:styleId="Mapadeldocumento">
    <w:name w:val="Document Map"/>
    <w:basedOn w:val="Normal"/>
    <w:pPr>
      <w:shd w:val="clear" w:color="auto" w:fill="000080"/>
    </w:pPr>
    <w:rPr>
      <w:rFonts w:ascii="Tahoma" w:hAnsi="Tahoma" w:cs="Tahoma"/>
    </w:rPr>
  </w:style>
  <w:style w:type="paragraph" w:styleId="Textodeglobo">
    <w:name w:val="Balloon Text"/>
    <w:basedOn w:val="Normal"/>
    <w:rPr>
      <w:rFonts w:ascii="Tahoma" w:hAnsi="Tahoma" w:cs="Tahoma"/>
      <w:sz w:val="16"/>
      <w:szCs w:val="16"/>
    </w:rPr>
  </w:style>
  <w:style w:type="character" w:styleId="Nmerodepgina">
    <w:name w:val="page number"/>
    <w:basedOn w:val="Fuentedeprrafopredeter"/>
  </w:style>
  <w:style w:type="character" w:styleId="Hipervnculo">
    <w:name w:val="Hyperlink"/>
    <w:uiPriority w:val="99"/>
    <w:rPr>
      <w:color w:val="0000FF"/>
      <w:u w:val="single"/>
    </w:rPr>
  </w:style>
  <w:style w:type="character" w:customStyle="1" w:styleId="PiedepginaCar">
    <w:name w:val="Pie de página Car"/>
    <w:rPr>
      <w:lang w:eastAsia="es-ES"/>
    </w:rPr>
  </w:style>
  <w:style w:type="paragraph" w:styleId="Textonotapie">
    <w:name w:val="footnote text"/>
    <w:basedOn w:val="Normal"/>
    <w:uiPriority w:val="99"/>
    <w:qFormat/>
  </w:style>
  <w:style w:type="character" w:customStyle="1" w:styleId="TextonotapieCar">
    <w:name w:val="Texto nota pie Car"/>
    <w:uiPriority w:val="99"/>
    <w:qFormat/>
    <w:rPr>
      <w:lang w:eastAsia="es-ES"/>
    </w:rPr>
  </w:style>
  <w:style w:type="character" w:styleId="Refdenotaalpie">
    <w:name w:val="footnote reference"/>
    <w:uiPriority w:val="99"/>
    <w:qFormat/>
    <w:rPr>
      <w:position w:val="0"/>
      <w:vertAlign w:val="superscript"/>
    </w:rPr>
  </w:style>
  <w:style w:type="character" w:customStyle="1" w:styleId="EncabezadoCar">
    <w:name w:val="Encabezado Car"/>
    <w:uiPriority w:val="99"/>
    <w:rPr>
      <w:lang w:eastAsia="es-ES"/>
    </w:rPr>
  </w:style>
  <w:style w:type="paragraph" w:styleId="NormalWeb">
    <w:name w:val="Normal (Web)"/>
    <w:basedOn w:val="Normal"/>
    <w:uiPriority w:val="99"/>
    <w:unhideWhenUsed/>
    <w:rsid w:val="00780F5E"/>
    <w:pPr>
      <w:spacing w:before="100" w:beforeAutospacing="1" w:after="100" w:afterAutospacing="1"/>
    </w:pPr>
    <w:rPr>
      <w:rFonts w:eastAsiaTheme="minorEastAsia"/>
      <w:sz w:val="24"/>
      <w:szCs w:val="24"/>
      <w:lang w:val="es-CO"/>
    </w:rPr>
  </w:style>
  <w:style w:type="character" w:styleId="Refdecomentario">
    <w:name w:val="annotation reference"/>
    <w:basedOn w:val="Fuentedeprrafopredeter"/>
    <w:uiPriority w:val="99"/>
    <w:semiHidden/>
    <w:unhideWhenUsed/>
    <w:rsid w:val="006C4CA9"/>
    <w:rPr>
      <w:sz w:val="16"/>
      <w:szCs w:val="16"/>
    </w:rPr>
  </w:style>
  <w:style w:type="paragraph" w:styleId="Textocomentario">
    <w:name w:val="annotation text"/>
    <w:basedOn w:val="Normal"/>
    <w:link w:val="TextocomentarioCar"/>
    <w:uiPriority w:val="99"/>
    <w:unhideWhenUsed/>
    <w:rsid w:val="006C4CA9"/>
  </w:style>
  <w:style w:type="character" w:customStyle="1" w:styleId="TextocomentarioCar">
    <w:name w:val="Texto comentario Car"/>
    <w:basedOn w:val="Fuentedeprrafopredeter"/>
    <w:link w:val="Textocomentario"/>
    <w:uiPriority w:val="99"/>
    <w:rsid w:val="006C4CA9"/>
  </w:style>
  <w:style w:type="paragraph" w:styleId="Asuntodelcomentario">
    <w:name w:val="annotation subject"/>
    <w:basedOn w:val="Textocomentario"/>
    <w:next w:val="Textocomentario"/>
    <w:link w:val="AsuntodelcomentarioCar"/>
    <w:uiPriority w:val="99"/>
    <w:semiHidden/>
    <w:unhideWhenUsed/>
    <w:rsid w:val="006C4CA9"/>
    <w:rPr>
      <w:b/>
      <w:bCs/>
    </w:rPr>
  </w:style>
  <w:style w:type="character" w:customStyle="1" w:styleId="AsuntodelcomentarioCar">
    <w:name w:val="Asunto del comentario Car"/>
    <w:basedOn w:val="TextocomentarioCar"/>
    <w:link w:val="Asuntodelcomentario"/>
    <w:uiPriority w:val="99"/>
    <w:semiHidden/>
    <w:rsid w:val="006C4CA9"/>
    <w:rPr>
      <w:b/>
      <w:bCs/>
    </w:rPr>
  </w:style>
  <w:style w:type="table" w:styleId="Tablaconcuadrcula">
    <w:name w:val="Table Grid"/>
    <w:basedOn w:val="Tablanormal"/>
    <w:rsid w:val="00693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
    <w:name w:val="Texto independiente 2 Car"/>
    <w:basedOn w:val="Fuentedeprrafopredeter"/>
    <w:link w:val="Textoindependiente2"/>
    <w:rsid w:val="00B46B8E"/>
    <w:rPr>
      <w:sz w:val="24"/>
      <w:lang w:val="es-CO"/>
    </w:rPr>
  </w:style>
  <w:style w:type="paragraph" w:styleId="Revisin">
    <w:name w:val="Revision"/>
    <w:hidden/>
    <w:uiPriority w:val="99"/>
    <w:semiHidden/>
    <w:rsid w:val="008B7E58"/>
  </w:style>
  <w:style w:type="paragraph" w:customStyle="1" w:styleId="Default">
    <w:name w:val="Default"/>
    <w:rsid w:val="0064578F"/>
    <w:pPr>
      <w:autoSpaceDE w:val="0"/>
      <w:autoSpaceDN w:val="0"/>
      <w:adjustRightInd w:val="0"/>
    </w:pPr>
    <w:rPr>
      <w:rFonts w:ascii="Arial" w:hAnsi="Arial" w:cs="Arial"/>
      <w:color w:val="000000"/>
      <w:sz w:val="24"/>
      <w:szCs w:val="24"/>
      <w:lang w:val="es-CO"/>
    </w:rPr>
  </w:style>
  <w:style w:type="paragraph" w:styleId="Descripcin">
    <w:name w:val="caption"/>
    <w:aliases w:val="Tabla,Parrafo"/>
    <w:basedOn w:val="Normal"/>
    <w:next w:val="Normal"/>
    <w:link w:val="DescripcinCar"/>
    <w:uiPriority w:val="35"/>
    <w:unhideWhenUsed/>
    <w:qFormat/>
    <w:rsid w:val="00D463EA"/>
    <w:pPr>
      <w:jc w:val="center"/>
    </w:pPr>
    <w:rPr>
      <w:rFonts w:ascii="Segoe UI Black" w:hAnsi="Segoe UI Black"/>
      <w:b/>
      <w:bCs/>
      <w:smallCaps/>
      <w:spacing w:val="10"/>
      <w:sz w:val="22"/>
      <w:szCs w:val="18"/>
      <w:lang w:val="es-CO"/>
    </w:rPr>
  </w:style>
  <w:style w:type="paragraph" w:styleId="Prrafodelista">
    <w:name w:val="List Paragraph"/>
    <w:aliases w:val="Viñeta 6,HOJA,Bolita,Párrafo de lista3,BOLA,Párrafo de lista21,Guión,BOLADEF,Titulo 8,Párrafo de lista2,Viñeta 2,titulo 3,Colorful List Accent 1,Colorful List - Accent 11,Estilo 3,ViÃ±eta 2,Pбrrafo de lista,Párrafo de lista5,Ha,Fotograf"/>
    <w:basedOn w:val="Normal"/>
    <w:link w:val="PrrafodelistaCar"/>
    <w:uiPriority w:val="34"/>
    <w:qFormat/>
    <w:rsid w:val="00D463EA"/>
    <w:pPr>
      <w:spacing w:before="120" w:after="120"/>
      <w:contextualSpacing/>
      <w:jc w:val="both"/>
    </w:pPr>
    <w:rPr>
      <w:rFonts w:ascii="Segoe UI" w:hAnsi="Segoe UI"/>
      <w:sz w:val="24"/>
      <w:szCs w:val="24"/>
      <w:lang w:val="es-CO"/>
    </w:rPr>
  </w:style>
  <w:style w:type="numbering" w:customStyle="1" w:styleId="Listaactual1">
    <w:name w:val="Lista actual1"/>
    <w:uiPriority w:val="99"/>
    <w:rsid w:val="00D47E4E"/>
  </w:style>
  <w:style w:type="numbering" w:customStyle="1" w:styleId="Listaactual2">
    <w:name w:val="Lista actual2"/>
    <w:uiPriority w:val="99"/>
    <w:rsid w:val="00D47E4E"/>
  </w:style>
  <w:style w:type="character" w:customStyle="1" w:styleId="TtuloCar">
    <w:name w:val="Título Car"/>
    <w:basedOn w:val="Fuentedeprrafopredeter"/>
    <w:uiPriority w:val="10"/>
    <w:rsid w:val="00E15533"/>
    <w:rPr>
      <w:b/>
      <w:sz w:val="72"/>
      <w:szCs w:val="72"/>
      <w:lang w:val="es-419" w:eastAsia="es-CO"/>
    </w:rPr>
  </w:style>
  <w:style w:type="table" w:customStyle="1" w:styleId="26">
    <w:name w:val="26"/>
    <w:basedOn w:val="Tablanormal"/>
    <w:rsid w:val="00E15533"/>
    <w:pPr>
      <w:widowControl w:val="0"/>
    </w:pPr>
    <w:rPr>
      <w:rFonts w:ascii="Calibri" w:eastAsia="Calibri" w:hAnsi="Calibri" w:cs="Calibri"/>
      <w:sz w:val="22"/>
      <w:szCs w:val="22"/>
      <w:lang w:val="en-US" w:eastAsia="en-US"/>
    </w:rPr>
    <w:tblPr>
      <w:tblStyleRowBandSize w:val="1"/>
      <w:tblStyleColBandSize w:val="1"/>
    </w:tblPr>
  </w:style>
  <w:style w:type="character" w:customStyle="1" w:styleId="widthpixel150">
    <w:name w:val="widthpixel150"/>
    <w:basedOn w:val="Fuentedeprrafopredeter"/>
    <w:rsid w:val="008F4845"/>
  </w:style>
  <w:style w:type="character" w:customStyle="1" w:styleId="PrrafodelistaCar">
    <w:name w:val="Párrafo de lista Car"/>
    <w:aliases w:val="Viñeta 6 Car,HOJA Car,Bolita Car,Párrafo de lista3 Car,BOLA Car,Párrafo de lista21 Car,Guión Car,BOLADEF Car,Titulo 8 Car,Párrafo de lista2 Car,Viñeta 2 Car,titulo 3 Car,Colorful List Accent 1 Car,Colorful List - Accent 11 Car"/>
    <w:link w:val="Prrafodelista"/>
    <w:qFormat/>
    <w:locked/>
    <w:rsid w:val="008F4845"/>
    <w:rPr>
      <w:rFonts w:ascii="Segoe UI" w:hAnsi="Segoe UI"/>
      <w:sz w:val="24"/>
      <w:szCs w:val="24"/>
      <w:lang w:val="es-CO" w:eastAsia="es-CO"/>
    </w:rPr>
  </w:style>
  <w:style w:type="character" w:customStyle="1" w:styleId="vortaltagspan">
    <w:name w:val="vortaltagspan"/>
    <w:basedOn w:val="Fuentedeprrafopredeter"/>
    <w:rsid w:val="0050550C"/>
  </w:style>
  <w:style w:type="table" w:customStyle="1" w:styleId="TableNormal0">
    <w:name w:val="Table Normal"/>
    <w:uiPriority w:val="2"/>
    <w:unhideWhenUsed/>
    <w:qFormat/>
    <w:rsid w:val="005B017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6Car">
    <w:name w:val="Título 6 Car"/>
    <w:basedOn w:val="Fuentedeprrafopredeter"/>
    <w:uiPriority w:val="9"/>
    <w:semiHidden/>
    <w:rsid w:val="00F85C2A"/>
    <w:rPr>
      <w:rFonts w:asciiTheme="minorHAnsi" w:eastAsiaTheme="majorEastAsia" w:hAnsiTheme="minorHAnsi" w:cstheme="majorBidi"/>
      <w:i/>
      <w:iCs/>
      <w:color w:val="595959" w:themeColor="text1" w:themeTint="A6"/>
      <w:kern w:val="2"/>
      <w:sz w:val="22"/>
      <w:szCs w:val="22"/>
      <w:lang w:val="es-CO" w:eastAsia="en-US"/>
    </w:rPr>
  </w:style>
  <w:style w:type="character" w:customStyle="1" w:styleId="Ttulo7Car">
    <w:name w:val="Título 7 Car"/>
    <w:basedOn w:val="Fuentedeprrafopredeter"/>
    <w:link w:val="Ttulo7"/>
    <w:uiPriority w:val="9"/>
    <w:semiHidden/>
    <w:rsid w:val="00F85C2A"/>
    <w:rPr>
      <w:rFonts w:asciiTheme="minorHAnsi" w:eastAsiaTheme="majorEastAsia" w:hAnsiTheme="minorHAnsi" w:cstheme="majorBidi"/>
      <w:color w:val="595959" w:themeColor="text1" w:themeTint="A6"/>
      <w:kern w:val="2"/>
      <w:sz w:val="22"/>
      <w:szCs w:val="22"/>
      <w:lang w:val="es-CO" w:eastAsia="en-US"/>
    </w:rPr>
  </w:style>
  <w:style w:type="character" w:customStyle="1" w:styleId="Ttulo8Car">
    <w:name w:val="Título 8 Car"/>
    <w:basedOn w:val="Fuentedeprrafopredeter"/>
    <w:link w:val="Ttulo8"/>
    <w:uiPriority w:val="9"/>
    <w:semiHidden/>
    <w:rsid w:val="00F85C2A"/>
    <w:rPr>
      <w:rFonts w:asciiTheme="minorHAnsi" w:eastAsiaTheme="majorEastAsia" w:hAnsiTheme="minorHAnsi" w:cstheme="majorBidi"/>
      <w:i/>
      <w:iCs/>
      <w:color w:val="272727" w:themeColor="text1" w:themeTint="D8"/>
      <w:kern w:val="2"/>
      <w:sz w:val="22"/>
      <w:szCs w:val="22"/>
      <w:lang w:val="es-CO" w:eastAsia="en-US"/>
    </w:rPr>
  </w:style>
  <w:style w:type="character" w:customStyle="1" w:styleId="Ttulo9Car">
    <w:name w:val="Título 9 Car"/>
    <w:basedOn w:val="Fuentedeprrafopredeter"/>
    <w:link w:val="Ttulo9"/>
    <w:uiPriority w:val="9"/>
    <w:semiHidden/>
    <w:rsid w:val="00F85C2A"/>
    <w:rPr>
      <w:rFonts w:asciiTheme="minorHAnsi" w:eastAsiaTheme="majorEastAsia" w:hAnsiTheme="minorHAnsi" w:cstheme="majorBidi"/>
      <w:color w:val="272727" w:themeColor="text1" w:themeTint="D8"/>
      <w:kern w:val="2"/>
      <w:sz w:val="22"/>
      <w:szCs w:val="22"/>
      <w:lang w:val="es-CO" w:eastAsia="en-US"/>
    </w:rPr>
  </w:style>
  <w:style w:type="character" w:styleId="Fuerte">
    <w:name w:val="Strong"/>
    <w:basedOn w:val="Fuentedeprrafopredeter"/>
    <w:uiPriority w:val="22"/>
    <w:qFormat/>
    <w:rsid w:val="00F85C2A"/>
    <w:rPr>
      <w:b/>
      <w:bCs/>
    </w:rPr>
  </w:style>
  <w:style w:type="character" w:styleId="Mencinsinresolver">
    <w:name w:val="Unresolved Mention"/>
    <w:basedOn w:val="Fuentedeprrafopredeter"/>
    <w:uiPriority w:val="99"/>
    <w:semiHidden/>
    <w:unhideWhenUsed/>
    <w:rsid w:val="00F85C2A"/>
    <w:rPr>
      <w:color w:val="605E5C"/>
      <w:shd w:val="clear" w:color="auto" w:fill="E1DFDD"/>
    </w:rPr>
  </w:style>
  <w:style w:type="paragraph" w:customStyle="1" w:styleId="paragraph">
    <w:name w:val="paragraph"/>
    <w:basedOn w:val="Normal"/>
    <w:rsid w:val="00F85C2A"/>
    <w:pPr>
      <w:spacing w:before="100" w:beforeAutospacing="1" w:after="100" w:afterAutospacing="1"/>
    </w:pPr>
    <w:rPr>
      <w:sz w:val="24"/>
      <w:szCs w:val="24"/>
      <w:lang w:val="es-CO"/>
    </w:rPr>
  </w:style>
  <w:style w:type="paragraph" w:customStyle="1" w:styleId="TableParagraph">
    <w:name w:val="Table Paragraph"/>
    <w:basedOn w:val="Normal"/>
    <w:uiPriority w:val="1"/>
    <w:qFormat/>
    <w:rsid w:val="00F85C2A"/>
    <w:pPr>
      <w:widowControl w:val="0"/>
    </w:pPr>
    <w:rPr>
      <w:rFonts w:asciiTheme="minorHAnsi" w:eastAsiaTheme="minorHAnsi" w:hAnsiTheme="minorHAnsi" w:cstheme="minorBidi"/>
      <w:sz w:val="22"/>
      <w:szCs w:val="22"/>
      <w:lang w:val="en-US" w:eastAsia="en-US"/>
    </w:rPr>
  </w:style>
  <w:style w:type="character" w:styleId="nfasis">
    <w:name w:val="Emphasis"/>
    <w:basedOn w:val="Fuentedeprrafopredeter"/>
    <w:uiPriority w:val="20"/>
    <w:qFormat/>
    <w:rsid w:val="00F85C2A"/>
    <w:rPr>
      <w:i/>
      <w:iCs/>
    </w:rPr>
  </w:style>
  <w:style w:type="character" w:customStyle="1" w:styleId="Caracteresdenotaalpie">
    <w:name w:val="Caracteres de nota al pie"/>
    <w:qFormat/>
    <w:rsid w:val="00F85C2A"/>
  </w:style>
  <w:style w:type="character" w:styleId="Hipervnculovisitado">
    <w:name w:val="FollowedHyperlink"/>
    <w:basedOn w:val="Fuentedeprrafopredeter"/>
    <w:uiPriority w:val="99"/>
    <w:semiHidden/>
    <w:unhideWhenUsed/>
    <w:rsid w:val="00F85C2A"/>
    <w:rPr>
      <w:color w:val="96607D"/>
      <w:u w:val="single"/>
    </w:rPr>
  </w:style>
  <w:style w:type="paragraph" w:customStyle="1" w:styleId="msonormal0">
    <w:name w:val="msonormal"/>
    <w:basedOn w:val="Normal"/>
    <w:rsid w:val="00F85C2A"/>
    <w:pPr>
      <w:spacing w:before="100" w:beforeAutospacing="1" w:after="100" w:afterAutospacing="1"/>
    </w:pPr>
    <w:rPr>
      <w:sz w:val="24"/>
      <w:szCs w:val="24"/>
      <w:lang w:val="es-CO"/>
    </w:rPr>
  </w:style>
  <w:style w:type="paragraph" w:customStyle="1" w:styleId="xl66">
    <w:name w:val="xl66"/>
    <w:basedOn w:val="Normal"/>
    <w:rsid w:val="00F85C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rPr>
  </w:style>
  <w:style w:type="paragraph" w:customStyle="1" w:styleId="xl67">
    <w:name w:val="xl67"/>
    <w:basedOn w:val="Normal"/>
    <w:rsid w:val="00F85C2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rPr>
  </w:style>
  <w:style w:type="table" w:customStyle="1" w:styleId="Tablaconcuadrcula8">
    <w:name w:val="Tabla con cuadrícula8"/>
    <w:basedOn w:val="Tablanormal"/>
    <w:next w:val="Tablaconcuadrcula"/>
    <w:uiPriority w:val="39"/>
    <w:rsid w:val="00F85C2A"/>
    <w:rPr>
      <w:rFonts w:asciiTheme="minorHAnsi" w:hAnsi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99"/>
    <w:qFormat/>
    <w:rsid w:val="00F85C2A"/>
    <w:rPr>
      <w:rFonts w:ascii="Calibri" w:hAnsi="Calibri"/>
      <w:sz w:val="22"/>
      <w:szCs w:val="22"/>
      <w:lang w:val="en-US" w:eastAsia="en-US"/>
    </w:rPr>
  </w:style>
  <w:style w:type="character" w:customStyle="1" w:styleId="companyfullname">
    <w:name w:val="companyfullname"/>
    <w:basedOn w:val="Fuentedeprrafopredeter"/>
    <w:rsid w:val="00F85C2A"/>
  </w:style>
  <w:style w:type="character" w:customStyle="1" w:styleId="vortalspan">
    <w:name w:val="vortalspan"/>
    <w:basedOn w:val="Fuentedeprrafopredeter"/>
    <w:rsid w:val="00F85C2A"/>
  </w:style>
  <w:style w:type="character" w:customStyle="1" w:styleId="vortaltextbox">
    <w:name w:val="vortaltextbox"/>
    <w:basedOn w:val="Fuentedeprrafopredeter"/>
    <w:rsid w:val="00F85C2A"/>
  </w:style>
  <w:style w:type="table" w:customStyle="1" w:styleId="Tablaconcuadrcula1">
    <w:name w:val="Tabla con cuadrícula1"/>
    <w:basedOn w:val="Tablanormal"/>
    <w:next w:val="Tablaconcuadrcula"/>
    <w:uiPriority w:val="59"/>
    <w:rsid w:val="00F85C2A"/>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rsid w:val="00F85C2A"/>
    <w:rPr>
      <w:sz w:val="24"/>
      <w:lang w:val="es-CO"/>
    </w:rPr>
  </w:style>
  <w:style w:type="character" w:customStyle="1" w:styleId="Ttulo2Car">
    <w:name w:val="Título 2 Car"/>
    <w:aliases w:val="Título 2 CCE Car"/>
    <w:basedOn w:val="Fuentedeprrafopredeter"/>
    <w:uiPriority w:val="9"/>
    <w:rsid w:val="00F85C2A"/>
    <w:rPr>
      <w:sz w:val="24"/>
      <w:lang w:val="es-CO"/>
    </w:rPr>
  </w:style>
  <w:style w:type="character" w:customStyle="1" w:styleId="Ttulo3Car">
    <w:name w:val="Título 3 Car"/>
    <w:basedOn w:val="Fuentedeprrafopredeter"/>
    <w:uiPriority w:val="9"/>
    <w:rsid w:val="00F85C2A"/>
    <w:rPr>
      <w:b/>
      <w:sz w:val="32"/>
      <w:lang w:val="es-CO"/>
    </w:rPr>
  </w:style>
  <w:style w:type="character" w:customStyle="1" w:styleId="Ttulo4Car">
    <w:name w:val="Título 4 Car"/>
    <w:basedOn w:val="Fuentedeprrafopredeter"/>
    <w:uiPriority w:val="9"/>
    <w:rsid w:val="00F85C2A"/>
    <w:rPr>
      <w:b/>
      <w:sz w:val="24"/>
      <w:lang w:val="es-CO"/>
    </w:rPr>
  </w:style>
  <w:style w:type="character" w:customStyle="1" w:styleId="Ttulo5Car">
    <w:name w:val="Título 5 Car"/>
    <w:basedOn w:val="Fuentedeprrafopredeter"/>
    <w:uiPriority w:val="9"/>
    <w:rsid w:val="00F85C2A"/>
    <w:rPr>
      <w:b/>
      <w:sz w:val="24"/>
      <w:lang w:val="es-CO"/>
    </w:rPr>
  </w:style>
  <w:style w:type="character" w:customStyle="1" w:styleId="SubttuloCar">
    <w:name w:val="Subtítulo Car"/>
    <w:basedOn w:val="Fuentedeprrafopredeter"/>
    <w:uiPriority w:val="11"/>
    <w:rsid w:val="00F85C2A"/>
    <w:rPr>
      <w:rFonts w:asciiTheme="minorHAnsi" w:eastAsiaTheme="majorEastAsia" w:hAnsiTheme="minorHAnsi" w:cstheme="majorBidi"/>
      <w:color w:val="595959" w:themeColor="text1" w:themeTint="A6"/>
      <w:spacing w:val="15"/>
      <w:kern w:val="2"/>
      <w:sz w:val="28"/>
      <w:szCs w:val="28"/>
      <w:lang w:val="es-CO" w:eastAsia="en-US"/>
    </w:rPr>
  </w:style>
  <w:style w:type="paragraph" w:styleId="Cita">
    <w:name w:val="Quote"/>
    <w:basedOn w:val="Normal"/>
    <w:next w:val="Normal"/>
    <w:link w:val="CitaCar"/>
    <w:uiPriority w:val="29"/>
    <w:qFormat/>
    <w:rsid w:val="00F85C2A"/>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rPr>
  </w:style>
  <w:style w:type="character" w:customStyle="1" w:styleId="CitaCar">
    <w:name w:val="Cita Car"/>
    <w:basedOn w:val="Fuentedeprrafopredeter"/>
    <w:link w:val="Cita"/>
    <w:uiPriority w:val="29"/>
    <w:rsid w:val="00F85C2A"/>
    <w:rPr>
      <w:rFonts w:asciiTheme="minorHAnsi" w:eastAsiaTheme="minorHAnsi" w:hAnsiTheme="minorHAnsi" w:cstheme="minorBidi"/>
      <w:i/>
      <w:iCs/>
      <w:color w:val="404040" w:themeColor="text1" w:themeTint="BF"/>
      <w:kern w:val="2"/>
      <w:sz w:val="22"/>
      <w:szCs w:val="22"/>
      <w:lang w:val="es-CO" w:eastAsia="en-US"/>
    </w:rPr>
  </w:style>
  <w:style w:type="character" w:styleId="nfasisintenso">
    <w:name w:val="Intense Emphasis"/>
    <w:basedOn w:val="Fuentedeprrafopredeter"/>
    <w:uiPriority w:val="21"/>
    <w:qFormat/>
    <w:rsid w:val="00F85C2A"/>
    <w:rPr>
      <w:i/>
      <w:iCs/>
      <w:color w:val="365F91" w:themeColor="accent1" w:themeShade="BF"/>
    </w:rPr>
  </w:style>
  <w:style w:type="paragraph" w:styleId="Citadestacada">
    <w:name w:val="Intense Quote"/>
    <w:basedOn w:val="Normal"/>
    <w:next w:val="Normal"/>
    <w:link w:val="CitadestacadaCar"/>
    <w:uiPriority w:val="30"/>
    <w:qFormat/>
    <w:rsid w:val="00F85C2A"/>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val="es-CO" w:eastAsia="en-US"/>
    </w:rPr>
  </w:style>
  <w:style w:type="character" w:customStyle="1" w:styleId="CitadestacadaCar">
    <w:name w:val="Cita destacada Car"/>
    <w:basedOn w:val="Fuentedeprrafopredeter"/>
    <w:link w:val="Citadestacada"/>
    <w:uiPriority w:val="30"/>
    <w:rsid w:val="00F85C2A"/>
    <w:rPr>
      <w:rFonts w:asciiTheme="minorHAnsi" w:eastAsiaTheme="minorHAnsi" w:hAnsiTheme="minorHAnsi" w:cstheme="minorBidi"/>
      <w:i/>
      <w:iCs/>
      <w:color w:val="365F91" w:themeColor="accent1" w:themeShade="BF"/>
      <w:kern w:val="2"/>
      <w:sz w:val="22"/>
      <w:szCs w:val="22"/>
      <w:lang w:val="es-CO" w:eastAsia="en-US"/>
    </w:rPr>
  </w:style>
  <w:style w:type="character" w:styleId="Referenciaintensa">
    <w:name w:val="Intense Reference"/>
    <w:basedOn w:val="Fuentedeprrafopredeter"/>
    <w:uiPriority w:val="32"/>
    <w:qFormat/>
    <w:rsid w:val="00F85C2A"/>
    <w:rPr>
      <w:b/>
      <w:bCs/>
      <w:smallCaps/>
      <w:color w:val="365F91" w:themeColor="accent1" w:themeShade="BF"/>
      <w:spacing w:val="5"/>
    </w:rPr>
  </w:style>
  <w:style w:type="paragraph" w:customStyle="1" w:styleId="xl81">
    <w:name w:val="xl81"/>
    <w:basedOn w:val="Normal"/>
    <w:rsid w:val="00F85C2A"/>
    <w:pPr>
      <w:spacing w:before="100" w:beforeAutospacing="1" w:after="100" w:afterAutospacing="1"/>
    </w:pPr>
    <w:rPr>
      <w:sz w:val="24"/>
      <w:szCs w:val="24"/>
      <w:lang w:val="es-CO"/>
    </w:rPr>
  </w:style>
  <w:style w:type="paragraph" w:customStyle="1" w:styleId="xl82">
    <w:name w:val="xl82"/>
    <w:basedOn w:val="Normal"/>
    <w:rsid w:val="00F85C2A"/>
    <w:pPr>
      <w:spacing w:before="100" w:beforeAutospacing="1" w:after="100" w:afterAutospacing="1"/>
    </w:pPr>
    <w:rPr>
      <w:color w:val="000000"/>
      <w:sz w:val="24"/>
      <w:szCs w:val="24"/>
      <w:lang w:val="es-CO"/>
    </w:rPr>
  </w:style>
  <w:style w:type="paragraph" w:customStyle="1" w:styleId="xl83">
    <w:name w:val="xl83"/>
    <w:basedOn w:val="Normal"/>
    <w:rsid w:val="00F85C2A"/>
    <w:pPr>
      <w:spacing w:before="100" w:beforeAutospacing="1" w:after="100" w:afterAutospacing="1"/>
      <w:jc w:val="center"/>
      <w:textAlignment w:val="center"/>
    </w:pPr>
    <w:rPr>
      <w:sz w:val="24"/>
      <w:szCs w:val="24"/>
      <w:lang w:val="es-CO"/>
    </w:rPr>
  </w:style>
  <w:style w:type="paragraph" w:customStyle="1" w:styleId="xl84">
    <w:name w:val="xl84"/>
    <w:basedOn w:val="Normal"/>
    <w:rsid w:val="00F85C2A"/>
    <w:pPr>
      <w:spacing w:before="100" w:beforeAutospacing="1" w:after="100" w:afterAutospacing="1"/>
      <w:textAlignment w:val="center"/>
    </w:pPr>
    <w:rPr>
      <w:sz w:val="24"/>
      <w:szCs w:val="24"/>
      <w:lang w:val="es-CO"/>
    </w:rPr>
  </w:style>
  <w:style w:type="paragraph" w:customStyle="1" w:styleId="xl85">
    <w:name w:val="xl85"/>
    <w:basedOn w:val="Normal"/>
    <w:rsid w:val="00F85C2A"/>
    <w:pPr>
      <w:spacing w:before="100" w:beforeAutospacing="1" w:after="100" w:afterAutospacing="1"/>
      <w:textAlignment w:val="center"/>
    </w:pPr>
    <w:rPr>
      <w:sz w:val="24"/>
      <w:szCs w:val="24"/>
      <w:lang w:val="es-CO"/>
    </w:rPr>
  </w:style>
  <w:style w:type="paragraph" w:customStyle="1" w:styleId="xl86">
    <w:name w:val="xl86"/>
    <w:basedOn w:val="Normal"/>
    <w:rsid w:val="00F85C2A"/>
    <w:pPr>
      <w:spacing w:before="100" w:beforeAutospacing="1" w:after="100" w:afterAutospacing="1"/>
      <w:jc w:val="center"/>
      <w:textAlignment w:val="center"/>
    </w:pPr>
    <w:rPr>
      <w:color w:val="000000"/>
      <w:sz w:val="24"/>
      <w:szCs w:val="24"/>
      <w:lang w:val="es-CO"/>
    </w:rPr>
  </w:style>
  <w:style w:type="paragraph" w:customStyle="1" w:styleId="xl87">
    <w:name w:val="xl87"/>
    <w:basedOn w:val="Normal"/>
    <w:rsid w:val="00F85C2A"/>
    <w:pPr>
      <w:spacing w:before="100" w:beforeAutospacing="1" w:after="100" w:afterAutospacing="1"/>
      <w:textAlignment w:val="center"/>
    </w:pPr>
    <w:rPr>
      <w:color w:val="000000"/>
      <w:sz w:val="24"/>
      <w:szCs w:val="24"/>
      <w:lang w:val="es-CO"/>
    </w:rPr>
  </w:style>
  <w:style w:type="paragraph" w:customStyle="1" w:styleId="xl88">
    <w:name w:val="xl88"/>
    <w:basedOn w:val="Normal"/>
    <w:rsid w:val="00F85C2A"/>
    <w:pPr>
      <w:spacing w:before="100" w:beforeAutospacing="1" w:after="100" w:afterAutospacing="1"/>
      <w:textAlignment w:val="center"/>
    </w:pPr>
    <w:rPr>
      <w:rFonts w:ascii="Arial" w:hAnsi="Arial" w:cs="Arial"/>
      <w:lang w:val="es-CO"/>
    </w:rPr>
  </w:style>
  <w:style w:type="paragraph" w:customStyle="1" w:styleId="xl89">
    <w:name w:val="xl89"/>
    <w:basedOn w:val="Normal"/>
    <w:rsid w:val="00F85C2A"/>
    <w:pPr>
      <w:spacing w:before="100" w:beforeAutospacing="1" w:after="100" w:afterAutospacing="1"/>
      <w:jc w:val="center"/>
      <w:textAlignment w:val="center"/>
    </w:pPr>
    <w:rPr>
      <w:b/>
      <w:bCs/>
      <w:sz w:val="24"/>
      <w:szCs w:val="24"/>
      <w:lang w:val="es-CO"/>
    </w:rPr>
  </w:style>
  <w:style w:type="paragraph" w:customStyle="1" w:styleId="xl90">
    <w:name w:val="xl90"/>
    <w:basedOn w:val="Normal"/>
    <w:rsid w:val="00F85C2A"/>
    <w:pPr>
      <w:shd w:val="clear" w:color="DDEBF7" w:fill="DDEBF7"/>
      <w:spacing w:before="100" w:beforeAutospacing="1" w:after="100" w:afterAutospacing="1"/>
      <w:textAlignment w:val="center"/>
    </w:pPr>
    <w:rPr>
      <w:sz w:val="24"/>
      <w:szCs w:val="24"/>
      <w:lang w:val="es-CO"/>
    </w:rPr>
  </w:style>
  <w:style w:type="paragraph" w:customStyle="1" w:styleId="xl91">
    <w:name w:val="xl91"/>
    <w:basedOn w:val="Normal"/>
    <w:rsid w:val="00F85C2A"/>
    <w:pPr>
      <w:shd w:val="clear" w:color="DDEBF7" w:fill="DDEBF7"/>
      <w:spacing w:before="100" w:beforeAutospacing="1" w:after="100" w:afterAutospacing="1"/>
      <w:textAlignment w:val="center"/>
    </w:pPr>
    <w:rPr>
      <w:sz w:val="24"/>
      <w:szCs w:val="24"/>
      <w:lang w:val="es-CO"/>
    </w:rPr>
  </w:style>
  <w:style w:type="paragraph" w:customStyle="1" w:styleId="xl92">
    <w:name w:val="xl92"/>
    <w:basedOn w:val="Normal"/>
    <w:rsid w:val="00F85C2A"/>
    <w:pPr>
      <w:shd w:val="clear" w:color="DDEBF7" w:fill="DDEBF7"/>
      <w:spacing w:before="100" w:beforeAutospacing="1" w:after="100" w:afterAutospacing="1"/>
      <w:textAlignment w:val="center"/>
    </w:pPr>
    <w:rPr>
      <w:rFonts w:ascii="Arial" w:hAnsi="Arial" w:cs="Arial"/>
      <w:lang w:val="es-CO"/>
    </w:rPr>
  </w:style>
  <w:style w:type="paragraph" w:customStyle="1" w:styleId="xl93">
    <w:name w:val="xl93"/>
    <w:basedOn w:val="Normal"/>
    <w:rsid w:val="00F85C2A"/>
    <w:pPr>
      <w:shd w:val="clear" w:color="DDEBF7" w:fill="DDEBF7"/>
      <w:spacing w:before="100" w:beforeAutospacing="1" w:after="100" w:afterAutospacing="1"/>
      <w:jc w:val="center"/>
      <w:textAlignment w:val="center"/>
    </w:pPr>
    <w:rPr>
      <w:sz w:val="24"/>
      <w:szCs w:val="24"/>
      <w:lang w:val="es-CO"/>
    </w:rPr>
  </w:style>
  <w:style w:type="paragraph" w:customStyle="1" w:styleId="xl94">
    <w:name w:val="xl94"/>
    <w:basedOn w:val="Normal"/>
    <w:rsid w:val="00F85C2A"/>
    <w:pPr>
      <w:spacing w:before="100" w:beforeAutospacing="1" w:after="100" w:afterAutospacing="1"/>
      <w:jc w:val="right"/>
      <w:textAlignment w:val="center"/>
    </w:pPr>
    <w:rPr>
      <w:rFonts w:ascii="Arial" w:hAnsi="Arial" w:cs="Arial"/>
      <w:lang w:val="es-CO"/>
    </w:rPr>
  </w:style>
  <w:style w:type="paragraph" w:customStyle="1" w:styleId="xl95">
    <w:name w:val="xl95"/>
    <w:basedOn w:val="Normal"/>
    <w:rsid w:val="00F85C2A"/>
    <w:pPr>
      <w:shd w:val="clear" w:color="000000" w:fill="FFFF00"/>
      <w:spacing w:before="100" w:beforeAutospacing="1" w:after="100" w:afterAutospacing="1"/>
    </w:pPr>
    <w:rPr>
      <w:sz w:val="24"/>
      <w:szCs w:val="24"/>
      <w:lang w:val="es-CO"/>
    </w:rPr>
  </w:style>
  <w:style w:type="paragraph" w:customStyle="1" w:styleId="xl96">
    <w:name w:val="xl96"/>
    <w:basedOn w:val="Normal"/>
    <w:rsid w:val="00F85C2A"/>
    <w:pPr>
      <w:spacing w:before="100" w:beforeAutospacing="1" w:after="100" w:afterAutospacing="1"/>
    </w:pPr>
    <w:rPr>
      <w:sz w:val="24"/>
      <w:szCs w:val="24"/>
      <w:lang w:val="es-CO"/>
    </w:rPr>
  </w:style>
  <w:style w:type="paragraph" w:customStyle="1" w:styleId="subtitulos">
    <w:name w:val="subtitulos"/>
    <w:basedOn w:val="Normal"/>
    <w:rsid w:val="00F85C2A"/>
    <w:pPr>
      <w:spacing w:before="100" w:beforeAutospacing="1" w:after="100" w:afterAutospacing="1"/>
    </w:pPr>
    <w:rPr>
      <w:sz w:val="24"/>
      <w:szCs w:val="24"/>
      <w:lang w:val="es-CO"/>
    </w:rPr>
  </w:style>
  <w:style w:type="character" w:customStyle="1" w:styleId="DescripcinCar">
    <w:name w:val="Descripción Car"/>
    <w:aliases w:val="Tabla Car,Parrafo Car"/>
    <w:link w:val="Descripcin"/>
    <w:uiPriority w:val="35"/>
    <w:rsid w:val="004A38AB"/>
    <w:rPr>
      <w:rFonts w:ascii="Segoe UI Black" w:hAnsi="Segoe UI Black"/>
      <w:b/>
      <w:bCs/>
      <w:smallCaps/>
      <w:spacing w:val="10"/>
      <w:sz w:val="22"/>
      <w:szCs w:val="18"/>
      <w:lang w:val="es-CO" w:eastAsia="es-CO"/>
    </w:rPr>
  </w:style>
  <w:style w:type="paragraph" w:styleId="Subttulo">
    <w:name w:val="Subtitle"/>
    <w:basedOn w:val="Normal"/>
    <w:next w:val="Normal"/>
    <w:uiPriority w:val="11"/>
    <w:qFormat/>
    <w:pPr>
      <w:spacing w:after="160" w:line="259" w:lineRule="auto"/>
    </w:pPr>
    <w:rPr>
      <w:rFonts w:ascii="Calibri" w:eastAsia="Calibri" w:hAnsi="Calibri" w:cs="Calibri"/>
      <w:color w:val="595959"/>
      <w:sz w:val="28"/>
      <w:szCs w:val="28"/>
    </w:rPr>
  </w:style>
  <w:style w:type="table" w:customStyle="1" w:styleId="a">
    <w:basedOn w:val="TableNormal0"/>
    <w:tblPr>
      <w:tblStyleRowBandSize w:val="1"/>
      <w:tblStyleColBandSize w:val="1"/>
      <w:tblCellMar>
        <w:left w:w="10" w:type="dxa"/>
        <w:right w:w="1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rPr>
      <w:rFonts w:ascii="Calibri" w:eastAsia="Calibri" w:hAnsi="Calibri" w:cs="Calibri"/>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rPr>
      <w:rFonts w:ascii="Calibri" w:eastAsia="Calibri" w:hAnsi="Calibri" w:cs="Calibri"/>
    </w:rPr>
    <w:tblPr>
      <w:tblStyleRowBandSize w:val="1"/>
      <w:tblStyleColBandSize w:val="1"/>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rPr>
      <w:rFonts w:ascii="Calibri" w:eastAsia="Calibri" w:hAnsi="Calibri" w:cs="Calibri"/>
    </w:rPr>
    <w:tblPr>
      <w:tblStyleRowBandSize w:val="1"/>
      <w:tblStyleColBandSize w:val="1"/>
    </w:tblPr>
  </w:style>
  <w:style w:type="table" w:customStyle="1" w:styleId="af2">
    <w:basedOn w:val="TableNormal0"/>
    <w:tblPr>
      <w:tblStyleRowBandSize w:val="1"/>
      <w:tblStyleColBandSize w:val="1"/>
      <w:tblCellMar>
        <w:left w:w="70" w:type="dxa"/>
        <w:right w:w="70" w:type="dxa"/>
      </w:tblCellMar>
    </w:tblPr>
  </w:style>
  <w:style w:type="table" w:customStyle="1" w:styleId="af3">
    <w:basedOn w:val="TableNormal0"/>
    <w:tblPr>
      <w:tblStyleRowBandSize w:val="1"/>
      <w:tblStyleColBandSize w:val="1"/>
      <w:tblCellMar>
        <w:left w:w="70" w:type="dxa"/>
        <w:right w:w="70" w:type="dxa"/>
      </w:tblCellMar>
    </w:tblPr>
  </w:style>
  <w:style w:type="table" w:customStyle="1" w:styleId="af4">
    <w:basedOn w:val="TableNormal0"/>
    <w:rPr>
      <w:rFonts w:ascii="Calibri" w:eastAsia="Calibri" w:hAnsi="Calibri" w:cs="Calibri"/>
    </w:rPr>
    <w:tblPr>
      <w:tblStyleRowBandSize w:val="1"/>
      <w:tblStyleColBandSize w:val="1"/>
      <w:tblCellMar>
        <w:left w:w="108" w:type="dxa"/>
        <w:right w:w="108" w:type="dxa"/>
      </w:tblCellMar>
    </w:tblPr>
  </w:style>
  <w:style w:type="table" w:customStyle="1" w:styleId="af5">
    <w:basedOn w:val="TableNormal0"/>
    <w:rPr>
      <w:rFonts w:ascii="Calibri" w:eastAsia="Calibri" w:hAnsi="Calibri" w:cs="Calibri"/>
    </w:rPr>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70" w:type="dxa"/>
        <w:right w:w="70" w:type="dxa"/>
      </w:tblCellMar>
    </w:tblPr>
  </w:style>
  <w:style w:type="table" w:customStyle="1" w:styleId="af8">
    <w:basedOn w:val="TableNormal0"/>
    <w:tblPr>
      <w:tblStyleRowBandSize w:val="1"/>
      <w:tblStyleColBandSize w:val="1"/>
      <w:tblCellMar>
        <w:left w:w="11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paragraph" w:styleId="Sinespaciado">
    <w:name w:val="No Spacing"/>
    <w:uiPriority w:val="1"/>
    <w:qFormat/>
    <w:rsid w:val="00E81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9" Type="http://schemas.openxmlformats.org/officeDocument/2006/relationships/image" Target="media/image26.png"/><Relationship Id="rId21" Type="http://schemas.openxmlformats.org/officeDocument/2006/relationships/hyperlink" Target="https://n9.cl/cd9wz" TargetMode="External"/><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n9.cl/uwwcc" TargetMode="Externa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n9.cl/84zgx" TargetMode="External"/><Relationship Id="rId27" Type="http://schemas.openxmlformats.org/officeDocument/2006/relationships/image" Target="media/image17.png"/><Relationship Id="rId30" Type="http://schemas.openxmlformats.org/officeDocument/2006/relationships/hyperlink" Target="https://n9.cl/lvhhez" TargetMode="External"/><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theme" Target="theme/theme1.xml"/><Relationship Id="rId20" Type="http://schemas.openxmlformats.org/officeDocument/2006/relationships/hyperlink" Target="https://n9.cl/rsf79" TargetMode="External"/><Relationship Id="rId41" Type="http://schemas.openxmlformats.org/officeDocument/2006/relationships/image" Target="media/image28.png"/><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hyperlink" Target="https://n9.cl/1v9fz" TargetMode="External"/><Relationship Id="rId44" Type="http://schemas.openxmlformats.org/officeDocument/2006/relationships/image" Target="media/image31.png"/><Relationship Id="rId52" Type="http://schemas.openxmlformats.org/officeDocument/2006/relationships/image" Target="media/image39.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4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RKNBAUgOYZCGGl/2Ha48j2Tdew==">CgMxLjAyCWguMWZvYjl0ZTIJaC4xN2RwOHZ1MgloLjJzOGV5bzEyCWguM3JkY3JqbjIJaC4yNmluMXJnMg5oLjg5aXAzajN6eXo1bTIOaC45eG9sM3U4anF3YXgyDmgudG1kMjI1cnAxNjFkMg5oLjR5d2p4eW5yaHBpbDgAciExYmJjVmxrNEFVcTJaV2hRRTA5bkJBUXgwakswX0otNkI=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107</Pages>
  <Words>30135</Words>
  <Characters>165746</Characters>
  <Application>Microsoft Office Word</Application>
  <DocSecurity>0</DocSecurity>
  <Lines>1381</Lines>
  <Paragraphs>390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Consulting</dc:creator>
  <cp:lastModifiedBy>angelica maria hernandez arroyo</cp:lastModifiedBy>
  <cp:revision>2</cp:revision>
  <cp:lastPrinted>2025-10-06T20:29:00Z</cp:lastPrinted>
  <dcterms:created xsi:type="dcterms:W3CDTF">2026-10-01T02:13:00Z</dcterms:created>
  <dcterms:modified xsi:type="dcterms:W3CDTF">2026-10-01T02:13:00Z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2025-10-02T01:44:03Z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622689f0-31ad-4151-b161-69423405a716</vt:lpwstr>
  </property>
  <property fmtid="{D5CDD505-2E9C-101B-9397-08002B2CF9AE}" pid="7" name="MSIP_Label_defa4170-0d19-0005-0004-bc88714345d2_ActionId">
    <vt:lpwstr>a2e3a263-6f45-4c6f-a2d1-5003f22450df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