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1443F015" w14:textId="77777777" w:rsidR="0032129A" w:rsidRPr="006F6287" w:rsidRDefault="0032129A" w:rsidP="00D70D7B">
      <w:pPr>
        <w:spacing w:after="100" w:afterAutospacing="1"/>
        <w:rPr>
          <w:rFonts w:ascii="Verdana" w:eastAsia="SimSun" w:hAnsi="Verdana" w:cs="Arial"/>
          <w:b/>
          <w:kern w:val="3"/>
          <w:highlight w:val="lightGray"/>
          <w:u w:val="single"/>
          <w:lang w:eastAsia="zh-CN" w:bidi="hi-IN"/>
        </w:rPr>
      </w:pP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7777777" w:rsidR="0058222E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384"/>
        <w:gridCol w:w="538"/>
        <w:gridCol w:w="538"/>
        <w:gridCol w:w="615"/>
        <w:gridCol w:w="615"/>
        <w:gridCol w:w="2077"/>
        <w:gridCol w:w="1692"/>
        <w:gridCol w:w="500"/>
        <w:gridCol w:w="500"/>
        <w:gridCol w:w="538"/>
        <w:gridCol w:w="615"/>
        <w:gridCol w:w="769"/>
        <w:gridCol w:w="2308"/>
        <w:gridCol w:w="500"/>
        <w:gridCol w:w="500"/>
        <w:gridCol w:w="538"/>
        <w:gridCol w:w="615"/>
        <w:gridCol w:w="615"/>
        <w:gridCol w:w="1077"/>
        <w:gridCol w:w="1077"/>
        <w:gridCol w:w="1692"/>
        <w:gridCol w:w="1077"/>
      </w:tblGrid>
      <w:tr w:rsidR="0076567A" w:rsidRPr="006F6287" w14:paraId="64A698D4" w14:textId="77777777" w:rsidTr="0076567A">
        <w:trPr>
          <w:cantSplit/>
          <w:trHeight w:val="1212"/>
          <w:tblHeader w:val="true"/>
        </w:trPr>
        <w:tc>
          <w:tcPr>
            <w:tcW w:w="384" w:type="dxa"/>
            <w:vMerge w:val="restart"/>
            <w:shd w:val="clear" w:color="auto" w:fill="4D4D4D"/>
            <w:textDirection w:val="btLr"/>
          </w:tcPr>
          <w:p w14:paraId="0B3F0DB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No.</w:t>
            </w:r>
          </w:p>
        </w:tc>
        <w:tc>
          <w:tcPr>
            <w:tcW w:w="538" w:type="dxa"/>
            <w:vMerge w:val="restart"/>
            <w:shd w:val="clear" w:color="auto" w:fill="4D4D4D"/>
            <w:textDirection w:val="btLr"/>
          </w:tcPr>
          <w:p w14:paraId="0CFF002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Clase</w:t>
            </w:r>
          </w:p>
        </w:tc>
        <w:tc>
          <w:tcPr>
            <w:tcW w:w="538" w:type="dxa"/>
            <w:vMerge w:val="restart"/>
            <w:shd w:val="clear" w:color="auto" w:fill="4D4D4D"/>
            <w:textDirection w:val="btLr"/>
          </w:tcPr>
          <w:p w14:paraId="2DB68322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Fuente</w:t>
            </w:r>
          </w:p>
        </w:tc>
        <w:tc>
          <w:tcPr>
            <w:tcW w:w="615" w:type="dxa"/>
            <w:vMerge w:val="restart"/>
            <w:shd w:val="clear" w:color="auto" w:fill="4D4D4D"/>
            <w:textDirection w:val="btLr"/>
          </w:tcPr>
          <w:p w14:paraId="4DD17F7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Etapa</w:t>
            </w:r>
          </w:p>
        </w:tc>
        <w:tc>
          <w:tcPr>
            <w:tcW w:w="615" w:type="dxa"/>
            <w:vMerge w:val="restart"/>
            <w:shd w:val="clear" w:color="auto" w:fill="4D4D4D"/>
            <w:textDirection w:val="btLr"/>
          </w:tcPr>
          <w:p w14:paraId="79133F4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Tipo</w:t>
            </w:r>
          </w:p>
        </w:tc>
        <w:tc>
          <w:tcPr>
            <w:tcW w:w="2077" w:type="dxa"/>
            <w:vMerge w:val="restart"/>
            <w:shd w:val="clear" w:color="auto" w:fill="4D4D4D"/>
            <w:textDirection w:val="btLr"/>
          </w:tcPr>
          <w:p w14:paraId="726FAB8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692" w:type="dxa"/>
            <w:vMerge w:val="restart"/>
            <w:shd w:val="clear" w:color="auto" w:fill="4D4D4D"/>
            <w:textDirection w:val="btLr"/>
          </w:tcPr>
          <w:p w14:paraId="23C1434B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500" w:type="dxa"/>
            <w:vMerge w:val="restart"/>
            <w:shd w:val="clear" w:color="auto" w:fill="4D4D4D"/>
            <w:textDirection w:val="btLr"/>
          </w:tcPr>
          <w:p w14:paraId="483F6432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Probabilidad</w:t>
            </w:r>
          </w:p>
        </w:tc>
        <w:tc>
          <w:tcPr>
            <w:tcW w:w="500" w:type="dxa"/>
            <w:vMerge w:val="restart"/>
            <w:shd w:val="clear" w:color="auto" w:fill="4D4D4D"/>
            <w:textDirection w:val="btLr"/>
          </w:tcPr>
          <w:p w14:paraId="42F3A4BC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Impacto</w:t>
            </w:r>
          </w:p>
        </w:tc>
        <w:tc>
          <w:tcPr>
            <w:tcW w:w="538" w:type="dxa"/>
            <w:vMerge w:val="restart"/>
            <w:shd w:val="clear" w:color="auto" w:fill="4D4D4D"/>
            <w:textDirection w:val="btLr"/>
          </w:tcPr>
          <w:p w14:paraId="1803A095" w14:textId="0E7D1BC4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 xml:space="preserve">Valoración del </w:t>
            </w:r>
            <w:r w:rsidR="00F46773"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R</w:t>
            </w: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iesgo</w:t>
            </w:r>
          </w:p>
        </w:tc>
        <w:tc>
          <w:tcPr>
            <w:tcW w:w="615" w:type="dxa"/>
            <w:vMerge w:val="restart"/>
            <w:shd w:val="clear" w:color="auto" w:fill="4D4D4D"/>
            <w:textDirection w:val="btLr"/>
          </w:tcPr>
          <w:p w14:paraId="5E34374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szCs w:val="20"/>
                <w:lang w:eastAsia="zh-CN" w:bidi="hi-IN"/>
              </w:rPr>
              <w:t>Categoría</w:t>
            </w:r>
          </w:p>
        </w:tc>
        <w:tc>
          <w:tcPr>
            <w:tcW w:w="769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2308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615" w:type="dxa"/>
            <w:gridSpan w:val="4"/>
            <w:shd w:val="clear" w:color="auto" w:fill="BFBFBF" w:themeFill="background1" w:themeFillShade="BF"/>
          </w:tcPr>
          <w:p w14:paraId="0631940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615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1077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1077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77" w:type="dxa"/>
            <w:gridSpan w:val="2"/>
            <w:shd w:val="clear" w:color="auto" w:fill="BFBFBF" w:themeFill="background1" w:themeFillShade="BF"/>
          </w:tcPr>
          <w:p w14:paraId="5674A2B8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6F6287" w14:paraId="678B7917" w14:textId="77777777" w:rsidTr="0076567A">
        <w:trPr>
          <w:cantSplit/>
          <w:trHeight w:val="2063"/>
          <w:tblHeader w:val="true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00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Probabilidad</w:t>
            </w:r>
          </w:p>
        </w:tc>
        <w:tc>
          <w:tcPr>
            <w:tcW w:w="500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Impacto</w:t>
            </w:r>
          </w:p>
        </w:tc>
        <w:tc>
          <w:tcPr>
            <w:tcW w:w="538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615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692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1077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Arial" w:eastAsia="SimSun" w:hAnsi="Arial" w:cs="Arial"/>
                <w:b/>
                <w:kern w:val="3"/>
                <w:sz w:val="10"/>
                <w:szCs w:val="20"/>
                <w:lang w:eastAsia="zh-CN" w:bidi="hi-IN"/>
              </w:rPr>
              <w:t>¿Cuándo?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General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Selección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Presentación de ofertas artificialmente bajas que no permitan ejecutar adecuadamente el objeto contractual.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Riesgo de incumplimiento, solicitudes de modificación y afectación de la calidad o del plazo.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Entidad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Verificación de precios artificialmente bajos conforme al pliego; requerimiento de explicaciones y rechazo cuando proceda.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No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Comité evaluador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Antes de la adjudicación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Revisión de la oferta económica, APU y explicaciones del proponente.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evaluación de ofertas.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General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Selección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Social o político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Acuerdos colusorios o prácticas restrictivas de la competencia entre oferentes.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Afectación de la selección objetiva, pluralidad y transparencia del proceso.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Entidad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Aplicar reglas de selección objetiva, trazabilidad en SECOP II y comunicar indicios a la autoridad competente.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No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Comité evaluador / Secretaría de Infraestructura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Hasta la adjudicación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Revisión comparativa de ofertas, patrones de participación y observaciones.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evaluación y hasta la adjudicación.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General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Contratación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El adjudicatario no suscribe oportunamente el contrato o no presenta/aprueba las garantías exigidas.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Retraso o imposibilidad de iniciar la obra dentro del cronograma.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Exigir garantía de seriedad; verificar documentos para perfeccionamiento, registro presupuestal y garantías dentro de los plazos.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Secretaría de Infraestructura / área contractual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Antes del acta de inicio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Control de requisitos de perfeccionamiento y ejecución y revisión de pólizas.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 momento de la suscripción y antes del inicio.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Durante la intervención se evidencian condiciones reales de la infraestructura existente diferentes o más deterioradas que las identificadas en los documentos técnicos.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Necesidad de ajustes técnicos, mayores cantidades o reprogramación de actividades.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Entidad / Contratista según causa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Inspección y verificación previa de cada frente; actas con Interventoría; no intervenir sin validación; tramitar oportunamente ajustes técnicamente justificados.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Interventoría / Contratista / Entidad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Visitas, actas de obra, registros fotográficos y verificación de cantidades y condiciones reales.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Permanente y en cada apertura de frente.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Económico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Variación de precios, escasez o desabastecimiento de materiales, equipos o insumos requeridos para la obra.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Aumento de costos y riesgo de retraso en el suministro y ejecución.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Programación temprana de compras, cotizaciones y proveedores alternos; acopio oportuno; gestión de inventarios. Precios unitarios fijos conforme a los documentos del proceso.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toda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Seguimiento al plan de compras, inventarios, órdenes y cronograma de suministros.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Semanal.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De la naturaleza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Lluvias intensas u otros eventos naturales previsibles que dificulten trabajos exteriores, cubiertas, cerramientos o transporte de materiales.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Suspensión parcial de actividades, disminución de rendimientos y retrasos.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Programar actividades según condiciones climáticas, proteger frentes y materiales y disponer medidas de contingencia y drenaje temporal.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Seguimiento a condiciones climáticas, bitácora y cronograma de obra.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Diario durante actividades expuestas.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Deficiente programación, insuficiencia de personal, equipos o coordinación de frentes que impida cumplir el plazo de cuarenta y cinco (45) días.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Atrasos, incumplimiento del cronograma y eventual imposición de medidas contractuales.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Presentar y cumplir cronograma detallado; disponer personal, equipos y materiales suficientes; implementar plan de recuperación ante desviaciones.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Comparación de avance programado vs. ejecutado, comités y requerimientos de recuperación.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Semanal.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8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Daño a elementos, redes, instalaciones o componentes existentes que deben permanecer en servicio durante desmontes, demoliciones y adecuaciones.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Costos de reparación, afectación funcional y retrasos en la obra.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Inspección previa, localización de redes, protección y señalización; procedimientos de trabajo seguros; reparación a cargo del responsable.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Inspecciones de frentes, registros fotográficos y reporte inmediato de incidentes.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Diario.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9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Tecnológico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Fallas en instalación, coordinación, pruebas o puesta en servicio de la subestación y redes eléctricas, o incumplimiento de requisitos para certificaciones RETIE y RETILAP.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Reprocesos, no obtención de certificaciones y no recibo a satisfacción de las obras eléctricas.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Personal competente, materiales certificados, coordinación técnica, pruebas previas y gestión oportuna de inspección y certificaciones RETIE/RETILAP.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Antes del recibo final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Protocolos de pruebas, fichas técnicas, certificados y seguimiento a organismo de inspección.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Por cada hito eléctrico y antes del recibo.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10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Accidentes de trabajo o afectaciones a terceros por incumplimiento de medidas de seguridad industrial, SST, señalización o manejo de frentes.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Lesiones, daños a terceros, suspensión de actividades y responsabilidad contractual/extracontractual.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Implementar SG-SST, señalización, EPP, permisos y procedimientos seguros; mantener seguro de responsabilidad civil extracontractual y demás garantías exigidas.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responsable SST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Inspecciones SST, listas de chequeo, reportes de incidentes y verificación de afiliaciones y pólizas.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Diario y en comités de obra.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11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Ambiental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Manejo inadecuado de residuos de construcción y demolición, escombros, vertimientos o materiales durante la obra.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Sanciones, afectación ambiental, obstrucción de frentes y retrasos.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Aplicar medidas ambientales, separación, almacenamiento y disposición autorizada de RCD; mantener soportes de disposición.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Inspección de acopios, soportes de disposición y registros ambientales.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Semanal y al retiro de residuos.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Social o político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Hurto, vandalismo o ingreso no autorizado al Centro de Acopio durante la ejecución, afectando materiales, equipos u obra ejecutada.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Pérdidas, reposiciones, daños y retrasos en el cronograma.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Medio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Control de acceso, cerramiento, custodia de materiales/equipos, inventarios y coordinación de seguridad del sitio.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Control de ingreso, inventarios y reporte de novedades.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Diario.</w:t>
            </w:r>
          </w:p>
        </w:tc>
      </w:tr>
      <w:tr>
        <w:tc>
          <w:tcPr>
            <w:tcW w:type="dxa" w:w="384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type="dxa" w:w="2077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Ejecución de actividades con materiales que no cumplen especificaciones o deficiencias de calidad en concretos, acabados, carpinterías, cubiertas, redes o demás ítems.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Rechazo de obra, demoliciones o reposiciones, mayores tiempos y afectación de estabilidad/calidad.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Alto</w:t>
            </w:r>
          </w:p>
        </w:tc>
        <w:tc>
          <w:tcPr>
            <w:tcW w:type="dxa" w:w="769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</w:t>
            </w:r>
          </w:p>
        </w:tc>
        <w:tc>
          <w:tcPr>
            <w:tcW w:type="dxa" w:w="2308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Aprobación previa de materiales, fichas técnicas, ensayos y controles de calidad; inspección de Interventoría y corrección de defectos antes del recibo.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type="dxa" w:w="500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type="dxa" w:w="538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Bajo</w:t>
            </w:r>
          </w:p>
        </w:tc>
        <w:tc>
          <w:tcPr>
            <w:tcW w:type="dxa" w:w="615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Contratista / Interventoría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Durante la ejecución y antes del recibo</w:t>
            </w:r>
          </w:p>
        </w:tc>
        <w:tc>
          <w:tcPr>
            <w:tcW w:type="dxa" w:w="1692"/>
            <w:vAlign w:val="center"/>
          </w:tcPr>
          <w:p>
            <w:pPr>
              <w:jc w:val="left"/>
            </w:pPr>
            <w:r>
              <w:rPr>
                <w:rFonts w:ascii="Arial" w:hAnsi="Arial"/>
                <w:sz w:val="10"/>
              </w:rPr>
              <w:t>Ensayos, inspecciones, actas de aprobación y control de no conformidades.</w:t>
            </w:r>
          </w:p>
        </w:tc>
        <w:tc>
          <w:tcPr>
            <w:tcW w:type="dxa" w:w="1077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0"/>
              </w:rPr>
              <w:t>Por lote/actividad y semanal.</w:t>
            </w:r>
          </w:p>
        </w:tc>
      </w:tr>
    </w:tbl>
    <w:p w14:paraId="74770F23" w14:textId="77777777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6F6287" w:rsidRDefault="00D70D7B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sectPr w:rsidR="00D70D7B" w:rsidRPr="006F6287" w:rsidSect="004B02DA">
      <w:headerReference w:type="default" r:id="rId11"/>
      <w:footerReference w:type="default" r:id="rId12"/>
      <w:pgSz w:w="20160" w:h="12240" w:code="1" w:orient="landscape"/>
      <w:pgMar w:top="397" w:right="283" w:bottom="397" w:left="283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6A13A" w14:textId="77777777" w:rsidR="00181D80" w:rsidRDefault="00181D80" w:rsidP="00091875">
      <w:pPr>
        <w:spacing w:line="240" w:lineRule="auto"/>
      </w:pPr>
      <w:r>
        <w:separator/>
      </w:r>
    </w:p>
  </w:endnote>
  <w:endnote w:type="continuationSeparator" w:id="0">
    <w:p w14:paraId="3DCD4657" w14:textId="77777777" w:rsidR="00181D80" w:rsidRDefault="00181D80" w:rsidP="00091875">
      <w:pPr>
        <w:spacing w:line="240" w:lineRule="auto"/>
      </w:pPr>
      <w:r>
        <w:continuationSeparator/>
      </w:r>
    </w:p>
  </w:endnote>
  <w:endnote w:type="continuationNotice" w:id="1">
    <w:p w14:paraId="15BE4EDC" w14:textId="77777777" w:rsidR="00181D80" w:rsidRDefault="00181D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3D2A1" w14:textId="77777777" w:rsidR="00181D80" w:rsidRDefault="00181D80" w:rsidP="00091875">
      <w:pPr>
        <w:spacing w:line="240" w:lineRule="auto"/>
      </w:pPr>
      <w:r>
        <w:separator/>
      </w:r>
    </w:p>
  </w:footnote>
  <w:footnote w:type="continuationSeparator" w:id="0">
    <w:p w14:paraId="007BD8E5" w14:textId="77777777" w:rsidR="00181D80" w:rsidRDefault="00181D80" w:rsidP="00091875">
      <w:pPr>
        <w:spacing w:line="240" w:lineRule="auto"/>
      </w:pPr>
      <w:r>
        <w:continuationSeparator/>
      </w:r>
    </w:p>
  </w:footnote>
  <w:footnote w:type="continuationNotice" w:id="1">
    <w:p w14:paraId="6DA43C80" w14:textId="77777777" w:rsidR="00181D80" w:rsidRDefault="00181D8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734B0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openxmlformats.org/package/2006/metadata/core-properties"/>
    <ds:schemaRef ds:uri="http://purl.org/dc/terms/"/>
    <ds:schemaRef ds:uri="9d85dbaf-23eb-4e57-a637-93dcacc8b1a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Adriana Lopez Rodriguez</cp:lastModifiedBy>
  <cp:revision>11</cp:revision>
  <cp:lastPrinted>2021-08-03T20:55:00Z</cp:lastPrinted>
  <dcterms:created xsi:type="dcterms:W3CDTF">2022-08-03T21:07:00Z</dcterms:created>
  <dcterms:modified xsi:type="dcterms:W3CDTF">2025-08-25T15:03:00Z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