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785E2" w14:textId="77777777" w:rsidR="0043281C" w:rsidRDefault="0043281C" w:rsidP="0043281C">
      <w:pPr>
        <w:spacing w:after="0" w:line="240" w:lineRule="auto"/>
        <w:jc w:val="right"/>
      </w:pPr>
      <w:r>
        <w:rPr>
          <w:rFonts w:ascii="Arial" w:eastAsia="Arial" w:hAnsi="Arial" w:cs="Arial"/>
        </w:rPr>
        <w:t>Santiago de Cali, 06 de octubre de 2026</w:t>
      </w:r>
    </w:p>
    <w:p w14:paraId="6E87F8C1" w14:textId="77777777" w:rsidR="0043281C" w:rsidRDefault="0043281C" w:rsidP="0043281C">
      <w:pPr>
        <w:spacing w:after="0" w:line="240" w:lineRule="auto"/>
      </w:pPr>
    </w:p>
    <w:p w14:paraId="715EF328" w14:textId="77777777" w:rsidR="0043281C" w:rsidRDefault="0043281C" w:rsidP="0043281C">
      <w:pPr>
        <w:spacing w:after="0" w:line="240" w:lineRule="auto"/>
        <w:jc w:val="center"/>
      </w:pPr>
      <w:r>
        <w:rPr>
          <w:rFonts w:ascii="Arial" w:eastAsia="Arial" w:hAnsi="Arial" w:cs="Arial"/>
          <w:b/>
          <w:bCs/>
        </w:rPr>
        <w:t>RESPUESTA A OBSERVACIONES AL PROYECTO DE PLIEGO DE CONDICIONES</w:t>
      </w:r>
    </w:p>
    <w:p w14:paraId="62A326B6" w14:textId="77777777" w:rsidR="0043281C" w:rsidRDefault="0043281C" w:rsidP="0043281C">
      <w:pPr>
        <w:spacing w:after="0" w:line="240" w:lineRule="auto"/>
        <w:jc w:val="center"/>
      </w:pPr>
      <w:r>
        <w:rPr>
          <w:rFonts w:ascii="Arial" w:eastAsia="Arial" w:hAnsi="Arial" w:cs="Arial"/>
          <w:b/>
          <w:bCs/>
        </w:rPr>
        <w:t>SELECCIÓN ABREVIADA DE MENOR CUANTÍA No. SCSC-SAMC-001-2026</w:t>
      </w:r>
    </w:p>
    <w:p w14:paraId="28110496" w14:textId="77777777" w:rsidR="0043281C" w:rsidRDefault="0043281C" w:rsidP="0043281C">
      <w:pPr>
        <w:spacing w:after="0" w:line="240" w:lineRule="auto"/>
      </w:pPr>
    </w:p>
    <w:p w14:paraId="2FE9BA9F" w14:textId="77777777" w:rsidR="0043281C" w:rsidRDefault="0043281C" w:rsidP="0043281C">
      <w:pPr>
        <w:spacing w:after="0" w:line="240" w:lineRule="auto"/>
        <w:jc w:val="both"/>
      </w:pPr>
      <w:r>
        <w:rPr>
          <w:rFonts w:ascii="Arial" w:eastAsia="Arial" w:hAnsi="Arial" w:cs="Arial"/>
        </w:rPr>
        <w:t>Objeto: "PRESTAR SERVICIOS DE MANTENIMIENTO PREVENTIVO Y CORRECTIVO A TODO COSTO, QUE INCLUYE REPUESTOS, INSUMOS, INSTALACIÓN Y MANO DE OBRA DEL PARQUE AUTOMOTOR DE LA FUERZA PÚBLICA, PARA EL FORTALECIMIENTO DE LA SEGURIDAD DEL DEPARTAMENTO DEL VALLE DEL CAUCA".</w:t>
      </w:r>
    </w:p>
    <w:p w14:paraId="34A92E38" w14:textId="77777777" w:rsidR="0043281C" w:rsidRDefault="0043281C" w:rsidP="0043281C">
      <w:pPr>
        <w:spacing w:after="0" w:line="240" w:lineRule="auto"/>
      </w:pPr>
    </w:p>
    <w:p w14:paraId="595EE69F" w14:textId="77777777" w:rsidR="0043281C" w:rsidRDefault="0043281C" w:rsidP="0043281C">
      <w:pPr>
        <w:spacing w:after="0" w:line="240" w:lineRule="auto"/>
        <w:jc w:val="both"/>
      </w:pPr>
      <w:r>
        <w:rPr>
          <w:rFonts w:ascii="Arial" w:eastAsia="Arial" w:hAnsi="Arial" w:cs="Arial"/>
        </w:rPr>
        <w:t>Una vez recibidas las observaciones presentadas por los interesados al proyecto de pliego de condiciones del proceso de la referencia, el comité estructurador se permite dar respuesta en los siguientes términos:</w:t>
      </w:r>
    </w:p>
    <w:p w14:paraId="28C23828" w14:textId="77777777" w:rsidR="0043281C" w:rsidRDefault="0043281C" w:rsidP="0043281C">
      <w:pPr>
        <w:spacing w:after="0" w:line="240" w:lineRule="auto"/>
      </w:pPr>
    </w:p>
    <w:p w14:paraId="3DF11A91" w14:textId="77777777" w:rsidR="0043281C" w:rsidRDefault="0043281C" w:rsidP="0043281C">
      <w:pPr>
        <w:spacing w:after="0" w:line="240" w:lineRule="auto"/>
        <w:jc w:val="center"/>
      </w:pPr>
      <w:r>
        <w:rPr>
          <w:rFonts w:ascii="Arial" w:eastAsia="Arial" w:hAnsi="Arial" w:cs="Arial"/>
          <w:b/>
          <w:bCs/>
        </w:rPr>
        <w:t>SERVITECA INTEGRAL AUTOMOTRIZ S.A.S.</w:t>
      </w:r>
    </w:p>
    <w:p w14:paraId="659503D1" w14:textId="77777777" w:rsidR="0043281C" w:rsidRDefault="0043281C" w:rsidP="0043281C">
      <w:pPr>
        <w:spacing w:after="0" w:line="240" w:lineRule="auto"/>
      </w:pPr>
    </w:p>
    <w:p w14:paraId="20C04C48" w14:textId="77777777" w:rsidR="0043281C" w:rsidRDefault="0043281C" w:rsidP="0043281C">
      <w:pPr>
        <w:spacing w:after="0" w:line="240" w:lineRule="auto"/>
        <w:jc w:val="both"/>
      </w:pPr>
      <w:r>
        <w:rPr>
          <w:rFonts w:ascii="Arial" w:eastAsia="Arial" w:hAnsi="Arial" w:cs="Arial"/>
          <w:b/>
          <w:bCs/>
          <w:u w:val="single"/>
        </w:rPr>
        <w:t>Observación No. 1. Póliza de seguros multirriesgo (página 17)</w:t>
      </w:r>
    </w:p>
    <w:p w14:paraId="0C3B3A74" w14:textId="77777777" w:rsidR="0043281C" w:rsidRDefault="0043281C" w:rsidP="0043281C">
      <w:pPr>
        <w:spacing w:after="0" w:line="240" w:lineRule="auto"/>
        <w:jc w:val="both"/>
      </w:pPr>
      <w:r>
        <w:rPr>
          <w:rFonts w:ascii="Arial" w:eastAsia="Arial" w:hAnsi="Arial" w:cs="Arial"/>
        </w:rPr>
        <w:t>Se acoge la observación. La "póliza de seguros multirriesgo" exigida en el proyecto de pliego de condiciones corresponde a la póliza todo riesgo para vehículos, que ampara daños a terceros y el hurto parcial o total del vehículo ofertado como carro taller. En consecuencia, se ajustará la redacción del pliego de condiciones definitivo para eliminar la ambigüedad advertida.</w:t>
      </w:r>
    </w:p>
    <w:p w14:paraId="573E34E1" w14:textId="77777777" w:rsidR="0043281C" w:rsidRDefault="0043281C" w:rsidP="0043281C">
      <w:pPr>
        <w:spacing w:after="0" w:line="240" w:lineRule="auto"/>
      </w:pPr>
    </w:p>
    <w:p w14:paraId="087F732F" w14:textId="77777777" w:rsidR="0043281C" w:rsidRDefault="0043281C" w:rsidP="0043281C">
      <w:pPr>
        <w:spacing w:after="0" w:line="240" w:lineRule="auto"/>
        <w:jc w:val="both"/>
      </w:pPr>
      <w:r>
        <w:rPr>
          <w:rFonts w:ascii="Arial" w:eastAsia="Arial" w:hAnsi="Arial" w:cs="Arial"/>
          <w:b/>
          <w:bCs/>
          <w:u w:val="single"/>
        </w:rPr>
        <w:t>Observación No. 2. Áreas mínimas del taller (estudio previo pág. 20 y pliego pág. 22)</w:t>
      </w:r>
    </w:p>
    <w:p w14:paraId="1C728494" w14:textId="77777777" w:rsidR="0043281C" w:rsidRDefault="0043281C" w:rsidP="0043281C">
      <w:pPr>
        <w:spacing w:after="0" w:line="240" w:lineRule="auto"/>
        <w:jc w:val="both"/>
      </w:pPr>
      <w:r>
        <w:rPr>
          <w:rFonts w:ascii="Arial" w:eastAsia="Arial" w:hAnsi="Arial" w:cs="Arial"/>
        </w:rPr>
        <w:t>Se acoge la observación. Se verificó la inconsistencia advertida entre el estudio previo y el proyecto de pliego de condiciones. En el pliego de condiciones definitivo se precisará que las áreas de recepción de vehículos, diagnóstico de daños, desmontaje de partes defectuosas, cambio y montaje de partes de repuestos, control de calidad, lavado y entrega deberán sumar, en conjunto, un área mínima de 400 m², adicional al área de mantenimiento de 2.500 m², conforme a lo señalado en el estudio previo, y no que cada una de dichas áreas deba cumplir individualmente ese valor.</w:t>
      </w:r>
    </w:p>
    <w:p w14:paraId="7054E593" w14:textId="77777777" w:rsidR="0043281C" w:rsidRDefault="0043281C" w:rsidP="0043281C">
      <w:pPr>
        <w:spacing w:after="0" w:line="240" w:lineRule="auto"/>
      </w:pPr>
    </w:p>
    <w:p w14:paraId="03F82102" w14:textId="77777777" w:rsidR="0043281C" w:rsidRDefault="0043281C" w:rsidP="0043281C">
      <w:pPr>
        <w:spacing w:after="0" w:line="240" w:lineRule="auto"/>
        <w:jc w:val="both"/>
      </w:pPr>
      <w:r>
        <w:rPr>
          <w:rFonts w:ascii="Arial" w:eastAsia="Arial" w:hAnsi="Arial" w:cs="Arial"/>
          <w:b/>
          <w:bCs/>
          <w:u w:val="single"/>
        </w:rPr>
        <w:t>Observación No. 3. Indicador de endeudamiento y fórmula para proponentes plurales (numeral 1.27)</w:t>
      </w:r>
    </w:p>
    <w:p w14:paraId="6116ECB7" w14:textId="77777777" w:rsidR="0043281C" w:rsidRDefault="0043281C" w:rsidP="0043281C">
      <w:pPr>
        <w:spacing w:after="0" w:line="240" w:lineRule="auto"/>
        <w:jc w:val="both"/>
      </w:pPr>
      <w:r>
        <w:rPr>
          <w:rFonts w:ascii="Arial" w:eastAsia="Arial" w:hAnsi="Arial" w:cs="Arial"/>
        </w:rPr>
        <w:t>Se acoge la observación. El indicador de endeudamiento exigido en el numeral de requisitos de capacidad financiera se ajustará para que sea menor o igual al 30% (≤0,30), con el fin de proteger los intereses de la administración, garantizar la selección objetiva de un contratista financieramente sólido y promover la pluralidad de oferentes. Así mismo, se precisa que la verificación de la capacidad financiera y organizacional de los proponentes plurales (consorcios o uniones temporales) se realizará conforme a la metodología establecida en el Manual para Determinar y Verificar los Requisitos Habilitantes en los Procesos de Contratación, expedido por Colombia Compra Eficiente, la cual será incluida de manera expresa en el pliego de condiciones definitivo.</w:t>
      </w:r>
    </w:p>
    <w:p w14:paraId="47842204" w14:textId="77777777" w:rsidR="0043281C" w:rsidRDefault="0043281C" w:rsidP="0043281C">
      <w:pPr>
        <w:spacing w:after="0" w:line="240" w:lineRule="auto"/>
      </w:pPr>
    </w:p>
    <w:p w14:paraId="3319BEC2" w14:textId="77777777" w:rsidR="0043281C" w:rsidRDefault="0043281C" w:rsidP="0043281C">
      <w:pPr>
        <w:spacing w:after="0" w:line="240" w:lineRule="auto"/>
        <w:jc w:val="both"/>
      </w:pPr>
      <w:r>
        <w:rPr>
          <w:rFonts w:ascii="Arial" w:eastAsia="Arial" w:hAnsi="Arial" w:cs="Arial"/>
          <w:b/>
          <w:bCs/>
          <w:u w:val="single"/>
        </w:rPr>
        <w:lastRenderedPageBreak/>
        <w:t>Observación No. 4. Condiciones de experiencia para consorcios o uniones temporales (numeral 1.29)</w:t>
      </w:r>
    </w:p>
    <w:p w14:paraId="7DB7E101" w14:textId="77777777" w:rsidR="0043281C" w:rsidRDefault="0043281C" w:rsidP="0043281C">
      <w:pPr>
        <w:spacing w:after="0" w:line="240" w:lineRule="auto"/>
        <w:jc w:val="both"/>
      </w:pPr>
      <w:r>
        <w:rPr>
          <w:rFonts w:ascii="Arial" w:eastAsia="Arial" w:hAnsi="Arial" w:cs="Arial"/>
        </w:rPr>
        <w:t>No se accede a la observación. La entidad mantiene la exigencia prevista en el numeral 1.29 CONDICIONES DE EXPERIENCIA del proyecto de pliego de condiciones, conforme a la cual, cuando se trate de consorcios o uniones temporales, el integrante con mayor participación deberá acreditar un contrato ejecutado y terminado con cuantía igual o superior al 50% del presupuesto oficial, y la sumatoria de la experiencia de los integrantes deberá ser igual o superior al 100% del presupuesto oficial del proceso. La entidad considera que dicha exigencia es razonable, proporcional y necesaria para garantizar la idoneidad y solidez del proponente plural que ejecutará el contrato, sin que ello afecte el principio de pluralidad de oferentes.</w:t>
      </w:r>
    </w:p>
    <w:p w14:paraId="123FDCFA" w14:textId="77777777" w:rsidR="0043281C" w:rsidRDefault="0043281C" w:rsidP="0043281C">
      <w:pPr>
        <w:spacing w:after="0" w:line="240" w:lineRule="auto"/>
      </w:pPr>
    </w:p>
    <w:p w14:paraId="370D0ECE" w14:textId="77777777" w:rsidR="0043281C" w:rsidRDefault="0043281C" w:rsidP="0043281C">
      <w:pPr>
        <w:spacing w:after="0" w:line="240" w:lineRule="auto"/>
        <w:jc w:val="both"/>
      </w:pPr>
      <w:r>
        <w:rPr>
          <w:rFonts w:ascii="Arial" w:eastAsia="Arial" w:hAnsi="Arial" w:cs="Arial"/>
          <w:b/>
          <w:bCs/>
          <w:u w:val="single"/>
        </w:rPr>
        <w:t>Observación No. 5. Requisito No. 9 del documento para acreditar experiencia (página 53)</w:t>
      </w:r>
    </w:p>
    <w:p w14:paraId="0AFDC038" w14:textId="77777777" w:rsidR="0043281C" w:rsidRDefault="0043281C" w:rsidP="0043281C">
      <w:pPr>
        <w:spacing w:after="0" w:line="240" w:lineRule="auto"/>
        <w:jc w:val="both"/>
      </w:pPr>
      <w:r>
        <w:rPr>
          <w:rFonts w:ascii="Arial" w:eastAsia="Arial" w:hAnsi="Arial" w:cs="Arial"/>
        </w:rPr>
        <w:t>Se acoge la observación. Se eliminará, del listado de información que debe contener el documento para acreditar la experiencia, el requisito número 9, relacionado con si el proponente ha sido objeto de multas, declaratorias de incumplimiento o caducidad, por cuanto dicha información puede ser verificada directamente por la entidad a través del certificado de existencia y representación legal y/o del RUP expedido por las Cámaras de Comercio, en los términos del artículo 2.2.1.1.1.5.7 del Decreto 1082 de 2015.</w:t>
      </w:r>
    </w:p>
    <w:p w14:paraId="43C3CD7B" w14:textId="77777777" w:rsidR="0043281C" w:rsidRDefault="0043281C" w:rsidP="0043281C">
      <w:pPr>
        <w:spacing w:after="0" w:line="240" w:lineRule="auto"/>
      </w:pPr>
    </w:p>
    <w:p w14:paraId="49AEB6CF" w14:textId="77777777" w:rsidR="0043281C" w:rsidRDefault="0043281C" w:rsidP="0043281C">
      <w:pPr>
        <w:spacing w:after="0" w:line="240" w:lineRule="auto"/>
        <w:jc w:val="both"/>
      </w:pPr>
      <w:r>
        <w:rPr>
          <w:rFonts w:ascii="Arial" w:eastAsia="Arial" w:hAnsi="Arial" w:cs="Arial"/>
          <w:b/>
          <w:bCs/>
          <w:u w:val="single"/>
        </w:rPr>
        <w:t>Observación No. 6. Propiedad del carro taller (nota, página 56)</w:t>
      </w:r>
    </w:p>
    <w:p w14:paraId="4EA7F5D8" w14:textId="77777777" w:rsidR="0043281C" w:rsidRDefault="0043281C" w:rsidP="0043281C">
      <w:pPr>
        <w:spacing w:after="0" w:line="240" w:lineRule="auto"/>
        <w:jc w:val="both"/>
      </w:pPr>
      <w:r>
        <w:rPr>
          <w:rFonts w:ascii="Arial" w:eastAsia="Arial" w:hAnsi="Arial" w:cs="Arial"/>
        </w:rPr>
        <w:t>Se acoge la observación. Se ajustará la nota referida en el proyecto de pliego de condiciones en el sentido de exigir que el vehículo carro taller sea de propiedad del proponente y se acredite dicha propiedad desde la presentación de la propuesta, eliminando la posibilidad de suplir este requisito únicamente mediante acta de compromiso de arrendamiento posterior a la adjudicación, con el fin de garantizar el cumplimiento efectivo de este requisito habilitante durante la ejecución del contrato.</w:t>
      </w:r>
    </w:p>
    <w:p w14:paraId="1C8F46B9" w14:textId="77777777" w:rsidR="0043281C" w:rsidRDefault="0043281C" w:rsidP="0043281C">
      <w:pPr>
        <w:spacing w:after="0" w:line="240" w:lineRule="auto"/>
      </w:pPr>
    </w:p>
    <w:p w14:paraId="3F98E639" w14:textId="77777777" w:rsidR="0043281C" w:rsidRDefault="0043281C" w:rsidP="0043281C">
      <w:pPr>
        <w:spacing w:after="0" w:line="240" w:lineRule="auto"/>
        <w:jc w:val="both"/>
      </w:pPr>
      <w:r>
        <w:rPr>
          <w:rFonts w:ascii="Arial" w:eastAsia="Arial" w:hAnsi="Arial" w:cs="Arial"/>
          <w:b/>
          <w:bCs/>
          <w:u w:val="single"/>
        </w:rPr>
        <w:t>Observación No. 7. Tabla 3. Equipos mínimos requeridos (página 57)</w:t>
      </w:r>
    </w:p>
    <w:p w14:paraId="67C4E954" w14:textId="77777777" w:rsidR="0043281C" w:rsidRDefault="0043281C" w:rsidP="0043281C">
      <w:pPr>
        <w:spacing w:after="0" w:line="240" w:lineRule="auto"/>
        <w:jc w:val="both"/>
      </w:pPr>
      <w:r>
        <w:rPr>
          <w:rFonts w:ascii="Arial" w:eastAsia="Arial" w:hAnsi="Arial" w:cs="Arial"/>
        </w:rPr>
        <w:t>Se acoge la observación. Se mantiene la exigencia de un mínimo de nueve (9) elevadores de columna de 3,5 toneladas dentro de la Tabla 3. Equipos mínimos requeridos del proyecto de pliego de condiciones. Así mismo, se acepta que los certificados de calibración expedidos por la ONAC de los equipos de medición sean presentados por el proponente seleccionado, de forma previa al inicio de la ejecución del contrato.</w:t>
      </w:r>
    </w:p>
    <w:p w14:paraId="08382671" w14:textId="77777777" w:rsidR="0043281C" w:rsidRDefault="0043281C" w:rsidP="0043281C">
      <w:pPr>
        <w:spacing w:after="0" w:line="240" w:lineRule="auto"/>
      </w:pPr>
    </w:p>
    <w:p w14:paraId="6D27783E" w14:textId="77777777" w:rsidR="0043281C" w:rsidRDefault="0043281C" w:rsidP="0043281C">
      <w:pPr>
        <w:spacing w:after="0" w:line="240" w:lineRule="auto"/>
        <w:jc w:val="both"/>
      </w:pPr>
      <w:r>
        <w:rPr>
          <w:rFonts w:ascii="Arial" w:eastAsia="Arial" w:hAnsi="Arial" w:cs="Arial"/>
          <w:b/>
          <w:bCs/>
          <w:u w:val="single"/>
        </w:rPr>
        <w:t>Observación No. 8. Personal operativo mínimo requerido y equipo de trabajo (numerales 1.30.6 y 1.30.7)</w:t>
      </w:r>
    </w:p>
    <w:p w14:paraId="1E3CCF66" w14:textId="77777777" w:rsidR="0043281C" w:rsidRDefault="0043281C" w:rsidP="0043281C">
      <w:pPr>
        <w:spacing w:after="0" w:line="240" w:lineRule="auto"/>
        <w:jc w:val="both"/>
      </w:pPr>
      <w:r>
        <w:rPr>
          <w:rFonts w:ascii="Arial" w:eastAsia="Arial" w:hAnsi="Arial" w:cs="Arial"/>
        </w:rPr>
        <w:t xml:space="preserve">Se acoge la observación. En aplicación de los artículos 5 y 6 del Decreto 019 de 2012 y del numeral 3 del artículo 24 de la Ley 1437 de 2011 (CPACA), se eliminarán las exigencias contenidas en las Notas 3, 4 y 5 del numeral EQUIPO DE TRABAJO del proyecto de pliego de condiciones, relacionadas con la entrega anticipada de hojas de vida y demás documentos del personal operativo. En su lugar, para efectos de validar el personal mínimo requerido, se exigirá una certificación suscrita por el representante legal del proponente, mediante la cual se comprometa a garantizar la participación del personal ofertado en la ejecución del contrato, </w:t>
      </w:r>
      <w:r>
        <w:rPr>
          <w:rFonts w:ascii="Arial" w:eastAsia="Arial" w:hAnsi="Arial" w:cs="Arial"/>
        </w:rPr>
        <w:lastRenderedPageBreak/>
        <w:t>anexando listado con nombre, número de cédula, cargo a ocupar y los certificados de estudio y de experiencia que acrediten el perfil exigido, información que podrá ser validada por el comité evaluador. De igual forma, se acoge la solicitud de exigir un mínimo de cinco (5) mecánicos de motocicletas dentro del personal operativo mínimo requerido.</w:t>
      </w:r>
    </w:p>
    <w:p w14:paraId="1DED2CB0" w14:textId="77777777" w:rsidR="0043281C" w:rsidRDefault="0043281C" w:rsidP="0043281C">
      <w:pPr>
        <w:spacing w:after="0" w:line="240" w:lineRule="auto"/>
      </w:pPr>
    </w:p>
    <w:p w14:paraId="2ED80AFE" w14:textId="77777777" w:rsidR="0043281C" w:rsidRDefault="0043281C" w:rsidP="0043281C">
      <w:pPr>
        <w:spacing w:after="0" w:line="240" w:lineRule="auto"/>
        <w:jc w:val="both"/>
      </w:pPr>
      <w:r>
        <w:rPr>
          <w:rFonts w:ascii="Arial" w:eastAsia="Arial" w:hAnsi="Arial" w:cs="Arial"/>
          <w:b/>
          <w:bCs/>
          <w:u w:val="single"/>
        </w:rPr>
        <w:t>Observación No. 9. Taller para la prestación de los servicios – 9,5 puntos (numeral 1.31.2.1)</w:t>
      </w:r>
    </w:p>
    <w:p w14:paraId="312A8ED0" w14:textId="77777777" w:rsidR="0043281C" w:rsidRDefault="0043281C" w:rsidP="0043281C">
      <w:pPr>
        <w:spacing w:after="0" w:line="240" w:lineRule="auto"/>
        <w:jc w:val="both"/>
      </w:pPr>
      <w:r>
        <w:rPr>
          <w:rFonts w:ascii="Arial" w:eastAsia="Arial" w:hAnsi="Arial" w:cs="Arial"/>
        </w:rPr>
        <w:t>No se accede a la observación. La entidad mantiene la exigencia según la cual el área adicional a la mínima requerida (2.900 m²), objeto de puntaje, así como el cumplimiento de los equipos mínimos requeridos, deberá acreditarse en un único taller principal de propiedad o bajo la responsabilidad directa del proponente, y no mediante la sumatoria de hasta tres (3) talleres por alianza comercial, con el fin de garantizar la unidad, continuidad y verificación efectiva de la capacidad instalada ofertada.</w:t>
      </w:r>
    </w:p>
    <w:p w14:paraId="48B5818D" w14:textId="77777777" w:rsidR="0043281C" w:rsidRDefault="0043281C" w:rsidP="0043281C">
      <w:pPr>
        <w:spacing w:after="0" w:line="240" w:lineRule="auto"/>
      </w:pPr>
    </w:p>
    <w:p w14:paraId="7637DCB4" w14:textId="77777777" w:rsidR="0043281C" w:rsidRDefault="0043281C" w:rsidP="0043281C">
      <w:pPr>
        <w:spacing w:after="0" w:line="240" w:lineRule="auto"/>
        <w:jc w:val="both"/>
      </w:pPr>
      <w:r>
        <w:rPr>
          <w:rFonts w:ascii="Arial" w:eastAsia="Arial" w:hAnsi="Arial" w:cs="Arial"/>
          <w:b/>
          <w:bCs/>
          <w:u w:val="single"/>
        </w:rPr>
        <w:t>Observación No. 10. Forma de pago (numeral 1.38.2)</w:t>
      </w:r>
    </w:p>
    <w:p w14:paraId="581AE777" w14:textId="77777777" w:rsidR="0043281C" w:rsidRDefault="0043281C" w:rsidP="0043281C">
      <w:pPr>
        <w:spacing w:after="0" w:line="240" w:lineRule="auto"/>
        <w:jc w:val="both"/>
      </w:pPr>
      <w:r>
        <w:rPr>
          <w:rFonts w:ascii="Arial" w:eastAsia="Arial" w:hAnsi="Arial" w:cs="Arial"/>
        </w:rPr>
        <w:t>Se acoge la observación. Se eliminará, del numeral 1.38.2 FORMA DE PAGO del proyecto de pliego de condiciones, el requisito número cuatro (4), referente a "los demás documentos, informes o certificados exigidos por el supervisor de acuerdo con lo estipulado en el contrato, cuando a ello hubiere lugar", por tratarse de una exigencia indeterminada. En consecuencia, los documentos necesarios y suficientes para el trámite de pago del contratista serán: la factura, el informe de recibo a satisfacción de los servicios de mantenimiento suscrito por el supervisor del contrato, y la certificación de pago de aportes al Sistema de Seguridad Social Integral y Parafiscales.</w:t>
      </w:r>
    </w:p>
    <w:p w14:paraId="1B2EA6A9" w14:textId="77777777" w:rsidR="0043281C" w:rsidRDefault="0043281C" w:rsidP="0043281C">
      <w:pPr>
        <w:spacing w:after="0" w:line="240" w:lineRule="auto"/>
      </w:pPr>
    </w:p>
    <w:p w14:paraId="67BC607B" w14:textId="77777777" w:rsidR="0043281C" w:rsidRDefault="0043281C" w:rsidP="0043281C">
      <w:pPr>
        <w:spacing w:after="0" w:line="240" w:lineRule="auto"/>
        <w:jc w:val="both"/>
      </w:pPr>
      <w:r>
        <w:rPr>
          <w:rFonts w:ascii="Arial" w:eastAsia="Arial" w:hAnsi="Arial" w:cs="Arial"/>
          <w:b/>
          <w:bCs/>
        </w:rPr>
        <w:t>Observaciones complementarias – Mensaje SECOP II Ref. CO1.MSG.10027762</w:t>
      </w:r>
    </w:p>
    <w:p w14:paraId="40CE4CA3" w14:textId="77777777" w:rsidR="0043281C" w:rsidRDefault="0043281C" w:rsidP="0043281C">
      <w:pPr>
        <w:spacing w:after="0" w:line="240" w:lineRule="auto"/>
      </w:pPr>
    </w:p>
    <w:p w14:paraId="455EF004" w14:textId="77777777" w:rsidR="0043281C" w:rsidRDefault="0043281C" w:rsidP="0043281C">
      <w:pPr>
        <w:spacing w:after="0" w:line="240" w:lineRule="auto"/>
        <w:jc w:val="both"/>
      </w:pPr>
      <w:r>
        <w:rPr>
          <w:rFonts w:ascii="Arial" w:eastAsia="Arial" w:hAnsi="Arial" w:cs="Arial"/>
          <w:b/>
          <w:bCs/>
          <w:u w:val="single"/>
        </w:rPr>
        <w:t>Observación A. Indicador de endeudamiento ≤25%</w:t>
      </w:r>
    </w:p>
    <w:p w14:paraId="662AAB62" w14:textId="77777777" w:rsidR="0043281C" w:rsidRDefault="0043281C" w:rsidP="0043281C">
      <w:pPr>
        <w:spacing w:after="0" w:line="240" w:lineRule="auto"/>
        <w:jc w:val="both"/>
      </w:pPr>
      <w:r>
        <w:rPr>
          <w:rFonts w:ascii="Arial" w:eastAsia="Arial" w:hAnsi="Arial" w:cs="Arial"/>
        </w:rPr>
        <w:t>Esta observación ya fue atendida mediante la respuesta otorgada a la Observación No. 3 presentada por el mismo interesado, en el sentido de ajustar el indicador de endeudamiento a un valor menor o igual al 30% (≤0,30). En consecuencia, no se accede a reducir dicho indicador al 25%, y se mantiene el umbral del 30% ya definido.</w:t>
      </w:r>
    </w:p>
    <w:p w14:paraId="0DFDB7F4" w14:textId="77777777" w:rsidR="0043281C" w:rsidRDefault="0043281C" w:rsidP="0043281C">
      <w:pPr>
        <w:spacing w:after="0" w:line="240" w:lineRule="auto"/>
      </w:pPr>
    </w:p>
    <w:p w14:paraId="5986CDF3" w14:textId="77777777" w:rsidR="0043281C" w:rsidRDefault="0043281C" w:rsidP="0043281C">
      <w:pPr>
        <w:spacing w:after="0" w:line="240" w:lineRule="auto"/>
        <w:jc w:val="both"/>
      </w:pPr>
      <w:r>
        <w:rPr>
          <w:rFonts w:ascii="Arial" w:eastAsia="Arial" w:hAnsi="Arial" w:cs="Arial"/>
          <w:b/>
          <w:bCs/>
          <w:u w:val="single"/>
        </w:rPr>
        <w:t>Observación B. Hojas de vida del personal técnico presentadas únicamente por el contratista ganador</w:t>
      </w:r>
    </w:p>
    <w:p w14:paraId="2397D9F7" w14:textId="77777777" w:rsidR="0043281C" w:rsidRDefault="0043281C" w:rsidP="0043281C">
      <w:pPr>
        <w:spacing w:after="0" w:line="240" w:lineRule="auto"/>
        <w:jc w:val="both"/>
      </w:pPr>
      <w:r>
        <w:rPr>
          <w:rFonts w:ascii="Arial" w:eastAsia="Arial" w:hAnsi="Arial" w:cs="Arial"/>
        </w:rPr>
        <w:t>Se acoge la observación, en los mismos términos resueltos en la Observación No. 8, esto es, mediante una certificación suscrita por el representante legal del proponente con el listado del personal ofertado (nombre, cédula, cargo y certificados de estudio y experiencia), sin que se requiera allegar la totalidad de las hojas de vida y documentos soporte del personal desde la presentación de la oferta.</w:t>
      </w:r>
    </w:p>
    <w:p w14:paraId="1391A7C8" w14:textId="77777777" w:rsidR="0043281C" w:rsidRDefault="0043281C" w:rsidP="0043281C">
      <w:pPr>
        <w:spacing w:after="0" w:line="240" w:lineRule="auto"/>
      </w:pPr>
    </w:p>
    <w:p w14:paraId="55DE6F55" w14:textId="77777777" w:rsidR="0043281C" w:rsidRDefault="0043281C" w:rsidP="0043281C">
      <w:pPr>
        <w:spacing w:after="0" w:line="240" w:lineRule="auto"/>
        <w:jc w:val="both"/>
      </w:pPr>
      <w:r>
        <w:rPr>
          <w:rFonts w:ascii="Arial" w:eastAsia="Arial" w:hAnsi="Arial" w:cs="Arial"/>
          <w:b/>
          <w:bCs/>
          <w:u w:val="single"/>
        </w:rPr>
        <w:t>Observación C. Certificados de calibración ONAC presentados únicamente por el proponente ganador</w:t>
      </w:r>
    </w:p>
    <w:p w14:paraId="5161FB40" w14:textId="77777777" w:rsidR="0043281C" w:rsidRDefault="0043281C" w:rsidP="0043281C">
      <w:pPr>
        <w:spacing w:after="0" w:line="240" w:lineRule="auto"/>
        <w:jc w:val="both"/>
      </w:pPr>
      <w:r>
        <w:rPr>
          <w:rFonts w:ascii="Arial" w:eastAsia="Arial" w:hAnsi="Arial" w:cs="Arial"/>
        </w:rPr>
        <w:lastRenderedPageBreak/>
        <w:t>Se acoge la observación, por coincidir con lo ya resuelto en la Observación No. 7, en el sentido de que los certificados de calibración ONAC de los equipos de medición serán presentados por el proponente seleccionado, de forma previa al inicio de la ejecución del contrato.</w:t>
      </w:r>
    </w:p>
    <w:p w14:paraId="36F0AB41" w14:textId="77777777" w:rsidR="0043281C" w:rsidRDefault="0043281C" w:rsidP="0043281C">
      <w:pPr>
        <w:spacing w:after="0" w:line="240" w:lineRule="auto"/>
      </w:pPr>
    </w:p>
    <w:p w14:paraId="49E6B0C2" w14:textId="77777777" w:rsidR="0043281C" w:rsidRDefault="0043281C" w:rsidP="0043281C">
      <w:pPr>
        <w:spacing w:after="0" w:line="240" w:lineRule="auto"/>
        <w:jc w:val="both"/>
      </w:pPr>
      <w:r>
        <w:rPr>
          <w:rFonts w:ascii="Arial" w:eastAsia="Arial" w:hAnsi="Arial" w:cs="Arial"/>
          <w:b/>
          <w:bCs/>
          <w:u w:val="single"/>
        </w:rPr>
        <w:t>Observación D. Exigir solamente tres (3) elevadores de columna de 3,5 toneladas</w:t>
      </w:r>
    </w:p>
    <w:p w14:paraId="3217DBA4" w14:textId="77777777" w:rsidR="0043281C" w:rsidRDefault="0043281C" w:rsidP="0043281C">
      <w:pPr>
        <w:spacing w:after="0" w:line="240" w:lineRule="auto"/>
        <w:jc w:val="both"/>
      </w:pPr>
      <w:r>
        <w:rPr>
          <w:rFonts w:ascii="Arial" w:eastAsia="Arial" w:hAnsi="Arial" w:cs="Arial"/>
        </w:rPr>
        <w:t>No se accede a la observación. Conforme a lo resuelto en la Observación No. 7, la entidad mantiene la exigencia de un mínimo de nueve (9) elevadores de columna de 3,5 toneladas, por lo que no es procedente reducir dicha exigencia a tres (3) unidades.</w:t>
      </w:r>
    </w:p>
    <w:p w14:paraId="58520243" w14:textId="77777777" w:rsidR="0043281C" w:rsidRDefault="0043281C" w:rsidP="0043281C">
      <w:pPr>
        <w:spacing w:after="0" w:line="240" w:lineRule="auto"/>
      </w:pPr>
    </w:p>
    <w:p w14:paraId="5D2D9C74" w14:textId="77777777" w:rsidR="0043281C" w:rsidRDefault="0043281C" w:rsidP="0043281C">
      <w:pPr>
        <w:spacing w:after="0" w:line="240" w:lineRule="auto"/>
        <w:jc w:val="both"/>
      </w:pPr>
      <w:r>
        <w:rPr>
          <w:rFonts w:ascii="Arial" w:eastAsia="Arial" w:hAnsi="Arial" w:cs="Arial"/>
          <w:b/>
          <w:bCs/>
          <w:u w:val="single"/>
        </w:rPr>
        <w:t>Observación E. Taller principal descubierto y acreditación mediante varios talleres por alianza comercial</w:t>
      </w:r>
    </w:p>
    <w:p w14:paraId="39D7FF5C" w14:textId="77777777" w:rsidR="0043281C" w:rsidRDefault="0043281C" w:rsidP="0043281C">
      <w:pPr>
        <w:spacing w:after="0" w:line="240" w:lineRule="auto"/>
        <w:jc w:val="both"/>
      </w:pPr>
      <w:r>
        <w:rPr>
          <w:rFonts w:ascii="Arial" w:eastAsia="Arial" w:hAnsi="Arial" w:cs="Arial"/>
        </w:rPr>
        <w:t>No se accede a la observación. La entidad mantiene la exigencia de que el taller principal cuente con un área de trabajo continua, cerrada y demarcada, conforme a las condiciones técnicas del estudio previo y del pliego de condiciones, por lo que no es procedente que el taller principal sea descubierto. De igual forma, y en concordancia con lo resuelto en la Observación No. 9, no se accede a que el área adicional objeto de puntaje ni los equipos mínimos requeridos se acrediten mediante la sumatoria de varios talleres bajo alianza comercial o carta de intención.</w:t>
      </w:r>
    </w:p>
    <w:p w14:paraId="2E6C3182" w14:textId="77777777" w:rsidR="0043281C" w:rsidRDefault="0043281C" w:rsidP="0043281C">
      <w:pPr>
        <w:spacing w:after="0" w:line="240" w:lineRule="auto"/>
      </w:pPr>
    </w:p>
    <w:p w14:paraId="07B40DD7" w14:textId="77777777" w:rsidR="0043281C" w:rsidRDefault="0043281C" w:rsidP="0043281C">
      <w:pPr>
        <w:spacing w:after="0" w:line="240" w:lineRule="auto"/>
        <w:jc w:val="center"/>
      </w:pPr>
      <w:r>
        <w:rPr>
          <w:rFonts w:ascii="Arial" w:eastAsia="Arial" w:hAnsi="Arial" w:cs="Arial"/>
          <w:b/>
          <w:bCs/>
        </w:rPr>
        <w:t>RENOVACIÓN Y ALIANZA ESTRATÉGICA S.A.S.</w:t>
      </w:r>
    </w:p>
    <w:p w14:paraId="21839AC5" w14:textId="77777777" w:rsidR="0043281C" w:rsidRDefault="0043281C" w:rsidP="0043281C">
      <w:pPr>
        <w:spacing w:after="0" w:line="240" w:lineRule="auto"/>
      </w:pPr>
    </w:p>
    <w:p w14:paraId="50D52ABE" w14:textId="77777777" w:rsidR="0043281C" w:rsidRDefault="0043281C" w:rsidP="0043281C">
      <w:pPr>
        <w:spacing w:after="0" w:line="240" w:lineRule="auto"/>
        <w:jc w:val="both"/>
      </w:pPr>
      <w:r>
        <w:rPr>
          <w:rFonts w:ascii="Arial" w:eastAsia="Arial" w:hAnsi="Arial" w:cs="Arial"/>
          <w:b/>
          <w:bCs/>
          <w:u w:val="single"/>
        </w:rPr>
        <w:t>Observación única. Concepto de uso de suelo aplicable para acreditar el área del taller principal</w:t>
      </w:r>
    </w:p>
    <w:p w14:paraId="1CD59730" w14:textId="77777777" w:rsidR="0043281C" w:rsidRDefault="0043281C" w:rsidP="0043281C">
      <w:pPr>
        <w:spacing w:after="0" w:line="240" w:lineRule="auto"/>
        <w:jc w:val="both"/>
      </w:pPr>
      <w:r>
        <w:rPr>
          <w:rFonts w:ascii="Arial" w:eastAsia="Arial" w:hAnsi="Arial" w:cs="Arial"/>
        </w:rPr>
        <w:t>No se accede a la observación. La entidad considera que la exigencia establecida en el proyecto de pliego de condiciones, relacionada con la verificación del área ofertada mediante la presentación del concepto de uso de suelos de la nomenclatura ofertada, es clara y se encuentra ajustada a la normativa de ordenamiento territorial vigente aplicable al predio ofertado, por lo que corresponde al proponente adelantar la consulta y obtención del concepto de uso de suelo ante la autoridad competente, de acuerdo con la reglamentación urbanística que rija su inmueble a la fecha de expedición del concepto.</w:t>
      </w:r>
    </w:p>
    <w:p w14:paraId="4915CFF3" w14:textId="77777777" w:rsidR="0043281C" w:rsidRDefault="0043281C" w:rsidP="0043281C">
      <w:pPr>
        <w:spacing w:after="0" w:line="240" w:lineRule="auto"/>
      </w:pPr>
    </w:p>
    <w:p w14:paraId="64D76A01" w14:textId="77777777" w:rsidR="0043281C" w:rsidRDefault="0043281C" w:rsidP="0043281C">
      <w:pPr>
        <w:spacing w:after="0" w:line="240" w:lineRule="auto"/>
      </w:pPr>
    </w:p>
    <w:p w14:paraId="370A8234" w14:textId="77777777" w:rsidR="0043281C" w:rsidRDefault="0043281C" w:rsidP="0043281C">
      <w:pPr>
        <w:spacing w:after="0" w:line="240" w:lineRule="auto"/>
        <w:jc w:val="both"/>
      </w:pPr>
      <w:r>
        <w:rPr>
          <w:rFonts w:ascii="Arial" w:eastAsia="Arial" w:hAnsi="Arial" w:cs="Arial"/>
        </w:rPr>
        <w:t>Cordialmente,</w:t>
      </w:r>
    </w:p>
    <w:p w14:paraId="2931D690" w14:textId="77777777" w:rsidR="0043281C" w:rsidRDefault="0043281C" w:rsidP="0043281C">
      <w:pPr>
        <w:spacing w:after="0" w:line="240" w:lineRule="auto"/>
      </w:pPr>
    </w:p>
    <w:p w14:paraId="78012BB3" w14:textId="77777777" w:rsidR="0043281C" w:rsidRDefault="0043281C" w:rsidP="0043281C">
      <w:pPr>
        <w:spacing w:after="0" w:line="240" w:lineRule="auto"/>
        <w:jc w:val="both"/>
      </w:pPr>
      <w:r>
        <w:rPr>
          <w:rFonts w:ascii="Arial" w:eastAsia="Arial" w:hAnsi="Arial" w:cs="Arial"/>
        </w:rPr>
        <w:t>COMITÉ ESTRUCTURADOR</w:t>
      </w:r>
    </w:p>
    <w:p w14:paraId="5FF6669D" w14:textId="77777777" w:rsidR="0043281C" w:rsidRDefault="0043281C" w:rsidP="0043281C">
      <w:pPr>
        <w:spacing w:after="0" w:line="240" w:lineRule="auto"/>
        <w:jc w:val="both"/>
      </w:pPr>
      <w:r>
        <w:rPr>
          <w:rFonts w:ascii="Arial" w:eastAsia="Arial" w:hAnsi="Arial" w:cs="Arial"/>
        </w:rPr>
        <w:t>Departamento del Valle del Cauca – Secretaría de Convivencia y Seguridad Ciudadana</w:t>
      </w:r>
    </w:p>
    <w:p w14:paraId="35571F70" w14:textId="31B68004" w:rsidR="00242747" w:rsidRPr="00BD30D6" w:rsidRDefault="00242747" w:rsidP="0043281C">
      <w:pPr>
        <w:spacing w:after="0" w:line="240" w:lineRule="auto"/>
        <w:jc w:val="both"/>
        <w:rPr>
          <w:rFonts w:ascii="Arial" w:hAnsi="Arial" w:cs="Arial"/>
          <w:sz w:val="16"/>
          <w:szCs w:val="16"/>
        </w:rPr>
      </w:pPr>
    </w:p>
    <w:sectPr w:rsidR="00242747" w:rsidRPr="00BD30D6" w:rsidSect="002C7107">
      <w:headerReference w:type="even" r:id="rId7"/>
      <w:headerReference w:type="default" r:id="rId8"/>
      <w:footerReference w:type="even" r:id="rId9"/>
      <w:footerReference w:type="default" r:id="rId10"/>
      <w:headerReference w:type="first" r:id="rId11"/>
      <w:footerReference w:type="first" r:id="rId12"/>
      <w:pgSz w:w="12240" w:h="15840"/>
      <w:pgMar w:top="2410" w:right="1701" w:bottom="1985"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858E6" w14:textId="77777777" w:rsidR="00111E52" w:rsidRDefault="00111E52" w:rsidP="007431B3">
      <w:pPr>
        <w:spacing w:after="0" w:line="240" w:lineRule="auto"/>
      </w:pPr>
      <w:r>
        <w:separator/>
      </w:r>
    </w:p>
  </w:endnote>
  <w:endnote w:type="continuationSeparator" w:id="0">
    <w:p w14:paraId="2BE5FE14" w14:textId="77777777" w:rsidR="00111E52" w:rsidRDefault="00111E52" w:rsidP="00743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709C4" w14:textId="77777777" w:rsidR="00933F9C" w:rsidRDefault="00933F9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328EA" w14:textId="39DE3A1A" w:rsidR="00475B13" w:rsidRDefault="00475B13">
    <w:pPr>
      <w:pStyle w:val="Piedepgina"/>
    </w:pPr>
    <w:r>
      <w:rPr>
        <w:noProof/>
      </w:rPr>
      <w:drawing>
        <wp:anchor distT="0" distB="0" distL="114300" distR="114300" simplePos="0" relativeHeight="251665408" behindDoc="1" locked="0" layoutInCell="1" allowOverlap="1" wp14:anchorId="1D67CDD7" wp14:editId="4A7CBB2B">
          <wp:simplePos x="0" y="0"/>
          <wp:positionH relativeFrom="column">
            <wp:posOffset>-52706</wp:posOffset>
          </wp:positionH>
          <wp:positionV relativeFrom="paragraph">
            <wp:posOffset>-503555</wp:posOffset>
          </wp:positionV>
          <wp:extent cx="2828925" cy="957888"/>
          <wp:effectExtent l="0" t="0" r="0" b="0"/>
          <wp:wrapNone/>
          <wp:docPr id="15941102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110208" name="Imagen 1"/>
                  <pic:cNvPicPr/>
                </pic:nvPicPr>
                <pic:blipFill rotWithShape="1">
                  <a:blip r:embed="rId1">
                    <a:extLst>
                      <a:ext uri="{28A0092B-C50C-407E-A947-70E740481C1C}">
                        <a14:useLocalDpi xmlns:a14="http://schemas.microsoft.com/office/drawing/2010/main" val="0"/>
                      </a:ext>
                    </a:extLst>
                  </a:blip>
                  <a:srcRect r="64642"/>
                  <a:stretch/>
                </pic:blipFill>
                <pic:spPr bwMode="auto">
                  <a:xfrm>
                    <a:off x="0" y="0"/>
                    <a:ext cx="2830683" cy="95848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45ACE" w14:textId="77777777" w:rsidR="00933F9C" w:rsidRDefault="00933F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5F2E7" w14:textId="77777777" w:rsidR="00111E52" w:rsidRDefault="00111E52" w:rsidP="007431B3">
      <w:pPr>
        <w:spacing w:after="0" w:line="240" w:lineRule="auto"/>
      </w:pPr>
      <w:r>
        <w:separator/>
      </w:r>
    </w:p>
  </w:footnote>
  <w:footnote w:type="continuationSeparator" w:id="0">
    <w:p w14:paraId="720744F1" w14:textId="77777777" w:rsidR="00111E52" w:rsidRDefault="00111E52" w:rsidP="007431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A0F75" w14:textId="0BDE8BCC" w:rsidR="007431B3" w:rsidRDefault="00111E52">
    <w:pPr>
      <w:pStyle w:val="Encabezado"/>
    </w:pPr>
    <w:r>
      <w:rPr>
        <w:noProof/>
      </w:rPr>
      <w:pict w14:anchorId="73A5B8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707454" o:spid="_x0000_s1027" type="#_x0000_t75" alt="" style="position:absolute;margin-left:0;margin-top:0;width:612.05pt;height:792.05pt;z-index:-251657216;mso-wrap-edited:f;mso-width-percent:0;mso-height-percent:0;mso-position-horizontal:center;mso-position-horizontal-relative:margin;mso-position-vertical:center;mso-position-vertical-relative:margin;mso-width-percent:0;mso-height-percent:0" o:allowincell="f">
          <v:imagedata r:id="rId1" o:title="MEMBRETE_Mesa de trabajo 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2C242" w14:textId="30F206B5" w:rsidR="007431B3" w:rsidRDefault="0073778B" w:rsidP="007431B3">
    <w:pPr>
      <w:pStyle w:val="Encabezado"/>
    </w:pPr>
    <w:r>
      <w:rPr>
        <w:noProof/>
      </w:rPr>
      <w:drawing>
        <wp:anchor distT="0" distB="0" distL="114300" distR="114300" simplePos="0" relativeHeight="251666432" behindDoc="1" locked="0" layoutInCell="1" allowOverlap="1" wp14:anchorId="56966E7E" wp14:editId="5601303D">
          <wp:simplePos x="0" y="0"/>
          <wp:positionH relativeFrom="column">
            <wp:posOffset>1081407</wp:posOffset>
          </wp:positionH>
          <wp:positionV relativeFrom="paragraph">
            <wp:posOffset>-49530</wp:posOffset>
          </wp:positionV>
          <wp:extent cx="3829584" cy="1028844"/>
          <wp:effectExtent l="0" t="0" r="0" b="0"/>
          <wp:wrapNone/>
          <wp:docPr id="8036472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647209" name="Imagen 803647209"/>
                  <pic:cNvPicPr/>
                </pic:nvPicPr>
                <pic:blipFill>
                  <a:blip r:embed="rId1">
                    <a:extLst>
                      <a:ext uri="{28A0092B-C50C-407E-A947-70E740481C1C}">
                        <a14:useLocalDpi xmlns:a14="http://schemas.microsoft.com/office/drawing/2010/main" val="0"/>
                      </a:ext>
                    </a:extLst>
                  </a:blip>
                  <a:stretch>
                    <a:fillRect/>
                  </a:stretch>
                </pic:blipFill>
                <pic:spPr>
                  <a:xfrm>
                    <a:off x="0" y="0"/>
                    <a:ext cx="3829584" cy="1028844"/>
                  </a:xfrm>
                  <a:prstGeom prst="rect">
                    <a:avLst/>
                  </a:prstGeom>
                </pic:spPr>
              </pic:pic>
            </a:graphicData>
          </a:graphic>
        </wp:anchor>
      </w:drawing>
    </w:r>
    <w:r w:rsidR="00111E52">
      <w:rPr>
        <w:noProof/>
      </w:rPr>
      <w:pict w14:anchorId="683338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707455" o:spid="_x0000_s1026" type="#_x0000_t75" alt="" style="position:absolute;margin-left:-71.65pt;margin-top:6.25pt;width:612.05pt;height:573pt;z-index:-251656192;mso-wrap-edited:f;mso-width-percent:0;mso-height-percent:0;mso-position-horizontal-relative:margin;mso-position-vertical-relative:margin;mso-width-percent:0;mso-height-percent:0" o:allowincell="f">
          <v:imagedata r:id="rId2" o:title="MEMBRETE_Mesa de trabajo 1" croptop="10550f" cropbottom="7575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D20A9" w14:textId="0F7BB562" w:rsidR="007431B3" w:rsidRDefault="00111E52">
    <w:pPr>
      <w:pStyle w:val="Encabezado"/>
    </w:pPr>
    <w:r>
      <w:rPr>
        <w:noProof/>
      </w:rPr>
      <w:pict w14:anchorId="17EA20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707453" o:spid="_x0000_s1025" type="#_x0000_t75" alt="" style="position:absolute;margin-left:0;margin-top:0;width:612.05pt;height:792.05pt;z-index:-251658240;mso-wrap-edited:f;mso-width-percent:0;mso-height-percent:0;mso-position-horizontal:center;mso-position-horizontal-relative:margin;mso-position-vertical:center;mso-position-vertical-relative:margin;mso-width-percent:0;mso-height-percent:0" o:allowincell="f">
          <v:imagedata r:id="rId1" o:title="MEMBRETE_Mesa de trabajo 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ABBB55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9BA1802"/>
    <w:multiLevelType w:val="hybridMultilevel"/>
    <w:tmpl w:val="7D5227E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5846839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108247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1B3"/>
    <w:rsid w:val="0001328D"/>
    <w:rsid w:val="000219BB"/>
    <w:rsid w:val="000264FA"/>
    <w:rsid w:val="00063EBD"/>
    <w:rsid w:val="000A20AF"/>
    <w:rsid w:val="000D3CA2"/>
    <w:rsid w:val="000E2BF8"/>
    <w:rsid w:val="000E2D08"/>
    <w:rsid w:val="00111E52"/>
    <w:rsid w:val="00114522"/>
    <w:rsid w:val="00135296"/>
    <w:rsid w:val="00162EB5"/>
    <w:rsid w:val="00195640"/>
    <w:rsid w:val="001A08BB"/>
    <w:rsid w:val="001B6745"/>
    <w:rsid w:val="00200AA2"/>
    <w:rsid w:val="00205E52"/>
    <w:rsid w:val="00210EAD"/>
    <w:rsid w:val="00214C1E"/>
    <w:rsid w:val="0023477C"/>
    <w:rsid w:val="00242747"/>
    <w:rsid w:val="00246FA1"/>
    <w:rsid w:val="002A0519"/>
    <w:rsid w:val="002C7107"/>
    <w:rsid w:val="002D5C43"/>
    <w:rsid w:val="002F4BAE"/>
    <w:rsid w:val="00320613"/>
    <w:rsid w:val="0033645E"/>
    <w:rsid w:val="0034312E"/>
    <w:rsid w:val="00355410"/>
    <w:rsid w:val="00364F69"/>
    <w:rsid w:val="0039236A"/>
    <w:rsid w:val="003A30F3"/>
    <w:rsid w:val="003B306F"/>
    <w:rsid w:val="004227FF"/>
    <w:rsid w:val="0043281C"/>
    <w:rsid w:val="004433F3"/>
    <w:rsid w:val="00467AA1"/>
    <w:rsid w:val="00475B13"/>
    <w:rsid w:val="00484154"/>
    <w:rsid w:val="00490EE5"/>
    <w:rsid w:val="004F40A1"/>
    <w:rsid w:val="00504053"/>
    <w:rsid w:val="005130D6"/>
    <w:rsid w:val="00526B39"/>
    <w:rsid w:val="005A4A8E"/>
    <w:rsid w:val="005B3317"/>
    <w:rsid w:val="005C5BE6"/>
    <w:rsid w:val="005E3A38"/>
    <w:rsid w:val="0060286A"/>
    <w:rsid w:val="006831CA"/>
    <w:rsid w:val="006A2C06"/>
    <w:rsid w:val="006A6083"/>
    <w:rsid w:val="006C2C3C"/>
    <w:rsid w:val="006E2FE0"/>
    <w:rsid w:val="006E5DDE"/>
    <w:rsid w:val="0073778B"/>
    <w:rsid w:val="00741F17"/>
    <w:rsid w:val="007431B3"/>
    <w:rsid w:val="00751339"/>
    <w:rsid w:val="00781110"/>
    <w:rsid w:val="00793ADF"/>
    <w:rsid w:val="007A0DC6"/>
    <w:rsid w:val="007C39F2"/>
    <w:rsid w:val="007D5EC8"/>
    <w:rsid w:val="00812EA5"/>
    <w:rsid w:val="00844D60"/>
    <w:rsid w:val="00845E49"/>
    <w:rsid w:val="008A22A7"/>
    <w:rsid w:val="008A6F56"/>
    <w:rsid w:val="008B52FF"/>
    <w:rsid w:val="008C2AC2"/>
    <w:rsid w:val="008F161A"/>
    <w:rsid w:val="00903B4F"/>
    <w:rsid w:val="00933F9C"/>
    <w:rsid w:val="009419D6"/>
    <w:rsid w:val="00966E52"/>
    <w:rsid w:val="00982E8D"/>
    <w:rsid w:val="009D7A9F"/>
    <w:rsid w:val="00A03AF1"/>
    <w:rsid w:val="00A20106"/>
    <w:rsid w:val="00A477C0"/>
    <w:rsid w:val="00A51443"/>
    <w:rsid w:val="00A66283"/>
    <w:rsid w:val="00AB1E47"/>
    <w:rsid w:val="00AB4F09"/>
    <w:rsid w:val="00AD5722"/>
    <w:rsid w:val="00AE6EE3"/>
    <w:rsid w:val="00B00EF1"/>
    <w:rsid w:val="00B259A2"/>
    <w:rsid w:val="00B46EF5"/>
    <w:rsid w:val="00B60A20"/>
    <w:rsid w:val="00BA6956"/>
    <w:rsid w:val="00BB7CB9"/>
    <w:rsid w:val="00BD30D6"/>
    <w:rsid w:val="00C30FC7"/>
    <w:rsid w:val="00C43211"/>
    <w:rsid w:val="00C7102E"/>
    <w:rsid w:val="00C8756F"/>
    <w:rsid w:val="00CD2A44"/>
    <w:rsid w:val="00CE1874"/>
    <w:rsid w:val="00CE48B3"/>
    <w:rsid w:val="00D90A28"/>
    <w:rsid w:val="00DA7A24"/>
    <w:rsid w:val="00DD7770"/>
    <w:rsid w:val="00DF2C95"/>
    <w:rsid w:val="00DF4D29"/>
    <w:rsid w:val="00E3422C"/>
    <w:rsid w:val="00E7437D"/>
    <w:rsid w:val="00E8072F"/>
    <w:rsid w:val="00E916AD"/>
    <w:rsid w:val="00EA3B35"/>
    <w:rsid w:val="00F12CE0"/>
    <w:rsid w:val="00F64968"/>
    <w:rsid w:val="00F837BB"/>
    <w:rsid w:val="00FB4F6E"/>
    <w:rsid w:val="00FB64F1"/>
    <w:rsid w:val="00FC3CFE"/>
    <w:rsid w:val="00FD715B"/>
    <w:rsid w:val="00FE6D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5589E"/>
  <w15:chartTrackingRefBased/>
  <w15:docId w15:val="{FB74A507-4B1A-4736-AC3E-61BB04312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431B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431B3"/>
  </w:style>
  <w:style w:type="paragraph" w:styleId="Piedepgina">
    <w:name w:val="footer"/>
    <w:basedOn w:val="Normal"/>
    <w:link w:val="PiedepginaCar"/>
    <w:uiPriority w:val="99"/>
    <w:unhideWhenUsed/>
    <w:rsid w:val="007431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31B3"/>
  </w:style>
  <w:style w:type="paragraph" w:styleId="Textoindependiente2">
    <w:name w:val="Body Text 2"/>
    <w:basedOn w:val="Normal"/>
    <w:link w:val="Textoindependiente2Car"/>
    <w:uiPriority w:val="99"/>
    <w:unhideWhenUsed/>
    <w:rsid w:val="005B3317"/>
    <w:pPr>
      <w:spacing w:after="120" w:line="480" w:lineRule="auto"/>
    </w:pPr>
  </w:style>
  <w:style w:type="character" w:customStyle="1" w:styleId="Textoindependiente2Car">
    <w:name w:val="Texto independiente 2 Car"/>
    <w:basedOn w:val="Fuentedeprrafopredeter"/>
    <w:link w:val="Textoindependiente2"/>
    <w:uiPriority w:val="99"/>
    <w:rsid w:val="005B3317"/>
  </w:style>
  <w:style w:type="paragraph" w:styleId="Sinespaciado">
    <w:name w:val="No Spacing"/>
    <w:uiPriority w:val="1"/>
    <w:qFormat/>
    <w:rsid w:val="005B3317"/>
    <w:pPr>
      <w:spacing w:after="0" w:line="240" w:lineRule="auto"/>
    </w:pPr>
  </w:style>
  <w:style w:type="paragraph" w:customStyle="1" w:styleId="Lneadereferencia">
    <w:name w:val="Línea de referencia"/>
    <w:basedOn w:val="Textoindependiente"/>
    <w:uiPriority w:val="99"/>
    <w:rsid w:val="005B3317"/>
    <w:pPr>
      <w:spacing w:line="276" w:lineRule="auto"/>
    </w:pPr>
    <w:rPr>
      <w:rFonts w:ascii="Calibri" w:eastAsia="Calibri" w:hAnsi="Calibri" w:cs="Times New Roman"/>
    </w:rPr>
  </w:style>
  <w:style w:type="character" w:styleId="Textoennegrita">
    <w:name w:val="Strong"/>
    <w:basedOn w:val="Fuentedeprrafopredeter"/>
    <w:qFormat/>
    <w:rsid w:val="005B3317"/>
    <w:rPr>
      <w:b/>
      <w:bCs/>
    </w:rPr>
  </w:style>
  <w:style w:type="paragraph" w:styleId="Textoindependiente">
    <w:name w:val="Body Text"/>
    <w:basedOn w:val="Normal"/>
    <w:link w:val="TextoindependienteCar"/>
    <w:uiPriority w:val="99"/>
    <w:semiHidden/>
    <w:unhideWhenUsed/>
    <w:rsid w:val="005B3317"/>
    <w:pPr>
      <w:spacing w:after="120"/>
    </w:pPr>
  </w:style>
  <w:style w:type="character" w:customStyle="1" w:styleId="TextoindependienteCar">
    <w:name w:val="Texto independiente Car"/>
    <w:basedOn w:val="Fuentedeprrafopredeter"/>
    <w:link w:val="Textoindependiente"/>
    <w:uiPriority w:val="99"/>
    <w:semiHidden/>
    <w:rsid w:val="005B3317"/>
  </w:style>
  <w:style w:type="paragraph" w:styleId="Prrafodelista">
    <w:name w:val="List Paragraph"/>
    <w:basedOn w:val="Normal"/>
    <w:uiPriority w:val="34"/>
    <w:qFormat/>
    <w:rsid w:val="00467AA1"/>
    <w:pPr>
      <w:ind w:left="720"/>
      <w:contextualSpacing/>
    </w:pPr>
  </w:style>
  <w:style w:type="paragraph" w:customStyle="1" w:styleId="Default">
    <w:name w:val="Default"/>
    <w:rsid w:val="007C39F2"/>
    <w:pPr>
      <w:autoSpaceDE w:val="0"/>
      <w:autoSpaceDN w:val="0"/>
      <w:adjustRightInd w:val="0"/>
      <w:spacing w:after="0" w:line="240" w:lineRule="auto"/>
    </w:pPr>
    <w:rPr>
      <w:rFonts w:ascii="Arial" w:hAnsi="Arial" w:cs="Arial"/>
      <w:color w:val="000000"/>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624407">
      <w:bodyDiv w:val="1"/>
      <w:marLeft w:val="0"/>
      <w:marRight w:val="0"/>
      <w:marTop w:val="0"/>
      <w:marBottom w:val="0"/>
      <w:divBdr>
        <w:top w:val="none" w:sz="0" w:space="0" w:color="auto"/>
        <w:left w:val="none" w:sz="0" w:space="0" w:color="auto"/>
        <w:bottom w:val="none" w:sz="0" w:space="0" w:color="auto"/>
        <w:right w:val="none" w:sz="0" w:space="0" w:color="auto"/>
      </w:divBdr>
    </w:div>
    <w:div w:id="499927335">
      <w:bodyDiv w:val="1"/>
      <w:marLeft w:val="0"/>
      <w:marRight w:val="0"/>
      <w:marTop w:val="0"/>
      <w:marBottom w:val="0"/>
      <w:divBdr>
        <w:top w:val="none" w:sz="0" w:space="0" w:color="auto"/>
        <w:left w:val="none" w:sz="0" w:space="0" w:color="auto"/>
        <w:bottom w:val="none" w:sz="0" w:space="0" w:color="auto"/>
        <w:right w:val="none" w:sz="0" w:space="0" w:color="auto"/>
      </w:divBdr>
    </w:div>
    <w:div w:id="1506280484">
      <w:bodyDiv w:val="1"/>
      <w:marLeft w:val="0"/>
      <w:marRight w:val="0"/>
      <w:marTop w:val="0"/>
      <w:marBottom w:val="0"/>
      <w:divBdr>
        <w:top w:val="none" w:sz="0" w:space="0" w:color="auto"/>
        <w:left w:val="none" w:sz="0" w:space="0" w:color="auto"/>
        <w:bottom w:val="none" w:sz="0" w:space="0" w:color="auto"/>
        <w:right w:val="none" w:sz="0" w:space="0" w:color="auto"/>
      </w:divBdr>
    </w:div>
    <w:div w:id="1531642679">
      <w:bodyDiv w:val="1"/>
      <w:marLeft w:val="0"/>
      <w:marRight w:val="0"/>
      <w:marTop w:val="0"/>
      <w:marBottom w:val="0"/>
      <w:divBdr>
        <w:top w:val="none" w:sz="0" w:space="0" w:color="auto"/>
        <w:left w:val="none" w:sz="0" w:space="0" w:color="auto"/>
        <w:bottom w:val="none" w:sz="0" w:space="0" w:color="auto"/>
        <w:right w:val="none" w:sz="0" w:space="0" w:color="auto"/>
      </w:divBdr>
    </w:div>
    <w:div w:id="1743987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1651</Words>
  <Characters>9086</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andres patiño zapata</dc:creator>
  <cp:keywords/>
  <dc:description/>
  <cp:lastModifiedBy>andres mauricio morales puentes</cp:lastModifiedBy>
  <cp:revision>2</cp:revision>
  <cp:lastPrinted>2025-09-16T12:42:00Z</cp:lastPrinted>
  <dcterms:created xsi:type="dcterms:W3CDTF">2026-10-06T17:22:00Z</dcterms:created>
  <dcterms:modified xsi:type="dcterms:W3CDTF">2026-10-06T17:22:00Z</dcterms:modified>
</cp:coreProperties>
</file>