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115" w:type="dxa"/>
        <w:jc w:val="center"/>
        <w:tblLayout w:type="fixed"/>
        <w:tblCellMar>
          <w:left w:w="70" w:type="dxa"/>
          <w:right w:w="70" w:type="dxa"/>
        </w:tblCellMar>
        <w:tblLook w:val="0400" w:firstRow="0" w:lastRow="0" w:firstColumn="0" w:lastColumn="0" w:noHBand="0" w:noVBand="1"/>
      </w:tblPr>
      <w:tblGrid>
        <w:gridCol w:w="363"/>
        <w:gridCol w:w="483"/>
        <w:gridCol w:w="406"/>
        <w:gridCol w:w="870"/>
        <w:gridCol w:w="708"/>
        <w:gridCol w:w="1134"/>
        <w:gridCol w:w="1884"/>
        <w:gridCol w:w="426"/>
        <w:gridCol w:w="481"/>
        <w:gridCol w:w="425"/>
        <w:gridCol w:w="935"/>
      </w:tblGrid>
      <w:tr w:rsidR="006248E3" w:rsidRPr="00C5493E" w:rsidTr="00A969A2">
        <w:trPr>
          <w:trHeight w:val="1068"/>
          <w:jc w:val="center"/>
        </w:trPr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bookmarkStart w:id="0" w:name="_GoBack"/>
            <w:bookmarkEnd w:id="0"/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N°</w:t>
            </w:r>
          </w:p>
        </w:tc>
        <w:tc>
          <w:tcPr>
            <w:tcW w:w="48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Clase</w:t>
            </w:r>
          </w:p>
        </w:tc>
        <w:tc>
          <w:tcPr>
            <w:tcW w:w="40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Fuente</w:t>
            </w:r>
          </w:p>
        </w:tc>
        <w:tc>
          <w:tcPr>
            <w:tcW w:w="87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Etapa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Tipo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Descripción (Qué puede pasar y, cómo puede ocurrir)</w:t>
            </w:r>
          </w:p>
        </w:tc>
        <w:tc>
          <w:tcPr>
            <w:tcW w:w="188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Consecuencia de la ocurrencia del evento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Probabilidad</w:t>
            </w:r>
          </w:p>
        </w:tc>
        <w:tc>
          <w:tcPr>
            <w:tcW w:w="48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Impacto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Calificación total</w:t>
            </w:r>
          </w:p>
        </w:tc>
        <w:tc>
          <w:tcPr>
            <w:tcW w:w="93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Prioridad</w:t>
            </w:r>
          </w:p>
        </w:tc>
      </w:tr>
      <w:tr w:rsidR="006248E3" w:rsidRPr="00C5493E" w:rsidTr="00A969A2">
        <w:trPr>
          <w:cantSplit/>
          <w:trHeight w:val="1067"/>
          <w:jc w:val="center"/>
        </w:trPr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Especifico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Selección – Precontractual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Planificación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Riesgo de seleccionar contratistas que no cumplan con la totalidad de los requisitos</w:t>
            </w:r>
          </w:p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Habilitantes o se encuentren incursos en alguna inhabilidad o incompatibilidad.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Baja calidad en los productos prestados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Posible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Mayor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Riesgo alto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Evitar el Riesgo y Reducir la probabilidad de la ocurrencia del evento</w:t>
            </w:r>
          </w:p>
        </w:tc>
      </w:tr>
      <w:tr w:rsidR="006248E3" w:rsidRPr="00C5493E" w:rsidTr="00A969A2">
        <w:trPr>
          <w:cantSplit/>
          <w:trHeight w:val="1067"/>
          <w:jc w:val="center"/>
        </w:trPr>
        <w:tc>
          <w:tcPr>
            <w:tcW w:w="3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Ejecución – Contratación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Operacional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Obras no previstas (ítems nuevos).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Retrasos en entrega de productos y pagos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Posible</w:t>
            </w:r>
          </w:p>
        </w:tc>
        <w:tc>
          <w:tcPr>
            <w:tcW w:w="48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Mayor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Riesgo alto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Reducir la probabilidad de la ocurrencia</w:t>
            </w:r>
          </w:p>
        </w:tc>
      </w:tr>
      <w:tr w:rsidR="006248E3" w:rsidRPr="00C5493E" w:rsidTr="00A969A2">
        <w:trPr>
          <w:cantSplit/>
          <w:trHeight w:val="1083"/>
          <w:jc w:val="center"/>
        </w:trPr>
        <w:tc>
          <w:tcPr>
            <w:tcW w:w="3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Especifico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Ejecución – contractual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Operacional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Falta de calidad del servicio prestado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Baja calidad en los productos prestados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Raro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Mayor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Riesgo</w:t>
            </w: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Reducir la probabilidad de la ocurrencia</w:t>
            </w:r>
          </w:p>
        </w:tc>
      </w:tr>
      <w:tr w:rsidR="006248E3" w:rsidRPr="00C5493E" w:rsidTr="00A969A2">
        <w:trPr>
          <w:cantSplit/>
          <w:trHeight w:val="1186"/>
          <w:jc w:val="center"/>
        </w:trPr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4</w:t>
            </w:r>
          </w:p>
        </w:tc>
        <w:tc>
          <w:tcPr>
            <w:tcW w:w="4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Especifico</w:t>
            </w:r>
          </w:p>
        </w:tc>
        <w:tc>
          <w:tcPr>
            <w:tcW w:w="4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Ejecución – contractual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Operacional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 xml:space="preserve">Accidentes de trabajo y enfermedades profesionales   </w:t>
            </w:r>
          </w:p>
        </w:tc>
        <w:tc>
          <w:tcPr>
            <w:tcW w:w="18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Retrasos en entrega de productos y pagos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Posible</w:t>
            </w:r>
          </w:p>
        </w:tc>
        <w:tc>
          <w:tcPr>
            <w:tcW w:w="4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Riesgo</w:t>
            </w: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9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Reducir la probabilidad de la ocurrencia</w:t>
            </w:r>
          </w:p>
        </w:tc>
      </w:tr>
      <w:tr w:rsidR="006248E3" w:rsidRPr="00C5493E" w:rsidTr="00A969A2">
        <w:trPr>
          <w:cantSplit/>
          <w:trHeight w:val="1186"/>
          <w:jc w:val="center"/>
        </w:trPr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5</w:t>
            </w:r>
          </w:p>
        </w:tc>
        <w:tc>
          <w:tcPr>
            <w:tcW w:w="4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4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Ejecución – Contractual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Operacional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Asociados a la operatividad de contratos, equipos técnicos inadecuados o insuficientes</w:t>
            </w:r>
          </w:p>
        </w:tc>
        <w:tc>
          <w:tcPr>
            <w:tcW w:w="18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Retrasos en entrega de productos y pagos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Posible</w:t>
            </w:r>
          </w:p>
        </w:tc>
        <w:tc>
          <w:tcPr>
            <w:tcW w:w="4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Mayor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36C0A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Riesgo alto</w:t>
            </w:r>
          </w:p>
        </w:tc>
        <w:tc>
          <w:tcPr>
            <w:tcW w:w="9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Reducir la probabilidad de la ocurrencia</w:t>
            </w:r>
          </w:p>
        </w:tc>
      </w:tr>
      <w:tr w:rsidR="006248E3" w:rsidRPr="00C5493E" w:rsidTr="00A969A2">
        <w:trPr>
          <w:cantSplit/>
          <w:trHeight w:val="1186"/>
          <w:jc w:val="center"/>
        </w:trPr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lastRenderedPageBreak/>
              <w:t>6</w:t>
            </w:r>
          </w:p>
        </w:tc>
        <w:tc>
          <w:tcPr>
            <w:tcW w:w="4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4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Ejecución – Contractual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Tecnológico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Fallas en los sistemas de comunicación de voz y de datos, obsolescencia tecnológica.</w:t>
            </w:r>
          </w:p>
        </w:tc>
        <w:tc>
          <w:tcPr>
            <w:tcW w:w="18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Retrasos en entrega de productos y pagos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Posible</w:t>
            </w:r>
          </w:p>
        </w:tc>
        <w:tc>
          <w:tcPr>
            <w:tcW w:w="4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Mayor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36C0A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Riesgo alto</w:t>
            </w:r>
          </w:p>
        </w:tc>
        <w:tc>
          <w:tcPr>
            <w:tcW w:w="9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Reducir la probabilidad de la ocurrencia</w:t>
            </w:r>
          </w:p>
        </w:tc>
      </w:tr>
      <w:tr w:rsidR="006248E3" w:rsidRPr="00C5493E" w:rsidTr="00A969A2">
        <w:trPr>
          <w:cantSplit/>
          <w:trHeight w:val="1668"/>
          <w:jc w:val="center"/>
        </w:trPr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7</w:t>
            </w:r>
          </w:p>
        </w:tc>
        <w:tc>
          <w:tcPr>
            <w:tcW w:w="4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Especifico</w:t>
            </w:r>
          </w:p>
        </w:tc>
        <w:tc>
          <w:tcPr>
            <w:tcW w:w="4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Contractual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Operacional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 xml:space="preserve">Riesgo de Sequias, lluvias con frentes fríos. </w:t>
            </w: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Plagas, y fenómenos naturales.</w:t>
            </w:r>
          </w:p>
        </w:tc>
        <w:tc>
          <w:tcPr>
            <w:tcW w:w="18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Baja calidad en los productos prestados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Posible</w:t>
            </w:r>
          </w:p>
        </w:tc>
        <w:tc>
          <w:tcPr>
            <w:tcW w:w="4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Mayor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36C0A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Riesgo alto</w:t>
            </w:r>
          </w:p>
        </w:tc>
        <w:tc>
          <w:tcPr>
            <w:tcW w:w="9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Evitar el Riesgo y Reducir la probabilidad de la ocurrencia del evento</w:t>
            </w:r>
          </w:p>
        </w:tc>
      </w:tr>
      <w:tr w:rsidR="006248E3" w:rsidRPr="00C5493E" w:rsidTr="00A969A2">
        <w:trPr>
          <w:cantSplit/>
          <w:trHeight w:val="1668"/>
          <w:jc w:val="center"/>
        </w:trPr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7</w:t>
            </w:r>
          </w:p>
        </w:tc>
        <w:tc>
          <w:tcPr>
            <w:tcW w:w="4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Especifico</w:t>
            </w:r>
          </w:p>
        </w:tc>
        <w:tc>
          <w:tcPr>
            <w:tcW w:w="4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Contractual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Operacional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 xml:space="preserve">Riesgo cambiario e impuestos, teniendo en cuenta los cambios normativos en materia tributaria, </w:t>
            </w:r>
          </w:p>
        </w:tc>
        <w:tc>
          <w:tcPr>
            <w:tcW w:w="18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Demora en la ejecución de la obra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Posible</w:t>
            </w:r>
          </w:p>
        </w:tc>
        <w:tc>
          <w:tcPr>
            <w:tcW w:w="4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Mayor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Riesgo alto</w:t>
            </w:r>
          </w:p>
        </w:tc>
        <w:tc>
          <w:tcPr>
            <w:tcW w:w="9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 xml:space="preserve"> Reducir la probabilidad de la ocurrencia del evento</w:t>
            </w:r>
          </w:p>
        </w:tc>
      </w:tr>
      <w:tr w:rsidR="006248E3" w:rsidRPr="00C5493E" w:rsidTr="00A969A2">
        <w:trPr>
          <w:cantSplit/>
          <w:trHeight w:val="1668"/>
          <w:jc w:val="center"/>
        </w:trPr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Especifico</w:t>
            </w:r>
          </w:p>
        </w:tc>
        <w:tc>
          <w:tcPr>
            <w:tcW w:w="4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Contractual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Operacional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Demora de ingresos de materiales de construcción a la isla</w:t>
            </w:r>
          </w:p>
        </w:tc>
        <w:tc>
          <w:tcPr>
            <w:tcW w:w="18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Retrasos en la ejecución de la obra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Posible</w:t>
            </w:r>
          </w:p>
        </w:tc>
        <w:tc>
          <w:tcPr>
            <w:tcW w:w="4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Mayor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Riesgo alto</w:t>
            </w:r>
          </w:p>
        </w:tc>
        <w:tc>
          <w:tcPr>
            <w:tcW w:w="9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 xml:space="preserve"> Reducir la probabilidad de la ocurrencia del evento</w:t>
            </w:r>
          </w:p>
        </w:tc>
      </w:tr>
      <w:tr w:rsidR="006248E3" w:rsidRPr="00C5493E" w:rsidTr="00A969A2">
        <w:trPr>
          <w:cantSplit/>
          <w:trHeight w:val="1668"/>
          <w:jc w:val="center"/>
        </w:trPr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8</w:t>
            </w:r>
          </w:p>
        </w:tc>
        <w:tc>
          <w:tcPr>
            <w:tcW w:w="4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4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6"/>
                <w:szCs w:val="16"/>
              </w:rPr>
            </w:pPr>
            <w:proofErr w:type="spellStart"/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poscontractual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operacional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No cumplimiento del contrato</w:t>
            </w:r>
          </w:p>
        </w:tc>
        <w:tc>
          <w:tcPr>
            <w:tcW w:w="18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Necesidad de realizar proceso de liquidación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 xml:space="preserve">Posible </w:t>
            </w:r>
          </w:p>
        </w:tc>
        <w:tc>
          <w:tcPr>
            <w:tcW w:w="4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 xml:space="preserve">Menor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 xml:space="preserve">Riesgo medo </w:t>
            </w:r>
          </w:p>
        </w:tc>
        <w:tc>
          <w:tcPr>
            <w:tcW w:w="9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Reducir la probabilidad de la ocurrencia</w:t>
            </w:r>
          </w:p>
        </w:tc>
      </w:tr>
      <w:tr w:rsidR="006248E3" w:rsidRPr="00C5493E" w:rsidTr="00A969A2">
        <w:trPr>
          <w:cantSplit/>
          <w:trHeight w:val="1668"/>
          <w:jc w:val="center"/>
        </w:trPr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4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proofErr w:type="spellStart"/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poscontractual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operacional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No liquidación del contrato dentro de los términos</w:t>
            </w:r>
          </w:p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8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Ampliación del plazo del contrato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 xml:space="preserve">Posible </w:t>
            </w:r>
          </w:p>
        </w:tc>
        <w:tc>
          <w:tcPr>
            <w:tcW w:w="4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 xml:space="preserve">Menor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 xml:space="preserve">Riesgo medo </w:t>
            </w:r>
          </w:p>
        </w:tc>
        <w:tc>
          <w:tcPr>
            <w:tcW w:w="9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Reducir la probabilidad de la ocurrencia</w:t>
            </w:r>
          </w:p>
        </w:tc>
      </w:tr>
      <w:tr w:rsidR="006248E3" w:rsidRPr="00C5493E" w:rsidTr="00A969A2">
        <w:trPr>
          <w:cantSplit/>
          <w:trHeight w:val="1668"/>
          <w:jc w:val="center"/>
        </w:trPr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4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proofErr w:type="spellStart"/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poscontractual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operacional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No cumplimiento de las especificaciones técnicas</w:t>
            </w:r>
          </w:p>
        </w:tc>
        <w:tc>
          <w:tcPr>
            <w:tcW w:w="18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 xml:space="preserve">No recibo a satisfacción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 xml:space="preserve">Posible </w:t>
            </w:r>
          </w:p>
        </w:tc>
        <w:tc>
          <w:tcPr>
            <w:tcW w:w="4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 xml:space="preserve">Menor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 xml:space="preserve">Riesgo medo </w:t>
            </w:r>
          </w:p>
        </w:tc>
        <w:tc>
          <w:tcPr>
            <w:tcW w:w="9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Reducir la probabilidad de la ocurrencia</w:t>
            </w:r>
          </w:p>
        </w:tc>
      </w:tr>
    </w:tbl>
    <w:p w:rsidR="006248E3" w:rsidRDefault="006248E3"/>
    <w:tbl>
      <w:tblPr>
        <w:tblW w:w="8250" w:type="dxa"/>
        <w:tblLayout w:type="fixed"/>
        <w:tblCellMar>
          <w:left w:w="70" w:type="dxa"/>
          <w:right w:w="70" w:type="dxa"/>
        </w:tblCellMar>
        <w:tblLook w:val="0400" w:firstRow="0" w:lastRow="0" w:firstColumn="0" w:lastColumn="0" w:noHBand="0" w:noVBand="1"/>
      </w:tblPr>
      <w:tblGrid>
        <w:gridCol w:w="372"/>
        <w:gridCol w:w="461"/>
        <w:gridCol w:w="2015"/>
        <w:gridCol w:w="387"/>
        <w:gridCol w:w="358"/>
        <w:gridCol w:w="358"/>
        <w:gridCol w:w="477"/>
        <w:gridCol w:w="477"/>
        <w:gridCol w:w="597"/>
        <w:gridCol w:w="715"/>
        <w:gridCol w:w="1598"/>
        <w:gridCol w:w="435"/>
      </w:tblGrid>
      <w:tr w:rsidR="006248E3" w:rsidRPr="00C5493E" w:rsidTr="00A969A2">
        <w:trPr>
          <w:trHeight w:val="670"/>
        </w:trPr>
        <w:tc>
          <w:tcPr>
            <w:tcW w:w="3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6248E3" w:rsidRPr="00C5493E" w:rsidRDefault="006248E3" w:rsidP="00A969A2">
            <w:pP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N°</w:t>
            </w:r>
          </w:p>
        </w:tc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¿A quién se le asigna?</w:t>
            </w:r>
          </w:p>
        </w:tc>
        <w:tc>
          <w:tcPr>
            <w:tcW w:w="20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Tratamiento/Controles a ser implementados</w:t>
            </w:r>
          </w:p>
        </w:tc>
        <w:tc>
          <w:tcPr>
            <w:tcW w:w="11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Impacto después del tratamiento</w:t>
            </w:r>
          </w:p>
        </w:tc>
        <w:tc>
          <w:tcPr>
            <w:tcW w:w="4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¿Afecta el equilibrio económico del contrato?</w:t>
            </w:r>
          </w:p>
        </w:tc>
        <w:tc>
          <w:tcPr>
            <w:tcW w:w="4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Persona responsable</w:t>
            </w:r>
          </w:p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por implementar el tratamiento</w:t>
            </w:r>
          </w:p>
        </w:tc>
        <w:tc>
          <w:tcPr>
            <w:tcW w:w="5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Fecha estimada en que se inicia el tratamiento</w:t>
            </w:r>
          </w:p>
        </w:tc>
        <w:tc>
          <w:tcPr>
            <w:tcW w:w="7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Fecha estimada en que se</w:t>
            </w:r>
          </w:p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completa el tratamiento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Monitoreo y revisión</w:t>
            </w:r>
          </w:p>
        </w:tc>
      </w:tr>
      <w:tr w:rsidR="006248E3" w:rsidRPr="00C5493E" w:rsidTr="00A969A2">
        <w:trPr>
          <w:trHeight w:val="1586"/>
        </w:trPr>
        <w:tc>
          <w:tcPr>
            <w:tcW w:w="3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6248E3" w:rsidRPr="00C5493E" w:rsidRDefault="006248E3" w:rsidP="00A96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6248E3" w:rsidRPr="00C5493E" w:rsidRDefault="006248E3" w:rsidP="00A96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20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6248E3" w:rsidRPr="00C5493E" w:rsidRDefault="006248E3" w:rsidP="00A96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Probabilidad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Impacto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Calificación Total</w:t>
            </w:r>
          </w:p>
        </w:tc>
        <w:tc>
          <w:tcPr>
            <w:tcW w:w="4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6248E3" w:rsidRPr="00C5493E" w:rsidRDefault="006248E3" w:rsidP="00A96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4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6248E3" w:rsidRPr="00C5493E" w:rsidRDefault="006248E3" w:rsidP="00A96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5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6248E3" w:rsidRPr="00C5493E" w:rsidRDefault="006248E3" w:rsidP="00A96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6248E3" w:rsidRPr="00C5493E" w:rsidRDefault="006248E3" w:rsidP="00A96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¿Cómo se realiza el monitoreo?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Periodicidad ¿Cuándo?</w:t>
            </w:r>
          </w:p>
        </w:tc>
      </w:tr>
      <w:tr w:rsidR="006248E3" w:rsidRPr="00C5493E" w:rsidTr="00A969A2">
        <w:trPr>
          <w:cantSplit/>
          <w:trHeight w:val="2176"/>
        </w:trPr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Supervisor del contrato o quien impulsa el contrato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8E3" w:rsidRPr="00C5493E" w:rsidRDefault="006248E3" w:rsidP="006248E3">
            <w:pPr>
              <w:numPr>
                <w:ilvl w:val="0"/>
                <w:numId w:val="1"/>
              </w:numPr>
              <w:jc w:val="center"/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  <w:t>aclarar los requisitos, requerimientos y especificaciones y productos</w:t>
            </w:r>
          </w:p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  <w:t>del contrato; (ii) revisar procesos; (iii) establecer sistemas de aseguramiento de calidad en los contratos;</w:t>
            </w:r>
          </w:p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  <w:t>(iv) especificar estándares de los bienes y servicios; (vi)</w:t>
            </w:r>
          </w:p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  <w:t>establecer sistemas de acreditación profesional; (vii) incluir declaraciones y garantías del contratista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Improbable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Moderado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Riesgo Medio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Supervisor del contrato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Una vez iniciado el proceso de contratación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Una vez finalizado el proceso de contratación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Por medio del comité de contratación en la revisión de los concursantes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Mensual</w:t>
            </w:r>
          </w:p>
        </w:tc>
      </w:tr>
      <w:tr w:rsidR="006248E3" w:rsidRPr="00C5493E" w:rsidTr="00A969A2">
        <w:trPr>
          <w:cantSplit/>
          <w:trHeight w:val="2176"/>
        </w:trPr>
        <w:tc>
          <w:tcPr>
            <w:tcW w:w="3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lastRenderedPageBreak/>
              <w:t>2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Supervisor del contrato</w:t>
            </w: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6248E3">
            <w:pPr>
              <w:numPr>
                <w:ilvl w:val="0"/>
                <w:numId w:val="3"/>
              </w:numPr>
              <w:jc w:val="center"/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  <w:t>aclarar los requisitos, requerimientos y especificaciones y productos</w:t>
            </w:r>
          </w:p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  <w:t>del contrato; (iv) especificar estándares de los bienes y servicios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Improbable</w:t>
            </w:r>
          </w:p>
        </w:tc>
        <w:tc>
          <w:tcPr>
            <w:tcW w:w="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Riesgo bajo</w:t>
            </w:r>
          </w:p>
        </w:tc>
        <w:tc>
          <w:tcPr>
            <w:tcW w:w="4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No</w:t>
            </w:r>
          </w:p>
        </w:tc>
        <w:tc>
          <w:tcPr>
            <w:tcW w:w="4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Supervisor del contrato</w:t>
            </w: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Una vez iniciado el contrato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Una vez finalizado el contrato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El supervisor del contrato debe vigilar que se cumplan las actividades pactadas por medio de informes mensuales y demás formatos pertinentes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Mensual</w:t>
            </w:r>
          </w:p>
        </w:tc>
      </w:tr>
      <w:tr w:rsidR="006248E3" w:rsidRPr="00C5493E" w:rsidTr="00A969A2">
        <w:trPr>
          <w:trHeight w:val="2331"/>
        </w:trPr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3</w:t>
            </w:r>
          </w:p>
        </w:tc>
        <w:tc>
          <w:tcPr>
            <w:tcW w:w="4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Supervisor del contrato</w:t>
            </w:r>
          </w:p>
        </w:tc>
        <w:tc>
          <w:tcPr>
            <w:tcW w:w="20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6248E3">
            <w:pPr>
              <w:numPr>
                <w:ilvl w:val="0"/>
                <w:numId w:val="5"/>
              </w:numPr>
              <w:jc w:val="center"/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  <w:t>aclarar los requisitos, requerimientos y especificaciones y productos</w:t>
            </w:r>
          </w:p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  <w:t xml:space="preserve">del contrato; (iv) especificar estándares de los bienes y servicios, - </w:t>
            </w:r>
          </w:p>
        </w:tc>
        <w:tc>
          <w:tcPr>
            <w:tcW w:w="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Improbable</w:t>
            </w:r>
          </w:p>
        </w:tc>
        <w:tc>
          <w:tcPr>
            <w:tcW w:w="3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3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Riesgo bajo</w:t>
            </w:r>
          </w:p>
        </w:tc>
        <w:tc>
          <w:tcPr>
            <w:tcW w:w="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Supervisor del contrato</w:t>
            </w:r>
          </w:p>
        </w:tc>
        <w:tc>
          <w:tcPr>
            <w:tcW w:w="5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Una vez iniciado el contrato</w:t>
            </w:r>
          </w:p>
        </w:tc>
        <w:tc>
          <w:tcPr>
            <w:tcW w:w="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Una vez finalizado el contrato</w:t>
            </w:r>
          </w:p>
        </w:tc>
        <w:tc>
          <w:tcPr>
            <w:tcW w:w="1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El supervisor del contrato debe vigilar que se cumplan las actividades pactadas por medio de informes mensuales y demás formatos pertinentes</w:t>
            </w:r>
          </w:p>
        </w:tc>
        <w:tc>
          <w:tcPr>
            <w:tcW w:w="4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Mensual</w:t>
            </w:r>
          </w:p>
        </w:tc>
      </w:tr>
      <w:tr w:rsidR="006248E3" w:rsidRPr="00C5493E" w:rsidTr="00A969A2">
        <w:trPr>
          <w:trHeight w:val="3059"/>
        </w:trPr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4</w:t>
            </w:r>
          </w:p>
        </w:tc>
        <w:tc>
          <w:tcPr>
            <w:tcW w:w="4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Supervisor del contrato</w:t>
            </w:r>
          </w:p>
        </w:tc>
        <w:tc>
          <w:tcPr>
            <w:tcW w:w="20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  <w:t>(ii) revisar procesos; (iii) establecer sistemas de aseguramiento de calidad en los contratos;</w:t>
            </w:r>
          </w:p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  <w:t>(iv) especificar estándares de los bienes y servicios; (v) hacer pruebas e inspecciones de los bienes</w:t>
            </w:r>
          </w:p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Improbable</w:t>
            </w:r>
          </w:p>
        </w:tc>
        <w:tc>
          <w:tcPr>
            <w:tcW w:w="3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3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Riesgo bajo</w:t>
            </w:r>
          </w:p>
        </w:tc>
        <w:tc>
          <w:tcPr>
            <w:tcW w:w="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No</w:t>
            </w:r>
          </w:p>
        </w:tc>
        <w:tc>
          <w:tcPr>
            <w:tcW w:w="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Supervisor del contrato</w:t>
            </w:r>
          </w:p>
        </w:tc>
        <w:tc>
          <w:tcPr>
            <w:tcW w:w="5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Una vez iniciado el contrato</w:t>
            </w:r>
          </w:p>
        </w:tc>
        <w:tc>
          <w:tcPr>
            <w:tcW w:w="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Una vez finalizado el contrato</w:t>
            </w:r>
          </w:p>
        </w:tc>
        <w:tc>
          <w:tcPr>
            <w:tcW w:w="1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EL contratante deberá otorgar los medios idóneos y eficaces para el desarrollo saludable de las actividades.</w:t>
            </w:r>
          </w:p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El contratista debe cubrir el riesgo conforme a las normas que regulan el sistema ARL</w:t>
            </w:r>
          </w:p>
        </w:tc>
        <w:tc>
          <w:tcPr>
            <w:tcW w:w="4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Bimensual</w:t>
            </w:r>
          </w:p>
        </w:tc>
      </w:tr>
      <w:tr w:rsidR="006248E3" w:rsidRPr="00C5493E" w:rsidTr="00A969A2">
        <w:trPr>
          <w:trHeight w:val="2398"/>
        </w:trPr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5</w:t>
            </w:r>
          </w:p>
        </w:tc>
        <w:tc>
          <w:tcPr>
            <w:tcW w:w="4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Supervisor del c</w:t>
            </w: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lastRenderedPageBreak/>
              <w:t>ontrato</w:t>
            </w:r>
          </w:p>
        </w:tc>
        <w:tc>
          <w:tcPr>
            <w:tcW w:w="20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  <w:lastRenderedPageBreak/>
              <w:t>(ii) revisar procesos; (iv) especificar estándares de los bienes y servicios; (v) hacer pruebas e inspecciones de los bienes</w:t>
            </w:r>
          </w:p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Improbable</w:t>
            </w:r>
          </w:p>
        </w:tc>
        <w:tc>
          <w:tcPr>
            <w:tcW w:w="3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3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Riesgo bajo</w:t>
            </w:r>
          </w:p>
        </w:tc>
        <w:tc>
          <w:tcPr>
            <w:tcW w:w="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No</w:t>
            </w:r>
          </w:p>
        </w:tc>
        <w:tc>
          <w:tcPr>
            <w:tcW w:w="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Supervisor del cont</w:t>
            </w: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lastRenderedPageBreak/>
              <w:t>rato</w:t>
            </w:r>
          </w:p>
        </w:tc>
        <w:tc>
          <w:tcPr>
            <w:tcW w:w="5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lastRenderedPageBreak/>
              <w:t>Una vez iniciado el contrato</w:t>
            </w:r>
          </w:p>
        </w:tc>
        <w:tc>
          <w:tcPr>
            <w:tcW w:w="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Una vez finalizado el contrato</w:t>
            </w:r>
          </w:p>
        </w:tc>
        <w:tc>
          <w:tcPr>
            <w:tcW w:w="1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El contratante deberá otorgar los medios idóneos y eficaces para el desarrollo de las actividades.</w:t>
            </w:r>
          </w:p>
        </w:tc>
        <w:tc>
          <w:tcPr>
            <w:tcW w:w="4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Semestral</w:t>
            </w:r>
          </w:p>
        </w:tc>
      </w:tr>
      <w:tr w:rsidR="006248E3" w:rsidRPr="00C5493E" w:rsidTr="00A969A2">
        <w:trPr>
          <w:cantSplit/>
          <w:trHeight w:val="2458"/>
        </w:trPr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lastRenderedPageBreak/>
              <w:t>6</w:t>
            </w:r>
          </w:p>
        </w:tc>
        <w:tc>
          <w:tcPr>
            <w:tcW w:w="4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Supervisor del contrato</w:t>
            </w:r>
          </w:p>
        </w:tc>
        <w:tc>
          <w:tcPr>
            <w:tcW w:w="20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  <w:t>(ii) revisar procesos; (iv) especificar estándares de los bienes y servicios; (v) hacer pruebas e inspecciones de los bienes</w:t>
            </w:r>
          </w:p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Posible</w:t>
            </w:r>
          </w:p>
        </w:tc>
        <w:tc>
          <w:tcPr>
            <w:tcW w:w="3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3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Riesgo Medio</w:t>
            </w:r>
          </w:p>
        </w:tc>
        <w:tc>
          <w:tcPr>
            <w:tcW w:w="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No</w:t>
            </w:r>
          </w:p>
        </w:tc>
        <w:tc>
          <w:tcPr>
            <w:tcW w:w="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Supervisor del contrato</w:t>
            </w:r>
          </w:p>
        </w:tc>
        <w:tc>
          <w:tcPr>
            <w:tcW w:w="5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Una vez iniciado el contrato</w:t>
            </w:r>
          </w:p>
        </w:tc>
        <w:tc>
          <w:tcPr>
            <w:tcW w:w="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Una vez finalizado el contrato</w:t>
            </w:r>
          </w:p>
        </w:tc>
        <w:tc>
          <w:tcPr>
            <w:tcW w:w="1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El supervisor del contrato debe vigilar que permanezcan las condiciones tecnológicas óptimas para el desarrollo del trabajo</w:t>
            </w:r>
            <w:r w:rsidRPr="00C5493E">
              <w:rPr>
                <w:rFonts w:ascii="Arial Narrow" w:eastAsia="Arial Narrow" w:hAnsi="Arial Narrow" w:cs="Arial Narrow"/>
                <w:sz w:val="16"/>
                <w:szCs w:val="16"/>
                <w:lang w:val="es-CO"/>
              </w:rPr>
              <w:t>.</w:t>
            </w:r>
          </w:p>
        </w:tc>
        <w:tc>
          <w:tcPr>
            <w:tcW w:w="4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Semestral</w:t>
            </w:r>
          </w:p>
        </w:tc>
      </w:tr>
      <w:tr w:rsidR="006248E3" w:rsidRPr="00C5493E" w:rsidTr="00A969A2">
        <w:trPr>
          <w:cantSplit/>
          <w:trHeight w:val="2727"/>
        </w:trPr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7</w:t>
            </w:r>
          </w:p>
        </w:tc>
        <w:tc>
          <w:tcPr>
            <w:tcW w:w="4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Supervisor del contrato</w:t>
            </w:r>
          </w:p>
        </w:tc>
        <w:tc>
          <w:tcPr>
            <w:tcW w:w="20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6248E3">
            <w:pPr>
              <w:numPr>
                <w:ilvl w:val="0"/>
                <w:numId w:val="2"/>
              </w:numPr>
              <w:jc w:val="center"/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  <w:t>aclarar los requisitos, requerimientos y especificaciones y productos</w:t>
            </w:r>
          </w:p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  <w:t>del contrato; (ii) revisar procesos; (iii) establecer sistemas de aseguramiento de calidad en los contratos;</w:t>
            </w:r>
          </w:p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  <w:t>(iv) especificar estándares de los bienes y servicios; (vi)</w:t>
            </w:r>
          </w:p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  <w:t>establecer sistemas de acreditación profesional; (vii) incluir declaraciones y garantías del contratista</w:t>
            </w:r>
          </w:p>
        </w:tc>
        <w:tc>
          <w:tcPr>
            <w:tcW w:w="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Improbable</w:t>
            </w:r>
          </w:p>
        </w:tc>
        <w:tc>
          <w:tcPr>
            <w:tcW w:w="3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Moderado</w:t>
            </w:r>
          </w:p>
        </w:tc>
        <w:tc>
          <w:tcPr>
            <w:tcW w:w="3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Riesgo Alto</w:t>
            </w:r>
          </w:p>
        </w:tc>
        <w:tc>
          <w:tcPr>
            <w:tcW w:w="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Supervisor del contrato</w:t>
            </w:r>
          </w:p>
        </w:tc>
        <w:tc>
          <w:tcPr>
            <w:tcW w:w="5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Una vez iniciado el proceso de contratación</w:t>
            </w:r>
          </w:p>
        </w:tc>
        <w:tc>
          <w:tcPr>
            <w:tcW w:w="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Una vez finalizado el proceso de contratación</w:t>
            </w:r>
          </w:p>
        </w:tc>
        <w:tc>
          <w:tcPr>
            <w:tcW w:w="1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Por medio del comité de contratación en la revisión de los concursantes</w:t>
            </w:r>
          </w:p>
        </w:tc>
        <w:tc>
          <w:tcPr>
            <w:tcW w:w="4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Mensual</w:t>
            </w:r>
          </w:p>
        </w:tc>
      </w:tr>
      <w:tr w:rsidR="006248E3" w:rsidRPr="00C5493E" w:rsidTr="00A969A2">
        <w:trPr>
          <w:cantSplit/>
          <w:trHeight w:val="2727"/>
        </w:trPr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lastRenderedPageBreak/>
              <w:t>8</w:t>
            </w:r>
          </w:p>
        </w:tc>
        <w:tc>
          <w:tcPr>
            <w:tcW w:w="4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Supervisor del contrato</w:t>
            </w:r>
          </w:p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proofErr w:type="spellStart"/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Poscontractual</w:t>
            </w:r>
            <w:proofErr w:type="spellEnd"/>
          </w:p>
        </w:tc>
        <w:tc>
          <w:tcPr>
            <w:tcW w:w="20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6248E3">
            <w:pPr>
              <w:numPr>
                <w:ilvl w:val="0"/>
                <w:numId w:val="4"/>
              </w:numPr>
              <w:jc w:val="center"/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  <w:t>aclarar los requisitos, requerimientos y especificaciones y productos y servicios suministrados por el contratista</w:t>
            </w:r>
          </w:p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  <w:t xml:space="preserve">del contrato; (ii) revisar la calidad de los productos y servicios </w:t>
            </w:r>
            <w:proofErr w:type="spellStart"/>
            <w:r w:rsidRPr="00C5493E"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  <w:t>valuándolo</w:t>
            </w:r>
            <w:proofErr w:type="spellEnd"/>
            <w:r w:rsidRPr="00C5493E"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  <w:t>; (iii) establecer sistemas de aseguramiento de calidad en los contratos;</w:t>
            </w:r>
          </w:p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  <w:t>(iv) especificar estándares de los bienes y servicios; (vi)</w:t>
            </w:r>
          </w:p>
          <w:p w:rsidR="006248E3" w:rsidRPr="00C5493E" w:rsidRDefault="006248E3" w:rsidP="00A969A2">
            <w:pPr>
              <w:jc w:val="center"/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333333"/>
                <w:sz w:val="16"/>
                <w:szCs w:val="16"/>
                <w:lang w:val="es-CO"/>
              </w:rPr>
              <w:t>establecer sistemas de acreditación profesional; (vii) incluir declaraciones y garantías del contratista</w:t>
            </w:r>
          </w:p>
        </w:tc>
        <w:tc>
          <w:tcPr>
            <w:tcW w:w="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Improbable</w:t>
            </w:r>
          </w:p>
        </w:tc>
        <w:tc>
          <w:tcPr>
            <w:tcW w:w="3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Moderado</w:t>
            </w:r>
          </w:p>
        </w:tc>
        <w:tc>
          <w:tcPr>
            <w:tcW w:w="3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Riesgo Medio</w:t>
            </w:r>
          </w:p>
        </w:tc>
        <w:tc>
          <w:tcPr>
            <w:tcW w:w="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Supervisor del contrato</w:t>
            </w:r>
          </w:p>
        </w:tc>
        <w:tc>
          <w:tcPr>
            <w:tcW w:w="5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Una vez iniciado el proceso de contratación</w:t>
            </w:r>
          </w:p>
        </w:tc>
        <w:tc>
          <w:tcPr>
            <w:tcW w:w="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Una vez finalizado el proceso de contratación</w:t>
            </w:r>
          </w:p>
        </w:tc>
        <w:tc>
          <w:tcPr>
            <w:tcW w:w="1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  <w:lang w:val="es-CO"/>
              </w:rPr>
              <w:t>Por medio del comité de contratación en la revisión de los concursantes</w:t>
            </w:r>
          </w:p>
        </w:tc>
        <w:tc>
          <w:tcPr>
            <w:tcW w:w="4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48E3" w:rsidRPr="00C5493E" w:rsidRDefault="006248E3" w:rsidP="00A969A2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C5493E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Mensual</w:t>
            </w:r>
          </w:p>
        </w:tc>
      </w:tr>
    </w:tbl>
    <w:p w:rsidR="006248E3" w:rsidRDefault="006248E3"/>
    <w:sectPr w:rsidR="006248E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66FD7"/>
    <w:multiLevelType w:val="multilevel"/>
    <w:tmpl w:val="A3E0580C"/>
    <w:lvl w:ilvl="0">
      <w:start w:val="5"/>
      <w:numFmt w:val="lowerLetter"/>
      <w:lvlText w:val="(%1)"/>
      <w:lvlJc w:val="left"/>
      <w:pPr>
        <w:ind w:left="720" w:hanging="360"/>
      </w:pPr>
      <w:rPr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A0281F"/>
    <w:multiLevelType w:val="multilevel"/>
    <w:tmpl w:val="DF6A8128"/>
    <w:lvl w:ilvl="0">
      <w:start w:val="5"/>
      <w:numFmt w:val="lowerLetter"/>
      <w:lvlText w:val="(%1)"/>
      <w:lvlJc w:val="left"/>
      <w:pPr>
        <w:ind w:left="720" w:hanging="360"/>
      </w:pPr>
      <w:rPr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9B0B0F"/>
    <w:multiLevelType w:val="multilevel"/>
    <w:tmpl w:val="CE96D710"/>
    <w:lvl w:ilvl="0">
      <w:start w:val="5"/>
      <w:numFmt w:val="lowerLetter"/>
      <w:lvlText w:val="(%1)"/>
      <w:lvlJc w:val="left"/>
      <w:pPr>
        <w:ind w:left="720" w:hanging="360"/>
      </w:pPr>
      <w:rPr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C84577"/>
    <w:multiLevelType w:val="multilevel"/>
    <w:tmpl w:val="62AE0BE6"/>
    <w:lvl w:ilvl="0">
      <w:start w:val="5"/>
      <w:numFmt w:val="lowerLetter"/>
      <w:lvlText w:val="(%1)"/>
      <w:lvlJc w:val="left"/>
      <w:pPr>
        <w:ind w:left="720" w:hanging="360"/>
      </w:pPr>
      <w:rPr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1919E5"/>
    <w:multiLevelType w:val="multilevel"/>
    <w:tmpl w:val="465C8A36"/>
    <w:lvl w:ilvl="0">
      <w:start w:val="5"/>
      <w:numFmt w:val="lowerLetter"/>
      <w:lvlText w:val="(%1)"/>
      <w:lvlJc w:val="left"/>
      <w:pPr>
        <w:ind w:left="720" w:hanging="360"/>
      </w:pPr>
      <w:rPr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8E3"/>
    <w:rsid w:val="003445C6"/>
    <w:rsid w:val="00624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48E3"/>
    <w:pPr>
      <w:spacing w:after="0" w:line="240" w:lineRule="auto"/>
    </w:pPr>
    <w:rPr>
      <w:rFonts w:ascii="Cambria" w:eastAsia="Cambria" w:hAnsi="Cambria" w:cs="Times New Roman"/>
      <w:kern w:val="0"/>
      <w:sz w:val="24"/>
      <w:szCs w:val="24"/>
      <w:lang w:val="es-ES_tradnl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48E3"/>
    <w:pPr>
      <w:spacing w:after="0" w:line="240" w:lineRule="auto"/>
    </w:pPr>
    <w:rPr>
      <w:rFonts w:ascii="Cambria" w:eastAsia="Cambria" w:hAnsi="Cambria" w:cs="Times New Roman"/>
      <w:kern w:val="0"/>
      <w:sz w:val="24"/>
      <w:szCs w:val="24"/>
      <w:lang w:val="es-ES_tradnl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1155</Words>
  <Characters>6358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Ingrid Rodriguez</dc:creator>
  <cp:lastModifiedBy>Heidy Mitchell</cp:lastModifiedBy>
  <cp:revision>2</cp:revision>
  <dcterms:created xsi:type="dcterms:W3CDTF">2023-06-21T15:41:00Z</dcterms:created>
  <dcterms:modified xsi:type="dcterms:W3CDTF">2023-06-21T15:41:00Z</dcterms:modified>
</cp:coreProperties>
</file>