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9CAC1" w14:textId="77777777" w:rsidR="008745D1" w:rsidRDefault="00FB76F8">
      <w:pPr>
        <w:widowControl w:val="0"/>
        <w:pBdr>
          <w:top w:val="nil"/>
          <w:left w:val="nil"/>
          <w:bottom w:val="nil"/>
          <w:right w:val="nil"/>
          <w:between w:val="nil"/>
        </w:pBdr>
        <w:spacing w:after="0" w:line="276" w:lineRule="auto"/>
        <w:ind w:left="0" w:hanging="2"/>
      </w:pPr>
      <w:r>
        <w:rPr>
          <w:noProof/>
          <w:lang w:eastAsia="es-CO"/>
        </w:rPr>
        <mc:AlternateContent>
          <mc:Choice Requires="wps">
            <w:drawing>
              <wp:anchor distT="0" distB="0" distL="114300" distR="114300" simplePos="0" relativeHeight="251654656" behindDoc="0" locked="0" layoutInCell="1" hidden="0" allowOverlap="1" wp14:anchorId="245F60B1" wp14:editId="7A0D399E">
                <wp:simplePos x="0" y="0"/>
                <wp:positionH relativeFrom="column">
                  <wp:posOffset>-4369918</wp:posOffset>
                </wp:positionH>
                <wp:positionV relativeFrom="paragraph">
                  <wp:posOffset>-1573758</wp:posOffset>
                </wp:positionV>
                <wp:extent cx="647700" cy="647700"/>
                <wp:effectExtent l="0" t="0" r="0" b="0"/>
                <wp:wrapNone/>
                <wp:docPr id="1042" name="Forma libre 1042"/>
                <wp:cNvGraphicFramePr/>
                <a:graphic xmlns:a="http://schemas.openxmlformats.org/drawingml/2006/main">
                  <a:graphicData uri="http://schemas.microsoft.com/office/word/2010/wordprocessingShape">
                    <wps:wsp>
                      <wps:cNvSpPr/>
                      <wps:spPr>
                        <a:xfrm>
                          <a:off x="0" y="0"/>
                          <a:ext cx="647700" cy="647700"/>
                        </a:xfrm>
                        <a:custGeom>
                          <a:avLst/>
                          <a:gdLst/>
                          <a:ahLst/>
                          <a:cxnLst/>
                          <a:rect l="l" t="t" r="r" b="b"/>
                          <a:pathLst>
                            <a:path w="635000" h="635000" extrusionOk="0">
                              <a:moveTo>
                                <a:pt x="0" y="0"/>
                              </a:moveTo>
                              <a:lnTo>
                                <a:pt x="635000" y="0"/>
                              </a:lnTo>
                              <a:moveTo>
                                <a:pt x="0" y="635000"/>
                              </a:moveTo>
                              <a:lnTo>
                                <a:pt x="635000" y="63500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7960C4D9" id="Forma libre 1042" o:spid="_x0000_s1026" style="position:absolute;margin-left:-344.1pt;margin-top:-123.9pt;width:51pt;height:51pt;z-index:251654656;visibility:visible;mso-wrap-style:square;mso-wrap-distance-left:9pt;mso-wrap-distance-top:0;mso-wrap-distance-right:9pt;mso-wrap-distance-bottom:0;mso-position-horizontal:absolute;mso-position-horizontal-relative:text;mso-position-vertical:absolute;mso-position-vertical-relative:text;v-text-anchor:middle" coordsize="635000,635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" path="m,l635000,m,635000r635000,e" strokeweight="1pt">
                <v:stroke startarrowwidth="narrow" startarrowlength="short" endarrowwidth="narrow" endarrowlength="short"/>
                <v:path arrowok="t" o:extrusionok="f"/>
              </v:shape>
            </w:pict>
          </mc:Fallback>
        </mc:AlternateContent>
      </w:r>
      <w:r w:rsidR="00000000">
        <w:pict w14:anchorId="686862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margin-left:0;margin-top:0;width:50pt;height:50pt;z-index:251657728;visibility:hidden;mso-position-horizontal-relative:text;mso-position-vertical-relative:text">
            <o:lock v:ext="edit" selection="t"/>
          </v:shape>
        </w:pict>
      </w:r>
      <w:r w:rsidR="00000000">
        <w:pict w14:anchorId="078480BB">
          <v:shape id="_x0000_s2052" type="#_x0000_t136" style="position:absolute;margin-left:0;margin-top:0;width:50pt;height:50pt;z-index:251658752;visibility:hidden;mso-position-horizontal-relative:text;mso-position-vertical-relative:text">
            <o:lock v:ext="edit" selection="t"/>
          </v:shape>
        </w:pict>
      </w:r>
      <w:r w:rsidR="00000000">
        <w:pict w14:anchorId="014B3A8A">
          <v:shape id="_x0000_s2051" type="#_x0000_t136" style="position:absolute;margin-left:0;margin-top:0;width:50pt;height:50pt;z-index:251659776;visibility:hidden;mso-position-horizontal-relative:text;mso-position-vertical-relative:text">
            <o:lock v:ext="edit" selection="t"/>
          </v:shape>
        </w:pict>
      </w:r>
      <w:r w:rsidR="00000000">
        <w:pict w14:anchorId="3E1160E0">
          <v:shape id="_x0000_s2050" type="#_x0000_t136" style="position:absolute;margin-left:0;margin-top:0;width:50pt;height:50pt;z-index:251660800;visibility:hidden;mso-position-horizontal-relative:text;mso-position-vertical-relative:text">
            <o:lock v:ext="edit" selection="t"/>
          </v:shape>
        </w:pict>
      </w:r>
    </w:p>
    <w:p w14:paraId="21141812" w14:textId="77777777" w:rsidR="008745D1" w:rsidRDefault="008745D1">
      <w:pPr>
        <w:widowControl w:val="0"/>
        <w:pBdr>
          <w:top w:val="nil"/>
          <w:left w:val="nil"/>
          <w:bottom w:val="nil"/>
          <w:right w:val="nil"/>
          <w:between w:val="nil"/>
        </w:pBdr>
        <w:spacing w:after="0" w:line="276" w:lineRule="auto"/>
        <w:ind w:left="0" w:hanging="2"/>
      </w:pPr>
    </w:p>
    <w:p w14:paraId="1AEC28BB" w14:textId="77777777" w:rsidR="008745D1" w:rsidRPr="00974AD7" w:rsidRDefault="00062AC1">
      <w:pPr>
        <w:widowControl w:val="0"/>
        <w:tabs>
          <w:tab w:val="left" w:pos="5370"/>
        </w:tabs>
        <w:spacing w:after="0" w:line="240" w:lineRule="auto"/>
        <w:ind w:left="0" w:hanging="2"/>
        <w:jc w:val="center"/>
        <w:rPr>
          <w:rFonts w:ascii="Arial Narrow" w:eastAsia="Arial Narrow" w:hAnsi="Arial Narrow" w:cs="Arial Narrow"/>
          <w:b/>
          <w:sz w:val="23"/>
          <w:szCs w:val="23"/>
          <w:u w:val="single"/>
        </w:rPr>
      </w:pPr>
      <w:r>
        <w:rPr>
          <w:rFonts w:ascii="Arial Narrow" w:eastAsia="Arial Narrow" w:hAnsi="Arial Narrow" w:cs="Arial Narrow"/>
          <w:b/>
          <w:color w:val="000000"/>
          <w:sz w:val="23"/>
          <w:szCs w:val="23"/>
          <w:u w:val="single"/>
        </w:rPr>
        <w:t xml:space="preserve">DOCUMENTO </w:t>
      </w:r>
      <w:r w:rsidRPr="00974AD7">
        <w:rPr>
          <w:rFonts w:ascii="Arial Narrow" w:eastAsia="Arial Narrow" w:hAnsi="Arial Narrow" w:cs="Arial Narrow"/>
          <w:b/>
          <w:color w:val="000000"/>
          <w:sz w:val="23"/>
          <w:szCs w:val="23"/>
          <w:u w:val="single"/>
        </w:rPr>
        <w:t xml:space="preserve">COMPLEMENTARIO AL PLIEGO DE CONDICIONES </w:t>
      </w:r>
      <w:r w:rsidRPr="00974AD7">
        <w:rPr>
          <w:rFonts w:ascii="Arial Narrow" w:eastAsia="Arial Narrow" w:hAnsi="Arial Narrow" w:cs="Arial Narrow"/>
          <w:b/>
          <w:sz w:val="23"/>
          <w:szCs w:val="23"/>
          <w:u w:val="single"/>
        </w:rPr>
        <w:t>ELECTRÓNICO</w:t>
      </w:r>
      <w:r w:rsidRPr="00974AD7">
        <w:rPr>
          <w:rFonts w:ascii="Arial Narrow" w:eastAsia="Arial Narrow" w:hAnsi="Arial Narrow" w:cs="Arial Narrow"/>
          <w:b/>
          <w:color w:val="000000"/>
          <w:sz w:val="23"/>
          <w:szCs w:val="23"/>
          <w:u w:val="single"/>
        </w:rPr>
        <w:t xml:space="preserve"> DE SUBASTA INVERSA </w:t>
      </w:r>
      <w:r w:rsidRPr="00974AD7">
        <w:rPr>
          <w:rFonts w:ascii="Arial Narrow" w:eastAsia="Arial Narrow" w:hAnsi="Arial Narrow" w:cs="Arial Narrow"/>
          <w:b/>
          <w:sz w:val="23"/>
          <w:szCs w:val="23"/>
          <w:u w:val="single"/>
        </w:rPr>
        <w:t>ELECTRÓNICA</w:t>
      </w:r>
    </w:p>
    <w:p w14:paraId="70E35EA1" w14:textId="77777777" w:rsidR="00F43495" w:rsidRPr="00974AD7" w:rsidRDefault="00F43495">
      <w:pPr>
        <w:widowControl w:val="0"/>
        <w:tabs>
          <w:tab w:val="left" w:pos="5370"/>
        </w:tabs>
        <w:spacing w:after="0" w:line="240" w:lineRule="auto"/>
        <w:ind w:left="0" w:hanging="2"/>
        <w:jc w:val="center"/>
        <w:rPr>
          <w:rFonts w:ascii="Arial Narrow" w:eastAsia="Arial Narrow" w:hAnsi="Arial Narrow" w:cs="Arial Narrow"/>
          <w:b/>
          <w:sz w:val="23"/>
          <w:szCs w:val="23"/>
          <w:u w:val="single"/>
        </w:rPr>
      </w:pPr>
    </w:p>
    <w:p w14:paraId="5DB23861" w14:textId="77777777" w:rsidR="008839CC" w:rsidRPr="00974AD7" w:rsidRDefault="008839CC">
      <w:pPr>
        <w:widowControl w:val="0"/>
        <w:tabs>
          <w:tab w:val="left" w:pos="5370"/>
        </w:tabs>
        <w:spacing w:after="0" w:line="240" w:lineRule="auto"/>
        <w:ind w:left="0" w:hanging="2"/>
        <w:jc w:val="center"/>
        <w:rPr>
          <w:rFonts w:ascii="Arial Narrow" w:eastAsia="Arial Narrow" w:hAnsi="Arial Narrow" w:cs="Arial Narrow"/>
          <w:b/>
          <w:sz w:val="23"/>
          <w:szCs w:val="23"/>
          <w:u w:val="single"/>
        </w:rPr>
      </w:pPr>
    </w:p>
    <w:p w14:paraId="1929BEAD" w14:textId="285234E4" w:rsidR="008839CC" w:rsidRPr="00974AD7" w:rsidRDefault="00E27E8C">
      <w:pPr>
        <w:widowControl w:val="0"/>
        <w:tabs>
          <w:tab w:val="left" w:pos="5370"/>
        </w:tabs>
        <w:spacing w:after="0" w:line="240" w:lineRule="auto"/>
        <w:ind w:left="0" w:hanging="2"/>
        <w:jc w:val="center"/>
        <w:rPr>
          <w:rFonts w:ascii="Arial Narrow" w:eastAsia="Arial Narrow" w:hAnsi="Arial Narrow" w:cs="Arial Narrow"/>
          <w:sz w:val="23"/>
          <w:szCs w:val="23"/>
          <w:u w:val="single"/>
        </w:rPr>
      </w:pPr>
      <w:r w:rsidRPr="00974AD7">
        <w:rPr>
          <w:rFonts w:ascii="Arial Narrow" w:eastAsia="Arial Narrow" w:hAnsi="Arial Narrow" w:cs="Arial Narrow"/>
          <w:color w:val="000000"/>
          <w:sz w:val="23"/>
          <w:szCs w:val="23"/>
        </w:rPr>
        <w:t xml:space="preserve">De conformidad con lo dispuesto en el artículo 2.2.1.2.4.2.2 del </w:t>
      </w:r>
      <w:r w:rsidRPr="00974AD7">
        <w:rPr>
          <w:rFonts w:ascii="Arial Narrow" w:eastAsia="Arial Narrow" w:hAnsi="Arial Narrow" w:cs="Arial Narrow"/>
          <w:sz w:val="23"/>
          <w:szCs w:val="23"/>
        </w:rPr>
        <w:t>Decreto 1082 de 2015 modificado por el artículo 5° del Decreto 1860 del 2021 en concordancia con el artículo 2.2.1.2.4.2.4 del Decreto 1082 de 2015, dado que la cuantía del proceso es superior a US$125.000 que corresponde a $</w:t>
      </w:r>
      <w:r w:rsidR="00FF5A05" w:rsidRPr="00974AD7">
        <w:rPr>
          <w:rFonts w:ascii="Arial Narrow" w:eastAsia="Arial Narrow" w:hAnsi="Arial Narrow" w:cs="Arial Narrow"/>
          <w:sz w:val="23"/>
          <w:szCs w:val="23"/>
        </w:rPr>
        <w:t>511.708.497</w:t>
      </w:r>
      <w:r w:rsidRPr="00974AD7">
        <w:rPr>
          <w:rFonts w:ascii="Arial Narrow" w:eastAsia="Arial Narrow" w:hAnsi="Arial Narrow" w:cs="Arial Narrow"/>
          <w:sz w:val="23"/>
          <w:szCs w:val="23"/>
        </w:rPr>
        <w:t>, el presente proceso no es objeto de limitación a MiPymes</w:t>
      </w:r>
      <w:r w:rsidR="00234753" w:rsidRPr="00974AD7">
        <w:rPr>
          <w:rFonts w:ascii="Arial Narrow" w:eastAsia="Arial Narrow" w:hAnsi="Arial Narrow" w:cs="Arial Narrow"/>
          <w:sz w:val="23"/>
          <w:szCs w:val="23"/>
        </w:rPr>
        <w:t>.</w:t>
      </w:r>
    </w:p>
    <w:p w14:paraId="7184B9BA" w14:textId="77777777" w:rsidR="008745D1" w:rsidRPr="00974AD7" w:rsidRDefault="008745D1" w:rsidP="005805FD">
      <w:pPr>
        <w:spacing w:after="0" w:line="240" w:lineRule="auto"/>
        <w:ind w:left="1438" w:hangingChars="626" w:hanging="1440"/>
        <w:jc w:val="center"/>
        <w:rPr>
          <w:rFonts w:ascii="Arial Narrow" w:eastAsia="Arial Narrow" w:hAnsi="Arial Narrow" w:cs="Arial Narrow"/>
          <w:color w:val="000000"/>
          <w:sz w:val="23"/>
          <w:szCs w:val="23"/>
        </w:rPr>
      </w:pPr>
    </w:p>
    <w:p w14:paraId="2DF08CCD" w14:textId="77777777" w:rsidR="008745D1" w:rsidRPr="00974AD7" w:rsidRDefault="008745D1" w:rsidP="00974AD7">
      <w:pPr>
        <w:spacing w:after="0" w:line="240" w:lineRule="auto"/>
        <w:ind w:left="0" w:hanging="2"/>
        <w:rPr>
          <w:rFonts w:ascii="Arial Narrow" w:eastAsia="Arial Narrow" w:hAnsi="Arial Narrow" w:cs="Arial Narrow"/>
          <w:color w:val="000000"/>
          <w:sz w:val="23"/>
          <w:szCs w:val="23"/>
        </w:rPr>
      </w:pPr>
    </w:p>
    <w:p w14:paraId="0056579D" w14:textId="77777777" w:rsidR="008745D1" w:rsidRDefault="00062AC1">
      <w:pPr>
        <w:spacing w:after="0" w:line="240" w:lineRule="auto"/>
        <w:ind w:left="0" w:hanging="2"/>
        <w:jc w:val="center"/>
        <w:rPr>
          <w:rFonts w:ascii="Arial Narrow" w:eastAsia="Arial Narrow" w:hAnsi="Arial Narrow" w:cs="Arial Narrow"/>
          <w:color w:val="000000"/>
          <w:sz w:val="23"/>
          <w:szCs w:val="23"/>
        </w:rPr>
      </w:pPr>
      <w:r w:rsidRPr="00974AD7">
        <w:rPr>
          <w:rFonts w:ascii="Arial Narrow" w:eastAsia="Arial Narrow" w:hAnsi="Arial Narrow" w:cs="Arial Narrow"/>
          <w:b/>
          <w:color w:val="000000"/>
          <w:sz w:val="23"/>
          <w:szCs w:val="23"/>
        </w:rPr>
        <w:t>OBJETO:</w:t>
      </w:r>
    </w:p>
    <w:p w14:paraId="0B6BCBEC" w14:textId="77777777" w:rsidR="008745D1" w:rsidRDefault="008745D1">
      <w:pPr>
        <w:spacing w:after="0" w:line="240" w:lineRule="auto"/>
        <w:ind w:left="0" w:hanging="2"/>
        <w:jc w:val="center"/>
        <w:rPr>
          <w:rFonts w:ascii="Arial Narrow" w:eastAsia="Arial Narrow" w:hAnsi="Arial Narrow" w:cs="Arial Narrow"/>
          <w:b/>
          <w:sz w:val="23"/>
          <w:szCs w:val="23"/>
        </w:rPr>
      </w:pPr>
    </w:p>
    <w:p w14:paraId="417AE4D1" w14:textId="588F89F2" w:rsidR="008745D1" w:rsidRDefault="00547B4F">
      <w:pPr>
        <w:ind w:left="0" w:hanging="2"/>
        <w:jc w:val="center"/>
        <w:rPr>
          <w:rFonts w:ascii="Arial Narrow" w:eastAsia="Arial Narrow" w:hAnsi="Arial Narrow" w:cs="Arial Narrow"/>
          <w:b/>
          <w:sz w:val="23"/>
          <w:szCs w:val="23"/>
        </w:rPr>
      </w:pPr>
      <w:r>
        <w:rPr>
          <w:rFonts w:ascii="Arial Narrow" w:eastAsia="Arial Narrow" w:hAnsi="Arial Narrow" w:cs="Arial Narrow"/>
          <w:b/>
          <w:i/>
          <w:sz w:val="23"/>
          <w:szCs w:val="23"/>
        </w:rPr>
        <w:t>“</w:t>
      </w:r>
      <w:r w:rsidR="00974AD7" w:rsidRPr="00974AD7">
        <w:rPr>
          <w:rFonts w:ascii="Arial Narrow" w:eastAsia="Arial Narrow" w:hAnsi="Arial Narrow" w:cs="Arial Narrow"/>
          <w:b/>
          <w:i/>
          <w:sz w:val="23"/>
          <w:szCs w:val="23"/>
        </w:rPr>
        <w:t>PRESTAR EL SERVICIO INTEGRAL DE MESA DE SERVICIOS Y SOPORTE TÉCNICO</w:t>
      </w:r>
      <w:r>
        <w:rPr>
          <w:rFonts w:ascii="Arial Narrow" w:eastAsia="Arial Narrow" w:hAnsi="Arial Narrow" w:cs="Arial Narrow"/>
          <w:b/>
          <w:sz w:val="23"/>
          <w:szCs w:val="23"/>
        </w:rPr>
        <w:t>”</w:t>
      </w:r>
    </w:p>
    <w:p w14:paraId="22A9041A" w14:textId="77777777" w:rsidR="008745D1" w:rsidRDefault="008745D1">
      <w:pPr>
        <w:spacing w:line="240" w:lineRule="auto"/>
        <w:ind w:left="0" w:hanging="2"/>
        <w:jc w:val="center"/>
        <w:rPr>
          <w:rFonts w:ascii="Arial Narrow" w:eastAsia="Arial Narrow" w:hAnsi="Arial Narrow" w:cs="Arial Narrow"/>
          <w:color w:val="000000"/>
          <w:sz w:val="23"/>
          <w:szCs w:val="23"/>
        </w:rPr>
      </w:pPr>
    </w:p>
    <w:p w14:paraId="490F305D" w14:textId="77777777" w:rsidR="008745D1" w:rsidRDefault="00062AC1">
      <w:pPr>
        <w:spacing w:line="240" w:lineRule="auto"/>
        <w:ind w:left="0" w:hanging="2"/>
        <w:jc w:val="center"/>
        <w:rPr>
          <w:rFonts w:ascii="Arial Narrow" w:eastAsia="Arial Narrow" w:hAnsi="Arial Narrow" w:cs="Arial Narrow"/>
          <w:sz w:val="23"/>
          <w:szCs w:val="23"/>
        </w:rPr>
      </w:pPr>
      <w:r>
        <w:rPr>
          <w:rFonts w:ascii="Arial Narrow" w:eastAsia="Arial Narrow" w:hAnsi="Arial Narrow" w:cs="Arial Narrow"/>
          <w:b/>
          <w:color w:val="000000"/>
          <w:sz w:val="23"/>
          <w:szCs w:val="23"/>
        </w:rPr>
        <w:t>PRESUPUESTO:</w:t>
      </w:r>
      <w:r>
        <w:rPr>
          <w:rFonts w:ascii="Arial Narrow" w:eastAsia="Arial Narrow" w:hAnsi="Arial Narrow" w:cs="Arial Narrow"/>
          <w:sz w:val="23"/>
          <w:szCs w:val="23"/>
        </w:rPr>
        <w:t xml:space="preserve"> </w:t>
      </w:r>
    </w:p>
    <w:p w14:paraId="4F5D9474" w14:textId="39F1C995" w:rsidR="008745D1" w:rsidRDefault="00974AD7">
      <w:pPr>
        <w:spacing w:line="240" w:lineRule="auto"/>
        <w:ind w:left="0" w:hanging="2"/>
        <w:jc w:val="both"/>
        <w:rPr>
          <w:rFonts w:ascii="Arial Narrow" w:eastAsia="Arial Narrow" w:hAnsi="Arial Narrow" w:cs="Arial Narrow"/>
          <w:color w:val="000000"/>
          <w:sz w:val="23"/>
          <w:szCs w:val="23"/>
        </w:rPr>
      </w:pPr>
      <w:r w:rsidRPr="00974AD7">
        <w:rPr>
          <w:rFonts w:ascii="Arial Narrow" w:eastAsia="Arial Narrow" w:hAnsi="Arial Narrow" w:cs="Arial Narrow"/>
          <w:b/>
          <w:color w:val="000000"/>
          <w:sz w:val="23"/>
          <w:szCs w:val="23"/>
        </w:rPr>
        <w:t>SESENTA Y SIETE MIL SETECIENTOS OCHENTA Y UN MILLONES SETECIENTOS SESENTA MIL CIENTO VEINTINUEVE PESOS CON CINCUENTA Y SEIS CENTAVOS M/CTE</w:t>
      </w:r>
      <w:r w:rsidR="00547B4F" w:rsidRPr="00547B4F">
        <w:rPr>
          <w:rFonts w:ascii="Arial Narrow" w:eastAsia="Arial Narrow" w:hAnsi="Arial Narrow" w:cs="Arial Narrow"/>
          <w:b/>
          <w:color w:val="000000"/>
          <w:sz w:val="23"/>
          <w:szCs w:val="23"/>
        </w:rPr>
        <w:t xml:space="preserve"> ($</w:t>
      </w:r>
      <w:r w:rsidRPr="00974AD7">
        <w:rPr>
          <w:rFonts w:ascii="Arial Narrow" w:eastAsia="Arial Narrow" w:hAnsi="Arial Narrow" w:cs="Arial Narrow"/>
          <w:b/>
          <w:color w:val="000000"/>
          <w:sz w:val="23"/>
          <w:szCs w:val="23"/>
        </w:rPr>
        <w:t>67.781.760.129,56</w:t>
      </w:r>
      <w:r w:rsidR="00547B4F" w:rsidRPr="00547B4F">
        <w:rPr>
          <w:rFonts w:ascii="Arial Narrow" w:eastAsia="Arial Narrow" w:hAnsi="Arial Narrow" w:cs="Arial Narrow"/>
          <w:b/>
          <w:color w:val="000000"/>
          <w:sz w:val="23"/>
          <w:szCs w:val="23"/>
        </w:rPr>
        <w:t xml:space="preserve">) incluido IVA </w:t>
      </w:r>
      <w:r w:rsidR="00547B4F" w:rsidRPr="0038161D">
        <w:rPr>
          <w:rFonts w:ascii="Arial Narrow" w:eastAsia="Arial Narrow" w:hAnsi="Arial Narrow" w:cs="Arial Narrow"/>
          <w:color w:val="000000"/>
          <w:sz w:val="23"/>
          <w:szCs w:val="23"/>
        </w:rPr>
        <w:t>y todos los costos directos e indirectos y los impuestos nacionales a que haya lugar.</w:t>
      </w:r>
    </w:p>
    <w:p w14:paraId="0B2BF346" w14:textId="77777777" w:rsidR="00473AAC" w:rsidRDefault="00473AAC">
      <w:pPr>
        <w:spacing w:line="240" w:lineRule="auto"/>
        <w:ind w:left="0" w:hanging="2"/>
        <w:jc w:val="both"/>
        <w:rPr>
          <w:rFonts w:ascii="Arial Narrow" w:eastAsia="Arial Narrow" w:hAnsi="Arial Narrow" w:cs="Arial Narrow"/>
          <w:color w:val="000000"/>
          <w:sz w:val="23"/>
          <w:szCs w:val="23"/>
        </w:rPr>
      </w:pPr>
    </w:p>
    <w:p w14:paraId="668E2901" w14:textId="2DFA6F31" w:rsidR="00473AAC" w:rsidRDefault="00473AAC" w:rsidP="00473AAC">
      <w:pPr>
        <w:ind w:left="0" w:hanging="2"/>
        <w:jc w:val="center"/>
        <w:rPr>
          <w:rFonts w:ascii="Arial Narrow" w:hAnsi="Arial Narrow" w:cs="Arial"/>
          <w:bCs/>
          <w:color w:val="000000"/>
          <w:sz w:val="23"/>
          <w:szCs w:val="23"/>
        </w:rPr>
      </w:pPr>
      <w:r>
        <w:rPr>
          <w:rFonts w:ascii="Arial Narrow" w:hAnsi="Arial Narrow"/>
          <w:bCs/>
          <w:iCs/>
          <w:sz w:val="23"/>
          <w:szCs w:val="23"/>
        </w:rPr>
        <w:t xml:space="preserve">Presupuesto que se encuentra amparado </w:t>
      </w:r>
      <w:r>
        <w:rPr>
          <w:rFonts w:ascii="Arial Narrow" w:hAnsi="Arial Narrow" w:cs="Arial"/>
          <w:bCs/>
          <w:sz w:val="23"/>
          <w:szCs w:val="23"/>
        </w:rPr>
        <w:t xml:space="preserve">con el Certificado de Disponibilidad Presupuestal CDP, </w:t>
      </w:r>
      <w:r w:rsidRPr="00974AD7">
        <w:rPr>
          <w:rFonts w:ascii="Arial Narrow" w:hAnsi="Arial Narrow" w:cs="Arial"/>
          <w:bCs/>
          <w:sz w:val="23"/>
          <w:szCs w:val="23"/>
        </w:rPr>
        <w:t>expedido por el Jefe de Departamento de Presupuesto de la Fiscalía General de la Nación</w:t>
      </w:r>
      <w:r w:rsidR="00974AD7" w:rsidRPr="00974AD7">
        <w:rPr>
          <w:rFonts w:ascii="Arial Narrow" w:hAnsi="Arial Narrow" w:cs="Arial"/>
          <w:bCs/>
          <w:sz w:val="23"/>
          <w:szCs w:val="23"/>
        </w:rPr>
        <w:t xml:space="preserve">, y oficio de autorización </w:t>
      </w:r>
      <w:r w:rsidR="00974AD7" w:rsidRPr="00974AD7">
        <w:rPr>
          <w:rFonts w:ascii="Arial Narrow" w:hAnsi="Arial Narrow" w:cs="Arial"/>
          <w:bCs/>
          <w:sz w:val="23"/>
          <w:szCs w:val="23"/>
        </w:rPr>
        <w:t>de vigencias futuras No. 2-2026-070340 y asignación No. 6929 del 08 de octubre de 2026</w:t>
      </w:r>
    </w:p>
    <w:p w14:paraId="302069F8" w14:textId="77777777" w:rsidR="00473AAC" w:rsidRPr="00035EB7" w:rsidRDefault="00473AAC">
      <w:pPr>
        <w:spacing w:line="240" w:lineRule="auto"/>
        <w:ind w:left="0" w:hanging="2"/>
        <w:jc w:val="both"/>
        <w:rPr>
          <w:rFonts w:ascii="Arial Narrow" w:eastAsia="Arial Narrow" w:hAnsi="Arial Narrow" w:cs="Arial Narrow"/>
          <w:i/>
          <w:color w:val="000000"/>
          <w:sz w:val="18"/>
          <w:szCs w:val="18"/>
        </w:rPr>
      </w:pPr>
    </w:p>
    <w:p w14:paraId="54150C1E" w14:textId="77777777" w:rsidR="008745D1" w:rsidRDefault="00062AC1">
      <w:pPr>
        <w:spacing w:line="240" w:lineRule="auto"/>
        <w:ind w:left="0" w:hanging="2"/>
        <w:jc w:val="center"/>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Teniendo en cuenta que los bienes a contratar mediante el presente proceso de selección, son de características técnicas uniformes atendiendo a que poseen las mismas especificaciones técnicas, con independencia de su diseño y de sus características descriptivas y comparten patrones de desempeño y calidad objetivamente definidos, y dado que son de común utilización pues se ofrecen en el mercado en condiciones equivalentes para quien los solicite, se optará por hacer uso de la modalidad de Selección Abreviada mediante el mecanismo de Subasta Inversa, teniendo en cuenta como único factor de selección el menor precio, de conformidad con lo dispuesto en el literal A, numeral 2 del artículo 2 de la Ley 1150 de 2007, en concordancia con los artículos del 2.2.1.2.1.2.1 al 2.2.1.2.1.2.6 del Decreto 1082 de 2015.</w:t>
      </w:r>
    </w:p>
    <w:p w14:paraId="467EBCE8" w14:textId="77777777" w:rsidR="008745D1" w:rsidRDefault="008745D1">
      <w:pPr>
        <w:spacing w:line="240" w:lineRule="auto"/>
        <w:ind w:left="0" w:hanging="2"/>
        <w:jc w:val="center"/>
        <w:rPr>
          <w:rFonts w:ascii="Arial Narrow" w:eastAsia="Arial Narrow" w:hAnsi="Arial Narrow" w:cs="Arial Narrow"/>
          <w:color w:val="000000"/>
          <w:sz w:val="23"/>
          <w:szCs w:val="23"/>
        </w:rPr>
      </w:pPr>
    </w:p>
    <w:p w14:paraId="0721DA3D" w14:textId="77777777" w:rsidR="00F43495" w:rsidRDefault="00F43495">
      <w:pPr>
        <w:spacing w:line="240" w:lineRule="auto"/>
        <w:ind w:left="0" w:hanging="2"/>
        <w:jc w:val="center"/>
        <w:rPr>
          <w:rFonts w:ascii="Arial Narrow" w:eastAsia="Arial Narrow" w:hAnsi="Arial Narrow" w:cs="Arial Narrow"/>
          <w:color w:val="000000"/>
          <w:sz w:val="23"/>
          <w:szCs w:val="23"/>
        </w:rPr>
      </w:pPr>
    </w:p>
    <w:p w14:paraId="38BE145A" w14:textId="77777777" w:rsidR="00F43495" w:rsidRDefault="00F43495">
      <w:pPr>
        <w:spacing w:line="240" w:lineRule="auto"/>
        <w:ind w:left="0" w:hanging="2"/>
        <w:jc w:val="center"/>
        <w:rPr>
          <w:rFonts w:ascii="Arial Narrow" w:eastAsia="Arial Narrow" w:hAnsi="Arial Narrow" w:cs="Arial Narrow"/>
          <w:color w:val="000000"/>
          <w:sz w:val="23"/>
          <w:szCs w:val="23"/>
        </w:rPr>
      </w:pPr>
    </w:p>
    <w:p w14:paraId="6F1F9164" w14:textId="77777777" w:rsidR="008745D1" w:rsidRDefault="00062AC1">
      <w:pPr>
        <w:spacing w:after="0" w:line="240" w:lineRule="auto"/>
        <w:ind w:left="0" w:hanging="2"/>
        <w:jc w:val="center"/>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BOGOTÁ D.C.</w:t>
      </w:r>
    </w:p>
    <w:p w14:paraId="29199B39" w14:textId="6B96DD72" w:rsidR="008745D1" w:rsidRDefault="00062AC1">
      <w:pPr>
        <w:spacing w:after="0" w:line="240" w:lineRule="auto"/>
        <w:ind w:left="0" w:hanging="2"/>
        <w:jc w:val="center"/>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202</w:t>
      </w:r>
      <w:r w:rsidR="00B00FFF">
        <w:rPr>
          <w:rFonts w:ascii="Arial Narrow" w:eastAsia="Arial Narrow" w:hAnsi="Arial Narrow" w:cs="Arial Narrow"/>
          <w:b/>
          <w:sz w:val="23"/>
          <w:szCs w:val="23"/>
        </w:rPr>
        <w:t>6</w:t>
      </w:r>
    </w:p>
    <w:p w14:paraId="566490C7"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6B130F89"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5547F487"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447CBF53" w14:textId="77777777" w:rsidR="008745D1" w:rsidRDefault="00062AC1">
      <w:pPr>
        <w:spacing w:after="0" w:line="240" w:lineRule="auto"/>
        <w:ind w:left="0" w:hanging="2"/>
        <w:jc w:val="center"/>
        <w:rPr>
          <w:rFonts w:ascii="Arial Narrow" w:eastAsia="Arial Narrow" w:hAnsi="Arial Narrow" w:cs="Arial Narrow"/>
          <w:color w:val="000000"/>
          <w:sz w:val="23"/>
          <w:szCs w:val="23"/>
        </w:rPr>
      </w:pPr>
      <w:r>
        <w:br w:type="page"/>
      </w:r>
    </w:p>
    <w:p w14:paraId="00C4BCA8" w14:textId="77777777" w:rsidR="008745D1" w:rsidRDefault="00062AC1">
      <w:pPr>
        <w:spacing w:after="0" w:line="240" w:lineRule="auto"/>
        <w:ind w:left="0" w:hanging="2"/>
        <w:jc w:val="center"/>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lastRenderedPageBreak/>
        <w:t>TABLA DE CONTENIDO</w:t>
      </w:r>
    </w:p>
    <w:p w14:paraId="168622EB" w14:textId="77777777" w:rsidR="008745D1" w:rsidRDefault="008745D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32F65974"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2FD29271" w14:textId="77777777" w:rsidR="00B11685" w:rsidRDefault="00B11685" w:rsidP="00B11685">
      <w:pPr>
        <w:pBdr>
          <w:top w:val="nil"/>
          <w:left w:val="nil"/>
          <w:bottom w:val="nil"/>
          <w:right w:val="nil"/>
          <w:between w:val="nil"/>
        </w:pBdr>
        <w:tabs>
          <w:tab w:val="left" w:pos="660"/>
          <w:tab w:val="right" w:pos="9356"/>
        </w:tabs>
        <w:spacing w:after="100" w:line="276" w:lineRule="auto"/>
        <w:ind w:left="0" w:hanging="2"/>
        <w:jc w:val="both"/>
        <w:rPr>
          <w:rFonts w:ascii="Arial Narrow" w:eastAsia="Arial Narrow" w:hAnsi="Arial Narrow" w:cs="Arial Narrow"/>
          <w:color w:val="000000"/>
          <w:sz w:val="23"/>
          <w:szCs w:val="23"/>
        </w:rPr>
      </w:pPr>
      <w:hyperlink w:anchor="_heading=h.2afmg28">
        <w:r>
          <w:rPr>
            <w:rFonts w:ascii="Arial Narrow" w:eastAsia="Arial Narrow" w:hAnsi="Arial Narrow" w:cs="Arial Narrow"/>
            <w:b/>
            <w:color w:val="000000"/>
            <w:sz w:val="23"/>
            <w:szCs w:val="23"/>
          </w:rPr>
          <w:t>I.</w:t>
        </w:r>
      </w:hyperlink>
      <w:hyperlink w:anchor="_heading=h.2afmg28">
        <w:r>
          <w:rPr>
            <w:rFonts w:ascii="Arial Narrow" w:eastAsia="Arial Narrow" w:hAnsi="Arial Narrow" w:cs="Arial Narrow"/>
            <w:color w:val="000000"/>
            <w:sz w:val="23"/>
            <w:szCs w:val="23"/>
          </w:rPr>
          <w:tab/>
        </w:r>
      </w:hyperlink>
      <w:r>
        <w:fldChar w:fldCharType="begin"/>
      </w:r>
      <w:r>
        <w:instrText xml:space="preserve"> PAGEREF _heading=h.2afmg28 \h </w:instrText>
      </w:r>
      <w:r>
        <w:fldChar w:fldCharType="separate"/>
      </w:r>
      <w:r>
        <w:rPr>
          <w:rFonts w:ascii="Arial Narrow" w:eastAsia="Arial Narrow" w:hAnsi="Arial Narrow" w:cs="Arial Narrow"/>
          <w:b/>
          <w:color w:val="000000"/>
          <w:sz w:val="23"/>
          <w:szCs w:val="23"/>
        </w:rPr>
        <w:t>INTRODUCCIÓN</w:t>
      </w:r>
      <w:r>
        <w:rPr>
          <w:rFonts w:ascii="Arial Narrow" w:eastAsia="Arial Narrow" w:hAnsi="Arial Narrow" w:cs="Arial Narrow"/>
          <w:b/>
          <w:color w:val="000000"/>
          <w:sz w:val="23"/>
          <w:szCs w:val="23"/>
        </w:rPr>
        <w:tab/>
        <w:t>6</w:t>
      </w:r>
      <w:hyperlink w:anchor="_heading=h.2afmg28" w:history="1"/>
    </w:p>
    <w:p w14:paraId="3C48CC56" w14:textId="77777777" w:rsidR="00B11685" w:rsidRDefault="00B11685" w:rsidP="00B11685">
      <w:pPr>
        <w:pBdr>
          <w:top w:val="nil"/>
          <w:left w:val="nil"/>
          <w:bottom w:val="nil"/>
          <w:right w:val="nil"/>
          <w:between w:val="nil"/>
        </w:pBdr>
        <w:tabs>
          <w:tab w:val="left" w:pos="660"/>
          <w:tab w:val="right" w:pos="9356"/>
        </w:tabs>
        <w:spacing w:after="100" w:line="276" w:lineRule="auto"/>
        <w:ind w:left="0" w:hanging="2"/>
        <w:jc w:val="both"/>
        <w:rPr>
          <w:rFonts w:ascii="Arial Narrow" w:eastAsia="Arial Narrow" w:hAnsi="Arial Narrow" w:cs="Arial Narrow"/>
          <w:color w:val="000000"/>
          <w:sz w:val="23"/>
          <w:szCs w:val="23"/>
        </w:rPr>
      </w:pPr>
      <w:r>
        <w:fldChar w:fldCharType="end"/>
      </w:r>
      <w:hyperlink w:anchor="_heading=h.3znysh7">
        <w:r>
          <w:rPr>
            <w:rFonts w:ascii="Arial Narrow" w:eastAsia="Arial Narrow" w:hAnsi="Arial Narrow" w:cs="Arial Narrow"/>
            <w:b/>
            <w:color w:val="000000"/>
            <w:sz w:val="23"/>
            <w:szCs w:val="23"/>
          </w:rPr>
          <w:t>II.</w:t>
        </w:r>
      </w:hyperlink>
      <w:hyperlink w:anchor="_heading=h.3znysh7">
        <w:r>
          <w:rPr>
            <w:rFonts w:ascii="Arial Narrow" w:eastAsia="Arial Narrow" w:hAnsi="Arial Narrow" w:cs="Arial Narrow"/>
            <w:color w:val="000000"/>
            <w:sz w:val="23"/>
            <w:szCs w:val="23"/>
          </w:rPr>
          <w:tab/>
        </w:r>
      </w:hyperlink>
      <w:r>
        <w:fldChar w:fldCharType="begin"/>
      </w:r>
      <w:r>
        <w:instrText xml:space="preserve"> PAGEREF _heading=h.3znysh7 \h </w:instrText>
      </w:r>
      <w:r>
        <w:fldChar w:fldCharType="separate"/>
      </w:r>
      <w:r>
        <w:rPr>
          <w:rFonts w:ascii="Arial Narrow" w:eastAsia="Arial Narrow" w:hAnsi="Arial Narrow" w:cs="Arial Narrow"/>
          <w:b/>
          <w:color w:val="000000"/>
          <w:sz w:val="23"/>
          <w:szCs w:val="23"/>
        </w:rPr>
        <w:t>DEFINICIONES Y CRONOGRAMA</w:t>
      </w:r>
      <w:r>
        <w:rPr>
          <w:rFonts w:ascii="Arial Narrow" w:eastAsia="Arial Narrow" w:hAnsi="Arial Narrow" w:cs="Arial Narrow"/>
          <w:b/>
          <w:color w:val="000000"/>
          <w:sz w:val="23"/>
          <w:szCs w:val="23"/>
        </w:rPr>
        <w:tab/>
        <w:t>6</w:t>
      </w:r>
      <w:hyperlink w:anchor="_heading=h.3znysh7" w:history="1"/>
    </w:p>
    <w:p w14:paraId="4FD3C1D1" w14:textId="77777777" w:rsidR="00B11685" w:rsidRDefault="00B11685" w:rsidP="00B11685">
      <w:pPr>
        <w:pBdr>
          <w:top w:val="nil"/>
          <w:left w:val="nil"/>
          <w:bottom w:val="nil"/>
          <w:right w:val="nil"/>
          <w:between w:val="nil"/>
        </w:pBdr>
        <w:tabs>
          <w:tab w:val="left" w:pos="660"/>
          <w:tab w:val="right" w:pos="9356"/>
        </w:tabs>
        <w:spacing w:after="100" w:line="276" w:lineRule="auto"/>
        <w:ind w:left="0" w:hanging="2"/>
        <w:jc w:val="both"/>
        <w:rPr>
          <w:rFonts w:ascii="Arial Narrow" w:eastAsia="Arial Narrow" w:hAnsi="Arial Narrow" w:cs="Arial Narrow"/>
          <w:color w:val="000000"/>
          <w:sz w:val="23"/>
          <w:szCs w:val="23"/>
        </w:rPr>
      </w:pPr>
      <w:r>
        <w:fldChar w:fldCharType="end"/>
      </w:r>
      <w:hyperlink w:anchor="_heading=h.1opuj5n">
        <w:r>
          <w:rPr>
            <w:rFonts w:ascii="Arial Narrow" w:eastAsia="Arial Narrow" w:hAnsi="Arial Narrow" w:cs="Arial Narrow"/>
            <w:b/>
            <w:color w:val="000000"/>
            <w:sz w:val="23"/>
            <w:szCs w:val="23"/>
          </w:rPr>
          <w:t>III.</w:t>
        </w:r>
      </w:hyperlink>
      <w:hyperlink w:anchor="_heading=h.1opuj5n">
        <w:r>
          <w:rPr>
            <w:rFonts w:ascii="Arial Narrow" w:eastAsia="Arial Narrow" w:hAnsi="Arial Narrow" w:cs="Arial Narrow"/>
            <w:color w:val="000000"/>
            <w:sz w:val="23"/>
            <w:szCs w:val="23"/>
          </w:rPr>
          <w:tab/>
        </w:r>
      </w:hyperlink>
      <w:r>
        <w:fldChar w:fldCharType="begin"/>
      </w:r>
      <w:r>
        <w:instrText xml:space="preserve"> PAGEREF _heading=h.1opuj5n \h </w:instrText>
      </w:r>
      <w:r>
        <w:fldChar w:fldCharType="separate"/>
      </w:r>
      <w:r>
        <w:rPr>
          <w:rFonts w:ascii="Arial Narrow" w:eastAsia="Arial Narrow" w:hAnsi="Arial Narrow" w:cs="Arial Narrow"/>
          <w:b/>
          <w:color w:val="000000"/>
          <w:sz w:val="23"/>
          <w:szCs w:val="23"/>
        </w:rPr>
        <w:t>ASPECTOS GENERALES</w:t>
      </w:r>
      <w:r>
        <w:rPr>
          <w:rFonts w:ascii="Arial Narrow" w:eastAsia="Arial Narrow" w:hAnsi="Arial Narrow" w:cs="Arial Narrow"/>
          <w:b/>
          <w:color w:val="000000"/>
          <w:sz w:val="23"/>
          <w:szCs w:val="23"/>
        </w:rPr>
        <w:tab/>
        <w:t>9</w:t>
      </w:r>
      <w:hyperlink w:anchor="_heading=h.1opuj5n" w:history="1"/>
    </w:p>
    <w:p w14:paraId="09BF447F"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r>
        <w:fldChar w:fldCharType="end"/>
      </w:r>
      <w:hyperlink w:anchor="_heading=h.3dy6vkm">
        <w:r>
          <w:rPr>
            <w:rFonts w:ascii="Arial Narrow" w:eastAsia="Arial Narrow" w:hAnsi="Arial Narrow" w:cs="Arial Narrow"/>
            <w:b/>
            <w:color w:val="000000"/>
            <w:sz w:val="23"/>
            <w:szCs w:val="23"/>
          </w:rPr>
          <w:t>3.1. Invitación a las veedurías ciudadanas</w:t>
        </w:r>
        <w:r>
          <w:rPr>
            <w:rFonts w:ascii="Arial Narrow" w:eastAsia="Arial Narrow" w:hAnsi="Arial Narrow" w:cs="Arial Narrow"/>
            <w:b/>
            <w:color w:val="000000"/>
            <w:sz w:val="23"/>
            <w:szCs w:val="23"/>
          </w:rPr>
          <w:tab/>
          <w:t>9</w:t>
        </w:r>
      </w:hyperlink>
    </w:p>
    <w:p w14:paraId="09B38040"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1t3h5sf">
        <w:r>
          <w:rPr>
            <w:rFonts w:ascii="Arial Narrow" w:eastAsia="Arial Narrow" w:hAnsi="Arial Narrow" w:cs="Arial Narrow"/>
            <w:b/>
            <w:color w:val="000000"/>
            <w:sz w:val="23"/>
            <w:szCs w:val="23"/>
          </w:rPr>
          <w:t>3.2. Secretaría de Transparencia</w:t>
        </w:r>
        <w:r>
          <w:rPr>
            <w:rFonts w:ascii="Arial Narrow" w:eastAsia="Arial Narrow" w:hAnsi="Arial Narrow" w:cs="Arial Narrow"/>
            <w:b/>
            <w:color w:val="000000"/>
            <w:sz w:val="23"/>
            <w:szCs w:val="23"/>
          </w:rPr>
          <w:tab/>
          <w:t>9</w:t>
        </w:r>
      </w:hyperlink>
    </w:p>
    <w:p w14:paraId="464BCEFF"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17dp8vu">
        <w:r>
          <w:rPr>
            <w:rFonts w:ascii="Arial Narrow" w:eastAsia="Arial Narrow" w:hAnsi="Arial Narrow" w:cs="Arial Narrow"/>
            <w:b/>
            <w:color w:val="000000"/>
            <w:sz w:val="23"/>
            <w:szCs w:val="23"/>
          </w:rPr>
          <w:t>3.3 Compromiso anticorrupción</w:t>
        </w:r>
        <w:r>
          <w:rPr>
            <w:rFonts w:ascii="Arial Narrow" w:eastAsia="Arial Narrow" w:hAnsi="Arial Narrow" w:cs="Arial Narrow"/>
            <w:b/>
            <w:color w:val="000000"/>
            <w:sz w:val="23"/>
            <w:szCs w:val="23"/>
          </w:rPr>
          <w:tab/>
          <w:t>10</w:t>
        </w:r>
      </w:hyperlink>
    </w:p>
    <w:p w14:paraId="6550EBDE"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3rdcrjn">
        <w:r>
          <w:rPr>
            <w:rFonts w:ascii="Arial Narrow" w:eastAsia="Arial Narrow" w:hAnsi="Arial Narrow" w:cs="Arial Narrow"/>
            <w:b/>
            <w:color w:val="000000"/>
            <w:sz w:val="23"/>
            <w:szCs w:val="23"/>
          </w:rPr>
          <w:t>3.4. Costos derivados de participar en el Proceso de Contratación</w:t>
        </w:r>
        <w:r>
          <w:rPr>
            <w:rFonts w:ascii="Arial Narrow" w:eastAsia="Arial Narrow" w:hAnsi="Arial Narrow" w:cs="Arial Narrow"/>
            <w:b/>
            <w:color w:val="000000"/>
            <w:sz w:val="23"/>
            <w:szCs w:val="23"/>
          </w:rPr>
          <w:tab/>
          <w:t>10</w:t>
        </w:r>
      </w:hyperlink>
    </w:p>
    <w:p w14:paraId="6C759EAE"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108vz9727aul">
        <w:r>
          <w:rPr>
            <w:rFonts w:ascii="Arial Narrow" w:eastAsia="Arial Narrow" w:hAnsi="Arial Narrow" w:cs="Arial Narrow"/>
            <w:b/>
            <w:color w:val="000000"/>
            <w:sz w:val="23"/>
            <w:szCs w:val="23"/>
          </w:rPr>
          <w:t>3.5. Comunicaciones</w:t>
        </w:r>
        <w:r>
          <w:rPr>
            <w:rFonts w:ascii="Arial Narrow" w:eastAsia="Arial Narrow" w:hAnsi="Arial Narrow" w:cs="Arial Narrow"/>
            <w:b/>
            <w:color w:val="000000"/>
            <w:sz w:val="23"/>
            <w:szCs w:val="23"/>
          </w:rPr>
          <w:tab/>
          <w:t>10</w:t>
        </w:r>
      </w:hyperlink>
    </w:p>
    <w:p w14:paraId="77555CCA"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48pi1tg">
        <w:r>
          <w:rPr>
            <w:rFonts w:ascii="Arial Narrow" w:eastAsia="Arial Narrow" w:hAnsi="Arial Narrow" w:cs="Arial Narrow"/>
            <w:b/>
            <w:color w:val="000000"/>
            <w:sz w:val="23"/>
            <w:szCs w:val="23"/>
          </w:rPr>
          <w:t>3.6. Idioma</w:t>
        </w:r>
        <w:r>
          <w:rPr>
            <w:rFonts w:ascii="Arial Narrow" w:eastAsia="Arial Narrow" w:hAnsi="Arial Narrow" w:cs="Arial Narrow"/>
            <w:b/>
            <w:color w:val="000000"/>
            <w:sz w:val="23"/>
            <w:szCs w:val="23"/>
          </w:rPr>
          <w:tab/>
          <w:t>11</w:t>
        </w:r>
      </w:hyperlink>
    </w:p>
    <w:p w14:paraId="20D59AA9"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108vz9727aul">
        <w:r>
          <w:rPr>
            <w:rFonts w:ascii="Arial Narrow" w:eastAsia="Arial Narrow" w:hAnsi="Arial Narrow" w:cs="Arial Narrow"/>
            <w:b/>
            <w:color w:val="000000"/>
            <w:sz w:val="23"/>
            <w:szCs w:val="23"/>
          </w:rPr>
          <w:t>3.7. Legalización de documentos otorgados en el Exterior</w:t>
        </w:r>
        <w:r>
          <w:rPr>
            <w:rFonts w:ascii="Arial Narrow" w:eastAsia="Arial Narrow" w:hAnsi="Arial Narrow" w:cs="Arial Narrow"/>
            <w:b/>
            <w:color w:val="000000"/>
            <w:sz w:val="23"/>
            <w:szCs w:val="23"/>
          </w:rPr>
          <w:tab/>
          <w:t>11</w:t>
        </w:r>
      </w:hyperlink>
    </w:p>
    <w:p w14:paraId="3D9B00D0"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1ksv4uv">
        <w:r>
          <w:rPr>
            <w:rFonts w:ascii="Arial Narrow" w:eastAsia="Arial Narrow" w:hAnsi="Arial Narrow" w:cs="Arial Narrow"/>
            <w:b/>
            <w:color w:val="000000"/>
            <w:sz w:val="23"/>
            <w:szCs w:val="23"/>
          </w:rPr>
          <w:t>3.8. Conversión de monedas</w:t>
        </w:r>
        <w:r>
          <w:rPr>
            <w:rFonts w:ascii="Arial Narrow" w:eastAsia="Arial Narrow" w:hAnsi="Arial Narrow" w:cs="Arial Narrow"/>
            <w:b/>
            <w:color w:val="000000"/>
            <w:sz w:val="23"/>
            <w:szCs w:val="23"/>
          </w:rPr>
          <w:tab/>
          <w:t>11</w:t>
        </w:r>
      </w:hyperlink>
    </w:p>
    <w:p w14:paraId="7E7B06F9"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44sinio">
        <w:r>
          <w:rPr>
            <w:rFonts w:ascii="Arial Narrow" w:eastAsia="Arial Narrow" w:hAnsi="Arial Narrow" w:cs="Arial Narrow"/>
            <w:b/>
            <w:color w:val="000000"/>
            <w:sz w:val="23"/>
            <w:szCs w:val="23"/>
          </w:rPr>
          <w:t>3.9. Ofertas Condicionadas</w:t>
        </w:r>
        <w:r>
          <w:rPr>
            <w:rFonts w:ascii="Arial Narrow" w:eastAsia="Arial Narrow" w:hAnsi="Arial Narrow" w:cs="Arial Narrow"/>
            <w:b/>
            <w:color w:val="000000"/>
            <w:sz w:val="23"/>
            <w:szCs w:val="23"/>
          </w:rPr>
          <w:tab/>
          <w:t>11</w:t>
        </w:r>
      </w:hyperlink>
    </w:p>
    <w:p w14:paraId="50C76F60"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z337ya">
        <w:r>
          <w:rPr>
            <w:rFonts w:ascii="Arial Narrow" w:eastAsia="Arial Narrow" w:hAnsi="Arial Narrow" w:cs="Arial Narrow"/>
            <w:b/>
            <w:color w:val="000000"/>
            <w:sz w:val="23"/>
            <w:szCs w:val="23"/>
          </w:rPr>
          <w:t>3.10. Reserva Durante el Proceso de Evaluación</w:t>
        </w:r>
        <w:r>
          <w:rPr>
            <w:rFonts w:ascii="Arial Narrow" w:eastAsia="Arial Narrow" w:hAnsi="Arial Narrow" w:cs="Arial Narrow"/>
            <w:b/>
            <w:color w:val="000000"/>
            <w:sz w:val="23"/>
            <w:szCs w:val="23"/>
          </w:rPr>
          <w:tab/>
          <w:t>11</w:t>
        </w:r>
      </w:hyperlink>
    </w:p>
    <w:p w14:paraId="0E088587"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3j2qqm3">
        <w:r>
          <w:rPr>
            <w:rFonts w:ascii="Arial Narrow" w:eastAsia="Arial Narrow" w:hAnsi="Arial Narrow" w:cs="Arial Narrow"/>
            <w:b/>
            <w:color w:val="000000"/>
            <w:sz w:val="23"/>
            <w:szCs w:val="23"/>
          </w:rPr>
          <w:t>3.11. Declaratoria de Desierta</w:t>
        </w:r>
        <w:r>
          <w:rPr>
            <w:rFonts w:ascii="Arial Narrow" w:eastAsia="Arial Narrow" w:hAnsi="Arial Narrow" w:cs="Arial Narrow"/>
            <w:b/>
            <w:color w:val="000000"/>
            <w:sz w:val="23"/>
            <w:szCs w:val="23"/>
          </w:rPr>
          <w:tab/>
          <w:t>12</w:t>
        </w:r>
      </w:hyperlink>
    </w:p>
    <w:p w14:paraId="77F742BD"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1y810tw">
        <w:r>
          <w:rPr>
            <w:rFonts w:ascii="Arial Narrow" w:eastAsia="Arial Narrow" w:hAnsi="Arial Narrow" w:cs="Arial Narrow"/>
            <w:b/>
            <w:color w:val="000000"/>
            <w:sz w:val="23"/>
            <w:szCs w:val="23"/>
          </w:rPr>
          <w:t>3.12. Causales de Rechazo</w:t>
        </w:r>
        <w:r>
          <w:rPr>
            <w:rFonts w:ascii="Arial Narrow" w:eastAsia="Arial Narrow" w:hAnsi="Arial Narrow" w:cs="Arial Narrow"/>
            <w:b/>
            <w:color w:val="000000"/>
            <w:sz w:val="23"/>
            <w:szCs w:val="23"/>
          </w:rPr>
          <w:tab/>
          <w:t>12</w:t>
        </w:r>
      </w:hyperlink>
    </w:p>
    <w:p w14:paraId="63C83D6D"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4i7ojhp">
        <w:r>
          <w:rPr>
            <w:rFonts w:ascii="Arial Narrow" w:eastAsia="Arial Narrow" w:hAnsi="Arial Narrow" w:cs="Arial Narrow"/>
            <w:b/>
            <w:color w:val="000000"/>
            <w:sz w:val="23"/>
            <w:szCs w:val="23"/>
          </w:rPr>
          <w:t>3.13. Observaciones al proyecto de pliego y/o pliego de condiciones definitivo y su documento complementario.</w:t>
        </w:r>
        <w:r>
          <w:rPr>
            <w:rFonts w:ascii="Arial Narrow" w:eastAsia="Arial Narrow" w:hAnsi="Arial Narrow" w:cs="Arial Narrow"/>
            <w:b/>
            <w:color w:val="000000"/>
            <w:sz w:val="23"/>
            <w:szCs w:val="23"/>
          </w:rPr>
          <w:tab/>
          <w:t>14</w:t>
        </w:r>
      </w:hyperlink>
    </w:p>
    <w:p w14:paraId="13E966AD"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1ci93xb">
        <w:r>
          <w:rPr>
            <w:rFonts w:ascii="Arial Narrow" w:eastAsia="Arial Narrow" w:hAnsi="Arial Narrow" w:cs="Arial Narrow"/>
            <w:b/>
            <w:color w:val="000000"/>
            <w:sz w:val="23"/>
            <w:szCs w:val="23"/>
          </w:rPr>
          <w:t>3.14. Adendas</w:t>
        </w:r>
        <w:r>
          <w:rPr>
            <w:rFonts w:ascii="Arial Narrow" w:eastAsia="Arial Narrow" w:hAnsi="Arial Narrow" w:cs="Arial Narrow"/>
            <w:b/>
            <w:color w:val="000000"/>
            <w:sz w:val="23"/>
            <w:szCs w:val="23"/>
          </w:rPr>
          <w:tab/>
          <w:t>14</w:t>
        </w:r>
      </w:hyperlink>
    </w:p>
    <w:p w14:paraId="7C14B9C9"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3whwml4">
        <w:r>
          <w:rPr>
            <w:rFonts w:ascii="Arial Narrow" w:eastAsia="Arial Narrow" w:hAnsi="Arial Narrow" w:cs="Arial Narrow"/>
            <w:b/>
            <w:color w:val="000000"/>
            <w:sz w:val="23"/>
            <w:szCs w:val="23"/>
          </w:rPr>
          <w:t>3.15. Garantías.</w:t>
        </w:r>
        <w:r>
          <w:rPr>
            <w:rFonts w:ascii="Arial Narrow" w:eastAsia="Arial Narrow" w:hAnsi="Arial Narrow" w:cs="Arial Narrow"/>
            <w:b/>
            <w:color w:val="000000"/>
            <w:sz w:val="23"/>
            <w:szCs w:val="23"/>
          </w:rPr>
          <w:tab/>
          <w:t>15</w:t>
        </w:r>
      </w:hyperlink>
    </w:p>
    <w:p w14:paraId="4228440A" w14:textId="77777777" w:rsidR="00B11685" w:rsidRDefault="00B11685" w:rsidP="00B11685">
      <w:pPr>
        <w:pBdr>
          <w:top w:val="nil"/>
          <w:left w:val="nil"/>
          <w:bottom w:val="nil"/>
          <w:right w:val="nil"/>
          <w:between w:val="nil"/>
        </w:pBdr>
        <w:tabs>
          <w:tab w:val="left" w:pos="660"/>
          <w:tab w:val="right" w:pos="9356"/>
        </w:tabs>
        <w:spacing w:after="100" w:line="276" w:lineRule="auto"/>
        <w:ind w:left="0" w:hanging="2"/>
        <w:jc w:val="both"/>
        <w:rPr>
          <w:rFonts w:ascii="Arial Narrow" w:eastAsia="Arial Narrow" w:hAnsi="Arial Narrow" w:cs="Arial Narrow"/>
          <w:color w:val="000000"/>
          <w:sz w:val="23"/>
          <w:szCs w:val="23"/>
        </w:rPr>
      </w:pPr>
      <w:hyperlink w:anchor="_heading=h.2nusc19">
        <w:r>
          <w:rPr>
            <w:rFonts w:ascii="Arial Narrow" w:eastAsia="Arial Narrow" w:hAnsi="Arial Narrow" w:cs="Arial Narrow"/>
            <w:b/>
            <w:color w:val="000000"/>
            <w:sz w:val="23"/>
            <w:szCs w:val="23"/>
          </w:rPr>
          <w:t>IV.</w:t>
        </w:r>
      </w:hyperlink>
      <w:hyperlink w:anchor="_heading=h.2nusc19">
        <w:r>
          <w:rPr>
            <w:rFonts w:ascii="Arial Narrow" w:eastAsia="Arial Narrow" w:hAnsi="Arial Narrow" w:cs="Arial Narrow"/>
            <w:color w:val="000000"/>
            <w:sz w:val="23"/>
            <w:szCs w:val="23"/>
          </w:rPr>
          <w:tab/>
        </w:r>
      </w:hyperlink>
      <w:r>
        <w:fldChar w:fldCharType="begin"/>
      </w:r>
      <w:r>
        <w:instrText xml:space="preserve"> PAGEREF _heading=h.2nusc19 \h </w:instrText>
      </w:r>
      <w:r>
        <w:fldChar w:fldCharType="separate"/>
      </w:r>
      <w:r>
        <w:rPr>
          <w:rFonts w:ascii="Arial Narrow" w:eastAsia="Arial Narrow" w:hAnsi="Arial Narrow" w:cs="Arial Narrow"/>
          <w:b/>
          <w:sz w:val="23"/>
          <w:szCs w:val="23"/>
        </w:rPr>
        <w:t>PRESENTACIÓN</w:t>
      </w:r>
      <w:r>
        <w:rPr>
          <w:rFonts w:ascii="Arial Narrow" w:eastAsia="Arial Narrow" w:hAnsi="Arial Narrow" w:cs="Arial Narrow"/>
          <w:b/>
          <w:color w:val="000000"/>
          <w:sz w:val="23"/>
          <w:szCs w:val="23"/>
        </w:rPr>
        <w:t xml:space="preserve"> DE LA OFERTA</w:t>
      </w:r>
      <w:r>
        <w:rPr>
          <w:rFonts w:ascii="Arial Narrow" w:eastAsia="Arial Narrow" w:hAnsi="Arial Narrow" w:cs="Arial Narrow"/>
          <w:b/>
          <w:color w:val="000000"/>
          <w:sz w:val="23"/>
          <w:szCs w:val="23"/>
        </w:rPr>
        <w:tab/>
        <w:t>16</w:t>
      </w:r>
      <w:hyperlink w:anchor="_heading=h.2nusc19" w:history="1"/>
    </w:p>
    <w:p w14:paraId="1DC6FC64"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r>
        <w:fldChar w:fldCharType="end"/>
      </w:r>
      <w:hyperlink w:anchor="_heading=h.1302m92">
        <w:r>
          <w:rPr>
            <w:rFonts w:ascii="Arial Narrow" w:eastAsia="Arial Narrow" w:hAnsi="Arial Narrow" w:cs="Arial Narrow"/>
            <w:b/>
            <w:color w:val="000000"/>
            <w:sz w:val="23"/>
            <w:szCs w:val="23"/>
          </w:rPr>
          <w:t>4.1 Presentación</w:t>
        </w:r>
        <w:r>
          <w:rPr>
            <w:rFonts w:ascii="Arial Narrow" w:eastAsia="Arial Narrow" w:hAnsi="Arial Narrow" w:cs="Arial Narrow"/>
            <w:b/>
            <w:color w:val="000000"/>
            <w:sz w:val="23"/>
            <w:szCs w:val="23"/>
          </w:rPr>
          <w:tab/>
          <w:t>16</w:t>
        </w:r>
      </w:hyperlink>
    </w:p>
    <w:p w14:paraId="75CD4A1D"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3mzq4wv">
        <w:r>
          <w:rPr>
            <w:rFonts w:ascii="Arial Narrow" w:eastAsia="Arial Narrow" w:hAnsi="Arial Narrow" w:cs="Arial Narrow"/>
            <w:b/>
            <w:color w:val="000000"/>
            <w:sz w:val="23"/>
            <w:szCs w:val="23"/>
          </w:rPr>
          <w:t>4.2. Retiro de la oferta</w:t>
        </w:r>
        <w:r>
          <w:rPr>
            <w:rFonts w:ascii="Arial Narrow" w:eastAsia="Arial Narrow" w:hAnsi="Arial Narrow" w:cs="Arial Narrow"/>
            <w:b/>
            <w:color w:val="000000"/>
            <w:sz w:val="23"/>
            <w:szCs w:val="23"/>
          </w:rPr>
          <w:tab/>
          <w:t>16</w:t>
        </w:r>
      </w:hyperlink>
    </w:p>
    <w:p w14:paraId="5FA126CE" w14:textId="77777777" w:rsidR="00B11685" w:rsidRDefault="00B11685" w:rsidP="00B11685">
      <w:pPr>
        <w:pBdr>
          <w:top w:val="nil"/>
          <w:left w:val="nil"/>
          <w:bottom w:val="nil"/>
          <w:right w:val="nil"/>
          <w:between w:val="nil"/>
        </w:pBdr>
        <w:tabs>
          <w:tab w:val="right" w:pos="9394"/>
          <w:tab w:val="left" w:pos="880"/>
        </w:tabs>
        <w:spacing w:after="100" w:line="276" w:lineRule="auto"/>
        <w:ind w:left="0" w:hanging="2"/>
        <w:rPr>
          <w:rFonts w:ascii="Arial Narrow" w:eastAsia="Arial Narrow" w:hAnsi="Arial Narrow" w:cs="Arial Narrow"/>
          <w:color w:val="000000"/>
          <w:sz w:val="23"/>
          <w:szCs w:val="23"/>
        </w:rPr>
      </w:pPr>
      <w:hyperlink w:anchor="_heading=h.2250f4o">
        <w:r>
          <w:rPr>
            <w:rFonts w:ascii="Arial Narrow" w:eastAsia="Arial Narrow" w:hAnsi="Arial Narrow" w:cs="Arial Narrow"/>
            <w:b/>
            <w:color w:val="000000"/>
            <w:sz w:val="23"/>
            <w:szCs w:val="23"/>
          </w:rPr>
          <w:t>4.3</w:t>
        </w:r>
      </w:hyperlink>
      <w:r>
        <w:t xml:space="preserve"> </w:t>
      </w:r>
      <w:r>
        <w:fldChar w:fldCharType="begin"/>
      </w:r>
      <w:r>
        <w:instrText xml:space="preserve"> PAGEREF _heading=h.2250f4o \h </w:instrText>
      </w:r>
      <w:r>
        <w:fldChar w:fldCharType="separate"/>
      </w:r>
      <w:r>
        <w:rPr>
          <w:rFonts w:ascii="Arial Narrow" w:eastAsia="Arial Narrow" w:hAnsi="Arial Narrow" w:cs="Arial Narrow"/>
          <w:b/>
          <w:color w:val="000000"/>
          <w:sz w:val="23"/>
          <w:szCs w:val="23"/>
        </w:rPr>
        <w:t>Indisponibilidad</w:t>
      </w:r>
      <w:r>
        <w:rPr>
          <w:rFonts w:ascii="Arial Narrow" w:eastAsia="Arial Narrow" w:hAnsi="Arial Narrow" w:cs="Arial Narrow"/>
          <w:b/>
          <w:color w:val="000000"/>
          <w:sz w:val="23"/>
          <w:szCs w:val="23"/>
        </w:rPr>
        <w:tab/>
        <w:t>16</w:t>
      </w:r>
      <w:hyperlink w:anchor="_heading=h.2250f4o" w:history="1"/>
    </w:p>
    <w:p w14:paraId="445A98CF" w14:textId="77777777" w:rsidR="00B11685" w:rsidRDefault="00B11685" w:rsidP="00B11685">
      <w:pPr>
        <w:pBdr>
          <w:top w:val="nil"/>
          <w:left w:val="nil"/>
          <w:bottom w:val="nil"/>
          <w:right w:val="nil"/>
          <w:between w:val="nil"/>
        </w:pBdr>
        <w:tabs>
          <w:tab w:val="right" w:pos="9394"/>
          <w:tab w:val="left" w:pos="880"/>
        </w:tabs>
        <w:spacing w:after="100" w:line="276" w:lineRule="auto"/>
        <w:ind w:left="0" w:hanging="2"/>
        <w:rPr>
          <w:rFonts w:ascii="Arial Narrow" w:eastAsia="Arial Narrow" w:hAnsi="Arial Narrow" w:cs="Arial Narrow"/>
          <w:color w:val="000000"/>
          <w:sz w:val="23"/>
          <w:szCs w:val="23"/>
        </w:rPr>
      </w:pPr>
      <w:r>
        <w:fldChar w:fldCharType="end"/>
      </w:r>
      <w:hyperlink w:anchor="_heading=h.haapch">
        <w:r>
          <w:rPr>
            <w:rFonts w:ascii="Arial Narrow" w:eastAsia="Arial Narrow" w:hAnsi="Arial Narrow" w:cs="Arial Narrow"/>
            <w:b/>
            <w:color w:val="000000"/>
            <w:sz w:val="23"/>
            <w:szCs w:val="23"/>
          </w:rPr>
          <w:t>4.4</w:t>
        </w:r>
      </w:hyperlink>
      <w:r>
        <w:t xml:space="preserve"> </w:t>
      </w:r>
      <w:r>
        <w:fldChar w:fldCharType="begin"/>
      </w:r>
      <w:r>
        <w:instrText xml:space="preserve"> PAGEREF _heading=h.haapch \h </w:instrText>
      </w:r>
      <w:r>
        <w:fldChar w:fldCharType="separate"/>
      </w:r>
      <w:r>
        <w:rPr>
          <w:rFonts w:ascii="Arial Narrow" w:eastAsia="Arial Narrow" w:hAnsi="Arial Narrow" w:cs="Arial Narrow"/>
          <w:b/>
          <w:color w:val="000000"/>
          <w:sz w:val="23"/>
          <w:szCs w:val="23"/>
        </w:rPr>
        <w:t>Riesgos</w:t>
      </w:r>
      <w:r>
        <w:rPr>
          <w:rFonts w:ascii="Arial Narrow" w:eastAsia="Arial Narrow" w:hAnsi="Arial Narrow" w:cs="Arial Narrow"/>
          <w:b/>
          <w:color w:val="000000"/>
          <w:sz w:val="23"/>
          <w:szCs w:val="23"/>
        </w:rPr>
        <w:tab/>
        <w:t>18</w:t>
      </w:r>
      <w:hyperlink w:anchor="_heading=h.haapch" w:history="1"/>
    </w:p>
    <w:p w14:paraId="62A50D39" w14:textId="77777777" w:rsidR="00B11685" w:rsidRDefault="00B11685" w:rsidP="00B11685">
      <w:pPr>
        <w:pBdr>
          <w:top w:val="nil"/>
          <w:left w:val="nil"/>
          <w:bottom w:val="nil"/>
          <w:right w:val="nil"/>
          <w:between w:val="nil"/>
        </w:pBdr>
        <w:tabs>
          <w:tab w:val="left" w:pos="660"/>
          <w:tab w:val="right" w:pos="9356"/>
        </w:tabs>
        <w:spacing w:after="100" w:line="276" w:lineRule="auto"/>
        <w:ind w:left="0" w:hanging="2"/>
        <w:jc w:val="both"/>
        <w:rPr>
          <w:rFonts w:ascii="Arial Narrow" w:eastAsia="Arial Narrow" w:hAnsi="Arial Narrow" w:cs="Arial Narrow"/>
          <w:color w:val="000000"/>
          <w:sz w:val="23"/>
          <w:szCs w:val="23"/>
        </w:rPr>
      </w:pPr>
      <w:r>
        <w:fldChar w:fldCharType="end"/>
      </w:r>
      <w:hyperlink w:anchor="_heading=h.319y80a">
        <w:r>
          <w:rPr>
            <w:rFonts w:ascii="Arial Narrow" w:eastAsia="Arial Narrow" w:hAnsi="Arial Narrow" w:cs="Arial Narrow"/>
            <w:b/>
            <w:color w:val="000000"/>
            <w:sz w:val="23"/>
            <w:szCs w:val="23"/>
          </w:rPr>
          <w:t>4.5. VISITA TÉCNICA NO OBLIGATORIA:</w:t>
        </w:r>
        <w:r>
          <w:rPr>
            <w:rFonts w:ascii="Arial Narrow" w:eastAsia="Arial Narrow" w:hAnsi="Arial Narrow" w:cs="Arial Narrow"/>
            <w:b/>
            <w:color w:val="000000"/>
            <w:sz w:val="23"/>
            <w:szCs w:val="23"/>
          </w:rPr>
          <w:tab/>
        </w:r>
      </w:hyperlink>
    </w:p>
    <w:p w14:paraId="70F91D3E" w14:textId="77777777" w:rsidR="00B11685" w:rsidRDefault="00B11685" w:rsidP="00B11685">
      <w:pPr>
        <w:pBdr>
          <w:top w:val="nil"/>
          <w:left w:val="nil"/>
          <w:bottom w:val="nil"/>
          <w:right w:val="nil"/>
          <w:between w:val="nil"/>
        </w:pBdr>
        <w:tabs>
          <w:tab w:val="left" w:pos="660"/>
          <w:tab w:val="right" w:pos="9356"/>
        </w:tabs>
        <w:spacing w:after="100" w:line="276" w:lineRule="auto"/>
        <w:ind w:left="0" w:hanging="2"/>
        <w:jc w:val="both"/>
        <w:rPr>
          <w:rFonts w:ascii="Arial Narrow" w:eastAsia="Arial Narrow" w:hAnsi="Arial Narrow" w:cs="Arial Narrow"/>
          <w:color w:val="000000"/>
          <w:sz w:val="23"/>
          <w:szCs w:val="23"/>
        </w:rPr>
      </w:pPr>
      <w:hyperlink w:anchor="_heading=h.147n2zr">
        <w:r>
          <w:rPr>
            <w:rFonts w:ascii="Arial Narrow" w:eastAsia="Arial Narrow" w:hAnsi="Arial Narrow" w:cs="Arial Narrow"/>
            <w:b/>
            <w:color w:val="000000"/>
            <w:sz w:val="23"/>
            <w:szCs w:val="23"/>
          </w:rPr>
          <w:t>V.</w:t>
        </w:r>
      </w:hyperlink>
      <w:hyperlink w:anchor="_heading=h.147n2zr">
        <w:r>
          <w:rPr>
            <w:rFonts w:ascii="Arial Narrow" w:eastAsia="Arial Narrow" w:hAnsi="Arial Narrow" w:cs="Arial Narrow"/>
            <w:color w:val="000000"/>
            <w:sz w:val="23"/>
            <w:szCs w:val="23"/>
          </w:rPr>
          <w:t xml:space="preserve"> </w:t>
        </w:r>
      </w:hyperlink>
      <w:hyperlink w:anchor="_heading=h.147n2zr">
        <w:r>
          <w:rPr>
            <w:rFonts w:ascii="Arial Narrow" w:eastAsia="Arial Narrow" w:hAnsi="Arial Narrow" w:cs="Arial Narrow"/>
            <w:b/>
            <w:color w:val="000000"/>
            <w:sz w:val="23"/>
            <w:szCs w:val="23"/>
          </w:rPr>
          <w:t>REQUISITOS MÍNIMOS HABILITANTES</w:t>
        </w:r>
        <w:r>
          <w:rPr>
            <w:rFonts w:ascii="Arial Narrow" w:eastAsia="Arial Narrow" w:hAnsi="Arial Narrow" w:cs="Arial Narrow"/>
            <w:b/>
            <w:color w:val="000000"/>
            <w:sz w:val="23"/>
            <w:szCs w:val="23"/>
          </w:rPr>
          <w:tab/>
          <w:t>18</w:t>
        </w:r>
      </w:hyperlink>
    </w:p>
    <w:p w14:paraId="1FE3D60D"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32hioqz">
        <w:r>
          <w:rPr>
            <w:rFonts w:ascii="Arial Narrow" w:eastAsia="Arial Narrow" w:hAnsi="Arial Narrow" w:cs="Arial Narrow"/>
            <w:b/>
            <w:color w:val="000000"/>
            <w:sz w:val="23"/>
            <w:szCs w:val="23"/>
          </w:rPr>
          <w:t>5.1. Capacidad Jurídica</w:t>
        </w:r>
        <w:r>
          <w:rPr>
            <w:rFonts w:ascii="Arial Narrow" w:eastAsia="Arial Narrow" w:hAnsi="Arial Narrow" w:cs="Arial Narrow"/>
            <w:b/>
            <w:color w:val="000000"/>
            <w:sz w:val="23"/>
            <w:szCs w:val="23"/>
          </w:rPr>
          <w:tab/>
          <w:t>19</w:t>
        </w:r>
      </w:hyperlink>
    </w:p>
    <w:p w14:paraId="02977463"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1hmsyys">
        <w:r>
          <w:rPr>
            <w:rFonts w:ascii="Arial Narrow" w:eastAsia="Arial Narrow" w:hAnsi="Arial Narrow" w:cs="Arial Narrow"/>
            <w:b/>
            <w:color w:val="000000"/>
            <w:sz w:val="23"/>
            <w:szCs w:val="23"/>
          </w:rPr>
          <w:t>5.1.1 Condición de mipyme como criterio diferencial</w:t>
        </w:r>
        <w:r>
          <w:rPr>
            <w:rFonts w:ascii="Arial Narrow" w:eastAsia="Arial Narrow" w:hAnsi="Arial Narrow" w:cs="Arial Narrow"/>
            <w:b/>
            <w:color w:val="000000"/>
            <w:sz w:val="23"/>
            <w:szCs w:val="23"/>
          </w:rPr>
          <w:tab/>
          <w:t>19</w:t>
        </w:r>
      </w:hyperlink>
    </w:p>
    <w:p w14:paraId="0758AE45"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41mghml">
        <w:r>
          <w:rPr>
            <w:rFonts w:ascii="Arial Narrow" w:eastAsia="Arial Narrow" w:hAnsi="Arial Narrow" w:cs="Arial Narrow"/>
            <w:b/>
            <w:color w:val="000000"/>
            <w:sz w:val="23"/>
            <w:szCs w:val="23"/>
          </w:rPr>
          <w:t>5.1.2. Carta de presentación de la oferta</w:t>
        </w:r>
        <w:r>
          <w:rPr>
            <w:rFonts w:ascii="Arial Narrow" w:eastAsia="Arial Narrow" w:hAnsi="Arial Narrow" w:cs="Arial Narrow"/>
            <w:b/>
            <w:color w:val="000000"/>
            <w:sz w:val="23"/>
            <w:szCs w:val="23"/>
          </w:rPr>
          <w:tab/>
          <w:t>20</w:t>
        </w:r>
      </w:hyperlink>
    </w:p>
    <w:p w14:paraId="7022384D"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2grqrue">
        <w:r>
          <w:rPr>
            <w:rFonts w:ascii="Arial Narrow" w:eastAsia="Arial Narrow" w:hAnsi="Arial Narrow" w:cs="Arial Narrow"/>
            <w:b/>
            <w:color w:val="000000"/>
            <w:sz w:val="23"/>
            <w:szCs w:val="23"/>
          </w:rPr>
          <w:t>5.1.3 Certificado de existencia y representación legal</w:t>
        </w:r>
        <w:r>
          <w:rPr>
            <w:rFonts w:ascii="Arial Narrow" w:eastAsia="Arial Narrow" w:hAnsi="Arial Narrow" w:cs="Arial Narrow"/>
            <w:b/>
            <w:color w:val="000000"/>
            <w:sz w:val="23"/>
            <w:szCs w:val="23"/>
          </w:rPr>
          <w:tab/>
          <w:t>20</w:t>
        </w:r>
      </w:hyperlink>
    </w:p>
    <w:p w14:paraId="6BD6CB63"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vx1227">
        <w:r>
          <w:rPr>
            <w:rFonts w:ascii="Arial Narrow" w:eastAsia="Arial Narrow" w:hAnsi="Arial Narrow" w:cs="Arial Narrow"/>
            <w:b/>
            <w:color w:val="000000"/>
            <w:sz w:val="23"/>
            <w:szCs w:val="23"/>
          </w:rPr>
          <w:t>5.1.4 Registro único de proponentes</w:t>
        </w:r>
        <w:r>
          <w:rPr>
            <w:rFonts w:ascii="Arial Narrow" w:eastAsia="Arial Narrow" w:hAnsi="Arial Narrow" w:cs="Arial Narrow"/>
            <w:b/>
            <w:color w:val="000000"/>
            <w:sz w:val="23"/>
            <w:szCs w:val="23"/>
          </w:rPr>
          <w:tab/>
          <w:t>20</w:t>
        </w:r>
      </w:hyperlink>
    </w:p>
    <w:p w14:paraId="2A457566"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3fwokq0">
        <w:r>
          <w:rPr>
            <w:rFonts w:ascii="Arial Narrow" w:eastAsia="Arial Narrow" w:hAnsi="Arial Narrow" w:cs="Arial Narrow"/>
            <w:b/>
            <w:color w:val="000000"/>
            <w:sz w:val="23"/>
            <w:szCs w:val="23"/>
          </w:rPr>
          <w:t>5.1.5 Acuerdo para conformar unión temporal o consorcio</w:t>
        </w:r>
        <w:r>
          <w:rPr>
            <w:rFonts w:ascii="Arial Narrow" w:eastAsia="Arial Narrow" w:hAnsi="Arial Narrow" w:cs="Arial Narrow"/>
            <w:b/>
            <w:color w:val="000000"/>
            <w:sz w:val="23"/>
            <w:szCs w:val="23"/>
          </w:rPr>
          <w:tab/>
          <w:t>20</w:t>
        </w:r>
      </w:hyperlink>
    </w:p>
    <w:p w14:paraId="45B59B34"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1v1yuxt">
        <w:r>
          <w:rPr>
            <w:rFonts w:ascii="Arial Narrow" w:eastAsia="Arial Narrow" w:hAnsi="Arial Narrow" w:cs="Arial Narrow"/>
            <w:b/>
            <w:color w:val="000000"/>
            <w:sz w:val="23"/>
            <w:szCs w:val="23"/>
          </w:rPr>
          <w:t>5.1.6. Certificación expedida sobre pago de aportes parafiscales:</w:t>
        </w:r>
        <w:r>
          <w:rPr>
            <w:rFonts w:ascii="Arial Narrow" w:eastAsia="Arial Narrow" w:hAnsi="Arial Narrow" w:cs="Arial Narrow"/>
            <w:b/>
            <w:color w:val="000000"/>
            <w:sz w:val="23"/>
            <w:szCs w:val="23"/>
          </w:rPr>
          <w:tab/>
          <w:t>20</w:t>
        </w:r>
      </w:hyperlink>
    </w:p>
    <w:p w14:paraId="630FE8DD"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4f1mdlm">
        <w:r>
          <w:rPr>
            <w:rFonts w:ascii="Arial Narrow" w:eastAsia="Arial Narrow" w:hAnsi="Arial Narrow" w:cs="Arial Narrow"/>
            <w:b/>
            <w:color w:val="000000"/>
            <w:sz w:val="23"/>
            <w:szCs w:val="23"/>
          </w:rPr>
          <w:t>5.1.7. Control Preventivo De Las Prácticas Colusivas:</w:t>
        </w:r>
        <w:r>
          <w:rPr>
            <w:rFonts w:ascii="Arial Narrow" w:eastAsia="Arial Narrow" w:hAnsi="Arial Narrow" w:cs="Arial Narrow"/>
            <w:b/>
            <w:color w:val="000000"/>
            <w:sz w:val="23"/>
            <w:szCs w:val="23"/>
          </w:rPr>
          <w:tab/>
          <w:t>22</w:t>
        </w:r>
      </w:hyperlink>
    </w:p>
    <w:p w14:paraId="7465515B"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1gf8i83">
        <w:r>
          <w:rPr>
            <w:rFonts w:ascii="Arial Narrow" w:eastAsia="Arial Narrow" w:hAnsi="Arial Narrow" w:cs="Arial Narrow"/>
            <w:b/>
            <w:color w:val="000000"/>
            <w:sz w:val="23"/>
            <w:szCs w:val="23"/>
          </w:rPr>
          <w:t>5.1.8. Certificado de antecedentes disciplinarios, judiciales y fiscales</w:t>
        </w:r>
        <w:r>
          <w:rPr>
            <w:rFonts w:ascii="Arial Narrow" w:eastAsia="Arial Narrow" w:hAnsi="Arial Narrow" w:cs="Arial Narrow"/>
            <w:b/>
            <w:color w:val="000000"/>
            <w:sz w:val="23"/>
            <w:szCs w:val="23"/>
          </w:rPr>
          <w:tab/>
          <w:t>22</w:t>
        </w:r>
      </w:hyperlink>
    </w:p>
    <w:p w14:paraId="6DEEFF8D"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19c6y18">
        <w:r>
          <w:rPr>
            <w:rFonts w:ascii="Arial Narrow" w:eastAsia="Arial Narrow" w:hAnsi="Arial Narrow" w:cs="Arial Narrow"/>
            <w:b/>
            <w:color w:val="000000"/>
            <w:sz w:val="23"/>
            <w:szCs w:val="23"/>
          </w:rPr>
          <w:t>5.1.9. Sistema registro nacional de medidas correctivas RNMC de la policía nacional</w:t>
        </w:r>
        <w:r>
          <w:rPr>
            <w:rFonts w:ascii="Arial Narrow" w:eastAsia="Arial Narrow" w:hAnsi="Arial Narrow" w:cs="Arial Narrow"/>
            <w:b/>
            <w:color w:val="000000"/>
            <w:sz w:val="23"/>
            <w:szCs w:val="23"/>
          </w:rPr>
          <w:tab/>
          <w:t>22</w:t>
        </w:r>
      </w:hyperlink>
    </w:p>
    <w:p w14:paraId="04CEA8DB"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3tbugp1">
        <w:r>
          <w:rPr>
            <w:rFonts w:ascii="Arial Narrow" w:eastAsia="Arial Narrow" w:hAnsi="Arial Narrow" w:cs="Arial Narrow"/>
            <w:b/>
            <w:color w:val="000000"/>
            <w:sz w:val="23"/>
            <w:szCs w:val="23"/>
          </w:rPr>
          <w:t>5.1.10 Personas jurídicas públicas o privadas de origen extranjero</w:t>
        </w:r>
        <w:r>
          <w:rPr>
            <w:rFonts w:ascii="Arial Narrow" w:eastAsia="Arial Narrow" w:hAnsi="Arial Narrow" w:cs="Arial Narrow"/>
            <w:b/>
            <w:color w:val="000000"/>
            <w:sz w:val="23"/>
            <w:szCs w:val="23"/>
          </w:rPr>
          <w:tab/>
          <w:t>23</w:t>
        </w:r>
      </w:hyperlink>
    </w:p>
    <w:p w14:paraId="07308AF1"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28h4qwu">
        <w:r>
          <w:rPr>
            <w:rFonts w:ascii="Arial Narrow" w:eastAsia="Arial Narrow" w:hAnsi="Arial Narrow" w:cs="Arial Narrow"/>
            <w:b/>
            <w:color w:val="000000"/>
            <w:sz w:val="23"/>
            <w:szCs w:val="23"/>
          </w:rPr>
          <w:t>5.1.11 Apoderado</w:t>
        </w:r>
        <w:r>
          <w:rPr>
            <w:rFonts w:ascii="Arial Narrow" w:eastAsia="Arial Narrow" w:hAnsi="Arial Narrow" w:cs="Arial Narrow"/>
            <w:b/>
            <w:color w:val="000000"/>
            <w:sz w:val="23"/>
            <w:szCs w:val="23"/>
          </w:rPr>
          <w:tab/>
          <w:t>23</w:t>
        </w:r>
      </w:hyperlink>
    </w:p>
    <w:p w14:paraId="6C4EE78F"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nmf14n">
        <w:r>
          <w:rPr>
            <w:rFonts w:ascii="Arial Narrow" w:eastAsia="Arial Narrow" w:hAnsi="Arial Narrow" w:cs="Arial Narrow"/>
            <w:b/>
            <w:color w:val="000000"/>
            <w:sz w:val="23"/>
            <w:szCs w:val="23"/>
          </w:rPr>
          <w:t>5.1.12 Cumplimiento del principio de reciprocidad.</w:t>
        </w:r>
        <w:r>
          <w:rPr>
            <w:rFonts w:ascii="Arial Narrow" w:eastAsia="Arial Narrow" w:hAnsi="Arial Narrow" w:cs="Arial Narrow"/>
            <w:b/>
            <w:color w:val="000000"/>
            <w:sz w:val="23"/>
            <w:szCs w:val="23"/>
          </w:rPr>
          <w:tab/>
          <w:t>24</w:t>
        </w:r>
      </w:hyperlink>
    </w:p>
    <w:p w14:paraId="2A165901"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1mrcu09">
        <w:r>
          <w:rPr>
            <w:rFonts w:ascii="Arial Narrow" w:eastAsia="Arial Narrow" w:hAnsi="Arial Narrow" w:cs="Arial Narrow"/>
            <w:b/>
            <w:color w:val="000000"/>
            <w:sz w:val="23"/>
            <w:szCs w:val="23"/>
          </w:rPr>
          <w:t>5.2. Capacidad Financiera</w:t>
        </w:r>
        <w:r>
          <w:rPr>
            <w:rFonts w:ascii="Arial Narrow" w:eastAsia="Arial Narrow" w:hAnsi="Arial Narrow" w:cs="Arial Narrow"/>
            <w:b/>
            <w:color w:val="000000"/>
            <w:sz w:val="23"/>
            <w:szCs w:val="23"/>
          </w:rPr>
          <w:tab/>
          <w:t>25</w:t>
        </w:r>
      </w:hyperlink>
    </w:p>
    <w:p w14:paraId="36613F2D"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sz w:val="23"/>
          <w:szCs w:val="23"/>
          <w:highlight w:val="yellow"/>
        </w:rPr>
      </w:pPr>
      <w:hyperlink w:anchor="_heading=h.40ew0vw">
        <w:r>
          <w:rPr>
            <w:rFonts w:ascii="Arial Narrow" w:eastAsia="Arial Narrow" w:hAnsi="Arial Narrow" w:cs="Arial Narrow"/>
            <w:b/>
            <w:color w:val="000000"/>
            <w:sz w:val="23"/>
            <w:szCs w:val="23"/>
          </w:rPr>
          <w:t>5.2.1 Indicadores Financieros</w:t>
        </w:r>
        <w:r>
          <w:rPr>
            <w:rFonts w:ascii="Arial Narrow" w:eastAsia="Arial Narrow" w:hAnsi="Arial Narrow" w:cs="Arial Narrow"/>
            <w:b/>
            <w:color w:val="000000"/>
            <w:sz w:val="23"/>
            <w:szCs w:val="23"/>
          </w:rPr>
          <w:tab/>
          <w:t>25</w:t>
        </w:r>
      </w:hyperlink>
    </w:p>
    <w:p w14:paraId="4BC16395" w14:textId="77777777" w:rsidR="00B11685" w:rsidRDefault="00B11685" w:rsidP="00B11685">
      <w:pPr>
        <w:widowControl w:val="0"/>
        <w:spacing w:after="0" w:line="240" w:lineRule="auto"/>
        <w:ind w:left="0" w:hanging="2"/>
        <w:jc w:val="both"/>
        <w:rPr>
          <w:rFonts w:ascii="Arial Narrow" w:eastAsia="Arial Narrow" w:hAnsi="Arial Narrow" w:cs="Arial Narrow"/>
          <w:b/>
          <w:sz w:val="23"/>
          <w:szCs w:val="23"/>
        </w:rPr>
      </w:pPr>
      <w:r>
        <w:rPr>
          <w:rFonts w:ascii="Arial Narrow" w:eastAsia="Arial Narrow" w:hAnsi="Arial Narrow" w:cs="Arial Narrow"/>
          <w:b/>
          <w:sz w:val="23"/>
          <w:szCs w:val="23"/>
        </w:rPr>
        <w:t>5.2.2 Condición de Mipyme como criterio diferencial.</w:t>
      </w:r>
    </w:p>
    <w:p w14:paraId="55163AD9"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sz w:val="23"/>
          <w:szCs w:val="23"/>
        </w:rPr>
      </w:pPr>
    </w:p>
    <w:p w14:paraId="50DC6A00"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111kx3o">
        <w:r>
          <w:rPr>
            <w:rFonts w:ascii="Arial Narrow" w:eastAsia="Arial Narrow" w:hAnsi="Arial Narrow" w:cs="Arial Narrow"/>
            <w:b/>
            <w:color w:val="000000"/>
            <w:sz w:val="23"/>
            <w:szCs w:val="23"/>
          </w:rPr>
          <w:t>5.3. Capacidad Técnica.</w:t>
        </w:r>
        <w:r>
          <w:rPr>
            <w:rFonts w:ascii="Arial Narrow" w:eastAsia="Arial Narrow" w:hAnsi="Arial Narrow" w:cs="Arial Narrow"/>
            <w:b/>
            <w:color w:val="000000"/>
            <w:sz w:val="23"/>
            <w:szCs w:val="23"/>
          </w:rPr>
          <w:tab/>
          <w:t>28</w:t>
        </w:r>
      </w:hyperlink>
    </w:p>
    <w:p w14:paraId="32DB73AB"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3l18frh">
        <w:r>
          <w:rPr>
            <w:rFonts w:ascii="Arial Narrow" w:eastAsia="Arial Narrow" w:hAnsi="Arial Narrow" w:cs="Arial Narrow"/>
            <w:b/>
            <w:color w:val="000000"/>
            <w:sz w:val="23"/>
            <w:szCs w:val="23"/>
          </w:rPr>
          <w:t>5.3.1. Experiencia</w:t>
        </w:r>
        <w:r>
          <w:rPr>
            <w:rFonts w:ascii="Arial Narrow" w:eastAsia="Arial Narrow" w:hAnsi="Arial Narrow" w:cs="Arial Narrow"/>
            <w:b/>
            <w:color w:val="000000"/>
            <w:sz w:val="23"/>
            <w:szCs w:val="23"/>
          </w:rPr>
          <w:tab/>
          <w:t>28</w:t>
        </w:r>
      </w:hyperlink>
    </w:p>
    <w:p w14:paraId="27F12FA7"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206ipza">
        <w:r>
          <w:rPr>
            <w:rFonts w:ascii="Arial Narrow" w:eastAsia="Arial Narrow" w:hAnsi="Arial Narrow" w:cs="Arial Narrow"/>
            <w:b/>
            <w:color w:val="000000"/>
            <w:sz w:val="23"/>
            <w:szCs w:val="23"/>
          </w:rPr>
          <w:t>5.</w:t>
        </w:r>
      </w:hyperlink>
      <w:hyperlink w:anchor="_heading=h.206ipza">
        <w:r>
          <w:rPr>
            <w:rFonts w:ascii="Arial Narrow" w:eastAsia="Arial Narrow" w:hAnsi="Arial Narrow" w:cs="Arial Narrow"/>
            <w:b/>
            <w:sz w:val="23"/>
            <w:szCs w:val="23"/>
          </w:rPr>
          <w:t>3</w:t>
        </w:r>
      </w:hyperlink>
      <w:hyperlink w:anchor="_heading=h.206ipza">
        <w:r>
          <w:rPr>
            <w:rFonts w:ascii="Arial Narrow" w:eastAsia="Arial Narrow" w:hAnsi="Arial Narrow" w:cs="Arial Narrow"/>
            <w:b/>
            <w:color w:val="000000"/>
            <w:sz w:val="23"/>
            <w:szCs w:val="23"/>
          </w:rPr>
          <w:t>.2. REQUISITO TÉCNICO HABILITANTE ADICIONAL</w:t>
        </w:r>
        <w:r>
          <w:rPr>
            <w:rFonts w:ascii="Arial Narrow" w:eastAsia="Arial Narrow" w:hAnsi="Arial Narrow" w:cs="Arial Narrow"/>
            <w:b/>
            <w:color w:val="000000"/>
            <w:sz w:val="23"/>
            <w:szCs w:val="23"/>
          </w:rPr>
          <w:tab/>
          <w:t>29</w:t>
        </w:r>
      </w:hyperlink>
    </w:p>
    <w:p w14:paraId="6ABDECE9"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4k668n3">
        <w:r>
          <w:rPr>
            <w:rFonts w:ascii="Arial Narrow" w:eastAsia="Arial Narrow" w:hAnsi="Arial Narrow" w:cs="Arial Narrow"/>
            <w:b/>
            <w:color w:val="000000"/>
            <w:sz w:val="23"/>
            <w:szCs w:val="23"/>
          </w:rPr>
          <w:t>5.</w:t>
        </w:r>
      </w:hyperlink>
      <w:hyperlink w:anchor="_heading=h.4k668n3">
        <w:r>
          <w:rPr>
            <w:rFonts w:ascii="Arial Narrow" w:eastAsia="Arial Narrow" w:hAnsi="Arial Narrow" w:cs="Arial Narrow"/>
            <w:b/>
            <w:sz w:val="23"/>
            <w:szCs w:val="23"/>
          </w:rPr>
          <w:t>3</w:t>
        </w:r>
      </w:hyperlink>
      <w:hyperlink w:anchor="_heading=h.4k668n3">
        <w:r>
          <w:rPr>
            <w:rFonts w:ascii="Arial Narrow" w:eastAsia="Arial Narrow" w:hAnsi="Arial Narrow" w:cs="Arial Narrow"/>
            <w:b/>
            <w:color w:val="000000"/>
            <w:sz w:val="23"/>
            <w:szCs w:val="23"/>
          </w:rPr>
          <w:t>.3. Especificaciones técnicas</w:t>
        </w:r>
        <w:r>
          <w:rPr>
            <w:rFonts w:ascii="Arial Narrow" w:eastAsia="Arial Narrow" w:hAnsi="Arial Narrow" w:cs="Arial Narrow"/>
            <w:b/>
            <w:color w:val="000000"/>
            <w:sz w:val="23"/>
            <w:szCs w:val="23"/>
          </w:rPr>
          <w:tab/>
          <w:t>29</w:t>
        </w:r>
      </w:hyperlink>
    </w:p>
    <w:p w14:paraId="13369F48"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2zbgiuw">
        <w:r>
          <w:rPr>
            <w:rFonts w:ascii="Arial Narrow" w:eastAsia="Arial Narrow" w:hAnsi="Arial Narrow" w:cs="Arial Narrow"/>
            <w:b/>
            <w:color w:val="000000"/>
            <w:sz w:val="23"/>
            <w:szCs w:val="23"/>
          </w:rPr>
          <w:t>VI EVALUACIÓN DE LA OFERTA</w:t>
        </w:r>
        <w:r>
          <w:rPr>
            <w:rFonts w:ascii="Arial Narrow" w:eastAsia="Arial Narrow" w:hAnsi="Arial Narrow" w:cs="Arial Narrow"/>
            <w:b/>
            <w:color w:val="000000"/>
            <w:sz w:val="23"/>
            <w:szCs w:val="23"/>
          </w:rPr>
          <w:tab/>
          <w:t>30</w:t>
        </w:r>
      </w:hyperlink>
    </w:p>
    <w:p w14:paraId="31895191"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hyperlink w:anchor="_heading=h.1egqt2p">
        <w:r>
          <w:rPr>
            <w:rFonts w:ascii="Arial Narrow" w:eastAsia="Arial Narrow" w:hAnsi="Arial Narrow" w:cs="Arial Narrow"/>
            <w:b/>
            <w:color w:val="000000"/>
            <w:sz w:val="23"/>
            <w:szCs w:val="23"/>
          </w:rPr>
          <w:t>6.1 Errores aritméticos</w:t>
        </w:r>
        <w:r>
          <w:rPr>
            <w:rFonts w:ascii="Arial Narrow" w:eastAsia="Arial Narrow" w:hAnsi="Arial Narrow" w:cs="Arial Narrow"/>
            <w:b/>
            <w:color w:val="000000"/>
            <w:sz w:val="23"/>
            <w:szCs w:val="23"/>
          </w:rPr>
          <w:tab/>
          <w:t>30</w:t>
        </w:r>
      </w:hyperlink>
    </w:p>
    <w:p w14:paraId="7C0AFB4B" w14:textId="77777777" w:rsidR="00B11685" w:rsidRDefault="00B11685" w:rsidP="00B11685">
      <w:pPr>
        <w:pBdr>
          <w:top w:val="nil"/>
          <w:left w:val="nil"/>
          <w:bottom w:val="nil"/>
          <w:right w:val="nil"/>
          <w:between w:val="nil"/>
        </w:pBdr>
        <w:tabs>
          <w:tab w:val="right" w:pos="9394"/>
          <w:tab w:val="left" w:pos="880"/>
        </w:tabs>
        <w:spacing w:after="100" w:line="276" w:lineRule="auto"/>
        <w:ind w:left="0" w:hanging="2"/>
        <w:rPr>
          <w:rFonts w:ascii="Arial Narrow" w:eastAsia="Arial Narrow" w:hAnsi="Arial Narrow" w:cs="Arial Narrow"/>
          <w:color w:val="000000"/>
          <w:sz w:val="23"/>
          <w:szCs w:val="23"/>
        </w:rPr>
      </w:pPr>
      <w:hyperlink w:anchor="_heading=h.3ygebqi">
        <w:r>
          <w:rPr>
            <w:rFonts w:ascii="Arial Narrow" w:eastAsia="Arial Narrow" w:hAnsi="Arial Narrow" w:cs="Arial Narrow"/>
            <w:b/>
            <w:color w:val="000000"/>
            <w:sz w:val="23"/>
            <w:szCs w:val="23"/>
          </w:rPr>
          <w:t>6.2</w:t>
        </w:r>
      </w:hyperlink>
      <w:r>
        <w:t xml:space="preserve"> </w:t>
      </w:r>
      <w:r>
        <w:fldChar w:fldCharType="begin"/>
      </w:r>
      <w:r>
        <w:instrText xml:space="preserve"> PAGEREF _heading=h.3ygebqi \h </w:instrText>
      </w:r>
      <w:r>
        <w:fldChar w:fldCharType="separate"/>
      </w:r>
      <w:r>
        <w:rPr>
          <w:rFonts w:ascii="Arial Narrow" w:eastAsia="Arial Narrow" w:hAnsi="Arial Narrow" w:cs="Arial Narrow"/>
          <w:b/>
          <w:color w:val="000000"/>
          <w:sz w:val="23"/>
          <w:szCs w:val="23"/>
        </w:rPr>
        <w:t>Método en caso de empate</w:t>
      </w:r>
      <w:r>
        <w:rPr>
          <w:rFonts w:ascii="Arial Narrow" w:eastAsia="Arial Narrow" w:hAnsi="Arial Narrow" w:cs="Arial Narrow"/>
          <w:b/>
          <w:color w:val="000000"/>
          <w:sz w:val="23"/>
          <w:szCs w:val="23"/>
        </w:rPr>
        <w:tab/>
        <w:t>31</w:t>
      </w:r>
      <w:hyperlink w:anchor="_heading=h.3ygebqi" w:history="1"/>
    </w:p>
    <w:p w14:paraId="4C57615C" w14:textId="77777777" w:rsidR="00B11685" w:rsidRDefault="00B11685" w:rsidP="00B11685">
      <w:pPr>
        <w:pBdr>
          <w:top w:val="nil"/>
          <w:left w:val="nil"/>
          <w:bottom w:val="nil"/>
          <w:right w:val="nil"/>
          <w:between w:val="nil"/>
        </w:pBdr>
        <w:tabs>
          <w:tab w:val="left" w:pos="660"/>
          <w:tab w:val="right" w:pos="9356"/>
        </w:tabs>
        <w:spacing w:after="100" w:line="276" w:lineRule="auto"/>
        <w:ind w:left="0" w:hanging="2"/>
        <w:jc w:val="both"/>
        <w:rPr>
          <w:rFonts w:ascii="Arial Narrow" w:eastAsia="Arial Narrow" w:hAnsi="Arial Narrow" w:cs="Arial Narrow"/>
          <w:color w:val="000000"/>
          <w:sz w:val="23"/>
          <w:szCs w:val="23"/>
        </w:rPr>
      </w:pPr>
      <w:r>
        <w:fldChar w:fldCharType="end"/>
      </w:r>
      <w:hyperlink w:anchor="_heading=h.3ep43zb">
        <w:r>
          <w:rPr>
            <w:rFonts w:ascii="Arial Narrow" w:eastAsia="Arial Narrow" w:hAnsi="Arial Narrow" w:cs="Arial Narrow"/>
            <w:b/>
            <w:color w:val="000000"/>
            <w:sz w:val="23"/>
            <w:szCs w:val="23"/>
          </w:rPr>
          <w:t>VII ACUERDOS INTERNACIONALES O TRATADOS DE LIBRE COMERCIO VIGENTE</w:t>
        </w:r>
        <w:r>
          <w:rPr>
            <w:rFonts w:ascii="Arial Narrow" w:eastAsia="Arial Narrow" w:hAnsi="Arial Narrow" w:cs="Arial Narrow"/>
            <w:b/>
            <w:color w:val="000000"/>
            <w:sz w:val="23"/>
            <w:szCs w:val="23"/>
          </w:rPr>
          <w:tab/>
        </w:r>
      </w:hyperlink>
      <w:r>
        <w:fldChar w:fldCharType="begin"/>
      </w:r>
      <w:r>
        <w:instrText xml:space="preserve"> HYPERLINK \l "_heading=h.3ep43zb" </w:instrText>
      </w:r>
      <w:r>
        <w:fldChar w:fldCharType="separate"/>
      </w:r>
    </w:p>
    <w:p w14:paraId="4F3EDCAA" w14:textId="77777777" w:rsidR="00B11685" w:rsidRDefault="00B11685" w:rsidP="00B11685">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r>
        <w:fldChar w:fldCharType="end"/>
      </w:r>
      <w:hyperlink w:anchor="_heading=h.1tuee74">
        <w:r>
          <w:rPr>
            <w:rFonts w:ascii="Arial Narrow" w:eastAsia="Arial Narrow" w:hAnsi="Arial Narrow" w:cs="Arial Narrow"/>
            <w:b/>
            <w:color w:val="000000"/>
            <w:sz w:val="23"/>
            <w:szCs w:val="23"/>
          </w:rPr>
          <w:t>VIII ORDEN DE ELEGIBILIDAD Y ADJUDICACIÓN</w:t>
        </w:r>
        <w:r>
          <w:rPr>
            <w:rFonts w:ascii="Arial Narrow" w:eastAsia="Arial Narrow" w:hAnsi="Arial Narrow" w:cs="Arial Narrow"/>
            <w:b/>
            <w:color w:val="000000"/>
            <w:sz w:val="23"/>
            <w:szCs w:val="23"/>
          </w:rPr>
          <w:tab/>
        </w:r>
      </w:hyperlink>
    </w:p>
    <w:p w14:paraId="39A44238" w14:textId="77777777" w:rsidR="00B11685" w:rsidRDefault="00B11685" w:rsidP="00B11685">
      <w:pPr>
        <w:pBdr>
          <w:top w:val="nil"/>
          <w:left w:val="nil"/>
          <w:bottom w:val="nil"/>
          <w:right w:val="nil"/>
          <w:between w:val="nil"/>
        </w:pBdr>
        <w:tabs>
          <w:tab w:val="left" w:pos="660"/>
          <w:tab w:val="right" w:pos="9356"/>
        </w:tabs>
        <w:spacing w:after="100" w:line="276" w:lineRule="auto"/>
        <w:ind w:left="0" w:hanging="2"/>
        <w:jc w:val="both"/>
        <w:rPr>
          <w:rFonts w:ascii="Arial Narrow" w:eastAsia="Arial Narrow" w:hAnsi="Arial Narrow" w:cs="Arial Narrow"/>
          <w:color w:val="000000"/>
          <w:sz w:val="23"/>
          <w:szCs w:val="23"/>
        </w:rPr>
      </w:pPr>
      <w:hyperlink w:anchor="_heading=h.sqyw64">
        <w:r>
          <w:rPr>
            <w:rFonts w:ascii="Arial Narrow" w:eastAsia="Arial Narrow" w:hAnsi="Arial Narrow" w:cs="Arial Narrow"/>
            <w:b/>
            <w:color w:val="000000"/>
            <w:sz w:val="23"/>
            <w:szCs w:val="23"/>
          </w:rPr>
          <w:t>IX REQUISITOS DEL ADJUDICATARIO</w:t>
        </w:r>
        <w:r>
          <w:rPr>
            <w:rFonts w:ascii="Arial Narrow" w:eastAsia="Arial Narrow" w:hAnsi="Arial Narrow" w:cs="Arial Narrow"/>
            <w:b/>
            <w:color w:val="000000"/>
            <w:sz w:val="23"/>
            <w:szCs w:val="23"/>
          </w:rPr>
          <w:tab/>
          <w:t>33</w:t>
        </w:r>
      </w:hyperlink>
    </w:p>
    <w:p w14:paraId="6D8D3DBA" w14:textId="77777777" w:rsidR="008745D1" w:rsidRDefault="00B11685" w:rsidP="00B11685">
      <w:pPr>
        <w:spacing w:after="0" w:line="240" w:lineRule="auto"/>
        <w:ind w:left="0" w:hanging="2"/>
        <w:rPr>
          <w:rFonts w:ascii="Arial Narrow" w:eastAsia="Arial Narrow" w:hAnsi="Arial Narrow" w:cs="Arial Narrow"/>
          <w:color w:val="000000"/>
          <w:sz w:val="23"/>
          <w:szCs w:val="23"/>
        </w:rPr>
      </w:pPr>
      <w:hyperlink w:anchor="_heading=h.3cqmetx">
        <w:r>
          <w:rPr>
            <w:rFonts w:ascii="Arial Narrow" w:eastAsia="Arial Narrow" w:hAnsi="Arial Narrow" w:cs="Arial Narrow"/>
            <w:b/>
            <w:color w:val="000000"/>
            <w:sz w:val="23"/>
            <w:szCs w:val="23"/>
          </w:rPr>
          <w:t>X ANEXOS</w:t>
        </w:r>
        <w:r>
          <w:rPr>
            <w:rFonts w:ascii="Arial Narrow" w:eastAsia="Arial Narrow" w:hAnsi="Arial Narrow" w:cs="Arial Narrow"/>
            <w:b/>
            <w:color w:val="000000"/>
            <w:sz w:val="23"/>
            <w:szCs w:val="23"/>
          </w:rPr>
          <w:tab/>
        </w:r>
        <w:r>
          <w:rPr>
            <w:rFonts w:ascii="Arial Narrow" w:eastAsia="Arial Narrow" w:hAnsi="Arial Narrow" w:cs="Arial Narrow"/>
            <w:b/>
            <w:color w:val="000000"/>
            <w:sz w:val="23"/>
            <w:szCs w:val="23"/>
          </w:rPr>
          <w:tab/>
        </w:r>
        <w:r>
          <w:rPr>
            <w:rFonts w:ascii="Arial Narrow" w:eastAsia="Arial Narrow" w:hAnsi="Arial Narrow" w:cs="Arial Narrow"/>
            <w:b/>
            <w:color w:val="000000"/>
            <w:sz w:val="23"/>
            <w:szCs w:val="23"/>
          </w:rPr>
          <w:tab/>
        </w:r>
        <w:r>
          <w:rPr>
            <w:rFonts w:ascii="Arial Narrow" w:eastAsia="Arial Narrow" w:hAnsi="Arial Narrow" w:cs="Arial Narrow"/>
            <w:b/>
            <w:color w:val="000000"/>
            <w:sz w:val="23"/>
            <w:szCs w:val="23"/>
          </w:rPr>
          <w:tab/>
        </w:r>
        <w:r>
          <w:rPr>
            <w:rFonts w:ascii="Arial Narrow" w:eastAsia="Arial Narrow" w:hAnsi="Arial Narrow" w:cs="Arial Narrow"/>
            <w:b/>
            <w:color w:val="000000"/>
            <w:sz w:val="23"/>
            <w:szCs w:val="23"/>
          </w:rPr>
          <w:tab/>
        </w:r>
        <w:r>
          <w:rPr>
            <w:rFonts w:ascii="Arial Narrow" w:eastAsia="Arial Narrow" w:hAnsi="Arial Narrow" w:cs="Arial Narrow"/>
            <w:b/>
            <w:color w:val="000000"/>
            <w:sz w:val="23"/>
            <w:szCs w:val="23"/>
          </w:rPr>
          <w:tab/>
        </w:r>
        <w:r>
          <w:rPr>
            <w:rFonts w:ascii="Arial Narrow" w:eastAsia="Arial Narrow" w:hAnsi="Arial Narrow" w:cs="Arial Narrow"/>
            <w:b/>
            <w:color w:val="000000"/>
            <w:sz w:val="23"/>
            <w:szCs w:val="23"/>
          </w:rPr>
          <w:tab/>
        </w:r>
        <w:r>
          <w:rPr>
            <w:rFonts w:ascii="Arial Narrow" w:eastAsia="Arial Narrow" w:hAnsi="Arial Narrow" w:cs="Arial Narrow"/>
            <w:b/>
            <w:color w:val="000000"/>
            <w:sz w:val="23"/>
            <w:szCs w:val="23"/>
          </w:rPr>
          <w:tab/>
        </w:r>
        <w:r>
          <w:rPr>
            <w:rFonts w:ascii="Arial Narrow" w:eastAsia="Arial Narrow" w:hAnsi="Arial Narrow" w:cs="Arial Narrow"/>
            <w:b/>
            <w:color w:val="000000"/>
            <w:sz w:val="23"/>
            <w:szCs w:val="23"/>
          </w:rPr>
          <w:tab/>
        </w:r>
        <w:r>
          <w:rPr>
            <w:rFonts w:ascii="Arial Narrow" w:eastAsia="Arial Narrow" w:hAnsi="Arial Narrow" w:cs="Arial Narrow"/>
            <w:b/>
            <w:color w:val="000000"/>
            <w:sz w:val="23"/>
            <w:szCs w:val="23"/>
          </w:rPr>
          <w:tab/>
        </w:r>
        <w:r>
          <w:rPr>
            <w:rFonts w:ascii="Arial Narrow" w:eastAsia="Arial Narrow" w:hAnsi="Arial Narrow" w:cs="Arial Narrow"/>
            <w:b/>
            <w:color w:val="000000"/>
            <w:sz w:val="23"/>
            <w:szCs w:val="23"/>
          </w:rPr>
          <w:tab/>
          <w:t xml:space="preserve">          34</w:t>
        </w:r>
      </w:hyperlink>
    </w:p>
    <w:p w14:paraId="5E85EB2D"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529BF8AF"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44A03B86"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52185760"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0ADCD399"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54AE4044"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3BE44692"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3F742F06"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673CC6CE"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21A3AD92"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1F4680A0"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6EC131A5"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049A77A3" w14:textId="77777777" w:rsidR="008745D1" w:rsidRDefault="008745D1">
      <w:pPr>
        <w:spacing w:after="0" w:line="240" w:lineRule="auto"/>
        <w:ind w:left="0" w:hanging="2"/>
        <w:jc w:val="center"/>
        <w:rPr>
          <w:rFonts w:ascii="Arial Narrow" w:eastAsia="Arial Narrow" w:hAnsi="Arial Narrow" w:cs="Arial Narrow"/>
          <w:color w:val="000000"/>
          <w:sz w:val="23"/>
          <w:szCs w:val="23"/>
        </w:rPr>
      </w:pPr>
    </w:p>
    <w:p w14:paraId="34EC62E2" w14:textId="77777777" w:rsidR="004C7750" w:rsidRDefault="004C7750">
      <w:pPr>
        <w:spacing w:after="0" w:line="240" w:lineRule="auto"/>
        <w:ind w:left="0" w:hanging="2"/>
        <w:jc w:val="center"/>
        <w:rPr>
          <w:rFonts w:ascii="Arial Narrow" w:eastAsia="Arial Narrow" w:hAnsi="Arial Narrow" w:cs="Arial Narrow"/>
          <w:color w:val="000000"/>
          <w:sz w:val="23"/>
          <w:szCs w:val="23"/>
        </w:rPr>
      </w:pPr>
    </w:p>
    <w:p w14:paraId="6B9A5A8E" w14:textId="77777777" w:rsidR="004C7750" w:rsidRDefault="004C7750">
      <w:pPr>
        <w:spacing w:after="0" w:line="240" w:lineRule="auto"/>
        <w:ind w:left="0" w:hanging="2"/>
        <w:jc w:val="center"/>
        <w:rPr>
          <w:rFonts w:ascii="Arial Narrow" w:eastAsia="Arial Narrow" w:hAnsi="Arial Narrow" w:cs="Arial Narrow"/>
          <w:color w:val="000000"/>
          <w:sz w:val="23"/>
          <w:szCs w:val="23"/>
        </w:rPr>
      </w:pPr>
    </w:p>
    <w:p w14:paraId="1B90ED5A" w14:textId="77777777" w:rsidR="009619CC" w:rsidRDefault="009619CC">
      <w:pPr>
        <w:spacing w:after="0" w:line="240" w:lineRule="auto"/>
        <w:ind w:left="0" w:hanging="2"/>
        <w:jc w:val="center"/>
        <w:rPr>
          <w:rFonts w:ascii="Arial Narrow" w:eastAsia="Arial Narrow" w:hAnsi="Arial Narrow" w:cs="Arial Narrow"/>
          <w:color w:val="000000"/>
          <w:sz w:val="23"/>
          <w:szCs w:val="23"/>
        </w:rPr>
      </w:pPr>
    </w:p>
    <w:p w14:paraId="21EE619A" w14:textId="77777777" w:rsidR="009619CC" w:rsidRDefault="009619CC">
      <w:pPr>
        <w:spacing w:after="0" w:line="240" w:lineRule="auto"/>
        <w:ind w:left="0" w:hanging="2"/>
        <w:jc w:val="center"/>
        <w:rPr>
          <w:rFonts w:ascii="Arial Narrow" w:eastAsia="Arial Narrow" w:hAnsi="Arial Narrow" w:cs="Arial Narrow"/>
          <w:color w:val="000000"/>
          <w:sz w:val="23"/>
          <w:szCs w:val="23"/>
        </w:rPr>
      </w:pPr>
    </w:p>
    <w:p w14:paraId="5123047F" w14:textId="77777777" w:rsidR="009619CC" w:rsidRDefault="009619CC">
      <w:pPr>
        <w:spacing w:after="0" w:line="240" w:lineRule="auto"/>
        <w:ind w:left="0" w:hanging="2"/>
        <w:jc w:val="center"/>
        <w:rPr>
          <w:rFonts w:ascii="Arial Narrow" w:eastAsia="Arial Narrow" w:hAnsi="Arial Narrow" w:cs="Arial Narrow"/>
          <w:color w:val="000000"/>
          <w:sz w:val="23"/>
          <w:szCs w:val="23"/>
        </w:rPr>
      </w:pPr>
    </w:p>
    <w:p w14:paraId="477054C7" w14:textId="77777777" w:rsidR="006A1EA9" w:rsidRDefault="006A1EA9">
      <w:pPr>
        <w:spacing w:after="0" w:line="240" w:lineRule="auto"/>
        <w:ind w:left="0" w:hanging="2"/>
        <w:jc w:val="center"/>
        <w:rPr>
          <w:rFonts w:ascii="Arial Narrow" w:eastAsia="Arial Narrow" w:hAnsi="Arial Narrow" w:cs="Arial Narrow"/>
          <w:color w:val="000000"/>
          <w:sz w:val="23"/>
          <w:szCs w:val="23"/>
        </w:rPr>
      </w:pPr>
    </w:p>
    <w:p w14:paraId="3B712B90" w14:textId="77777777" w:rsidR="009619CC" w:rsidRDefault="009619CC">
      <w:pPr>
        <w:spacing w:after="0" w:line="240" w:lineRule="auto"/>
        <w:ind w:left="0" w:hanging="2"/>
        <w:jc w:val="center"/>
        <w:rPr>
          <w:rFonts w:ascii="Arial Narrow" w:eastAsia="Arial Narrow" w:hAnsi="Arial Narrow" w:cs="Arial Narrow"/>
          <w:color w:val="000000"/>
          <w:sz w:val="23"/>
          <w:szCs w:val="23"/>
        </w:rPr>
      </w:pPr>
    </w:p>
    <w:p w14:paraId="7FA101E9" w14:textId="77777777" w:rsidR="009619CC" w:rsidRDefault="009619CC">
      <w:pPr>
        <w:spacing w:after="0" w:line="240" w:lineRule="auto"/>
        <w:ind w:left="0" w:hanging="2"/>
        <w:jc w:val="center"/>
        <w:rPr>
          <w:rFonts w:ascii="Arial Narrow" w:eastAsia="Arial Narrow" w:hAnsi="Arial Narrow" w:cs="Arial Narrow"/>
          <w:color w:val="000000"/>
          <w:sz w:val="23"/>
          <w:szCs w:val="23"/>
        </w:rPr>
      </w:pPr>
    </w:p>
    <w:p w14:paraId="5ED3363D" w14:textId="77777777" w:rsidR="008745D1" w:rsidRDefault="008745D1" w:rsidP="00C23D10">
      <w:pPr>
        <w:spacing w:after="0" w:line="240" w:lineRule="auto"/>
        <w:ind w:leftChars="0" w:left="0" w:firstLineChars="0" w:firstLine="0"/>
        <w:rPr>
          <w:rFonts w:ascii="Arial Narrow" w:eastAsia="Arial Narrow" w:hAnsi="Arial Narrow" w:cs="Arial Narrow"/>
          <w:color w:val="000000"/>
          <w:sz w:val="23"/>
          <w:szCs w:val="23"/>
        </w:rPr>
      </w:pPr>
    </w:p>
    <w:p w14:paraId="67D49FE5" w14:textId="77777777" w:rsidR="008745D1" w:rsidRDefault="00062AC1">
      <w:pPr>
        <w:spacing w:after="0" w:line="240" w:lineRule="auto"/>
        <w:ind w:left="0" w:hanging="2"/>
        <w:jc w:val="center"/>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lastRenderedPageBreak/>
        <w:t>RECOMENDACIONES GENERALES</w:t>
      </w:r>
    </w:p>
    <w:p w14:paraId="6306F6F2"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1D3C8B31" w14:textId="77777777" w:rsidR="008745D1" w:rsidRDefault="00062AC1">
      <w:pPr>
        <w:tabs>
          <w:tab w:val="left" w:pos="0"/>
        </w:tabs>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proponente deberá tener en cuenta los siguientes aspectos, antes de aportar la información requerida en el presente pliego de condiciones: </w:t>
      </w:r>
    </w:p>
    <w:p w14:paraId="36B49225" w14:textId="77777777"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Leer cuidadosamente los documentos del proceso, así como la información indicada en el SECOP II antes de elaborar la propuesta.</w:t>
      </w:r>
    </w:p>
    <w:p w14:paraId="485769E3" w14:textId="77777777"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Seguir las instrucciones que en los documentos del proceso se imparten para la elaboración de la propuesta, así como la indicada en la plataforma del SECOP II. </w:t>
      </w:r>
    </w:p>
    <w:p w14:paraId="5C85F823" w14:textId="77777777"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Queda entendido que con la presentación de la propuesta se acogen y aceptan todas las condiciones estipuladas en el pliego de condiciones, adendas y formularios, y demás información establecida en el SECOP II.</w:t>
      </w:r>
    </w:p>
    <w:p w14:paraId="1A8D4C48" w14:textId="77777777"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Las propuestas deberán referirse y sujetarse a todos y cada uno de los puntos contenidos en el pliego de condiciones y en la plataforma del SECOP II. </w:t>
      </w:r>
    </w:p>
    <w:p w14:paraId="39B41968" w14:textId="77777777"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 presentación de la propuesta constituye evidencia que el proponente conoció los estudios y documentos previos, el pliego de condiciones y demás documentos generados dentro del proceso de selección, así como la plataforma del SECOP II. </w:t>
      </w:r>
    </w:p>
    <w:p w14:paraId="4D3F8DE9" w14:textId="2CBB4BFB"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 presentación de la propuesta indica igualmente que el proponente </w:t>
      </w:r>
      <w:r w:rsidR="00C72F33">
        <w:rPr>
          <w:rFonts w:ascii="Arial Narrow" w:eastAsia="Arial Narrow" w:hAnsi="Arial Narrow" w:cs="Arial Narrow"/>
          <w:color w:val="000000"/>
          <w:sz w:val="23"/>
          <w:szCs w:val="23"/>
        </w:rPr>
        <w:t>está</w:t>
      </w:r>
      <w:r w:rsidR="00265ED1">
        <w:rPr>
          <w:rFonts w:ascii="Arial Narrow" w:eastAsia="Arial Narrow" w:hAnsi="Arial Narrow" w:cs="Arial Narrow"/>
          <w:color w:val="000000"/>
          <w:sz w:val="23"/>
          <w:szCs w:val="23"/>
        </w:rPr>
        <w:t xml:space="preserve"> de acuerdo</w:t>
      </w:r>
      <w:r w:rsidR="00C72F33">
        <w:rPr>
          <w:rFonts w:ascii="Arial Narrow" w:eastAsia="Arial Narrow" w:hAnsi="Arial Narrow" w:cs="Arial Narrow"/>
          <w:color w:val="000000"/>
          <w:sz w:val="23"/>
          <w:szCs w:val="23"/>
        </w:rPr>
        <w:t xml:space="preserve"> con el</w:t>
      </w:r>
      <w:r>
        <w:rPr>
          <w:rFonts w:ascii="Arial Narrow" w:eastAsia="Arial Narrow" w:hAnsi="Arial Narrow" w:cs="Arial Narrow"/>
          <w:color w:val="000000"/>
          <w:sz w:val="23"/>
          <w:szCs w:val="23"/>
        </w:rPr>
        <w:t xml:space="preserve"> alcance del objeto a contratar y que ha tenido en cuenta lo anterior, para definir las obligaciones que se adquieren en virtud del contrato a celebrarse. </w:t>
      </w:r>
    </w:p>
    <w:p w14:paraId="1A340966" w14:textId="77777777"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Tener presente la fecha y hora previstas para poder cargar las propuestas en la plataforma del SECOP II y hasta el cierre del proceso de selección, en ningún caso se </w:t>
      </w:r>
      <w:r>
        <w:rPr>
          <w:rFonts w:ascii="Arial Narrow" w:eastAsia="Arial Narrow" w:hAnsi="Arial Narrow" w:cs="Arial Narrow"/>
          <w:sz w:val="23"/>
          <w:szCs w:val="23"/>
        </w:rPr>
        <w:t>recibirán</w:t>
      </w:r>
      <w:r>
        <w:rPr>
          <w:rFonts w:ascii="Arial Narrow" w:eastAsia="Arial Narrow" w:hAnsi="Arial Narrow" w:cs="Arial Narrow"/>
          <w:color w:val="000000"/>
          <w:sz w:val="23"/>
          <w:szCs w:val="23"/>
        </w:rPr>
        <w:t xml:space="preserve"> ofertas por fuera del plazo señalado por la entidad en el cronograma del proceso</w:t>
      </w:r>
      <w:r>
        <w:rPr>
          <w:rFonts w:ascii="Arial Narrow" w:eastAsia="Arial Narrow" w:hAnsi="Arial Narrow" w:cs="Arial Narrow"/>
          <w:sz w:val="23"/>
          <w:szCs w:val="23"/>
        </w:rPr>
        <w:t>, salvo que se presenten situaciones de indisponibilidad con el cumplimiento de requisitos del manual expedido por la Agencia Colombia Compra Eficiente.</w:t>
      </w:r>
    </w:p>
    <w:p w14:paraId="59595B28" w14:textId="77777777"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Revisar los anexos y diligenciar los formatos contenidos en el pliego de condiciones, de acuerdo con las instrucciones dadas en el SECOP II y en el presente pliego.</w:t>
      </w:r>
    </w:p>
    <w:p w14:paraId="540AE3D9" w14:textId="77777777"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Toda consulta deberá formularse por escrito a la plataforma del SECOP II, no se aceptarán consultas personales ni telefónicas.</w:t>
      </w:r>
    </w:p>
    <w:p w14:paraId="40D3DF43" w14:textId="77777777"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Solo mediante ADENDAS se </w:t>
      </w:r>
      <w:r>
        <w:rPr>
          <w:rFonts w:ascii="Arial Narrow" w:eastAsia="Arial Narrow" w:hAnsi="Arial Narrow" w:cs="Arial Narrow"/>
          <w:sz w:val="23"/>
          <w:szCs w:val="23"/>
        </w:rPr>
        <w:t>modificará</w:t>
      </w:r>
      <w:r>
        <w:rPr>
          <w:rFonts w:ascii="Arial Narrow" w:eastAsia="Arial Narrow" w:hAnsi="Arial Narrow" w:cs="Arial Narrow"/>
          <w:color w:val="000000"/>
          <w:sz w:val="23"/>
          <w:szCs w:val="23"/>
        </w:rPr>
        <w:t xml:space="preserve"> el pliego de condiciones.</w:t>
      </w:r>
    </w:p>
    <w:p w14:paraId="1B28E89B" w14:textId="77777777"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Será responsabilidad del proponente conocer todas y cada una de las implicaciones para el ofrecimiento y realizar todas las evaluaciones que sean necesarias para presentar su propuesta, sobre la base de un examen cuidadoso de las características del negocio.</w:t>
      </w:r>
    </w:p>
    <w:p w14:paraId="0B703EEE" w14:textId="77777777"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proponente deberá verificar que no se encuentra incurso en las causales de inhabilidad e incompatibilidad o prohibiciones constitucional y legalmente establecidas para participar en el proceso y contratar.</w:t>
      </w:r>
    </w:p>
    <w:p w14:paraId="6C2AE1E9" w14:textId="77777777"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Tener en cuenta todo lo relacionado sobre conflictos de interés para evitar incurrir en infracciones legales por esta razón.</w:t>
      </w:r>
    </w:p>
    <w:p w14:paraId="4429A35A" w14:textId="77777777"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presente pliego de condiciones corresponde a un modelo estándar utilizado por la Entidad en todas sus adquisiciones de bienes y/o servicios, de allí que las cláusulas que no apliquen al presente proceso se indicarán en cada caso con la frase “NO APLICA”.</w:t>
      </w:r>
    </w:p>
    <w:p w14:paraId="0C6C8958" w14:textId="77777777"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Tener en cuenta las directrices de Colombia Compra Eficiente, sobre el manejo del SECOP II. </w:t>
      </w:r>
    </w:p>
    <w:p w14:paraId="3ADD99AF" w14:textId="77777777" w:rsidR="008745D1" w:rsidRDefault="00062AC1">
      <w:pPr>
        <w:numPr>
          <w:ilvl w:val="0"/>
          <w:numId w:val="14"/>
        </w:numPr>
        <w:pBdr>
          <w:top w:val="nil"/>
          <w:left w:val="nil"/>
          <w:bottom w:val="nil"/>
          <w:right w:val="nil"/>
          <w:between w:val="nil"/>
        </w:pBd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proponente plural deberá </w:t>
      </w:r>
      <w:r>
        <w:rPr>
          <w:rFonts w:ascii="Arial Narrow" w:eastAsia="Arial Narrow" w:hAnsi="Arial Narrow" w:cs="Arial Narrow"/>
          <w:b/>
          <w:color w:val="000000"/>
          <w:sz w:val="23"/>
          <w:szCs w:val="23"/>
        </w:rPr>
        <w:t>verificar la guía vigente</w:t>
      </w:r>
      <w:r>
        <w:rPr>
          <w:rFonts w:ascii="Arial Narrow" w:eastAsia="Arial Narrow" w:hAnsi="Arial Narrow" w:cs="Arial Narrow"/>
          <w:color w:val="000000"/>
          <w:sz w:val="23"/>
          <w:szCs w:val="23"/>
        </w:rPr>
        <w:t xml:space="preserve"> de proponentes plurales de Colombia Compra Eficiente para el cargue de su oferta. (No se aceptan ofertas presentadas desde el usuario de uno de los integrantes)</w:t>
      </w:r>
    </w:p>
    <w:p w14:paraId="625DA890"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3E187BEC"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4C56DDE2" w14:textId="77777777" w:rsidR="008745D1" w:rsidRDefault="008745D1" w:rsidP="00FB76F8">
      <w:pPr>
        <w:spacing w:after="0" w:line="240" w:lineRule="auto"/>
        <w:ind w:leftChars="0" w:left="0" w:firstLineChars="0" w:firstLine="0"/>
        <w:jc w:val="both"/>
        <w:rPr>
          <w:rFonts w:ascii="Arial Narrow" w:eastAsia="Arial Narrow" w:hAnsi="Arial Narrow" w:cs="Arial Narrow"/>
          <w:color w:val="000000"/>
          <w:sz w:val="23"/>
          <w:szCs w:val="23"/>
        </w:rPr>
      </w:pPr>
      <w:bookmarkStart w:id="0" w:name="bookmark=id.30j0zll" w:colFirst="0" w:colLast="0"/>
      <w:bookmarkEnd w:id="0"/>
    </w:p>
    <w:p w14:paraId="3B8AF614" w14:textId="77777777" w:rsidR="00FB76F8" w:rsidRDefault="00FB76F8" w:rsidP="00FB76F8">
      <w:pPr>
        <w:spacing w:after="0" w:line="240" w:lineRule="auto"/>
        <w:ind w:leftChars="0" w:left="0" w:firstLineChars="0" w:firstLine="0"/>
        <w:jc w:val="both"/>
        <w:rPr>
          <w:rFonts w:ascii="Arial Narrow" w:eastAsia="Arial Narrow" w:hAnsi="Arial Narrow" w:cs="Arial Narrow"/>
          <w:color w:val="000000"/>
          <w:sz w:val="23"/>
          <w:szCs w:val="23"/>
        </w:rPr>
      </w:pPr>
    </w:p>
    <w:p w14:paraId="5D0F21F9" w14:textId="77777777" w:rsidR="004C7750" w:rsidRDefault="004C7750" w:rsidP="00FB76F8">
      <w:pPr>
        <w:spacing w:after="0" w:line="240" w:lineRule="auto"/>
        <w:ind w:leftChars="0" w:left="0" w:firstLineChars="0" w:firstLine="0"/>
        <w:jc w:val="both"/>
        <w:rPr>
          <w:rFonts w:ascii="Arial Narrow" w:eastAsia="Arial Narrow" w:hAnsi="Arial Narrow" w:cs="Arial Narrow"/>
          <w:color w:val="000000"/>
          <w:sz w:val="23"/>
          <w:szCs w:val="23"/>
        </w:rPr>
      </w:pPr>
    </w:p>
    <w:p w14:paraId="28973CF4" w14:textId="77777777" w:rsidR="004C7750" w:rsidRDefault="004C7750" w:rsidP="00FB76F8">
      <w:pPr>
        <w:spacing w:after="0" w:line="240" w:lineRule="auto"/>
        <w:ind w:leftChars="0" w:left="0" w:firstLineChars="0" w:firstLine="0"/>
        <w:jc w:val="both"/>
        <w:rPr>
          <w:rFonts w:ascii="Arial Narrow" w:eastAsia="Arial Narrow" w:hAnsi="Arial Narrow" w:cs="Arial Narrow"/>
          <w:color w:val="000000"/>
          <w:sz w:val="23"/>
          <w:szCs w:val="23"/>
        </w:rPr>
      </w:pPr>
    </w:p>
    <w:p w14:paraId="4D0A1AE8" w14:textId="77777777" w:rsidR="004C7750" w:rsidRDefault="004C7750" w:rsidP="00FB76F8">
      <w:pPr>
        <w:spacing w:after="0" w:line="240" w:lineRule="auto"/>
        <w:ind w:leftChars="0" w:left="0" w:firstLineChars="0" w:firstLine="0"/>
        <w:jc w:val="both"/>
        <w:rPr>
          <w:rFonts w:ascii="Arial Narrow" w:eastAsia="Arial Narrow" w:hAnsi="Arial Narrow" w:cs="Arial Narrow"/>
          <w:color w:val="000000"/>
          <w:sz w:val="23"/>
          <w:szCs w:val="23"/>
        </w:rPr>
      </w:pPr>
    </w:p>
    <w:p w14:paraId="17B70DF3" w14:textId="77777777" w:rsidR="004C7750" w:rsidRDefault="004C7750" w:rsidP="00FB76F8">
      <w:pPr>
        <w:spacing w:after="0" w:line="240" w:lineRule="auto"/>
        <w:ind w:leftChars="0" w:left="0" w:firstLineChars="0" w:firstLine="0"/>
        <w:jc w:val="both"/>
        <w:rPr>
          <w:rFonts w:ascii="Arial Narrow" w:eastAsia="Arial Narrow" w:hAnsi="Arial Narrow" w:cs="Arial Narrow"/>
          <w:color w:val="000000"/>
          <w:sz w:val="23"/>
          <w:szCs w:val="23"/>
        </w:rPr>
      </w:pPr>
    </w:p>
    <w:p w14:paraId="649EEAAF" w14:textId="77777777" w:rsidR="004C7750" w:rsidRDefault="004C7750" w:rsidP="00FB76F8">
      <w:pPr>
        <w:spacing w:after="0" w:line="240" w:lineRule="auto"/>
        <w:ind w:leftChars="0" w:left="0" w:firstLineChars="0" w:firstLine="0"/>
        <w:jc w:val="both"/>
        <w:rPr>
          <w:rFonts w:ascii="Arial Narrow" w:eastAsia="Arial Narrow" w:hAnsi="Arial Narrow" w:cs="Arial Narrow"/>
          <w:color w:val="000000"/>
          <w:sz w:val="23"/>
          <w:szCs w:val="23"/>
        </w:rPr>
      </w:pPr>
    </w:p>
    <w:p w14:paraId="3F9E1963" w14:textId="77777777" w:rsidR="004C7750" w:rsidRDefault="004C7750" w:rsidP="00FB76F8">
      <w:pPr>
        <w:spacing w:after="0" w:line="240" w:lineRule="auto"/>
        <w:ind w:leftChars="0" w:left="0" w:firstLineChars="0" w:firstLine="0"/>
        <w:jc w:val="both"/>
        <w:rPr>
          <w:rFonts w:ascii="Arial Narrow" w:eastAsia="Arial Narrow" w:hAnsi="Arial Narrow" w:cs="Arial Narrow"/>
          <w:color w:val="000000"/>
          <w:sz w:val="23"/>
          <w:szCs w:val="23"/>
        </w:rPr>
      </w:pPr>
    </w:p>
    <w:p w14:paraId="2F40AE54" w14:textId="77777777" w:rsidR="004C7750" w:rsidRDefault="004C7750" w:rsidP="00FB76F8">
      <w:pPr>
        <w:spacing w:after="0" w:line="240" w:lineRule="auto"/>
        <w:ind w:leftChars="0" w:left="0" w:firstLineChars="0" w:firstLine="0"/>
        <w:jc w:val="both"/>
        <w:rPr>
          <w:rFonts w:ascii="Arial Narrow" w:eastAsia="Arial Narrow" w:hAnsi="Arial Narrow" w:cs="Arial Narrow"/>
          <w:color w:val="000000"/>
          <w:sz w:val="23"/>
          <w:szCs w:val="23"/>
        </w:rPr>
      </w:pPr>
    </w:p>
    <w:p w14:paraId="5F6C8B4E" w14:textId="77777777" w:rsidR="00FB76F8" w:rsidRDefault="00FB76F8" w:rsidP="00FB76F8">
      <w:pPr>
        <w:spacing w:after="0" w:line="240" w:lineRule="auto"/>
        <w:ind w:leftChars="0" w:left="0" w:firstLineChars="0" w:firstLine="0"/>
        <w:jc w:val="both"/>
        <w:rPr>
          <w:rFonts w:ascii="Arial Narrow" w:eastAsia="Arial Narrow" w:hAnsi="Arial Narrow" w:cs="Arial Narrow"/>
          <w:color w:val="000000"/>
          <w:sz w:val="23"/>
          <w:szCs w:val="23"/>
        </w:rPr>
      </w:pPr>
    </w:p>
    <w:tbl>
      <w:tblPr>
        <w:tblStyle w:val="affa"/>
        <w:tblW w:w="97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5"/>
      </w:tblGrid>
      <w:tr w:rsidR="008745D1" w14:paraId="5C8E06CB" w14:textId="77777777">
        <w:trPr>
          <w:jc w:val="center"/>
        </w:trPr>
        <w:tc>
          <w:tcPr>
            <w:tcW w:w="9795" w:type="dxa"/>
            <w:shd w:val="clear" w:color="auto" w:fill="CCCCCC"/>
          </w:tcPr>
          <w:p w14:paraId="6229116A" w14:textId="77777777" w:rsidR="008745D1" w:rsidRDefault="00062AC1">
            <w:pPr>
              <w:widowControl w:val="0"/>
              <w:numPr>
                <w:ilvl w:val="0"/>
                <w:numId w:val="1"/>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lastRenderedPageBreak/>
              <w:t>INTRODUCCIÓN</w:t>
            </w:r>
            <w:r>
              <w:rPr>
                <w:rFonts w:ascii="Arial Narrow" w:eastAsia="Arial Narrow" w:hAnsi="Arial Narrow" w:cs="Arial Narrow"/>
                <w:i/>
                <w:color w:val="000000"/>
                <w:sz w:val="23"/>
                <w:szCs w:val="23"/>
              </w:rPr>
              <w:t xml:space="preserve"> </w:t>
            </w:r>
          </w:p>
        </w:tc>
      </w:tr>
    </w:tbl>
    <w:p w14:paraId="4FA77A2E" w14:textId="77777777" w:rsidR="008745D1" w:rsidRDefault="008745D1">
      <w:pPr>
        <w:widowControl w:val="0"/>
        <w:spacing w:after="0" w:line="240" w:lineRule="auto"/>
        <w:ind w:left="0" w:hanging="2"/>
        <w:jc w:val="both"/>
        <w:rPr>
          <w:rFonts w:ascii="Arial Narrow" w:eastAsia="Arial Narrow" w:hAnsi="Arial Narrow" w:cs="Arial Narrow"/>
          <w:color w:val="000000"/>
          <w:sz w:val="23"/>
          <w:szCs w:val="23"/>
        </w:rPr>
      </w:pPr>
    </w:p>
    <w:p w14:paraId="670707C8" w14:textId="08BB1878" w:rsidR="006A1EA9" w:rsidRDefault="00062AC1">
      <w:pPr>
        <w:spacing w:line="240" w:lineRule="auto"/>
        <w:ind w:left="0" w:hanging="2"/>
        <w:jc w:val="both"/>
        <w:rPr>
          <w:rFonts w:ascii="Arial Narrow" w:eastAsia="Arial Narrow" w:hAnsi="Arial Narrow" w:cs="Arial Narrow"/>
          <w:b/>
          <w:i/>
        </w:rPr>
      </w:pPr>
      <w:bookmarkStart w:id="1" w:name="_heading=h.1fob9te" w:colFirst="0" w:colLast="0"/>
      <w:bookmarkEnd w:id="1"/>
      <w:r>
        <w:rPr>
          <w:rFonts w:ascii="Arial Narrow" w:eastAsia="Arial Narrow" w:hAnsi="Arial Narrow" w:cs="Arial Narrow"/>
          <w:color w:val="000000"/>
          <w:sz w:val="23"/>
          <w:szCs w:val="23"/>
        </w:rPr>
        <w:t>La</w:t>
      </w:r>
      <w:r>
        <w:rPr>
          <w:rFonts w:ascii="Arial Narrow" w:eastAsia="Arial Narrow" w:hAnsi="Arial Narrow" w:cs="Arial Narrow"/>
          <w:b/>
          <w:color w:val="000000"/>
          <w:sz w:val="23"/>
          <w:szCs w:val="23"/>
        </w:rPr>
        <w:t xml:space="preserve"> </w:t>
      </w:r>
      <w:r>
        <w:rPr>
          <w:rFonts w:ascii="Arial Narrow" w:eastAsia="Arial Narrow" w:hAnsi="Arial Narrow" w:cs="Arial Narrow"/>
          <w:b/>
          <w:sz w:val="23"/>
          <w:szCs w:val="23"/>
        </w:rPr>
        <w:t>FISCALÍA</w:t>
      </w:r>
      <w:r>
        <w:rPr>
          <w:rFonts w:ascii="Arial Narrow" w:eastAsia="Arial Narrow" w:hAnsi="Arial Narrow" w:cs="Arial Narrow"/>
          <w:b/>
          <w:color w:val="000000"/>
          <w:sz w:val="23"/>
          <w:szCs w:val="23"/>
        </w:rPr>
        <w:t xml:space="preserve"> GENERAL DE LA NACIÓN</w:t>
      </w:r>
      <w:r>
        <w:rPr>
          <w:rFonts w:ascii="Arial Narrow" w:eastAsia="Arial Narrow" w:hAnsi="Arial Narrow" w:cs="Arial Narrow"/>
          <w:color w:val="000000"/>
          <w:sz w:val="23"/>
          <w:szCs w:val="23"/>
        </w:rPr>
        <w:t xml:space="preserve"> pone a disposición de los interesados el documento complementario al pliego de condiciones electrónico, para la selección del contratista encargado de ejecutar el contrato de</w:t>
      </w:r>
      <w:r w:rsidR="00974AD7">
        <w:rPr>
          <w:rFonts w:ascii="Arial Narrow" w:eastAsia="Arial Narrow" w:hAnsi="Arial Narrow" w:cs="Arial Narrow"/>
          <w:color w:val="000000"/>
          <w:sz w:val="23"/>
          <w:szCs w:val="23"/>
        </w:rPr>
        <w:t xml:space="preserve"> Prestación del Servicio</w:t>
      </w:r>
      <w:r>
        <w:rPr>
          <w:rFonts w:ascii="Arial Narrow" w:eastAsia="Arial Narrow" w:hAnsi="Arial Narrow" w:cs="Arial Narrow"/>
          <w:b/>
          <w:sz w:val="23"/>
          <w:szCs w:val="23"/>
        </w:rPr>
        <w:t xml:space="preserve"> </w:t>
      </w:r>
      <w:r>
        <w:rPr>
          <w:rFonts w:ascii="Arial Narrow" w:eastAsia="Arial Narrow" w:hAnsi="Arial Narrow" w:cs="Arial Narrow"/>
          <w:sz w:val="23"/>
          <w:szCs w:val="23"/>
        </w:rPr>
        <w:t xml:space="preserve">que tiene por </w:t>
      </w:r>
      <w:r w:rsidRPr="00974AD7">
        <w:rPr>
          <w:rFonts w:ascii="Arial Narrow" w:eastAsia="Arial Narrow" w:hAnsi="Arial Narrow" w:cs="Arial Narrow"/>
          <w:color w:val="000000"/>
          <w:sz w:val="23"/>
          <w:szCs w:val="23"/>
        </w:rPr>
        <w:t>objeto: “</w:t>
      </w:r>
      <w:r w:rsidR="00974AD7" w:rsidRPr="00974AD7">
        <w:rPr>
          <w:rFonts w:ascii="Arial Narrow" w:eastAsia="Arial Narrow" w:hAnsi="Arial Narrow" w:cs="Arial Narrow"/>
          <w:color w:val="000000"/>
          <w:sz w:val="23"/>
          <w:szCs w:val="23"/>
        </w:rPr>
        <w:t>PRESTAR EL SERVICIO INTEGRAL DE MESA DE SERVICIOS Y SOPORTE TÉCNICO</w:t>
      </w:r>
      <w:r w:rsidR="006A1EA9" w:rsidRPr="00974AD7">
        <w:rPr>
          <w:rFonts w:ascii="Arial Narrow" w:eastAsia="Arial Narrow" w:hAnsi="Arial Narrow" w:cs="Arial Narrow"/>
          <w:color w:val="000000"/>
          <w:sz w:val="23"/>
          <w:szCs w:val="23"/>
        </w:rPr>
        <w:t>”.</w:t>
      </w:r>
    </w:p>
    <w:p w14:paraId="13C27207" w14:textId="031195CA"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Pliego electrónico de condiciones del </w:t>
      </w:r>
      <w:r>
        <w:rPr>
          <w:rFonts w:ascii="Arial Narrow" w:eastAsia="Arial Narrow" w:hAnsi="Arial Narrow" w:cs="Arial Narrow"/>
          <w:sz w:val="23"/>
          <w:szCs w:val="23"/>
        </w:rPr>
        <w:t xml:space="preserve">proceso </w:t>
      </w:r>
      <w:r w:rsidR="004E42C1">
        <w:rPr>
          <w:rFonts w:ascii="Arial Narrow" w:eastAsia="Arial Narrow" w:hAnsi="Arial Narrow" w:cs="Arial Narrow"/>
          <w:b/>
          <w:sz w:val="23"/>
          <w:szCs w:val="23"/>
        </w:rPr>
        <w:t>FGN-NC-IPSE-00</w:t>
      </w:r>
      <w:r w:rsidR="00974AD7">
        <w:rPr>
          <w:rFonts w:ascii="Arial Narrow" w:eastAsia="Arial Narrow" w:hAnsi="Arial Narrow" w:cs="Arial Narrow"/>
          <w:b/>
          <w:sz w:val="23"/>
          <w:szCs w:val="23"/>
        </w:rPr>
        <w:t>62</w:t>
      </w:r>
      <w:r>
        <w:rPr>
          <w:rFonts w:ascii="Arial Narrow" w:eastAsia="Arial Narrow" w:hAnsi="Arial Narrow" w:cs="Arial Narrow"/>
          <w:b/>
          <w:sz w:val="23"/>
          <w:szCs w:val="23"/>
        </w:rPr>
        <w:t>-202</w:t>
      </w:r>
      <w:r w:rsidR="00AE15DC">
        <w:rPr>
          <w:rFonts w:ascii="Arial Narrow" w:eastAsia="Arial Narrow" w:hAnsi="Arial Narrow" w:cs="Arial Narrow"/>
          <w:b/>
          <w:sz w:val="23"/>
          <w:szCs w:val="23"/>
        </w:rPr>
        <w:t>6</w:t>
      </w:r>
      <w:r>
        <w:rPr>
          <w:rFonts w:ascii="Arial Narrow" w:eastAsia="Arial Narrow" w:hAnsi="Arial Narrow" w:cs="Arial Narrow"/>
          <w:b/>
          <w:sz w:val="23"/>
          <w:szCs w:val="23"/>
        </w:rPr>
        <w:t xml:space="preserve"> </w:t>
      </w:r>
      <w:r>
        <w:rPr>
          <w:rFonts w:ascii="Arial Narrow" w:eastAsia="Arial Narrow" w:hAnsi="Arial Narrow" w:cs="Arial Narrow"/>
          <w:sz w:val="23"/>
          <w:szCs w:val="23"/>
        </w:rPr>
        <w:t>estará</w:t>
      </w:r>
      <w:r>
        <w:rPr>
          <w:rFonts w:ascii="Arial Narrow" w:eastAsia="Arial Narrow" w:hAnsi="Arial Narrow" w:cs="Arial Narrow"/>
          <w:color w:val="000000"/>
          <w:sz w:val="23"/>
          <w:szCs w:val="23"/>
        </w:rPr>
        <w:t xml:space="preserve"> compuesto de forma integral por: la información diligenciada en los formularios electrónicos del </w:t>
      </w:r>
      <w:r>
        <w:rPr>
          <w:rFonts w:ascii="Arial Narrow" w:eastAsia="Arial Narrow" w:hAnsi="Arial Narrow" w:cs="Arial Narrow"/>
          <w:b/>
          <w:color w:val="000000"/>
          <w:sz w:val="23"/>
          <w:szCs w:val="23"/>
        </w:rPr>
        <w:t>SECOP II</w:t>
      </w:r>
      <w:r>
        <w:rPr>
          <w:rFonts w:ascii="Arial Narrow" w:eastAsia="Arial Narrow" w:hAnsi="Arial Narrow" w:cs="Arial Narrow"/>
          <w:color w:val="000000"/>
          <w:sz w:val="23"/>
          <w:szCs w:val="23"/>
        </w:rPr>
        <w:t xml:space="preserve"> </w:t>
      </w:r>
      <w:r>
        <w:rPr>
          <w:rFonts w:ascii="Arial Narrow" w:eastAsia="Arial Narrow" w:hAnsi="Arial Narrow" w:cs="Arial Narrow"/>
          <w:sz w:val="23"/>
          <w:szCs w:val="23"/>
        </w:rPr>
        <w:t>y la</w:t>
      </w:r>
      <w:r>
        <w:rPr>
          <w:rFonts w:ascii="Arial Narrow" w:eastAsia="Arial Narrow" w:hAnsi="Arial Narrow" w:cs="Arial Narrow"/>
          <w:color w:val="000000"/>
          <w:sz w:val="23"/>
          <w:szCs w:val="23"/>
        </w:rPr>
        <w:t xml:space="preserve"> información consagrada en los documentos anexos al formulario electrónico. Por lo anterior, los proponentes interesados en participar en el proceso de selección deberán tener en cuenta tanto la información que reposa en los formularios electrónicos del SECOP II, así como la que figura en los documentos anexos.</w:t>
      </w:r>
    </w:p>
    <w:p w14:paraId="259D3F60" w14:textId="77777777" w:rsidR="008745D1" w:rsidRDefault="00062AC1">
      <w:pPr>
        <w:spacing w:after="0" w:line="240" w:lineRule="auto"/>
        <w:ind w:left="0" w:hanging="2"/>
        <w:jc w:val="both"/>
        <w:rPr>
          <w:rFonts w:ascii="Arial Narrow" w:eastAsia="Arial Narrow" w:hAnsi="Arial Narrow" w:cs="Arial Narrow"/>
          <w:b/>
          <w:i/>
          <w:color w:val="000000"/>
          <w:sz w:val="23"/>
          <w:szCs w:val="23"/>
        </w:rPr>
      </w:pPr>
      <w:r>
        <w:rPr>
          <w:rFonts w:ascii="Arial Narrow" w:eastAsia="Arial Narrow" w:hAnsi="Arial Narrow" w:cs="Arial Narrow"/>
          <w:b/>
          <w:i/>
          <w:color w:val="000000"/>
          <w:sz w:val="23"/>
          <w:szCs w:val="23"/>
        </w:rPr>
        <w:t xml:space="preserve">En caso de existir duplicidad en la información consagrada en los documentos anexos, tendrá prevalencia la información diligenciada en el formulario electrónico del SECOP II, salvo en los casos excepcionales determinados por la Entidad. </w:t>
      </w:r>
    </w:p>
    <w:p w14:paraId="1C950EA2"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1D5F1EA4"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Los estudios y documentos previos que incluyen el análisis del sector, el proyecto de Pliego de Condiciones electrónico y su documento complementario y el Pliego de Condiciones electrónico definitivo y su documento complementario, así como cualquiera de sus anexos está a disposición del público en el Sistema Electrónico para la Contratación Pública – SECOP II:</w:t>
      </w:r>
    </w:p>
    <w:p w14:paraId="65273F7C"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2DBB63F2" w14:textId="77777777" w:rsidR="008745D1" w:rsidRDefault="00062AC1">
      <w:pPr>
        <w:spacing w:after="0" w:line="240" w:lineRule="auto"/>
        <w:ind w:left="0" w:hanging="2"/>
        <w:jc w:val="both"/>
        <w:rPr>
          <w:rFonts w:ascii="Arial Narrow" w:eastAsia="Arial Narrow" w:hAnsi="Arial Narrow" w:cs="Arial Narrow"/>
          <w:color w:val="000000"/>
          <w:sz w:val="23"/>
          <w:szCs w:val="23"/>
        </w:rPr>
      </w:pPr>
      <w:hyperlink r:id="rId11">
        <w:r>
          <w:rPr>
            <w:rFonts w:ascii="Arial Narrow" w:eastAsia="Arial Narrow" w:hAnsi="Arial Narrow" w:cs="Arial Narrow"/>
            <w:color w:val="000000"/>
            <w:sz w:val="23"/>
            <w:szCs w:val="23"/>
          </w:rPr>
          <w:t>https://community.secop.gov.co/Public/Tendering/ContractNoticeManagement/Index?currentLanguage=es-CO&amp;Page=login&amp;Country=CO&amp;SkinName=CCE</w:t>
        </w:r>
      </w:hyperlink>
    </w:p>
    <w:p w14:paraId="08F603F9" w14:textId="77777777" w:rsidR="008745D1" w:rsidRDefault="008745D1">
      <w:pPr>
        <w:spacing w:after="0" w:line="240" w:lineRule="auto"/>
        <w:ind w:left="0" w:hanging="2"/>
        <w:jc w:val="both"/>
        <w:rPr>
          <w:rFonts w:ascii="Arial Narrow" w:eastAsia="Arial Narrow" w:hAnsi="Arial Narrow" w:cs="Arial Narrow"/>
          <w:color w:val="000000"/>
          <w:sz w:val="23"/>
          <w:szCs w:val="23"/>
        </w:rPr>
      </w:pPr>
      <w:bookmarkStart w:id="2" w:name="_heading=h.3znysh7" w:colFirst="0" w:colLast="0"/>
      <w:bookmarkEnd w:id="2"/>
    </w:p>
    <w:tbl>
      <w:tblPr>
        <w:tblStyle w:val="affb"/>
        <w:tblW w:w="99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4"/>
      </w:tblGrid>
      <w:tr w:rsidR="008745D1" w14:paraId="4FBFADE6" w14:textId="77777777">
        <w:trPr>
          <w:trHeight w:val="50"/>
          <w:jc w:val="center"/>
        </w:trPr>
        <w:tc>
          <w:tcPr>
            <w:tcW w:w="9904" w:type="dxa"/>
            <w:shd w:val="clear" w:color="auto" w:fill="CCCCCC"/>
          </w:tcPr>
          <w:p w14:paraId="61031EC1" w14:textId="77777777" w:rsidR="008745D1" w:rsidRDefault="00062AC1">
            <w:pPr>
              <w:widowControl w:val="0"/>
              <w:numPr>
                <w:ilvl w:val="0"/>
                <w:numId w:val="1"/>
              </w:numPr>
              <w:pBdr>
                <w:top w:val="nil"/>
                <w:left w:val="nil"/>
                <w:bottom w:val="nil"/>
                <w:right w:val="nil"/>
                <w:between w:val="nil"/>
              </w:pBdr>
              <w:spacing w:after="0" w:line="240" w:lineRule="auto"/>
              <w:ind w:left="0" w:hanging="2"/>
              <w:jc w:val="both"/>
              <w:rPr>
                <w:rFonts w:ascii="Arial Narrow" w:eastAsia="Arial Narrow" w:hAnsi="Arial Narrow" w:cs="Arial Narrow"/>
                <w:b/>
                <w:sz w:val="23"/>
                <w:szCs w:val="23"/>
              </w:rPr>
            </w:pPr>
            <w:r>
              <w:rPr>
                <w:rFonts w:ascii="Arial Narrow" w:eastAsia="Arial Narrow" w:hAnsi="Arial Narrow" w:cs="Arial Narrow"/>
                <w:b/>
                <w:sz w:val="23"/>
                <w:szCs w:val="23"/>
              </w:rPr>
              <w:t>DEFINICIONES Y CRONOGRAMA</w:t>
            </w:r>
          </w:p>
        </w:tc>
      </w:tr>
    </w:tbl>
    <w:p w14:paraId="077F3DF4" w14:textId="77777777" w:rsidR="008745D1" w:rsidRDefault="008745D1">
      <w:pPr>
        <w:widowControl w:val="0"/>
        <w:spacing w:after="0" w:line="240" w:lineRule="auto"/>
        <w:ind w:left="0" w:hanging="2"/>
        <w:jc w:val="both"/>
        <w:rPr>
          <w:rFonts w:ascii="Arial Narrow" w:eastAsia="Arial Narrow" w:hAnsi="Arial Narrow" w:cs="Arial Narrow"/>
          <w:color w:val="000000"/>
          <w:sz w:val="23"/>
          <w:szCs w:val="23"/>
        </w:rPr>
      </w:pPr>
    </w:p>
    <w:p w14:paraId="3778749C" w14:textId="77777777" w:rsidR="008745D1" w:rsidRDefault="00062AC1">
      <w:pPr>
        <w:widowControl w:val="0"/>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w:t>
      </w:r>
      <w:r>
        <w:rPr>
          <w:rFonts w:ascii="Arial Narrow" w:eastAsia="Arial Narrow" w:hAnsi="Arial Narrow" w:cs="Arial Narrow"/>
          <w:sz w:val="23"/>
          <w:szCs w:val="23"/>
        </w:rPr>
        <w:t>entendidos</w:t>
      </w:r>
      <w:r>
        <w:rPr>
          <w:rFonts w:ascii="Arial Narrow" w:eastAsia="Arial Narrow" w:hAnsi="Arial Narrow" w:cs="Arial Narrow"/>
          <w:color w:val="000000"/>
          <w:sz w:val="23"/>
          <w:szCs w:val="23"/>
        </w:rPr>
        <w:t xml:space="preserve"> de acuerdo con la definición contenida en el Decreto 1082 de 2015. Los términos no definidos a continuación deben entenderse de acuerdo con su significado natural y obvio. </w:t>
      </w:r>
    </w:p>
    <w:p w14:paraId="231E5CA4" w14:textId="77777777" w:rsidR="008745D1" w:rsidRDefault="008745D1">
      <w:pPr>
        <w:widowControl w:val="0"/>
        <w:spacing w:after="0" w:line="240" w:lineRule="auto"/>
        <w:ind w:left="0" w:hanging="2"/>
        <w:jc w:val="both"/>
        <w:rPr>
          <w:rFonts w:ascii="Arial Narrow" w:eastAsia="Arial Narrow" w:hAnsi="Arial Narrow" w:cs="Arial Narrow"/>
          <w:color w:val="000000"/>
          <w:sz w:val="23"/>
          <w:szCs w:val="23"/>
        </w:rPr>
      </w:pPr>
    </w:p>
    <w:tbl>
      <w:tblPr>
        <w:tblStyle w:val="affc"/>
        <w:tblW w:w="963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19"/>
        <w:gridCol w:w="7420"/>
      </w:tblGrid>
      <w:tr w:rsidR="008745D1" w14:paraId="22502177" w14:textId="77777777">
        <w:trPr>
          <w:tblHeader/>
        </w:trPr>
        <w:tc>
          <w:tcPr>
            <w:tcW w:w="9639" w:type="dxa"/>
            <w:gridSpan w:val="2"/>
            <w:shd w:val="clear" w:color="auto" w:fill="D9D9D9"/>
          </w:tcPr>
          <w:p w14:paraId="5ED4BC7E" w14:textId="77777777" w:rsidR="008745D1" w:rsidRDefault="00062AC1">
            <w:pPr>
              <w:widowControl w:val="0"/>
              <w:spacing w:after="0" w:line="240" w:lineRule="auto"/>
              <w:ind w:left="0" w:hanging="2"/>
              <w:jc w:val="center"/>
              <w:rPr>
                <w:rFonts w:ascii="Arial Narrow" w:eastAsia="Arial Narrow" w:hAnsi="Arial Narrow" w:cs="Arial Narrow"/>
                <w:color w:val="000000"/>
              </w:rPr>
            </w:pPr>
            <w:r>
              <w:rPr>
                <w:rFonts w:ascii="Arial Narrow" w:eastAsia="Arial Narrow" w:hAnsi="Arial Narrow" w:cs="Arial Narrow"/>
                <w:b/>
                <w:color w:val="000000"/>
              </w:rPr>
              <w:t>DEFINICIONES</w:t>
            </w:r>
          </w:p>
        </w:tc>
      </w:tr>
      <w:tr w:rsidR="008745D1" w14:paraId="1BEF1FC6" w14:textId="77777777">
        <w:trPr>
          <w:trHeight w:val="675"/>
        </w:trPr>
        <w:tc>
          <w:tcPr>
            <w:tcW w:w="2219" w:type="dxa"/>
            <w:shd w:val="clear" w:color="auto" w:fill="F2F2F2"/>
          </w:tcPr>
          <w:p w14:paraId="77209716"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Informe de Evaluación</w:t>
            </w:r>
          </w:p>
        </w:tc>
        <w:tc>
          <w:tcPr>
            <w:tcW w:w="7420" w:type="dxa"/>
          </w:tcPr>
          <w:p w14:paraId="3851246C"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Documento que da a conocer el resultado de los requisitos señalados en los pliegos de condiciones y sus anexos, respecto de la capacidad técnica, jurídica y financiera.</w:t>
            </w:r>
          </w:p>
        </w:tc>
      </w:tr>
      <w:tr w:rsidR="008745D1" w14:paraId="01F3EC46" w14:textId="77777777">
        <w:tc>
          <w:tcPr>
            <w:tcW w:w="2219" w:type="dxa"/>
          </w:tcPr>
          <w:p w14:paraId="3FA2AEEB"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Consolidado del informe de evaluación </w:t>
            </w:r>
          </w:p>
        </w:tc>
        <w:tc>
          <w:tcPr>
            <w:tcW w:w="7420" w:type="dxa"/>
          </w:tcPr>
          <w:p w14:paraId="5F1D4BDB"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Corresponde a un documento de ayuda, el cual resume el resultado de la evaluación adelantada contenido en los diferentes informes</w:t>
            </w:r>
          </w:p>
        </w:tc>
      </w:tr>
      <w:tr w:rsidR="008745D1" w14:paraId="3B966BA8" w14:textId="77777777">
        <w:tc>
          <w:tcPr>
            <w:tcW w:w="2219" w:type="dxa"/>
          </w:tcPr>
          <w:p w14:paraId="05BBF97F"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Comité evaluador</w:t>
            </w:r>
          </w:p>
        </w:tc>
        <w:tc>
          <w:tcPr>
            <w:tcW w:w="7420" w:type="dxa"/>
          </w:tcPr>
          <w:p w14:paraId="175F3C3B" w14:textId="77777777" w:rsidR="008745D1" w:rsidRDefault="00062AC1">
            <w:pPr>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Corresponde al grupo de servidores designados en el acto de apertura para la valoración jurídica, técnica, financiera y económica de las ofertas recibidas en los distintos procesos de selección, quien a su vez emitirá la recomendación de adjudicación.</w:t>
            </w:r>
          </w:p>
        </w:tc>
      </w:tr>
      <w:tr w:rsidR="008745D1" w14:paraId="5124454A" w14:textId="77777777">
        <w:tc>
          <w:tcPr>
            <w:tcW w:w="2219" w:type="dxa"/>
          </w:tcPr>
          <w:p w14:paraId="14ACDA86"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Adjudicación </w:t>
            </w:r>
          </w:p>
          <w:p w14:paraId="4647F13D" w14:textId="77777777" w:rsidR="008745D1" w:rsidRDefault="008745D1">
            <w:pPr>
              <w:widowControl w:val="0"/>
              <w:spacing w:after="0" w:line="240" w:lineRule="auto"/>
              <w:ind w:left="0" w:hanging="2"/>
              <w:jc w:val="both"/>
              <w:rPr>
                <w:rFonts w:ascii="Arial Narrow" w:eastAsia="Arial Narrow" w:hAnsi="Arial Narrow" w:cs="Arial Narrow"/>
                <w:color w:val="000000"/>
              </w:rPr>
            </w:pPr>
          </w:p>
        </w:tc>
        <w:tc>
          <w:tcPr>
            <w:tcW w:w="7420" w:type="dxa"/>
          </w:tcPr>
          <w:p w14:paraId="50FE9198"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Es la decisión final de la </w:t>
            </w:r>
            <w:r>
              <w:rPr>
                <w:rFonts w:ascii="Arial Narrow" w:eastAsia="Arial Narrow" w:hAnsi="Arial Narrow" w:cs="Arial Narrow"/>
                <w:b/>
                <w:color w:val="000000"/>
              </w:rPr>
              <w:t>FISCALIA GENERAL DE LA NACIÓN</w:t>
            </w:r>
            <w:r>
              <w:rPr>
                <w:rFonts w:ascii="Arial Narrow" w:eastAsia="Arial Narrow" w:hAnsi="Arial Narrow" w:cs="Arial Narrow"/>
                <w:color w:val="000000"/>
              </w:rPr>
              <w:t xml:space="preserve">, expedida por medio de un acto administrativo, que determina el adjudicatario del presente Proceso de Contratación. </w:t>
            </w:r>
          </w:p>
        </w:tc>
      </w:tr>
      <w:tr w:rsidR="008745D1" w14:paraId="515AD22B" w14:textId="77777777">
        <w:tc>
          <w:tcPr>
            <w:tcW w:w="2219" w:type="dxa"/>
            <w:shd w:val="clear" w:color="auto" w:fill="F2F2F2"/>
          </w:tcPr>
          <w:p w14:paraId="77831640"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Anexo</w:t>
            </w:r>
          </w:p>
        </w:tc>
        <w:tc>
          <w:tcPr>
            <w:tcW w:w="7420" w:type="dxa"/>
          </w:tcPr>
          <w:p w14:paraId="7AF98471" w14:textId="77777777" w:rsidR="008745D1" w:rsidRDefault="00062AC1">
            <w:pPr>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Es el conjunto de formatos y documentos que se adjuntan al presente Pliego de Condiciones y que hacen parte integral del mismo.</w:t>
            </w:r>
          </w:p>
        </w:tc>
      </w:tr>
      <w:tr w:rsidR="008745D1" w14:paraId="59A37DE9" w14:textId="77777777">
        <w:tc>
          <w:tcPr>
            <w:tcW w:w="2219" w:type="dxa"/>
            <w:shd w:val="clear" w:color="auto" w:fill="F2F2F2"/>
          </w:tcPr>
          <w:p w14:paraId="243DA3D9"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Contratista </w:t>
            </w:r>
          </w:p>
          <w:p w14:paraId="6BC388B5" w14:textId="77777777" w:rsidR="008745D1" w:rsidRDefault="008745D1">
            <w:pPr>
              <w:widowControl w:val="0"/>
              <w:spacing w:after="0" w:line="240" w:lineRule="auto"/>
              <w:ind w:left="0" w:hanging="2"/>
              <w:jc w:val="both"/>
              <w:rPr>
                <w:rFonts w:ascii="Arial Narrow" w:eastAsia="Arial Narrow" w:hAnsi="Arial Narrow" w:cs="Arial Narrow"/>
                <w:color w:val="000000"/>
              </w:rPr>
            </w:pPr>
          </w:p>
        </w:tc>
        <w:tc>
          <w:tcPr>
            <w:tcW w:w="7420" w:type="dxa"/>
          </w:tcPr>
          <w:p w14:paraId="47606F88"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Es el Proponente que resulte adjudicatario y suscriba el Contrato objeto del presente Proceso de Contratación. </w:t>
            </w:r>
          </w:p>
        </w:tc>
      </w:tr>
      <w:tr w:rsidR="008745D1" w14:paraId="478242A3" w14:textId="77777777">
        <w:tc>
          <w:tcPr>
            <w:tcW w:w="2219" w:type="dxa"/>
            <w:shd w:val="clear" w:color="auto" w:fill="F2F2F2"/>
          </w:tcPr>
          <w:p w14:paraId="702234C0"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Contrato </w:t>
            </w:r>
          </w:p>
          <w:p w14:paraId="6B4E932C" w14:textId="77777777" w:rsidR="008745D1" w:rsidRDefault="008745D1">
            <w:pPr>
              <w:widowControl w:val="0"/>
              <w:spacing w:after="0" w:line="240" w:lineRule="auto"/>
              <w:ind w:left="0" w:hanging="2"/>
              <w:jc w:val="both"/>
              <w:rPr>
                <w:rFonts w:ascii="Arial Narrow" w:eastAsia="Arial Narrow" w:hAnsi="Arial Narrow" w:cs="Arial Narrow"/>
                <w:color w:val="000000"/>
              </w:rPr>
            </w:pPr>
          </w:p>
        </w:tc>
        <w:tc>
          <w:tcPr>
            <w:tcW w:w="7420" w:type="dxa"/>
          </w:tcPr>
          <w:p w14:paraId="4070EEB4"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Es el negocio jurídico que se suscribirá entre la </w:t>
            </w:r>
            <w:r>
              <w:rPr>
                <w:rFonts w:ascii="Arial Narrow" w:eastAsia="Arial Narrow" w:hAnsi="Arial Narrow" w:cs="Arial Narrow"/>
                <w:b/>
                <w:color w:val="000000"/>
              </w:rPr>
              <w:t>FISCALIA GENERAL DE LA NACIÓN</w:t>
            </w:r>
            <w:r>
              <w:rPr>
                <w:rFonts w:ascii="Arial Narrow" w:eastAsia="Arial Narrow" w:hAnsi="Arial Narrow" w:cs="Arial Narrow"/>
                <w:color w:val="000000"/>
              </w:rPr>
              <w:t xml:space="preserve"> y el adjudicatario, por medio del cual se imponen a las partes obligaciones recíprocas y se conceden derechos correlativos que instrumentan la relación contractual que se busca establecer a través del presente Proceso de Contratación. </w:t>
            </w:r>
          </w:p>
        </w:tc>
      </w:tr>
      <w:tr w:rsidR="008745D1" w14:paraId="72C1AC43" w14:textId="77777777">
        <w:tc>
          <w:tcPr>
            <w:tcW w:w="2219" w:type="dxa"/>
            <w:shd w:val="clear" w:color="auto" w:fill="F2F2F2"/>
          </w:tcPr>
          <w:p w14:paraId="6B43397C"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Oferta </w:t>
            </w:r>
          </w:p>
          <w:p w14:paraId="0D0134D3" w14:textId="77777777" w:rsidR="008745D1" w:rsidRDefault="008745D1">
            <w:pPr>
              <w:widowControl w:val="0"/>
              <w:spacing w:after="0" w:line="240" w:lineRule="auto"/>
              <w:ind w:left="0" w:hanging="2"/>
              <w:jc w:val="both"/>
              <w:rPr>
                <w:rFonts w:ascii="Arial Narrow" w:eastAsia="Arial Narrow" w:hAnsi="Arial Narrow" w:cs="Arial Narrow"/>
                <w:color w:val="000000"/>
              </w:rPr>
            </w:pPr>
          </w:p>
        </w:tc>
        <w:tc>
          <w:tcPr>
            <w:tcW w:w="7420" w:type="dxa"/>
          </w:tcPr>
          <w:p w14:paraId="02542FFD"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Es la propuesta presentada a la </w:t>
            </w:r>
            <w:r>
              <w:rPr>
                <w:rFonts w:ascii="Arial Narrow" w:eastAsia="Arial Narrow" w:hAnsi="Arial Narrow" w:cs="Arial Narrow"/>
                <w:b/>
                <w:color w:val="000000"/>
              </w:rPr>
              <w:t>FISCALIA GENERAL DE LA NACIÓN</w:t>
            </w:r>
            <w:r>
              <w:rPr>
                <w:rFonts w:ascii="Arial Narrow" w:eastAsia="Arial Narrow" w:hAnsi="Arial Narrow" w:cs="Arial Narrow"/>
                <w:color w:val="000000"/>
              </w:rPr>
              <w:t xml:space="preserve"> por los interesados en ser el contratista del Proceso de Contratación objeto del presente Pliego de </w:t>
            </w:r>
            <w:r>
              <w:rPr>
                <w:rFonts w:ascii="Arial Narrow" w:eastAsia="Arial Narrow" w:hAnsi="Arial Narrow" w:cs="Arial Narrow"/>
                <w:color w:val="000000"/>
              </w:rPr>
              <w:lastRenderedPageBreak/>
              <w:t xml:space="preserve">Condiciones. </w:t>
            </w:r>
          </w:p>
        </w:tc>
      </w:tr>
      <w:tr w:rsidR="008745D1" w14:paraId="162FDBAA" w14:textId="77777777">
        <w:tc>
          <w:tcPr>
            <w:tcW w:w="2219" w:type="dxa"/>
            <w:shd w:val="clear" w:color="auto" w:fill="F2F2F2"/>
          </w:tcPr>
          <w:p w14:paraId="0AFA7EC1"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Pliego de Condiciones </w:t>
            </w:r>
          </w:p>
          <w:p w14:paraId="46DD789F" w14:textId="77777777" w:rsidR="008745D1" w:rsidRDefault="008745D1">
            <w:pPr>
              <w:widowControl w:val="0"/>
              <w:spacing w:after="0" w:line="240" w:lineRule="auto"/>
              <w:ind w:left="0" w:hanging="2"/>
              <w:jc w:val="both"/>
              <w:rPr>
                <w:rFonts w:ascii="Arial Narrow" w:eastAsia="Arial Narrow" w:hAnsi="Arial Narrow" w:cs="Arial Narrow"/>
                <w:color w:val="000000"/>
              </w:rPr>
            </w:pPr>
          </w:p>
        </w:tc>
        <w:tc>
          <w:tcPr>
            <w:tcW w:w="7420" w:type="dxa"/>
          </w:tcPr>
          <w:p w14:paraId="396942AE"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 </w:t>
            </w:r>
          </w:p>
        </w:tc>
      </w:tr>
      <w:tr w:rsidR="008745D1" w14:paraId="7080AE42" w14:textId="77777777">
        <w:tc>
          <w:tcPr>
            <w:tcW w:w="2219" w:type="dxa"/>
            <w:shd w:val="clear" w:color="auto" w:fill="F2F2F2"/>
          </w:tcPr>
          <w:p w14:paraId="450AC30D"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Proponente </w:t>
            </w:r>
          </w:p>
          <w:p w14:paraId="48E9AFB3" w14:textId="77777777" w:rsidR="008745D1" w:rsidRDefault="008745D1">
            <w:pPr>
              <w:widowControl w:val="0"/>
              <w:spacing w:after="0" w:line="240" w:lineRule="auto"/>
              <w:ind w:left="0" w:hanging="2"/>
              <w:jc w:val="both"/>
              <w:rPr>
                <w:rFonts w:ascii="Arial Narrow" w:eastAsia="Arial Narrow" w:hAnsi="Arial Narrow" w:cs="Arial Narrow"/>
                <w:color w:val="000000"/>
              </w:rPr>
            </w:pPr>
          </w:p>
          <w:p w14:paraId="48064809" w14:textId="77777777" w:rsidR="008745D1" w:rsidRDefault="008745D1">
            <w:pPr>
              <w:widowControl w:val="0"/>
              <w:spacing w:after="0" w:line="240" w:lineRule="auto"/>
              <w:ind w:left="0" w:hanging="2"/>
              <w:jc w:val="both"/>
              <w:rPr>
                <w:rFonts w:ascii="Arial Narrow" w:eastAsia="Arial Narrow" w:hAnsi="Arial Narrow" w:cs="Arial Narrow"/>
                <w:color w:val="000000"/>
              </w:rPr>
            </w:pPr>
          </w:p>
        </w:tc>
        <w:tc>
          <w:tcPr>
            <w:tcW w:w="7420" w:type="dxa"/>
          </w:tcPr>
          <w:p w14:paraId="34064B3A"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Es la persona natural o jurídica o el grupo de personas jurídicas y/o naturales, nacionales o extranjeras, asociadas entre sí mediante las figuras de consorcio, unión temporal o promesa de sociedad futura que presenta una Oferta para participar en el Proceso de Contratación. </w:t>
            </w:r>
          </w:p>
        </w:tc>
      </w:tr>
      <w:tr w:rsidR="008745D1" w14:paraId="34C5DFA7" w14:textId="77777777">
        <w:tc>
          <w:tcPr>
            <w:tcW w:w="2219" w:type="dxa"/>
            <w:shd w:val="clear" w:color="auto" w:fill="F2F2F2"/>
          </w:tcPr>
          <w:p w14:paraId="13AA110A"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TRM </w:t>
            </w:r>
          </w:p>
          <w:p w14:paraId="7E5C783B" w14:textId="77777777" w:rsidR="008745D1" w:rsidRDefault="008745D1">
            <w:pPr>
              <w:widowControl w:val="0"/>
              <w:spacing w:after="0" w:line="240" w:lineRule="auto"/>
              <w:ind w:left="0" w:hanging="2"/>
              <w:jc w:val="both"/>
              <w:rPr>
                <w:rFonts w:ascii="Arial Narrow" w:eastAsia="Arial Narrow" w:hAnsi="Arial Narrow" w:cs="Arial Narrow"/>
                <w:color w:val="000000"/>
              </w:rPr>
            </w:pPr>
          </w:p>
        </w:tc>
        <w:tc>
          <w:tcPr>
            <w:tcW w:w="7420" w:type="dxa"/>
          </w:tcPr>
          <w:p w14:paraId="3C7D7A34" w14:textId="77777777" w:rsidR="008745D1" w:rsidRDefault="00062AC1">
            <w:pPr>
              <w:widowControl w:val="0"/>
              <w:spacing w:after="0"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Tasa de cambio representativa del mercado spot de dólares de los Estados Unidos de América certificada por la Superintendencia Financiera de Colombia para una fecha determinada publicada en la página web.</w:t>
            </w:r>
          </w:p>
        </w:tc>
      </w:tr>
      <w:tr w:rsidR="008745D1" w14:paraId="46F5136E" w14:textId="77777777">
        <w:tc>
          <w:tcPr>
            <w:tcW w:w="2219" w:type="dxa"/>
            <w:shd w:val="clear" w:color="auto" w:fill="F2F2F2"/>
          </w:tcPr>
          <w:p w14:paraId="2621DD71" w14:textId="77777777" w:rsidR="008745D1" w:rsidRDefault="008745D1">
            <w:pPr>
              <w:spacing w:line="240" w:lineRule="auto"/>
              <w:ind w:left="0" w:hanging="2"/>
              <w:rPr>
                <w:rFonts w:ascii="Arial Narrow" w:eastAsia="Arial Narrow" w:hAnsi="Arial Narrow" w:cs="Arial Narrow"/>
                <w:color w:val="000000"/>
              </w:rPr>
            </w:pPr>
          </w:p>
          <w:p w14:paraId="7C38EE5F" w14:textId="77777777" w:rsidR="008745D1" w:rsidRDefault="008745D1">
            <w:pPr>
              <w:spacing w:line="240" w:lineRule="auto"/>
              <w:ind w:left="0" w:hanging="2"/>
              <w:rPr>
                <w:rFonts w:ascii="Arial Narrow" w:eastAsia="Arial Narrow" w:hAnsi="Arial Narrow" w:cs="Arial Narrow"/>
                <w:color w:val="000000"/>
              </w:rPr>
            </w:pPr>
          </w:p>
          <w:p w14:paraId="2F1DA6CD" w14:textId="413F56D1" w:rsidR="008745D1" w:rsidRDefault="00062AC1">
            <w:pP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ANEXO 03 OFRECIMIENTO</w:t>
            </w:r>
            <w:r w:rsidR="00D115C8">
              <w:rPr>
                <w:rFonts w:ascii="Arial Narrow" w:eastAsia="Arial Narrow" w:hAnsi="Arial Narrow" w:cs="Arial Narrow"/>
                <w:color w:val="000000"/>
              </w:rPr>
              <w:t xml:space="preserve"> ESPECIFICACIONES TÉCNICAS</w:t>
            </w:r>
          </w:p>
        </w:tc>
        <w:tc>
          <w:tcPr>
            <w:tcW w:w="7420" w:type="dxa"/>
          </w:tcPr>
          <w:p w14:paraId="1F94DCB8" w14:textId="77777777" w:rsidR="008745D1" w:rsidRDefault="00062AC1">
            <w:pP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Describe en su totalidad el ofrecimiento presentado para ser evaluado por la entidad de acuerdo con las fichas técnicas publicadas en el SECOP II.</w:t>
            </w:r>
          </w:p>
          <w:p w14:paraId="2CE434F2" w14:textId="77777777" w:rsidR="008745D1" w:rsidRDefault="00062AC1">
            <w:pP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Por lo tanto, no se debe limitar solo a su suscripción, sino deberá detallar marca y referencia de su ofrecimiento</w:t>
            </w:r>
            <w:r>
              <w:rPr>
                <w:rFonts w:ascii="Arial Narrow" w:eastAsia="Arial Narrow" w:hAnsi="Arial Narrow" w:cs="Arial Narrow"/>
              </w:rPr>
              <w:t>, cuando aplique.</w:t>
            </w:r>
          </w:p>
          <w:p w14:paraId="49CFE0EF" w14:textId="77777777" w:rsidR="008745D1" w:rsidRDefault="00062AC1">
            <w:pP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En los casos de servicios, en los cuales el proponente se adhiere a lo dispuesto por la FGN en la ficha técnica, solo debe ser suscrito por el representante legal.</w:t>
            </w:r>
          </w:p>
        </w:tc>
      </w:tr>
      <w:tr w:rsidR="008745D1" w:rsidRPr="00277357" w14:paraId="476ED7A9" w14:textId="77777777">
        <w:tc>
          <w:tcPr>
            <w:tcW w:w="2219" w:type="dxa"/>
            <w:shd w:val="clear" w:color="auto" w:fill="F2F2F2"/>
          </w:tcPr>
          <w:p w14:paraId="42F73E4C" w14:textId="77777777" w:rsidR="008745D1" w:rsidRPr="00277357" w:rsidRDefault="00062AC1">
            <w:pPr>
              <w:spacing w:line="240" w:lineRule="auto"/>
              <w:ind w:left="0" w:hanging="2"/>
              <w:rPr>
                <w:rFonts w:ascii="Arial Narrow" w:eastAsia="Arial Narrow" w:hAnsi="Arial Narrow" w:cs="Arial Narrow"/>
              </w:rPr>
            </w:pPr>
            <w:r w:rsidRPr="00277357">
              <w:rPr>
                <w:rFonts w:ascii="Arial Narrow" w:eastAsia="Arial Narrow" w:hAnsi="Arial Narrow" w:cs="Arial Narrow"/>
              </w:rPr>
              <w:t xml:space="preserve">Mipyme </w:t>
            </w:r>
          </w:p>
        </w:tc>
        <w:tc>
          <w:tcPr>
            <w:tcW w:w="7420" w:type="dxa"/>
          </w:tcPr>
          <w:p w14:paraId="221DD38F" w14:textId="77777777" w:rsidR="008745D1" w:rsidRPr="00277357" w:rsidRDefault="00062AC1">
            <w:pPr>
              <w:spacing w:line="240" w:lineRule="auto"/>
              <w:ind w:left="0" w:hanging="2"/>
              <w:jc w:val="both"/>
              <w:rPr>
                <w:rFonts w:ascii="Arial Narrow" w:eastAsia="Arial Narrow" w:hAnsi="Arial Narrow" w:cs="Arial Narrow"/>
              </w:rPr>
            </w:pPr>
            <w:r w:rsidRPr="00277357">
              <w:rPr>
                <w:rFonts w:ascii="Arial Narrow" w:eastAsia="Arial Narrow" w:hAnsi="Arial Narrow" w:cs="Arial Narrow"/>
              </w:rPr>
              <w:t>Observar los rangos de clasificación empresarial establecidos de conformidad con la Ley 590 de 2000 y el Decreto 1074 de 2015, o las normas que lo modifiquen, sustituyan o complementen.</w:t>
            </w:r>
          </w:p>
          <w:p w14:paraId="6D49E8A4" w14:textId="77777777" w:rsidR="008745D1" w:rsidRPr="00277357" w:rsidRDefault="00062AC1">
            <w:pPr>
              <w:spacing w:line="240" w:lineRule="auto"/>
              <w:ind w:left="0" w:hanging="2"/>
              <w:jc w:val="both"/>
              <w:rPr>
                <w:rFonts w:ascii="Arial Narrow" w:eastAsia="Arial Narrow" w:hAnsi="Arial Narrow" w:cs="Arial Narrow"/>
              </w:rPr>
            </w:pPr>
            <w:r w:rsidRPr="00277357">
              <w:rPr>
                <w:rFonts w:ascii="Arial Narrow" w:eastAsia="Arial Narrow" w:hAnsi="Arial Narrow" w:cs="Arial Narrow"/>
              </w:rPr>
              <w:t>Acreditar tal condición de acuerdo con lo establecido en el artículo 2.2.1.2.4.2.4 de Decreto 1082 de 2015 modificado por el Decreto 1860 de 2021</w:t>
            </w:r>
          </w:p>
        </w:tc>
      </w:tr>
      <w:tr w:rsidR="008745D1" w:rsidRPr="00277357" w14:paraId="277E8B5C" w14:textId="77777777">
        <w:tc>
          <w:tcPr>
            <w:tcW w:w="2219" w:type="dxa"/>
            <w:shd w:val="clear" w:color="auto" w:fill="F2F2F2"/>
          </w:tcPr>
          <w:p w14:paraId="02544072" w14:textId="77777777" w:rsidR="008745D1" w:rsidRPr="00277357" w:rsidRDefault="00062AC1">
            <w:pPr>
              <w:spacing w:line="240" w:lineRule="auto"/>
              <w:ind w:left="0" w:hanging="2"/>
              <w:rPr>
                <w:rFonts w:ascii="Arial Narrow" w:eastAsia="Arial Narrow" w:hAnsi="Arial Narrow" w:cs="Arial Narrow"/>
              </w:rPr>
            </w:pPr>
            <w:r w:rsidRPr="00277357">
              <w:rPr>
                <w:rFonts w:ascii="Arial Narrow" w:eastAsia="Arial Narrow" w:hAnsi="Arial Narrow" w:cs="Arial Narrow"/>
              </w:rPr>
              <w:t>Estudio del Sector y de Mercado</w:t>
            </w:r>
          </w:p>
        </w:tc>
        <w:tc>
          <w:tcPr>
            <w:tcW w:w="7420" w:type="dxa"/>
          </w:tcPr>
          <w:p w14:paraId="753904EA" w14:textId="77777777" w:rsidR="008745D1" w:rsidRPr="00277357" w:rsidRDefault="00062AC1">
            <w:pPr>
              <w:spacing w:line="240" w:lineRule="auto"/>
              <w:ind w:left="0" w:hanging="2"/>
              <w:jc w:val="both"/>
              <w:rPr>
                <w:rFonts w:ascii="Arial Narrow" w:eastAsia="Arial Narrow" w:hAnsi="Arial Narrow" w:cs="Arial Narrow"/>
              </w:rPr>
            </w:pPr>
            <w:r w:rsidRPr="00277357">
              <w:rPr>
                <w:rFonts w:ascii="Arial Narrow" w:eastAsia="Arial Narrow" w:hAnsi="Arial Narrow" w:cs="Arial Narrow"/>
              </w:rPr>
              <w:t>Corresponde al análisis que adelanta el área técnica en la etapa de planeación, respecto de sector y del mercado donde se ubican las obras, bienes o servicios a adquirir.</w:t>
            </w:r>
          </w:p>
        </w:tc>
      </w:tr>
    </w:tbl>
    <w:p w14:paraId="3CB506B0" w14:textId="77777777" w:rsidR="008745D1" w:rsidRPr="00277357" w:rsidRDefault="008745D1">
      <w:pPr>
        <w:spacing w:after="0" w:line="240" w:lineRule="auto"/>
        <w:ind w:left="0" w:hanging="2"/>
        <w:jc w:val="both"/>
        <w:rPr>
          <w:rFonts w:ascii="Arial Narrow" w:eastAsia="Arial Narrow" w:hAnsi="Arial Narrow" w:cs="Arial Narrow"/>
          <w:sz w:val="23"/>
          <w:szCs w:val="23"/>
        </w:rPr>
      </w:pPr>
    </w:p>
    <w:p w14:paraId="07CE659B" w14:textId="77777777" w:rsidR="008745D1" w:rsidRPr="00277357" w:rsidRDefault="00062AC1">
      <w:pPr>
        <w:spacing w:after="0" w:line="240" w:lineRule="auto"/>
        <w:ind w:left="0" w:hanging="2"/>
        <w:jc w:val="both"/>
        <w:rPr>
          <w:rFonts w:ascii="Arial Narrow" w:eastAsia="Arial Narrow" w:hAnsi="Arial Narrow" w:cs="Arial Narrow"/>
          <w:sz w:val="23"/>
          <w:szCs w:val="23"/>
        </w:rPr>
      </w:pPr>
      <w:r w:rsidRPr="00277357">
        <w:rPr>
          <w:rFonts w:ascii="Arial Narrow" w:eastAsia="Arial Narrow" w:hAnsi="Arial Narrow" w:cs="Arial Narrow"/>
          <w:b/>
          <w:sz w:val="23"/>
          <w:szCs w:val="23"/>
        </w:rPr>
        <w:t>CRONOGRAMA DEL PROCESO</w:t>
      </w:r>
    </w:p>
    <w:p w14:paraId="141CB2B8"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2C00F44B"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presente cronograma vincula las fechas que no se encuentran en el cronograma dispuesto por la plataforma SECOP II y que son necesarios para el presente proceso de selección:</w:t>
      </w:r>
    </w:p>
    <w:p w14:paraId="377D94BA" w14:textId="77777777" w:rsidR="00EA0A30" w:rsidRDefault="00EA0A30">
      <w:pPr>
        <w:spacing w:after="0" w:line="240" w:lineRule="auto"/>
        <w:ind w:left="0" w:hanging="2"/>
        <w:jc w:val="both"/>
        <w:rPr>
          <w:rFonts w:ascii="Arial Narrow" w:eastAsia="Arial Narrow" w:hAnsi="Arial Narrow" w:cs="Arial Narrow"/>
          <w:color w:val="000000"/>
          <w:sz w:val="23"/>
          <w:szCs w:val="23"/>
        </w:rPr>
      </w:pPr>
    </w:p>
    <w:tbl>
      <w:tblPr>
        <w:tblW w:w="96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24"/>
        <w:gridCol w:w="2431"/>
        <w:gridCol w:w="4135"/>
      </w:tblGrid>
      <w:tr w:rsidR="00277357" w:rsidRPr="00F65FD4" w14:paraId="420065C0" w14:textId="77777777" w:rsidTr="00D75F8C">
        <w:trPr>
          <w:trHeight w:val="269"/>
          <w:tblHeader/>
          <w:jc w:val="center"/>
        </w:trPr>
        <w:tc>
          <w:tcPr>
            <w:tcW w:w="312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AD6A557"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r w:rsidRPr="00F65FD4">
              <w:rPr>
                <w:rFonts w:ascii="Arial Narrow" w:eastAsia="Arial Narrow" w:hAnsi="Arial Narrow" w:cs="Arial Narrow"/>
                <w:b/>
                <w:color w:val="000000"/>
              </w:rPr>
              <w:t>ACTIVIDAD</w:t>
            </w:r>
          </w:p>
        </w:tc>
        <w:tc>
          <w:tcPr>
            <w:tcW w:w="243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791F856"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r w:rsidRPr="00F65FD4">
              <w:rPr>
                <w:rFonts w:ascii="Arial Narrow" w:eastAsia="Arial Narrow" w:hAnsi="Arial Narrow" w:cs="Arial Narrow"/>
                <w:b/>
                <w:color w:val="000000"/>
              </w:rPr>
              <w:t>FECHA</w:t>
            </w:r>
          </w:p>
        </w:tc>
        <w:tc>
          <w:tcPr>
            <w:tcW w:w="413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F0CD4A" w14:textId="77777777" w:rsidR="00277357" w:rsidRPr="00AD1112" w:rsidRDefault="00277357" w:rsidP="00D75F8C">
            <w:pPr>
              <w:spacing w:after="0" w:line="240" w:lineRule="auto"/>
              <w:ind w:left="0" w:hanging="2"/>
              <w:jc w:val="center"/>
              <w:rPr>
                <w:rFonts w:ascii="Arial Narrow" w:eastAsia="Arial Narrow" w:hAnsi="Arial Narrow" w:cs="Arial Narrow"/>
                <w:color w:val="000000"/>
              </w:rPr>
            </w:pPr>
            <w:r w:rsidRPr="00AD1112">
              <w:rPr>
                <w:rFonts w:ascii="Arial Narrow" w:eastAsia="Arial Narrow" w:hAnsi="Arial Narrow" w:cs="Arial Narrow"/>
                <w:b/>
                <w:color w:val="000000"/>
              </w:rPr>
              <w:t>LUGAR</w:t>
            </w:r>
          </w:p>
        </w:tc>
      </w:tr>
      <w:tr w:rsidR="00277357" w:rsidRPr="00F65FD4" w14:paraId="1CF3D73C" w14:textId="77777777" w:rsidTr="00D75F8C">
        <w:trPr>
          <w:cantSplit/>
          <w:trHeight w:val="606"/>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244C56BC" w14:textId="77777777" w:rsidR="00277357" w:rsidRPr="00F65FD4" w:rsidRDefault="00277357" w:rsidP="00D75F8C">
            <w:pPr>
              <w:spacing w:after="0" w:line="240" w:lineRule="auto"/>
              <w:ind w:left="0" w:hanging="2"/>
              <w:jc w:val="both"/>
              <w:rPr>
                <w:rFonts w:ascii="Arial Narrow" w:eastAsia="Arial Narrow" w:hAnsi="Arial Narrow" w:cs="Arial Narrow"/>
                <w:b/>
                <w:color w:val="000000"/>
              </w:rPr>
            </w:pPr>
            <w:r w:rsidRPr="00F65FD4">
              <w:rPr>
                <w:rFonts w:ascii="Arial Narrow" w:eastAsia="Arial Narrow" w:hAnsi="Arial Narrow" w:cs="Arial Narrow"/>
                <w:b/>
                <w:color w:val="000000"/>
              </w:rPr>
              <w:t>Publicación del proyecto de pliegos</w:t>
            </w:r>
          </w:p>
        </w:tc>
        <w:tc>
          <w:tcPr>
            <w:tcW w:w="2431" w:type="dxa"/>
            <w:tcBorders>
              <w:top w:val="single" w:sz="4" w:space="0" w:color="000000"/>
              <w:left w:val="single" w:sz="4" w:space="0" w:color="000000"/>
              <w:bottom w:val="single" w:sz="4" w:space="0" w:color="000000"/>
              <w:right w:val="single" w:sz="4" w:space="0" w:color="000000"/>
            </w:tcBorders>
            <w:vAlign w:val="center"/>
            <w:hideMark/>
          </w:tcPr>
          <w:p w14:paraId="1FA837ED"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13/10</w:t>
            </w:r>
            <w:r w:rsidRPr="00F65FD4">
              <w:rPr>
                <w:rFonts w:ascii="Arial Narrow" w:hAnsi="Arial Narrow"/>
                <w:sz w:val="22"/>
                <w:szCs w:val="22"/>
              </w:rPr>
              <w:t>/2026</w:t>
            </w:r>
          </w:p>
          <w:p w14:paraId="13763978"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tcBorders>
              <w:top w:val="single" w:sz="4" w:space="0" w:color="000000"/>
              <w:left w:val="single" w:sz="4" w:space="0" w:color="000000"/>
              <w:bottom w:val="single" w:sz="4" w:space="0" w:color="000000"/>
              <w:right w:val="single" w:sz="4" w:space="0" w:color="000000"/>
            </w:tcBorders>
            <w:vAlign w:val="center"/>
            <w:hideMark/>
          </w:tcPr>
          <w:p w14:paraId="3987772D" w14:textId="77777777" w:rsidR="00277357" w:rsidRPr="00AD1112" w:rsidRDefault="00277357" w:rsidP="00D75F8C">
            <w:pPr>
              <w:spacing w:after="0" w:line="240" w:lineRule="auto"/>
              <w:ind w:left="0" w:hanging="2"/>
              <w:jc w:val="both"/>
              <w:rPr>
                <w:rFonts w:ascii="Arial Narrow" w:eastAsia="Arial Narrow" w:hAnsi="Arial Narrow" w:cs="Arial Narrow"/>
                <w:color w:val="000000"/>
              </w:rPr>
            </w:pPr>
            <w:r w:rsidRPr="00AD1112">
              <w:rPr>
                <w:rFonts w:ascii="Arial Narrow" w:eastAsia="Arial Narrow" w:hAnsi="Arial Narrow" w:cs="Arial Narrow"/>
                <w:b/>
                <w:color w:val="000000"/>
              </w:rPr>
              <w:t xml:space="preserve">Sistema Electrónico de Contratación Pública </w:t>
            </w:r>
            <w:hyperlink r:id="rId12" w:history="1">
              <w:r w:rsidRPr="00AD1112">
                <w:rPr>
                  <w:rStyle w:val="Hipervnculo"/>
                  <w:rFonts w:ascii="Arial Narrow" w:eastAsia="Arial Narrow" w:hAnsi="Arial Narrow" w:cs="Arial Narrow"/>
                </w:rPr>
                <w:t>www.colombiacompra.gov.co</w:t>
              </w:r>
            </w:hyperlink>
          </w:p>
        </w:tc>
      </w:tr>
      <w:tr w:rsidR="00277357" w:rsidRPr="00F65FD4" w14:paraId="3A5FD564" w14:textId="77777777" w:rsidTr="00D75F8C">
        <w:trPr>
          <w:cantSplit/>
          <w:trHeight w:val="606"/>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5194E320" w14:textId="77777777" w:rsidR="00277357" w:rsidRPr="00F65FD4" w:rsidRDefault="00277357" w:rsidP="00D75F8C">
            <w:pPr>
              <w:spacing w:after="0" w:line="240" w:lineRule="auto"/>
              <w:ind w:left="0" w:hanging="2"/>
              <w:jc w:val="both"/>
              <w:rPr>
                <w:rFonts w:ascii="Arial Narrow" w:eastAsia="Arial Narrow" w:hAnsi="Arial Narrow" w:cs="Arial Narrow"/>
                <w:b/>
                <w:color w:val="000000"/>
              </w:rPr>
            </w:pPr>
            <w:r w:rsidRPr="00F65FD4">
              <w:rPr>
                <w:rFonts w:ascii="Arial Narrow" w:eastAsia="Arial Narrow" w:hAnsi="Arial Narrow" w:cs="Arial Narrow"/>
                <w:b/>
                <w:color w:val="000000"/>
              </w:rPr>
              <w:t>Presentación de observaciones</w:t>
            </w:r>
          </w:p>
        </w:tc>
        <w:tc>
          <w:tcPr>
            <w:tcW w:w="2431" w:type="dxa"/>
            <w:tcBorders>
              <w:top w:val="single" w:sz="4" w:space="0" w:color="000000"/>
              <w:left w:val="single" w:sz="4" w:space="0" w:color="000000"/>
              <w:bottom w:val="single" w:sz="4" w:space="0" w:color="000000"/>
              <w:right w:val="single" w:sz="4" w:space="0" w:color="000000"/>
            </w:tcBorders>
            <w:vAlign w:val="center"/>
            <w:hideMark/>
          </w:tcPr>
          <w:p w14:paraId="57DA23A8" w14:textId="77777777" w:rsidR="00277357" w:rsidRPr="00F65FD4" w:rsidRDefault="00277357" w:rsidP="00D75F8C">
            <w:pPr>
              <w:pStyle w:val="Default"/>
              <w:ind w:left="0" w:hanging="2"/>
              <w:jc w:val="center"/>
              <w:rPr>
                <w:rFonts w:ascii="Arial Narrow" w:hAnsi="Arial Narrow"/>
                <w:sz w:val="22"/>
                <w:szCs w:val="22"/>
              </w:rPr>
            </w:pPr>
            <w:r w:rsidRPr="00F65FD4">
              <w:rPr>
                <w:rFonts w:ascii="Arial Narrow" w:hAnsi="Arial Narrow"/>
                <w:sz w:val="22"/>
                <w:szCs w:val="22"/>
              </w:rPr>
              <w:t xml:space="preserve">Entre el </w:t>
            </w:r>
            <w:r>
              <w:rPr>
                <w:rFonts w:ascii="Arial Narrow" w:hAnsi="Arial Narrow"/>
                <w:sz w:val="22"/>
                <w:szCs w:val="22"/>
              </w:rPr>
              <w:t>13</w:t>
            </w:r>
            <w:r w:rsidRPr="00F65FD4">
              <w:rPr>
                <w:rFonts w:ascii="Arial Narrow" w:hAnsi="Arial Narrow"/>
                <w:sz w:val="22"/>
                <w:szCs w:val="22"/>
              </w:rPr>
              <w:t>/</w:t>
            </w:r>
            <w:r>
              <w:rPr>
                <w:rFonts w:ascii="Arial Narrow" w:hAnsi="Arial Narrow"/>
                <w:sz w:val="22"/>
                <w:szCs w:val="22"/>
              </w:rPr>
              <w:t>10</w:t>
            </w:r>
            <w:r w:rsidRPr="00F65FD4">
              <w:rPr>
                <w:rFonts w:ascii="Arial Narrow" w:hAnsi="Arial Narrow"/>
                <w:sz w:val="22"/>
                <w:szCs w:val="22"/>
              </w:rPr>
              <w:t>/2026 y</w:t>
            </w:r>
          </w:p>
          <w:p w14:paraId="6696C67C"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r>
              <w:rPr>
                <w:rFonts w:ascii="Arial Narrow" w:hAnsi="Arial Narrow"/>
              </w:rPr>
              <w:t>20/10</w:t>
            </w:r>
            <w:r w:rsidRPr="00F65FD4">
              <w:rPr>
                <w:rFonts w:ascii="Arial Narrow" w:hAnsi="Arial Narrow"/>
              </w:rPr>
              <w:t>/2026</w:t>
            </w:r>
          </w:p>
        </w:tc>
        <w:tc>
          <w:tcPr>
            <w:tcW w:w="4135" w:type="dxa"/>
            <w:tcBorders>
              <w:top w:val="single" w:sz="4" w:space="0" w:color="000000"/>
              <w:left w:val="single" w:sz="4" w:space="0" w:color="000000"/>
              <w:bottom w:val="single" w:sz="4" w:space="0" w:color="000000"/>
              <w:right w:val="single" w:sz="4" w:space="0" w:color="000000"/>
            </w:tcBorders>
            <w:vAlign w:val="center"/>
          </w:tcPr>
          <w:p w14:paraId="414976D0"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p>
        </w:tc>
      </w:tr>
      <w:tr w:rsidR="00277357" w:rsidRPr="00F65FD4" w14:paraId="27703FDC" w14:textId="77777777" w:rsidTr="00D75F8C">
        <w:trPr>
          <w:cantSplit/>
          <w:trHeight w:val="606"/>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098A3047"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Respuesta a observaciones presentadas al proyecto de pliego de condiciones</w:t>
            </w:r>
          </w:p>
        </w:tc>
        <w:tc>
          <w:tcPr>
            <w:tcW w:w="2431" w:type="dxa"/>
            <w:tcBorders>
              <w:top w:val="single" w:sz="4" w:space="0" w:color="000000"/>
              <w:left w:val="single" w:sz="4" w:space="0" w:color="000000"/>
              <w:bottom w:val="single" w:sz="4" w:space="0" w:color="000000"/>
              <w:right w:val="single" w:sz="4" w:space="0" w:color="000000"/>
            </w:tcBorders>
            <w:vAlign w:val="center"/>
            <w:hideMark/>
          </w:tcPr>
          <w:p w14:paraId="156ACA32"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30/10</w:t>
            </w:r>
            <w:r w:rsidRPr="00F65FD4">
              <w:rPr>
                <w:rFonts w:ascii="Arial Narrow" w:hAnsi="Arial Narrow"/>
                <w:sz w:val="22"/>
                <w:szCs w:val="22"/>
              </w:rPr>
              <w:t>/2026</w:t>
            </w:r>
          </w:p>
          <w:p w14:paraId="3CDB8EB2"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vMerge w:val="restart"/>
            <w:tcBorders>
              <w:top w:val="single" w:sz="4" w:space="0" w:color="000000"/>
              <w:left w:val="single" w:sz="4" w:space="0" w:color="000000"/>
              <w:bottom w:val="single" w:sz="4" w:space="0" w:color="000000"/>
              <w:right w:val="single" w:sz="4" w:space="0" w:color="000000"/>
            </w:tcBorders>
            <w:vAlign w:val="center"/>
          </w:tcPr>
          <w:p w14:paraId="4DFE14C9"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p>
        </w:tc>
      </w:tr>
      <w:tr w:rsidR="00277357" w:rsidRPr="00F65FD4" w14:paraId="60C5BFE8" w14:textId="77777777" w:rsidTr="00D75F8C">
        <w:trPr>
          <w:cantSplit/>
          <w:trHeight w:val="606"/>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184E906C"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Publicación del acto administrativo de apertura y pliego de condiciones definitivo.</w:t>
            </w:r>
          </w:p>
        </w:tc>
        <w:tc>
          <w:tcPr>
            <w:tcW w:w="2431" w:type="dxa"/>
            <w:tcBorders>
              <w:top w:val="single" w:sz="4" w:space="0" w:color="000000"/>
              <w:left w:val="single" w:sz="4" w:space="0" w:color="000000"/>
              <w:bottom w:val="single" w:sz="4" w:space="0" w:color="000000"/>
              <w:right w:val="single" w:sz="4" w:space="0" w:color="000000"/>
            </w:tcBorders>
            <w:vAlign w:val="center"/>
          </w:tcPr>
          <w:p w14:paraId="19074D3D"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30/10</w:t>
            </w:r>
            <w:r w:rsidRPr="00F65FD4">
              <w:rPr>
                <w:rFonts w:ascii="Arial Narrow" w:hAnsi="Arial Narrow"/>
                <w:sz w:val="22"/>
                <w:szCs w:val="22"/>
              </w:rPr>
              <w:t>/2026</w:t>
            </w:r>
          </w:p>
          <w:p w14:paraId="482AD402"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p w14:paraId="2E142912"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vMerge/>
            <w:tcBorders>
              <w:top w:val="single" w:sz="4" w:space="0" w:color="000000"/>
              <w:left w:val="single" w:sz="4" w:space="0" w:color="000000"/>
              <w:bottom w:val="single" w:sz="4" w:space="0" w:color="000000"/>
              <w:right w:val="single" w:sz="4" w:space="0" w:color="000000"/>
            </w:tcBorders>
            <w:vAlign w:val="center"/>
            <w:hideMark/>
          </w:tcPr>
          <w:p w14:paraId="567850EF"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p>
        </w:tc>
      </w:tr>
      <w:tr w:rsidR="00277357" w:rsidRPr="00F65FD4" w14:paraId="7F00E7E9" w14:textId="77777777" w:rsidTr="00D75F8C">
        <w:trPr>
          <w:cantSplit/>
          <w:trHeight w:val="916"/>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1D601461"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Plazo máximo para presentar observaciones al pliego de condiciones definitivo.</w:t>
            </w:r>
          </w:p>
        </w:tc>
        <w:tc>
          <w:tcPr>
            <w:tcW w:w="2431" w:type="dxa"/>
            <w:tcBorders>
              <w:top w:val="single" w:sz="4" w:space="0" w:color="000000"/>
              <w:left w:val="single" w:sz="4" w:space="0" w:color="000000"/>
              <w:bottom w:val="single" w:sz="4" w:space="0" w:color="000000"/>
              <w:right w:val="single" w:sz="4" w:space="0" w:color="000000"/>
            </w:tcBorders>
            <w:vAlign w:val="center"/>
          </w:tcPr>
          <w:p w14:paraId="09FA92B3" w14:textId="77777777" w:rsidR="00277357" w:rsidRPr="00F65FD4" w:rsidRDefault="00277357" w:rsidP="00D75F8C">
            <w:pPr>
              <w:pStyle w:val="Default"/>
              <w:ind w:left="0" w:hanging="2"/>
              <w:jc w:val="center"/>
              <w:rPr>
                <w:rFonts w:ascii="Arial Narrow" w:hAnsi="Arial Narrow"/>
                <w:sz w:val="22"/>
                <w:szCs w:val="22"/>
              </w:rPr>
            </w:pPr>
            <w:r w:rsidRPr="00F65FD4">
              <w:rPr>
                <w:rFonts w:ascii="Arial Narrow" w:hAnsi="Arial Narrow"/>
                <w:sz w:val="22"/>
                <w:szCs w:val="22"/>
              </w:rPr>
              <w:t xml:space="preserve">Hasta el </w:t>
            </w:r>
            <w:r>
              <w:rPr>
                <w:rFonts w:ascii="Arial Narrow" w:hAnsi="Arial Narrow"/>
                <w:sz w:val="22"/>
                <w:szCs w:val="22"/>
              </w:rPr>
              <w:t>03/11</w:t>
            </w:r>
            <w:r w:rsidRPr="00F65FD4">
              <w:rPr>
                <w:rFonts w:ascii="Arial Narrow" w:hAnsi="Arial Narrow"/>
                <w:sz w:val="22"/>
                <w:szCs w:val="22"/>
              </w:rPr>
              <w:t>/2026</w:t>
            </w:r>
          </w:p>
          <w:p w14:paraId="6CDA9F1D"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vMerge/>
            <w:tcBorders>
              <w:top w:val="single" w:sz="4" w:space="0" w:color="000000"/>
              <w:left w:val="single" w:sz="4" w:space="0" w:color="000000"/>
              <w:bottom w:val="single" w:sz="4" w:space="0" w:color="000000"/>
              <w:right w:val="single" w:sz="4" w:space="0" w:color="000000"/>
            </w:tcBorders>
            <w:vAlign w:val="center"/>
            <w:hideMark/>
          </w:tcPr>
          <w:p w14:paraId="1A16FD52"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p>
        </w:tc>
      </w:tr>
      <w:tr w:rsidR="00277357" w:rsidRPr="00F65FD4" w14:paraId="194CD1E7" w14:textId="77777777" w:rsidTr="00D75F8C">
        <w:trPr>
          <w:cantSplit/>
          <w:trHeight w:val="147"/>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60CDCD87"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lastRenderedPageBreak/>
              <w:t>Respuesta a las observaciones presentadas al pliego de condiciones definitivo.</w:t>
            </w:r>
          </w:p>
        </w:tc>
        <w:tc>
          <w:tcPr>
            <w:tcW w:w="2431" w:type="dxa"/>
            <w:tcBorders>
              <w:top w:val="single" w:sz="4" w:space="0" w:color="000000"/>
              <w:left w:val="single" w:sz="4" w:space="0" w:color="000000"/>
              <w:bottom w:val="single" w:sz="4" w:space="0" w:color="000000"/>
              <w:right w:val="single" w:sz="4" w:space="0" w:color="000000"/>
            </w:tcBorders>
            <w:vAlign w:val="center"/>
          </w:tcPr>
          <w:p w14:paraId="5252A5DC"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06/11</w:t>
            </w:r>
            <w:r w:rsidRPr="00F65FD4">
              <w:rPr>
                <w:rFonts w:ascii="Arial Narrow" w:hAnsi="Arial Narrow"/>
                <w:sz w:val="22"/>
                <w:szCs w:val="22"/>
              </w:rPr>
              <w:t>/2026</w:t>
            </w:r>
          </w:p>
          <w:p w14:paraId="47B1BF64"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vMerge/>
            <w:tcBorders>
              <w:top w:val="single" w:sz="4" w:space="0" w:color="000000"/>
              <w:left w:val="single" w:sz="4" w:space="0" w:color="000000"/>
              <w:bottom w:val="single" w:sz="4" w:space="0" w:color="000000"/>
              <w:right w:val="single" w:sz="4" w:space="0" w:color="000000"/>
            </w:tcBorders>
            <w:vAlign w:val="center"/>
            <w:hideMark/>
          </w:tcPr>
          <w:p w14:paraId="09082A56"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p>
        </w:tc>
      </w:tr>
      <w:tr w:rsidR="00277357" w:rsidRPr="00F65FD4" w14:paraId="015DEEDE" w14:textId="77777777" w:rsidTr="00D75F8C">
        <w:trPr>
          <w:cantSplit/>
          <w:trHeight w:val="381"/>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331D4849"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Plazo para la expedición de adendas.</w:t>
            </w:r>
          </w:p>
        </w:tc>
        <w:tc>
          <w:tcPr>
            <w:tcW w:w="2431" w:type="dxa"/>
            <w:tcBorders>
              <w:top w:val="single" w:sz="4" w:space="0" w:color="000000"/>
              <w:left w:val="single" w:sz="4" w:space="0" w:color="000000"/>
              <w:bottom w:val="single" w:sz="4" w:space="0" w:color="000000"/>
              <w:right w:val="single" w:sz="4" w:space="0" w:color="000000"/>
            </w:tcBorders>
            <w:vAlign w:val="center"/>
            <w:hideMark/>
          </w:tcPr>
          <w:p w14:paraId="056AE94C"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06/11</w:t>
            </w:r>
            <w:r w:rsidRPr="00F65FD4">
              <w:rPr>
                <w:rFonts w:ascii="Arial Narrow" w:hAnsi="Arial Narrow"/>
                <w:sz w:val="22"/>
                <w:szCs w:val="22"/>
              </w:rPr>
              <w:t>/2026</w:t>
            </w:r>
          </w:p>
          <w:p w14:paraId="7184B4BD" w14:textId="77777777" w:rsidR="00277357" w:rsidRPr="00F65FD4" w:rsidRDefault="00277357" w:rsidP="00D75F8C">
            <w:pPr>
              <w:pStyle w:val="Default"/>
              <w:ind w:left="0" w:hanging="2"/>
              <w:jc w:val="center"/>
              <w:rPr>
                <w:rFonts w:ascii="Arial Narrow" w:eastAsia="Arial Narrow" w:hAnsi="Arial Narrow" w:cs="Arial Narrow"/>
              </w:rPr>
            </w:pPr>
          </w:p>
        </w:tc>
        <w:tc>
          <w:tcPr>
            <w:tcW w:w="4135" w:type="dxa"/>
            <w:tcBorders>
              <w:top w:val="single" w:sz="4" w:space="0" w:color="000000"/>
              <w:left w:val="single" w:sz="4" w:space="0" w:color="000000"/>
              <w:bottom w:val="single" w:sz="4" w:space="0" w:color="000000"/>
              <w:right w:val="single" w:sz="4" w:space="0" w:color="000000"/>
            </w:tcBorders>
            <w:vAlign w:val="center"/>
          </w:tcPr>
          <w:p w14:paraId="0B16B657"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p>
        </w:tc>
      </w:tr>
      <w:tr w:rsidR="00277357" w:rsidRPr="00F65FD4" w14:paraId="14154108" w14:textId="77777777" w:rsidTr="00D75F8C">
        <w:trPr>
          <w:cantSplit/>
          <w:trHeight w:val="147"/>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0BA1642A"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Cierre del proceso (presentación de ofertas).</w:t>
            </w:r>
          </w:p>
        </w:tc>
        <w:tc>
          <w:tcPr>
            <w:tcW w:w="2431" w:type="dxa"/>
            <w:tcBorders>
              <w:top w:val="single" w:sz="4" w:space="0" w:color="000000"/>
              <w:left w:val="single" w:sz="4" w:space="0" w:color="000000"/>
              <w:bottom w:val="single" w:sz="4" w:space="0" w:color="000000"/>
              <w:right w:val="single" w:sz="4" w:space="0" w:color="000000"/>
            </w:tcBorders>
            <w:vAlign w:val="center"/>
            <w:hideMark/>
          </w:tcPr>
          <w:p w14:paraId="498C4480"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10/11</w:t>
            </w:r>
            <w:r w:rsidRPr="00F65FD4">
              <w:rPr>
                <w:rFonts w:ascii="Arial Narrow" w:hAnsi="Arial Narrow"/>
                <w:sz w:val="22"/>
                <w:szCs w:val="22"/>
              </w:rPr>
              <w:t>/2026</w:t>
            </w:r>
          </w:p>
          <w:p w14:paraId="252CAC0B"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r>
              <w:rPr>
                <w:rFonts w:ascii="Arial Narrow" w:hAnsi="Arial Narrow"/>
              </w:rPr>
              <w:t>02</w:t>
            </w:r>
            <w:r w:rsidRPr="00F65FD4">
              <w:rPr>
                <w:rFonts w:ascii="Arial Narrow" w:hAnsi="Arial Narrow"/>
              </w:rPr>
              <w:t xml:space="preserve">:00 </w:t>
            </w:r>
            <w:r>
              <w:rPr>
                <w:rFonts w:ascii="Arial Narrow" w:hAnsi="Arial Narrow"/>
              </w:rPr>
              <w:t>P</w:t>
            </w:r>
            <w:r w:rsidRPr="00F65FD4">
              <w:rPr>
                <w:rFonts w:ascii="Arial Narrow" w:hAnsi="Arial Narrow"/>
              </w:rPr>
              <w:t>.M.</w:t>
            </w:r>
          </w:p>
        </w:tc>
        <w:tc>
          <w:tcPr>
            <w:tcW w:w="4135" w:type="dxa"/>
            <w:tcBorders>
              <w:top w:val="single" w:sz="4" w:space="0" w:color="000000"/>
              <w:left w:val="single" w:sz="4" w:space="0" w:color="000000"/>
              <w:bottom w:val="single" w:sz="4" w:space="0" w:color="000000"/>
              <w:right w:val="single" w:sz="4" w:space="0" w:color="000000"/>
            </w:tcBorders>
            <w:vAlign w:val="center"/>
          </w:tcPr>
          <w:p w14:paraId="3DD0F35E"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p>
        </w:tc>
      </w:tr>
      <w:tr w:rsidR="00277357" w:rsidRPr="00F65FD4" w14:paraId="0BE46E6F" w14:textId="77777777" w:rsidTr="00D75F8C">
        <w:trPr>
          <w:trHeight w:val="147"/>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0E6C8841"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Verificación de requisitos habilitantes.</w:t>
            </w:r>
          </w:p>
        </w:tc>
        <w:tc>
          <w:tcPr>
            <w:tcW w:w="2431" w:type="dxa"/>
            <w:tcBorders>
              <w:top w:val="single" w:sz="4" w:space="0" w:color="000000"/>
              <w:left w:val="single" w:sz="4" w:space="0" w:color="000000"/>
              <w:bottom w:val="single" w:sz="4" w:space="0" w:color="000000"/>
              <w:right w:val="single" w:sz="4" w:space="0" w:color="000000"/>
            </w:tcBorders>
            <w:vAlign w:val="center"/>
            <w:hideMark/>
          </w:tcPr>
          <w:p w14:paraId="74B3EFDD"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Entre el 10/11</w:t>
            </w:r>
            <w:r w:rsidRPr="00F65FD4">
              <w:rPr>
                <w:rFonts w:ascii="Arial Narrow" w:hAnsi="Arial Narrow"/>
                <w:sz w:val="22"/>
                <w:szCs w:val="22"/>
              </w:rPr>
              <w:t xml:space="preserve">/2026 y el </w:t>
            </w:r>
            <w:r>
              <w:rPr>
                <w:rFonts w:ascii="Arial Narrow" w:hAnsi="Arial Narrow"/>
                <w:sz w:val="22"/>
                <w:szCs w:val="22"/>
              </w:rPr>
              <w:t>13/11</w:t>
            </w:r>
            <w:r w:rsidRPr="00F65FD4">
              <w:rPr>
                <w:rFonts w:ascii="Arial Narrow" w:hAnsi="Arial Narrow"/>
                <w:sz w:val="22"/>
                <w:szCs w:val="22"/>
              </w:rPr>
              <w:t>/2026</w:t>
            </w:r>
          </w:p>
          <w:p w14:paraId="3605F1B7"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tcBorders>
              <w:top w:val="single" w:sz="4" w:space="0" w:color="000000"/>
              <w:left w:val="single" w:sz="4" w:space="0" w:color="000000"/>
              <w:bottom w:val="single" w:sz="4" w:space="0" w:color="000000"/>
              <w:right w:val="single" w:sz="4" w:space="0" w:color="000000"/>
            </w:tcBorders>
            <w:vAlign w:val="center"/>
            <w:hideMark/>
          </w:tcPr>
          <w:p w14:paraId="1D16B9D9"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Instalaciones de la de la Fiscalía General de la Nación.</w:t>
            </w:r>
          </w:p>
        </w:tc>
      </w:tr>
      <w:tr w:rsidR="00277357" w:rsidRPr="00F65FD4" w14:paraId="38CB16BD" w14:textId="77777777" w:rsidTr="00D75F8C">
        <w:trPr>
          <w:trHeight w:val="147"/>
          <w:jc w:val="center"/>
        </w:trPr>
        <w:tc>
          <w:tcPr>
            <w:tcW w:w="3124" w:type="dxa"/>
            <w:tcBorders>
              <w:top w:val="single" w:sz="4" w:space="0" w:color="000000"/>
              <w:left w:val="single" w:sz="4" w:space="0" w:color="000000"/>
              <w:bottom w:val="single" w:sz="4" w:space="0" w:color="000000"/>
              <w:right w:val="single" w:sz="4" w:space="0" w:color="000000"/>
            </w:tcBorders>
            <w:hideMark/>
          </w:tcPr>
          <w:p w14:paraId="556D5F6E" w14:textId="77777777" w:rsidR="00277357" w:rsidRPr="00F65FD4" w:rsidRDefault="00277357" w:rsidP="00D75F8C">
            <w:pPr>
              <w:spacing w:after="0" w:line="240" w:lineRule="auto"/>
              <w:ind w:left="0" w:hanging="2"/>
              <w:jc w:val="both"/>
              <w:rPr>
                <w:rFonts w:ascii="Arial Narrow" w:eastAsia="Arial Narrow" w:hAnsi="Arial Narrow" w:cs="Arial Narrow"/>
                <w:b/>
                <w:color w:val="000000"/>
              </w:rPr>
            </w:pPr>
            <w:r w:rsidRPr="00F65FD4">
              <w:rPr>
                <w:rFonts w:ascii="Arial Narrow" w:eastAsia="Arial Narrow" w:hAnsi="Arial Narrow" w:cs="Arial Narrow"/>
                <w:b/>
                <w:color w:val="000000"/>
              </w:rPr>
              <w:t>Información de situaciones de Control en cumplimiento del Decreto 1600 de 2024</w:t>
            </w:r>
          </w:p>
        </w:tc>
        <w:tc>
          <w:tcPr>
            <w:tcW w:w="2431" w:type="dxa"/>
            <w:tcBorders>
              <w:top w:val="single" w:sz="4" w:space="0" w:color="000000"/>
              <w:left w:val="single" w:sz="4" w:space="0" w:color="000000"/>
              <w:bottom w:val="single" w:sz="4" w:space="0" w:color="000000"/>
              <w:right w:val="single" w:sz="4" w:space="0" w:color="000000"/>
            </w:tcBorders>
          </w:tcPr>
          <w:p w14:paraId="5FF2E742"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12/11</w:t>
            </w:r>
            <w:r w:rsidRPr="00F65FD4">
              <w:rPr>
                <w:rFonts w:ascii="Arial Narrow" w:hAnsi="Arial Narrow"/>
                <w:sz w:val="22"/>
                <w:szCs w:val="22"/>
              </w:rPr>
              <w:t>/2026</w:t>
            </w:r>
          </w:p>
          <w:p w14:paraId="049EC930"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tcBorders>
              <w:top w:val="single" w:sz="4" w:space="0" w:color="000000"/>
              <w:left w:val="single" w:sz="4" w:space="0" w:color="000000"/>
              <w:bottom w:val="single" w:sz="4" w:space="0" w:color="000000"/>
              <w:right w:val="single" w:sz="4" w:space="0" w:color="000000"/>
            </w:tcBorders>
            <w:hideMark/>
          </w:tcPr>
          <w:p w14:paraId="5A98F3BA" w14:textId="77777777" w:rsidR="00277357" w:rsidRPr="00F65FD4" w:rsidRDefault="00277357" w:rsidP="00D75F8C">
            <w:pPr>
              <w:spacing w:after="0" w:line="240" w:lineRule="auto"/>
              <w:ind w:left="0" w:hanging="2"/>
              <w:jc w:val="both"/>
              <w:rPr>
                <w:rFonts w:ascii="Arial Narrow" w:eastAsia="Arial Narrow" w:hAnsi="Arial Narrow" w:cs="Arial Narrow"/>
                <w:b/>
                <w:color w:val="000000"/>
              </w:rPr>
            </w:pPr>
            <w:r w:rsidRPr="00F65FD4">
              <w:rPr>
                <w:rFonts w:ascii="Arial Narrow" w:eastAsia="Arial Narrow" w:hAnsi="Arial Narrow" w:cs="Arial Narrow"/>
                <w:b/>
                <w:color w:val="000000"/>
              </w:rPr>
              <w:t xml:space="preserve">Sistema Electrónico de Contratación Pública </w:t>
            </w:r>
            <w:hyperlink r:id="rId13" w:history="1">
              <w:r w:rsidRPr="00F65FD4">
                <w:rPr>
                  <w:rStyle w:val="Hipervnculo"/>
                  <w:rFonts w:ascii="Arial Narrow" w:eastAsia="Arial Narrow" w:hAnsi="Arial Narrow" w:cs="Arial Narrow"/>
                </w:rPr>
                <w:t>www.colombiacompra.gov.co</w:t>
              </w:r>
            </w:hyperlink>
          </w:p>
        </w:tc>
      </w:tr>
      <w:tr w:rsidR="00277357" w:rsidRPr="00F65FD4" w14:paraId="50B01087" w14:textId="77777777" w:rsidTr="00D75F8C">
        <w:trPr>
          <w:trHeight w:val="973"/>
          <w:jc w:val="center"/>
        </w:trPr>
        <w:tc>
          <w:tcPr>
            <w:tcW w:w="3124" w:type="dxa"/>
            <w:tcBorders>
              <w:top w:val="single" w:sz="4" w:space="0" w:color="000000"/>
              <w:left w:val="single" w:sz="4" w:space="0" w:color="000000"/>
              <w:bottom w:val="single" w:sz="4" w:space="0" w:color="000000"/>
              <w:right w:val="single" w:sz="4" w:space="0" w:color="000000"/>
            </w:tcBorders>
            <w:hideMark/>
          </w:tcPr>
          <w:p w14:paraId="62342747"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Publicación del informe de verificación de requisitos habilitantes.</w:t>
            </w:r>
          </w:p>
        </w:tc>
        <w:tc>
          <w:tcPr>
            <w:tcW w:w="2431" w:type="dxa"/>
            <w:tcBorders>
              <w:top w:val="single" w:sz="4" w:space="0" w:color="000000"/>
              <w:left w:val="single" w:sz="4" w:space="0" w:color="000000"/>
              <w:bottom w:val="single" w:sz="4" w:space="0" w:color="000000"/>
              <w:right w:val="single" w:sz="4" w:space="0" w:color="000000"/>
            </w:tcBorders>
            <w:vAlign w:val="center"/>
            <w:hideMark/>
          </w:tcPr>
          <w:p w14:paraId="05D3A7BD"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p w14:paraId="23D6A214"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17/11</w:t>
            </w:r>
            <w:r w:rsidRPr="00F65FD4">
              <w:rPr>
                <w:rFonts w:ascii="Arial Narrow" w:hAnsi="Arial Narrow"/>
                <w:sz w:val="22"/>
                <w:szCs w:val="22"/>
              </w:rPr>
              <w:t>/2026</w:t>
            </w:r>
          </w:p>
          <w:p w14:paraId="7C149761"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tcBorders>
              <w:top w:val="single" w:sz="4" w:space="0" w:color="000000"/>
              <w:left w:val="single" w:sz="4" w:space="0" w:color="000000"/>
              <w:bottom w:val="single" w:sz="4" w:space="0" w:color="000000"/>
              <w:right w:val="single" w:sz="4" w:space="0" w:color="000000"/>
            </w:tcBorders>
            <w:vAlign w:val="center"/>
            <w:hideMark/>
          </w:tcPr>
          <w:p w14:paraId="3D005455"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 xml:space="preserve">Sistema Electrónico de Contratación Pública </w:t>
            </w:r>
            <w:hyperlink r:id="rId14" w:history="1">
              <w:r w:rsidRPr="00F65FD4">
                <w:rPr>
                  <w:rStyle w:val="Hipervnculo"/>
                  <w:rFonts w:ascii="Arial Narrow" w:eastAsia="Arial Narrow" w:hAnsi="Arial Narrow" w:cs="Arial Narrow"/>
                </w:rPr>
                <w:t>www.colombiacompra.gov.co</w:t>
              </w:r>
            </w:hyperlink>
          </w:p>
        </w:tc>
      </w:tr>
      <w:tr w:rsidR="00277357" w:rsidRPr="00F65FD4" w14:paraId="4EC04612" w14:textId="77777777" w:rsidTr="00D75F8C">
        <w:trPr>
          <w:trHeight w:val="756"/>
          <w:jc w:val="center"/>
        </w:trPr>
        <w:tc>
          <w:tcPr>
            <w:tcW w:w="3124" w:type="dxa"/>
            <w:tcBorders>
              <w:top w:val="single" w:sz="4" w:space="0" w:color="000000"/>
              <w:left w:val="single" w:sz="4" w:space="0" w:color="000000"/>
              <w:bottom w:val="single" w:sz="4" w:space="0" w:color="000000"/>
              <w:right w:val="single" w:sz="4" w:space="0" w:color="000000"/>
            </w:tcBorders>
            <w:hideMark/>
          </w:tcPr>
          <w:p w14:paraId="0D76E81B"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Presentación de observaciones al informe Verificación de requisitos habilitantes.</w:t>
            </w:r>
          </w:p>
        </w:tc>
        <w:tc>
          <w:tcPr>
            <w:tcW w:w="2431" w:type="dxa"/>
            <w:tcBorders>
              <w:top w:val="single" w:sz="4" w:space="0" w:color="000000"/>
              <w:left w:val="single" w:sz="4" w:space="0" w:color="000000"/>
              <w:bottom w:val="single" w:sz="4" w:space="0" w:color="000000"/>
              <w:right w:val="single" w:sz="4" w:space="0" w:color="000000"/>
            </w:tcBorders>
            <w:vAlign w:val="center"/>
          </w:tcPr>
          <w:p w14:paraId="25B31E37" w14:textId="77777777" w:rsidR="00277357" w:rsidRPr="00F65FD4" w:rsidRDefault="00277357" w:rsidP="00D75F8C">
            <w:pPr>
              <w:pStyle w:val="Default"/>
              <w:ind w:left="0" w:hanging="2"/>
              <w:jc w:val="center"/>
              <w:rPr>
                <w:rFonts w:ascii="Arial Narrow" w:hAnsi="Arial Narrow"/>
                <w:sz w:val="22"/>
                <w:szCs w:val="22"/>
              </w:rPr>
            </w:pPr>
            <w:r w:rsidRPr="00F65FD4">
              <w:rPr>
                <w:rFonts w:ascii="Arial Narrow" w:hAnsi="Arial Narrow"/>
                <w:sz w:val="22"/>
                <w:szCs w:val="22"/>
              </w:rPr>
              <w:t xml:space="preserve">Hasta el </w:t>
            </w:r>
            <w:r>
              <w:rPr>
                <w:rFonts w:ascii="Arial Narrow" w:hAnsi="Arial Narrow"/>
                <w:sz w:val="22"/>
                <w:szCs w:val="22"/>
              </w:rPr>
              <w:t>18/11</w:t>
            </w:r>
            <w:r w:rsidRPr="00F65FD4">
              <w:rPr>
                <w:rFonts w:ascii="Arial Narrow" w:hAnsi="Arial Narrow"/>
                <w:sz w:val="22"/>
                <w:szCs w:val="22"/>
              </w:rPr>
              <w:t>/2026</w:t>
            </w:r>
          </w:p>
          <w:p w14:paraId="639AE59E"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tcBorders>
              <w:top w:val="single" w:sz="4" w:space="0" w:color="000000"/>
              <w:left w:val="single" w:sz="4" w:space="0" w:color="000000"/>
              <w:bottom w:val="single" w:sz="4" w:space="0" w:color="000000"/>
              <w:right w:val="single" w:sz="4" w:space="0" w:color="000000"/>
            </w:tcBorders>
            <w:vAlign w:val="center"/>
            <w:hideMark/>
          </w:tcPr>
          <w:p w14:paraId="4867BCBC"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 xml:space="preserve">Sistema Electrónico de Contratación Pública </w:t>
            </w:r>
            <w:hyperlink r:id="rId15" w:history="1">
              <w:r w:rsidRPr="00F65FD4">
                <w:rPr>
                  <w:rStyle w:val="Hipervnculo"/>
                  <w:rFonts w:ascii="Arial Narrow" w:eastAsia="Arial Narrow" w:hAnsi="Arial Narrow" w:cs="Arial Narrow"/>
                </w:rPr>
                <w:t>www.colombiacompra.gov.co</w:t>
              </w:r>
            </w:hyperlink>
          </w:p>
        </w:tc>
      </w:tr>
      <w:tr w:rsidR="00277357" w:rsidRPr="00F65FD4" w14:paraId="30339F79" w14:textId="77777777" w:rsidTr="00D75F8C">
        <w:trPr>
          <w:trHeight w:val="1300"/>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414D0F35"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Publicación de respuestas a las observaciones presentadas al informe de verificación de requisitos habilitantes</w:t>
            </w:r>
          </w:p>
        </w:tc>
        <w:tc>
          <w:tcPr>
            <w:tcW w:w="2431" w:type="dxa"/>
            <w:tcBorders>
              <w:top w:val="single" w:sz="4" w:space="0" w:color="000000"/>
              <w:left w:val="single" w:sz="4" w:space="0" w:color="000000"/>
              <w:bottom w:val="single" w:sz="4" w:space="0" w:color="000000"/>
              <w:right w:val="single" w:sz="4" w:space="0" w:color="000000"/>
            </w:tcBorders>
            <w:vAlign w:val="center"/>
          </w:tcPr>
          <w:p w14:paraId="444D48F5" w14:textId="77777777" w:rsidR="00277357" w:rsidRPr="00F65FD4" w:rsidRDefault="00277357" w:rsidP="00D75F8C">
            <w:pPr>
              <w:pStyle w:val="Default"/>
              <w:ind w:left="0" w:hanging="2"/>
              <w:jc w:val="center"/>
              <w:rPr>
                <w:rFonts w:ascii="Arial Narrow" w:hAnsi="Arial Narrow"/>
                <w:color w:val="232323"/>
                <w:sz w:val="22"/>
                <w:szCs w:val="22"/>
              </w:rPr>
            </w:pPr>
            <w:r>
              <w:rPr>
                <w:rFonts w:ascii="Arial Narrow" w:hAnsi="Arial Narrow" w:cs="Arial Narrow"/>
                <w:color w:val="232323"/>
                <w:sz w:val="22"/>
                <w:szCs w:val="22"/>
              </w:rPr>
              <w:t>23</w:t>
            </w:r>
            <w:r w:rsidRPr="00F65FD4">
              <w:rPr>
                <w:rFonts w:ascii="Arial Narrow" w:hAnsi="Arial Narrow" w:cs="Arial Narrow"/>
                <w:color w:val="232323"/>
                <w:sz w:val="22"/>
                <w:szCs w:val="22"/>
              </w:rPr>
              <w:t>/</w:t>
            </w:r>
            <w:r>
              <w:rPr>
                <w:rFonts w:ascii="Arial Narrow" w:hAnsi="Arial Narrow"/>
                <w:color w:val="232323"/>
                <w:sz w:val="22"/>
                <w:szCs w:val="22"/>
              </w:rPr>
              <w:t>11</w:t>
            </w:r>
            <w:r w:rsidRPr="00F65FD4">
              <w:rPr>
                <w:rFonts w:ascii="Arial Narrow" w:hAnsi="Arial Narrow"/>
                <w:color w:val="232323"/>
                <w:sz w:val="22"/>
                <w:szCs w:val="22"/>
              </w:rPr>
              <w:t>/2026</w:t>
            </w:r>
          </w:p>
          <w:p w14:paraId="63F4BDA3"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tcBorders>
              <w:top w:val="single" w:sz="4" w:space="0" w:color="000000"/>
              <w:left w:val="single" w:sz="4" w:space="0" w:color="000000"/>
              <w:bottom w:val="single" w:sz="4" w:space="0" w:color="000000"/>
              <w:right w:val="single" w:sz="4" w:space="0" w:color="000000"/>
            </w:tcBorders>
            <w:vAlign w:val="center"/>
            <w:hideMark/>
          </w:tcPr>
          <w:p w14:paraId="3F1BFFDD"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 xml:space="preserve">Sistema Electrónico de Contratación Pública </w:t>
            </w:r>
            <w:hyperlink r:id="rId16" w:history="1">
              <w:r w:rsidRPr="00F65FD4">
                <w:rPr>
                  <w:rStyle w:val="Hipervnculo"/>
                  <w:rFonts w:ascii="Arial Narrow" w:eastAsia="Arial Narrow" w:hAnsi="Arial Narrow" w:cs="Arial Narrow"/>
                </w:rPr>
                <w:t>www.colombiacompra.gov.co</w:t>
              </w:r>
            </w:hyperlink>
          </w:p>
        </w:tc>
      </w:tr>
      <w:tr w:rsidR="00277357" w:rsidRPr="00F65FD4" w14:paraId="493AB754" w14:textId="77777777" w:rsidTr="00D75F8C">
        <w:trPr>
          <w:trHeight w:val="229"/>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4779A4CC"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Publicación listado de Proponentes habilitados</w:t>
            </w:r>
          </w:p>
          <w:p w14:paraId="20B3F6A9"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(Solo si el informe inicial de evaluación es modificado)</w:t>
            </w:r>
          </w:p>
        </w:tc>
        <w:tc>
          <w:tcPr>
            <w:tcW w:w="2431" w:type="dxa"/>
            <w:tcBorders>
              <w:top w:val="single" w:sz="4" w:space="0" w:color="000000"/>
              <w:left w:val="single" w:sz="4" w:space="0" w:color="000000"/>
              <w:bottom w:val="single" w:sz="4" w:space="0" w:color="000000"/>
              <w:right w:val="single" w:sz="4" w:space="0" w:color="000000"/>
            </w:tcBorders>
            <w:vAlign w:val="center"/>
          </w:tcPr>
          <w:p w14:paraId="330A6EFD"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23/11</w:t>
            </w:r>
            <w:r w:rsidRPr="00F65FD4">
              <w:rPr>
                <w:rFonts w:ascii="Arial Narrow" w:hAnsi="Arial Narrow"/>
                <w:sz w:val="22"/>
                <w:szCs w:val="22"/>
              </w:rPr>
              <w:t>/2026</w:t>
            </w:r>
          </w:p>
          <w:p w14:paraId="32509F3A"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tcBorders>
              <w:top w:val="single" w:sz="4" w:space="0" w:color="000000"/>
              <w:left w:val="single" w:sz="4" w:space="0" w:color="000000"/>
              <w:bottom w:val="single" w:sz="4" w:space="0" w:color="000000"/>
              <w:right w:val="single" w:sz="4" w:space="0" w:color="000000"/>
            </w:tcBorders>
            <w:vAlign w:val="center"/>
            <w:hideMark/>
          </w:tcPr>
          <w:p w14:paraId="59F93A34"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 xml:space="preserve">Sistema Electrónico de Contratación Pública </w:t>
            </w:r>
            <w:hyperlink r:id="rId17" w:history="1">
              <w:r w:rsidRPr="00F65FD4">
                <w:rPr>
                  <w:rStyle w:val="Hipervnculo"/>
                  <w:rFonts w:ascii="Arial Narrow" w:eastAsia="Arial Narrow" w:hAnsi="Arial Narrow" w:cs="Arial Narrow"/>
                </w:rPr>
                <w:t>www.colombiacompra.gov.co</w:t>
              </w:r>
            </w:hyperlink>
          </w:p>
        </w:tc>
      </w:tr>
      <w:tr w:rsidR="00277357" w:rsidRPr="00F65FD4" w14:paraId="1CD120B3" w14:textId="77777777" w:rsidTr="00D75F8C">
        <w:trPr>
          <w:cantSplit/>
          <w:trHeight w:val="357"/>
          <w:jc w:val="center"/>
        </w:trPr>
        <w:tc>
          <w:tcPr>
            <w:tcW w:w="3124" w:type="dxa"/>
            <w:vMerge w:val="restart"/>
            <w:tcBorders>
              <w:top w:val="single" w:sz="4" w:space="0" w:color="000000"/>
              <w:left w:val="single" w:sz="4" w:space="0" w:color="000000"/>
              <w:bottom w:val="single" w:sz="4" w:space="0" w:color="000000"/>
              <w:right w:val="single" w:sz="4" w:space="0" w:color="000000"/>
            </w:tcBorders>
            <w:vAlign w:val="center"/>
          </w:tcPr>
          <w:p w14:paraId="6C97F492"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Realización de la subasta. En SECOP II</w:t>
            </w:r>
          </w:p>
          <w:p w14:paraId="1C8E63D3"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p>
          <w:p w14:paraId="1D9866F4"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Se integra por la apertura de sobres económicos e inicio de la puja dinámica.</w:t>
            </w:r>
          </w:p>
          <w:p w14:paraId="7AB2552F"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La apertura de sobres económicos corresponde al inicio de la subasta por cuanto es el insumo necesario para iniciar la puja dinámica, por esta razón se convierte en el límite para poder subsanar requisitos habilitantes.</w:t>
            </w:r>
          </w:p>
        </w:tc>
        <w:tc>
          <w:tcPr>
            <w:tcW w:w="2431" w:type="dxa"/>
            <w:vMerge w:val="restart"/>
            <w:tcBorders>
              <w:top w:val="single" w:sz="4" w:space="0" w:color="000000"/>
              <w:left w:val="single" w:sz="4" w:space="0" w:color="000000"/>
              <w:bottom w:val="single" w:sz="4" w:space="0" w:color="000000"/>
              <w:right w:val="single" w:sz="4" w:space="0" w:color="000000"/>
            </w:tcBorders>
            <w:vAlign w:val="center"/>
          </w:tcPr>
          <w:p w14:paraId="267AF545"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24/11</w:t>
            </w:r>
            <w:r w:rsidRPr="00F65FD4">
              <w:rPr>
                <w:rFonts w:ascii="Arial Narrow" w:hAnsi="Arial Narrow"/>
                <w:sz w:val="22"/>
                <w:szCs w:val="22"/>
              </w:rPr>
              <w:t>/2026</w:t>
            </w:r>
          </w:p>
          <w:p w14:paraId="56202205"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tcBorders>
              <w:top w:val="single" w:sz="4" w:space="0" w:color="000000"/>
              <w:left w:val="single" w:sz="4" w:space="0" w:color="000000"/>
              <w:bottom w:val="single" w:sz="4" w:space="0" w:color="000000"/>
              <w:right w:val="single" w:sz="4" w:space="0" w:color="000000"/>
            </w:tcBorders>
            <w:vAlign w:val="center"/>
            <w:hideMark/>
          </w:tcPr>
          <w:p w14:paraId="29C5FE5F"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La apertura de los sobres económicos se llevará a cabo una vez publicada la lista de habilitados y se comunicará el precio de arranque con el fin de dar inicio a la puja.</w:t>
            </w:r>
          </w:p>
          <w:p w14:paraId="2BBC5336"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color w:val="000000"/>
              </w:rPr>
              <w:t xml:space="preserve">Apertura de sobres económicos: </w:t>
            </w:r>
            <w:r w:rsidRPr="00F65FD4">
              <w:rPr>
                <w:rFonts w:ascii="Arial Narrow" w:eastAsia="Arial Narrow" w:hAnsi="Arial Narrow" w:cs="Arial Narrow"/>
                <w:b/>
                <w:color w:val="000000"/>
              </w:rPr>
              <w:t>10:00 am</w:t>
            </w:r>
          </w:p>
          <w:p w14:paraId="72D10A24"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color w:val="000000"/>
              </w:rPr>
              <w:t>En caso de subsanación máximo se recibirán</w:t>
            </w:r>
            <w:r w:rsidRPr="00F65FD4">
              <w:rPr>
                <w:rFonts w:ascii="Arial Narrow" w:eastAsia="Arial Narrow" w:hAnsi="Arial Narrow" w:cs="Arial Narrow"/>
                <w:b/>
                <w:color w:val="000000"/>
              </w:rPr>
              <w:t xml:space="preserve"> hasta 9:59 am</w:t>
            </w:r>
          </w:p>
          <w:p w14:paraId="587F0AE0"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Lo anterior por cuanto los términos en la contratación son preclusivos y perentorios en aplicación al principio de economía.</w:t>
            </w:r>
          </w:p>
        </w:tc>
      </w:tr>
      <w:tr w:rsidR="00277357" w:rsidRPr="00F65FD4" w14:paraId="6095DBEC" w14:textId="77777777" w:rsidTr="00D75F8C">
        <w:trPr>
          <w:cantSplit/>
          <w:trHeight w:val="508"/>
          <w:jc w:val="center"/>
        </w:trPr>
        <w:tc>
          <w:tcPr>
            <w:tcW w:w="3124" w:type="dxa"/>
            <w:vMerge/>
            <w:tcBorders>
              <w:top w:val="single" w:sz="4" w:space="0" w:color="000000"/>
              <w:left w:val="single" w:sz="4" w:space="0" w:color="000000"/>
              <w:bottom w:val="single" w:sz="4" w:space="0" w:color="000000"/>
              <w:right w:val="single" w:sz="4" w:space="0" w:color="000000"/>
            </w:tcBorders>
            <w:vAlign w:val="center"/>
            <w:hideMark/>
          </w:tcPr>
          <w:p w14:paraId="1DE02708"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p>
        </w:tc>
        <w:tc>
          <w:tcPr>
            <w:tcW w:w="2431" w:type="dxa"/>
            <w:vMerge/>
            <w:tcBorders>
              <w:top w:val="single" w:sz="4" w:space="0" w:color="000000"/>
              <w:left w:val="single" w:sz="4" w:space="0" w:color="000000"/>
              <w:bottom w:val="single" w:sz="4" w:space="0" w:color="000000"/>
              <w:right w:val="single" w:sz="4" w:space="0" w:color="000000"/>
            </w:tcBorders>
            <w:vAlign w:val="center"/>
            <w:hideMark/>
          </w:tcPr>
          <w:p w14:paraId="3B4613A1"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tcBorders>
              <w:top w:val="single" w:sz="4" w:space="0" w:color="000000"/>
              <w:left w:val="single" w:sz="4" w:space="0" w:color="000000"/>
              <w:bottom w:val="single" w:sz="4" w:space="0" w:color="000000"/>
              <w:right w:val="single" w:sz="4" w:space="0" w:color="000000"/>
            </w:tcBorders>
            <w:vAlign w:val="center"/>
          </w:tcPr>
          <w:p w14:paraId="0A6BEA66"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bCs/>
                <w:color w:val="000000"/>
              </w:rPr>
              <w:t>Evento de subasta electrónica:</w:t>
            </w:r>
          </w:p>
          <w:p w14:paraId="690BF589"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bCs/>
                <w:color w:val="000000"/>
              </w:rPr>
              <w:t>2:30 PM</w:t>
            </w:r>
          </w:p>
          <w:p w14:paraId="0AD7889A"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p>
          <w:p w14:paraId="09A02AC7"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p>
        </w:tc>
      </w:tr>
      <w:tr w:rsidR="00277357" w:rsidRPr="00F65FD4" w14:paraId="05B29CD4" w14:textId="77777777" w:rsidTr="00D75F8C">
        <w:trPr>
          <w:trHeight w:val="101"/>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7022DF72"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color w:val="000000"/>
              </w:rPr>
              <w:t>Único Oferente</w:t>
            </w:r>
          </w:p>
          <w:p w14:paraId="04E31C24"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color w:val="000000"/>
              </w:rPr>
              <w:t xml:space="preserve">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w:t>
            </w:r>
            <w:r w:rsidRPr="00F65FD4">
              <w:rPr>
                <w:rFonts w:ascii="Arial Narrow" w:eastAsia="Arial Narrow" w:hAnsi="Arial Narrow" w:cs="Arial Narrow"/>
                <w:color w:val="000000"/>
              </w:rPr>
              <w:lastRenderedPageBreak/>
              <w:t>contrato, caso en el cual no hay lugar a la subasta inversa.</w:t>
            </w:r>
          </w:p>
        </w:tc>
        <w:tc>
          <w:tcPr>
            <w:tcW w:w="2431" w:type="dxa"/>
            <w:vMerge/>
            <w:tcBorders>
              <w:top w:val="single" w:sz="4" w:space="0" w:color="000000"/>
              <w:left w:val="single" w:sz="4" w:space="0" w:color="000000"/>
              <w:bottom w:val="single" w:sz="4" w:space="0" w:color="000000"/>
              <w:right w:val="single" w:sz="4" w:space="0" w:color="000000"/>
            </w:tcBorders>
            <w:vAlign w:val="center"/>
            <w:hideMark/>
          </w:tcPr>
          <w:p w14:paraId="17BB5125"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tcBorders>
              <w:top w:val="single" w:sz="4" w:space="0" w:color="000000"/>
              <w:left w:val="single" w:sz="4" w:space="0" w:color="000000"/>
              <w:bottom w:val="single" w:sz="4" w:space="0" w:color="000000"/>
              <w:right w:val="single" w:sz="4" w:space="0" w:color="000000"/>
            </w:tcBorders>
            <w:vAlign w:val="center"/>
          </w:tcPr>
          <w:p w14:paraId="0824B789"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Sistema Electrónico de Contratación Pública www.colombiacompra.gov.co</w:t>
            </w:r>
          </w:p>
          <w:p w14:paraId="03A1B400"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p>
          <w:p w14:paraId="6D832470"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p>
          <w:p w14:paraId="5B19BE9E"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p>
        </w:tc>
      </w:tr>
      <w:tr w:rsidR="00277357" w:rsidRPr="00F65FD4" w14:paraId="12EDDF05" w14:textId="77777777" w:rsidTr="00D75F8C">
        <w:trPr>
          <w:trHeight w:val="802"/>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303713EF"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color w:val="000000"/>
              </w:rPr>
              <w:t>Expedición acto administrativo de adjudicación o declaratoria de desierto</w:t>
            </w:r>
          </w:p>
        </w:tc>
        <w:tc>
          <w:tcPr>
            <w:tcW w:w="2431" w:type="dxa"/>
            <w:tcBorders>
              <w:top w:val="single" w:sz="4" w:space="0" w:color="000000"/>
              <w:left w:val="single" w:sz="4" w:space="0" w:color="000000"/>
              <w:bottom w:val="single" w:sz="4" w:space="0" w:color="000000"/>
              <w:right w:val="single" w:sz="4" w:space="0" w:color="000000"/>
            </w:tcBorders>
            <w:vAlign w:val="center"/>
            <w:hideMark/>
          </w:tcPr>
          <w:p w14:paraId="4C048407"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Hasta el 04/12</w:t>
            </w:r>
            <w:r w:rsidRPr="00F65FD4">
              <w:rPr>
                <w:rFonts w:ascii="Arial Narrow" w:hAnsi="Arial Narrow"/>
                <w:sz w:val="22"/>
                <w:szCs w:val="22"/>
              </w:rPr>
              <w:t>/2026</w:t>
            </w:r>
          </w:p>
          <w:p w14:paraId="6449CFF7"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tcBorders>
              <w:top w:val="single" w:sz="4" w:space="0" w:color="000000"/>
              <w:left w:val="single" w:sz="4" w:space="0" w:color="000000"/>
              <w:bottom w:val="single" w:sz="4" w:space="0" w:color="000000"/>
              <w:right w:val="single" w:sz="4" w:space="0" w:color="000000"/>
            </w:tcBorders>
            <w:vAlign w:val="center"/>
            <w:hideMark/>
          </w:tcPr>
          <w:p w14:paraId="7EBC253F"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color w:val="000000"/>
              </w:rPr>
              <w:t>Instalaciones de la Fiscalía General de la Nación</w:t>
            </w:r>
          </w:p>
        </w:tc>
      </w:tr>
      <w:tr w:rsidR="00277357" w:rsidRPr="00F65FD4" w14:paraId="0D221FE0" w14:textId="77777777" w:rsidTr="00D75F8C">
        <w:trPr>
          <w:trHeight w:val="121"/>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4A91837B"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color w:val="000000"/>
              </w:rPr>
              <w:t>Firma del Contrato</w:t>
            </w:r>
          </w:p>
        </w:tc>
        <w:tc>
          <w:tcPr>
            <w:tcW w:w="2431" w:type="dxa"/>
            <w:tcBorders>
              <w:top w:val="single" w:sz="4" w:space="0" w:color="000000"/>
              <w:left w:val="single" w:sz="4" w:space="0" w:color="000000"/>
              <w:bottom w:val="single" w:sz="4" w:space="0" w:color="000000"/>
              <w:right w:val="single" w:sz="4" w:space="0" w:color="000000"/>
            </w:tcBorders>
            <w:hideMark/>
          </w:tcPr>
          <w:p w14:paraId="4B6DD628"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Hasta el 10/12</w:t>
            </w:r>
            <w:r w:rsidRPr="00F65FD4">
              <w:rPr>
                <w:rFonts w:ascii="Arial Narrow" w:hAnsi="Arial Narrow"/>
                <w:sz w:val="22"/>
                <w:szCs w:val="22"/>
              </w:rPr>
              <w:t>/2026</w:t>
            </w:r>
          </w:p>
          <w:p w14:paraId="4FBD9984"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tcBorders>
              <w:top w:val="single" w:sz="4" w:space="0" w:color="000000"/>
              <w:left w:val="single" w:sz="4" w:space="0" w:color="000000"/>
              <w:bottom w:val="single" w:sz="4" w:space="0" w:color="000000"/>
              <w:right w:val="single" w:sz="4" w:space="0" w:color="000000"/>
            </w:tcBorders>
            <w:vAlign w:val="center"/>
            <w:hideMark/>
          </w:tcPr>
          <w:p w14:paraId="37B746C1"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 xml:space="preserve">Sistema Electrónico de Contratación Pública </w:t>
            </w:r>
            <w:hyperlink r:id="rId18" w:history="1">
              <w:r w:rsidRPr="00F65FD4">
                <w:rPr>
                  <w:rStyle w:val="Hipervnculo"/>
                  <w:rFonts w:ascii="Arial Narrow" w:eastAsia="Arial Narrow" w:hAnsi="Arial Narrow" w:cs="Arial Narrow"/>
                </w:rPr>
                <w:t>www.colombiacompra.gov.co</w:t>
              </w:r>
            </w:hyperlink>
          </w:p>
        </w:tc>
      </w:tr>
      <w:tr w:rsidR="00277357" w:rsidRPr="00F65FD4" w14:paraId="0B407CBC" w14:textId="77777777" w:rsidTr="00D75F8C">
        <w:trPr>
          <w:trHeight w:val="578"/>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712D8BF8"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color w:val="000000"/>
              </w:rPr>
              <w:t>Registro presupuestal</w:t>
            </w:r>
          </w:p>
        </w:tc>
        <w:tc>
          <w:tcPr>
            <w:tcW w:w="2431" w:type="dxa"/>
            <w:tcBorders>
              <w:top w:val="single" w:sz="4" w:space="0" w:color="000000"/>
              <w:left w:val="single" w:sz="4" w:space="0" w:color="000000"/>
              <w:bottom w:val="single" w:sz="4" w:space="0" w:color="000000"/>
              <w:right w:val="single" w:sz="4" w:space="0" w:color="000000"/>
            </w:tcBorders>
            <w:hideMark/>
          </w:tcPr>
          <w:p w14:paraId="7B5FA0C0"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Hasta el 11/12</w:t>
            </w:r>
            <w:r w:rsidRPr="00F65FD4">
              <w:rPr>
                <w:rFonts w:ascii="Arial Narrow" w:hAnsi="Arial Narrow"/>
                <w:sz w:val="22"/>
                <w:szCs w:val="22"/>
              </w:rPr>
              <w:t>/2026</w:t>
            </w:r>
          </w:p>
          <w:p w14:paraId="1EA6E91A"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tcBorders>
              <w:top w:val="single" w:sz="4" w:space="0" w:color="000000"/>
              <w:left w:val="single" w:sz="4" w:space="0" w:color="000000"/>
              <w:bottom w:val="single" w:sz="4" w:space="0" w:color="000000"/>
              <w:right w:val="single" w:sz="4" w:space="0" w:color="000000"/>
            </w:tcBorders>
            <w:vAlign w:val="center"/>
            <w:hideMark/>
          </w:tcPr>
          <w:p w14:paraId="04494DF6"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color w:val="000000"/>
              </w:rPr>
              <w:t>Instalaciones de la Fiscalía General de la Nación</w:t>
            </w:r>
          </w:p>
        </w:tc>
      </w:tr>
      <w:tr w:rsidR="00277357" w:rsidRPr="00F65FD4" w14:paraId="3D71ED12" w14:textId="77777777" w:rsidTr="00D75F8C">
        <w:trPr>
          <w:cantSplit/>
          <w:trHeight w:val="565"/>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43FDEBC6"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color w:val="000000"/>
              </w:rPr>
              <w:t>Entrega de garantías</w:t>
            </w:r>
          </w:p>
        </w:tc>
        <w:tc>
          <w:tcPr>
            <w:tcW w:w="2431" w:type="dxa"/>
            <w:tcBorders>
              <w:top w:val="single" w:sz="4" w:space="0" w:color="000000"/>
              <w:left w:val="single" w:sz="4" w:space="0" w:color="000000"/>
              <w:bottom w:val="single" w:sz="4" w:space="0" w:color="000000"/>
              <w:right w:val="single" w:sz="4" w:space="0" w:color="000000"/>
            </w:tcBorders>
            <w:hideMark/>
          </w:tcPr>
          <w:p w14:paraId="7F4ADC99"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Hasta el 14/12</w:t>
            </w:r>
            <w:r w:rsidRPr="00F65FD4">
              <w:rPr>
                <w:rFonts w:ascii="Arial Narrow" w:hAnsi="Arial Narrow"/>
                <w:sz w:val="22"/>
                <w:szCs w:val="22"/>
              </w:rPr>
              <w:t>/2026</w:t>
            </w:r>
          </w:p>
          <w:p w14:paraId="75FDD955"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vMerge w:val="restart"/>
            <w:tcBorders>
              <w:top w:val="single" w:sz="4" w:space="0" w:color="000000"/>
              <w:left w:val="single" w:sz="4" w:space="0" w:color="000000"/>
              <w:bottom w:val="single" w:sz="4" w:space="0" w:color="000000"/>
              <w:right w:val="single" w:sz="4" w:space="0" w:color="000000"/>
            </w:tcBorders>
            <w:vAlign w:val="center"/>
            <w:hideMark/>
          </w:tcPr>
          <w:p w14:paraId="2687868B"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b/>
                <w:color w:val="000000"/>
              </w:rPr>
              <w:t xml:space="preserve">Sistema Electrónico de Contratación Pública </w:t>
            </w:r>
            <w:hyperlink r:id="rId19" w:history="1">
              <w:r w:rsidRPr="00F65FD4">
                <w:rPr>
                  <w:rStyle w:val="Hipervnculo"/>
                  <w:rFonts w:ascii="Arial Narrow" w:eastAsia="Arial Narrow" w:hAnsi="Arial Narrow" w:cs="Arial Narrow"/>
                </w:rPr>
                <w:t>www.colombiacompra.gov.co</w:t>
              </w:r>
            </w:hyperlink>
          </w:p>
          <w:p w14:paraId="3841554B"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color w:val="000000"/>
              </w:rPr>
              <w:t>Instalaciones de la Fiscalía General de la Nación</w:t>
            </w:r>
          </w:p>
        </w:tc>
      </w:tr>
      <w:tr w:rsidR="00277357" w:rsidRPr="007D7F9B" w14:paraId="144D3E00" w14:textId="77777777" w:rsidTr="00D75F8C">
        <w:trPr>
          <w:cantSplit/>
          <w:trHeight w:val="717"/>
          <w:jc w:val="center"/>
        </w:trPr>
        <w:tc>
          <w:tcPr>
            <w:tcW w:w="3124" w:type="dxa"/>
            <w:tcBorders>
              <w:top w:val="single" w:sz="4" w:space="0" w:color="000000"/>
              <w:left w:val="single" w:sz="4" w:space="0" w:color="000000"/>
              <w:bottom w:val="single" w:sz="4" w:space="0" w:color="000000"/>
              <w:right w:val="single" w:sz="4" w:space="0" w:color="000000"/>
            </w:tcBorders>
            <w:vAlign w:val="center"/>
            <w:hideMark/>
          </w:tcPr>
          <w:p w14:paraId="56A0A8AD" w14:textId="77777777" w:rsidR="00277357" w:rsidRPr="00F65FD4" w:rsidRDefault="00277357" w:rsidP="00D75F8C">
            <w:pPr>
              <w:spacing w:after="0" w:line="240" w:lineRule="auto"/>
              <w:ind w:left="0" w:hanging="2"/>
              <w:jc w:val="both"/>
              <w:rPr>
                <w:rFonts w:ascii="Arial Narrow" w:eastAsia="Arial Narrow" w:hAnsi="Arial Narrow" w:cs="Arial Narrow"/>
                <w:color w:val="000000"/>
              </w:rPr>
            </w:pPr>
            <w:r w:rsidRPr="00F65FD4">
              <w:rPr>
                <w:rFonts w:ascii="Arial Narrow" w:eastAsia="Arial Narrow" w:hAnsi="Arial Narrow" w:cs="Arial Narrow"/>
                <w:color w:val="000000"/>
              </w:rPr>
              <w:t>Aprobación de garantías</w:t>
            </w:r>
          </w:p>
        </w:tc>
        <w:tc>
          <w:tcPr>
            <w:tcW w:w="2431" w:type="dxa"/>
            <w:tcBorders>
              <w:top w:val="single" w:sz="4" w:space="0" w:color="000000"/>
              <w:left w:val="single" w:sz="4" w:space="0" w:color="000000"/>
              <w:bottom w:val="single" w:sz="4" w:space="0" w:color="000000"/>
              <w:right w:val="single" w:sz="4" w:space="0" w:color="000000"/>
            </w:tcBorders>
            <w:hideMark/>
          </w:tcPr>
          <w:p w14:paraId="6C73C638" w14:textId="77777777" w:rsidR="00277357" w:rsidRPr="00F65FD4" w:rsidRDefault="00277357" w:rsidP="00D75F8C">
            <w:pPr>
              <w:pStyle w:val="Default"/>
              <w:ind w:left="0" w:hanging="2"/>
              <w:jc w:val="center"/>
              <w:rPr>
                <w:rFonts w:ascii="Arial Narrow" w:hAnsi="Arial Narrow"/>
                <w:sz w:val="22"/>
                <w:szCs w:val="22"/>
              </w:rPr>
            </w:pPr>
            <w:r>
              <w:rPr>
                <w:rFonts w:ascii="Arial Narrow" w:hAnsi="Arial Narrow"/>
                <w:sz w:val="22"/>
                <w:szCs w:val="22"/>
              </w:rPr>
              <w:t>Hasta el 15/12</w:t>
            </w:r>
            <w:r w:rsidRPr="00F65FD4">
              <w:rPr>
                <w:rFonts w:ascii="Arial Narrow" w:hAnsi="Arial Narrow"/>
                <w:sz w:val="22"/>
                <w:szCs w:val="22"/>
              </w:rPr>
              <w:t>/2026</w:t>
            </w:r>
          </w:p>
          <w:p w14:paraId="30883639" w14:textId="77777777" w:rsidR="00277357" w:rsidRPr="00F65FD4" w:rsidRDefault="00277357" w:rsidP="00D75F8C">
            <w:pPr>
              <w:spacing w:after="0" w:line="240" w:lineRule="auto"/>
              <w:ind w:left="0" w:hanging="2"/>
              <w:jc w:val="center"/>
              <w:rPr>
                <w:rFonts w:ascii="Arial Narrow" w:eastAsia="Arial Narrow" w:hAnsi="Arial Narrow" w:cs="Arial Narrow"/>
                <w:color w:val="000000"/>
              </w:rPr>
            </w:pPr>
          </w:p>
        </w:tc>
        <w:tc>
          <w:tcPr>
            <w:tcW w:w="4135" w:type="dxa"/>
            <w:vMerge/>
            <w:tcBorders>
              <w:top w:val="single" w:sz="4" w:space="0" w:color="000000"/>
              <w:left w:val="single" w:sz="4" w:space="0" w:color="000000"/>
              <w:bottom w:val="single" w:sz="4" w:space="0" w:color="000000"/>
              <w:right w:val="single" w:sz="4" w:space="0" w:color="000000"/>
            </w:tcBorders>
            <w:vAlign w:val="center"/>
            <w:hideMark/>
          </w:tcPr>
          <w:p w14:paraId="7495077D" w14:textId="77777777" w:rsidR="00277357" w:rsidRPr="007D7F9B" w:rsidRDefault="00277357" w:rsidP="00D75F8C">
            <w:pPr>
              <w:spacing w:after="0" w:line="240" w:lineRule="auto"/>
              <w:ind w:left="0" w:hanging="2"/>
              <w:jc w:val="both"/>
              <w:rPr>
                <w:rFonts w:ascii="Arial Narrow" w:eastAsia="Arial Narrow" w:hAnsi="Arial Narrow" w:cs="Arial Narrow"/>
                <w:color w:val="000000"/>
              </w:rPr>
            </w:pPr>
          </w:p>
        </w:tc>
      </w:tr>
    </w:tbl>
    <w:p w14:paraId="72503594" w14:textId="77777777" w:rsidR="00277357" w:rsidRDefault="00277357" w:rsidP="00277357">
      <w:pPr>
        <w:ind w:left="0" w:hanging="2"/>
        <w:jc w:val="both"/>
        <w:rPr>
          <w:rFonts w:ascii="Arial Narrow" w:eastAsia="Arial Narrow" w:hAnsi="Arial Narrow" w:cs="Arial Narrow"/>
          <w:b/>
        </w:rPr>
      </w:pPr>
    </w:p>
    <w:p w14:paraId="74581D45" w14:textId="3325142A" w:rsidR="008745D1" w:rsidRPr="00D71071" w:rsidRDefault="00275575" w:rsidP="0020126E">
      <w:pPr>
        <w:widowControl w:val="0"/>
        <w:pBdr>
          <w:top w:val="nil"/>
          <w:left w:val="nil"/>
          <w:bottom w:val="nil"/>
          <w:right w:val="nil"/>
          <w:between w:val="nil"/>
        </w:pBdr>
        <w:spacing w:after="300" w:line="240" w:lineRule="auto"/>
        <w:ind w:leftChars="0" w:left="0" w:firstLineChars="0" w:firstLine="0"/>
        <w:jc w:val="both"/>
        <w:rPr>
          <w:rFonts w:ascii="Arial Narrow" w:eastAsia="Arial Narrow" w:hAnsi="Arial Narrow" w:cs="Arial Narrow"/>
          <w:color w:val="000000"/>
          <w:sz w:val="23"/>
          <w:szCs w:val="23"/>
        </w:rPr>
      </w:pPr>
      <w:bookmarkStart w:id="3" w:name="_heading=h.2et92p0" w:colFirst="0" w:colLast="0"/>
      <w:bookmarkStart w:id="4" w:name="_heading=h.u5jqqh6b2h4w" w:colFirst="0" w:colLast="0"/>
      <w:bookmarkStart w:id="5" w:name="_heading=h.tyjcwt" w:colFirst="0" w:colLast="0"/>
      <w:bookmarkEnd w:id="3"/>
      <w:bookmarkEnd w:id="4"/>
      <w:bookmarkEnd w:id="5"/>
      <w:r>
        <w:rPr>
          <w:rFonts w:ascii="Arial Narrow" w:eastAsia="Arial Narrow" w:hAnsi="Arial Narrow" w:cs="Arial Narrow"/>
          <w:b/>
          <w:color w:val="000000"/>
          <w:sz w:val="23"/>
          <w:szCs w:val="23"/>
        </w:rPr>
        <w:t>*</w:t>
      </w:r>
      <w:r w:rsidR="00062AC1">
        <w:rPr>
          <w:rFonts w:ascii="Arial Narrow" w:eastAsia="Arial Narrow" w:hAnsi="Arial Narrow" w:cs="Arial Narrow"/>
          <w:b/>
          <w:color w:val="000000"/>
          <w:sz w:val="23"/>
          <w:szCs w:val="23"/>
        </w:rPr>
        <w:t xml:space="preserve">Nota. </w:t>
      </w:r>
      <w:r w:rsidR="00062AC1">
        <w:rPr>
          <w:rFonts w:ascii="Arial Narrow" w:eastAsia="Arial Narrow" w:hAnsi="Arial Narrow" w:cs="Arial Narrow"/>
          <w:color w:val="000000"/>
          <w:sz w:val="23"/>
          <w:szCs w:val="23"/>
        </w:rPr>
        <w:t xml:space="preserve">La FISCALÍA podrá expedir adendas para modificar el “Cronograma del Proceso”, una vez vencido el término para la presentación de Ofertas y antes de la adjudicación del contrato (Inciso 2 artículo 2.2.1.1.2.2.1 del Decreto </w:t>
      </w:r>
      <w:r w:rsidR="00062AC1" w:rsidRPr="00D71071">
        <w:rPr>
          <w:rFonts w:ascii="Arial Narrow" w:eastAsia="Arial Narrow" w:hAnsi="Arial Narrow" w:cs="Arial Narrow"/>
          <w:color w:val="000000"/>
          <w:sz w:val="23"/>
          <w:szCs w:val="23"/>
        </w:rPr>
        <w:t>1082 de 2015).</w:t>
      </w:r>
    </w:p>
    <w:p w14:paraId="115B52AE" w14:textId="604C4B14" w:rsidR="00D71071" w:rsidRPr="002E1BC5" w:rsidRDefault="00D71071" w:rsidP="00850993">
      <w:pPr>
        <w:widowControl w:val="0"/>
        <w:autoSpaceDE w:val="0"/>
        <w:autoSpaceDN w:val="0"/>
        <w:adjustRightInd w:val="0"/>
        <w:ind w:leftChars="0" w:left="0" w:firstLineChars="0" w:firstLine="0"/>
        <w:jc w:val="both"/>
        <w:rPr>
          <w:rFonts w:ascii="Arial Narrow" w:hAnsi="Arial Narrow"/>
          <w:sz w:val="23"/>
          <w:szCs w:val="23"/>
        </w:rPr>
      </w:pPr>
    </w:p>
    <w:tbl>
      <w:tblPr>
        <w:tblStyle w:val="affe"/>
        <w:tblW w:w="99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4"/>
      </w:tblGrid>
      <w:tr w:rsidR="008745D1" w14:paraId="7392031F" w14:textId="77777777">
        <w:trPr>
          <w:jc w:val="center"/>
        </w:trPr>
        <w:tc>
          <w:tcPr>
            <w:tcW w:w="9904" w:type="dxa"/>
            <w:shd w:val="clear" w:color="auto" w:fill="CCCCCC"/>
          </w:tcPr>
          <w:p w14:paraId="7367E390" w14:textId="77777777" w:rsidR="008745D1" w:rsidRDefault="00062AC1">
            <w:pPr>
              <w:widowControl w:val="0"/>
              <w:numPr>
                <w:ilvl w:val="0"/>
                <w:numId w:val="1"/>
              </w:numPr>
              <w:pBdr>
                <w:top w:val="nil"/>
                <w:left w:val="nil"/>
                <w:bottom w:val="nil"/>
                <w:right w:val="nil"/>
                <w:between w:val="nil"/>
              </w:pBdr>
              <w:spacing w:after="0" w:line="240" w:lineRule="auto"/>
              <w:ind w:left="0" w:hanging="2"/>
              <w:jc w:val="both"/>
              <w:rPr>
                <w:rFonts w:ascii="Arial Narrow" w:eastAsia="Arial Narrow" w:hAnsi="Arial Narrow" w:cs="Arial Narrow"/>
                <w:b/>
                <w:sz w:val="23"/>
                <w:szCs w:val="23"/>
              </w:rPr>
            </w:pPr>
            <w:r>
              <w:rPr>
                <w:rFonts w:ascii="Arial Narrow" w:eastAsia="Arial Narrow" w:hAnsi="Arial Narrow" w:cs="Arial Narrow"/>
                <w:b/>
                <w:sz w:val="23"/>
                <w:szCs w:val="23"/>
              </w:rPr>
              <w:t xml:space="preserve">ASPECTOS GENERALES </w:t>
            </w:r>
          </w:p>
        </w:tc>
      </w:tr>
    </w:tbl>
    <w:p w14:paraId="438EA72F" w14:textId="77777777" w:rsidR="008745D1" w:rsidRDefault="008745D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6" w:name="_heading=h.3dy6vkm" w:colFirst="0" w:colLast="0"/>
      <w:bookmarkEnd w:id="6"/>
    </w:p>
    <w:p w14:paraId="52B097B4"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3.1.</w:t>
      </w:r>
      <w:r>
        <w:rPr>
          <w:rFonts w:ascii="Arial Narrow" w:eastAsia="Arial Narrow" w:hAnsi="Arial Narrow" w:cs="Arial Narrow"/>
          <w:color w:val="000000"/>
          <w:sz w:val="23"/>
          <w:szCs w:val="23"/>
        </w:rPr>
        <w:t xml:space="preserve"> </w:t>
      </w:r>
      <w:r>
        <w:rPr>
          <w:rFonts w:ascii="Arial Narrow" w:eastAsia="Arial Narrow" w:hAnsi="Arial Narrow" w:cs="Arial Narrow"/>
          <w:b/>
          <w:color w:val="000000"/>
          <w:sz w:val="23"/>
          <w:szCs w:val="23"/>
        </w:rPr>
        <w:t xml:space="preserve">Invitación a las veedurías ciudadanas </w:t>
      </w:r>
    </w:p>
    <w:p w14:paraId="5BB8C83A"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5AE6523A"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En cumplimiento de lo dispuesto en el inciso 3 del artículo 66 de la Ley 80 de 1993 la </w:t>
      </w:r>
      <w:r>
        <w:rPr>
          <w:rFonts w:ascii="Arial Narrow" w:eastAsia="Arial Narrow" w:hAnsi="Arial Narrow" w:cs="Arial Narrow"/>
          <w:b/>
          <w:sz w:val="23"/>
          <w:szCs w:val="23"/>
        </w:rPr>
        <w:t>FISCALÍA</w:t>
      </w:r>
      <w:r>
        <w:rPr>
          <w:rFonts w:ascii="Arial Narrow" w:eastAsia="Arial Narrow" w:hAnsi="Arial Narrow" w:cs="Arial Narrow"/>
          <w:b/>
          <w:color w:val="000000"/>
          <w:sz w:val="23"/>
          <w:szCs w:val="23"/>
        </w:rPr>
        <w:t xml:space="preserve"> GENERAL DE LA NACIÓN</w:t>
      </w:r>
      <w:r>
        <w:rPr>
          <w:rFonts w:ascii="Arial Narrow" w:eastAsia="Arial Narrow" w:hAnsi="Arial Narrow" w:cs="Arial Narrow"/>
          <w:color w:val="000000"/>
          <w:sz w:val="23"/>
          <w:szCs w:val="23"/>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 </w:t>
      </w:r>
    </w:p>
    <w:p w14:paraId="50ED7042" w14:textId="77777777" w:rsidR="008745D1" w:rsidRDefault="008745D1">
      <w:pPr>
        <w:spacing w:after="0" w:line="240" w:lineRule="auto"/>
        <w:ind w:left="0" w:hanging="2"/>
        <w:jc w:val="both"/>
        <w:rPr>
          <w:rFonts w:ascii="Arial Narrow" w:eastAsia="Arial Narrow" w:hAnsi="Arial Narrow" w:cs="Arial Narrow"/>
          <w:color w:val="000000"/>
          <w:sz w:val="23"/>
          <w:szCs w:val="23"/>
        </w:rPr>
      </w:pPr>
      <w:bookmarkStart w:id="7" w:name="_heading=h.1t3h5sf" w:colFirst="0" w:colLast="0"/>
      <w:bookmarkEnd w:id="7"/>
    </w:p>
    <w:p w14:paraId="3FF8711D"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8" w:name="_heading=h.4d34og8" w:colFirst="0" w:colLast="0"/>
      <w:bookmarkEnd w:id="8"/>
      <w:r>
        <w:rPr>
          <w:rFonts w:ascii="Arial Narrow" w:eastAsia="Arial Narrow" w:hAnsi="Arial Narrow" w:cs="Arial Narrow"/>
          <w:b/>
          <w:color w:val="000000"/>
          <w:sz w:val="23"/>
          <w:szCs w:val="23"/>
        </w:rPr>
        <w:t>3.2. Secretaría de Transparencia</w:t>
      </w:r>
    </w:p>
    <w:p w14:paraId="391836E8" w14:textId="77777777" w:rsidR="008745D1" w:rsidRDefault="008745D1">
      <w:pPr>
        <w:pBdr>
          <w:top w:val="nil"/>
          <w:left w:val="nil"/>
          <w:bottom w:val="nil"/>
          <w:right w:val="nil"/>
          <w:between w:val="nil"/>
        </w:pBdr>
        <w:tabs>
          <w:tab w:val="left" w:pos="0"/>
        </w:tabs>
        <w:spacing w:after="0" w:line="240" w:lineRule="auto"/>
        <w:ind w:left="0" w:hanging="2"/>
        <w:rPr>
          <w:rFonts w:ascii="Arial Narrow" w:eastAsia="Arial Narrow" w:hAnsi="Arial Narrow" w:cs="Arial Narrow"/>
          <w:color w:val="000000"/>
          <w:sz w:val="23"/>
          <w:szCs w:val="23"/>
        </w:rPr>
      </w:pPr>
    </w:p>
    <w:p w14:paraId="70FF4628" w14:textId="77777777" w:rsidR="008745D1" w:rsidRDefault="00062AC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En el evento de conocerse casos de corrupción en las Entidades del Estado, se reportará el hecho a la Secretaría de Transparencia de la Presidencia de la República a los números telefónicos: (1) 5870555, 01-8000-913666, vía fax al número telefónico: (1) 5960638 o personalmente en la dirección Carrera 8ª Nº 7–27 Bogotá D.C. </w:t>
      </w:r>
    </w:p>
    <w:p w14:paraId="0C33719B" w14:textId="77777777" w:rsidR="008745D1" w:rsidRDefault="008745D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p>
    <w:p w14:paraId="2C9A1190" w14:textId="77777777" w:rsidR="008745D1" w:rsidRDefault="00062AC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En todas las actuaciones derivadas de las estipulaciones del presente pliego de condiciones y del contrato que forma parte de este, el proponente obrará con la transparencia y la moralidad que la Constitución Política y las leyes consagran. </w:t>
      </w:r>
    </w:p>
    <w:p w14:paraId="2DA09B61" w14:textId="77777777" w:rsidR="008745D1" w:rsidRDefault="008745D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p>
    <w:p w14:paraId="05759875" w14:textId="77777777" w:rsidR="008745D1" w:rsidRDefault="00062AC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En el caso en que la FGN comprobare hechos constitutivos de corrupción por parte de un proponente durante el proceso de selección, sin perjuicio de las acciones legales a que hubiere lugar, </w:t>
      </w:r>
      <w:r>
        <w:rPr>
          <w:rFonts w:ascii="Arial Narrow" w:eastAsia="Arial Narrow" w:hAnsi="Arial Narrow" w:cs="Arial Narrow"/>
          <w:b/>
          <w:color w:val="000000"/>
          <w:sz w:val="23"/>
          <w:szCs w:val="23"/>
        </w:rPr>
        <w:t>podrá rechazar la respectiva oferta</w:t>
      </w:r>
      <w:r>
        <w:rPr>
          <w:rFonts w:ascii="Arial Narrow" w:eastAsia="Arial Narrow" w:hAnsi="Arial Narrow" w:cs="Arial Narrow"/>
          <w:color w:val="000000"/>
          <w:sz w:val="23"/>
          <w:szCs w:val="23"/>
        </w:rPr>
        <w:t xml:space="preserve">. </w:t>
      </w:r>
    </w:p>
    <w:p w14:paraId="0B66672C" w14:textId="77777777" w:rsidR="008745D1" w:rsidRDefault="008745D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bookmarkStart w:id="9" w:name="_heading=h.2s8eyo1" w:colFirst="0" w:colLast="0"/>
      <w:bookmarkEnd w:id="9"/>
    </w:p>
    <w:p w14:paraId="7290ABF8"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Si los hechos constitutivos de corrupción tuvieren lugar dentro del plazo de ejecución del contrato, tales circunstancias podrán dar lugar a la </w:t>
      </w:r>
      <w:r>
        <w:rPr>
          <w:rFonts w:ascii="Arial Narrow" w:eastAsia="Arial Narrow" w:hAnsi="Arial Narrow" w:cs="Arial Narrow"/>
          <w:b/>
          <w:color w:val="000000"/>
          <w:sz w:val="23"/>
          <w:szCs w:val="23"/>
        </w:rPr>
        <w:t>declaratoria de caducidad</w:t>
      </w:r>
      <w:r>
        <w:rPr>
          <w:rFonts w:ascii="Arial Narrow" w:eastAsia="Arial Narrow" w:hAnsi="Arial Narrow" w:cs="Arial Narrow"/>
          <w:color w:val="000000"/>
          <w:sz w:val="23"/>
          <w:szCs w:val="23"/>
        </w:rPr>
        <w:t>, de conformidad con las reglas previstas para el efecto en la ley y en el respectivo contrato.</w:t>
      </w:r>
    </w:p>
    <w:p w14:paraId="332230A5" w14:textId="77777777" w:rsidR="008745D1" w:rsidRDefault="008745D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10" w:name="_heading=h.17dp8vu" w:colFirst="0" w:colLast="0"/>
      <w:bookmarkEnd w:id="10"/>
    </w:p>
    <w:p w14:paraId="41B104FB"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3.3 Compromiso anticorrupción </w:t>
      </w:r>
    </w:p>
    <w:p w14:paraId="3F18DF42"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3839CB28"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lastRenderedPageBreak/>
        <w:t xml:space="preserve">Los Proponentes deben suscribir el compromiso anticorrupción contenido en el Anexo No. </w:t>
      </w:r>
      <w:r>
        <w:rPr>
          <w:rFonts w:ascii="Arial Narrow" w:eastAsia="Arial Narrow" w:hAnsi="Arial Narrow" w:cs="Arial Narrow"/>
          <w:sz w:val="23"/>
          <w:szCs w:val="23"/>
        </w:rPr>
        <w:t xml:space="preserve">02 </w:t>
      </w:r>
      <w:r>
        <w:rPr>
          <w:rFonts w:ascii="Arial Narrow" w:eastAsia="Arial Narrow" w:hAnsi="Arial Narrow" w:cs="Arial Narrow"/>
          <w:color w:val="000000"/>
          <w:sz w:val="23"/>
          <w:szCs w:val="23"/>
        </w:rPr>
        <w:t>en el cual manifiestan su apoyo irrestricto a los esfuerzos del Estado Colombiano contra la corrupción</w:t>
      </w:r>
      <w:r>
        <w:rPr>
          <w:rFonts w:ascii="Arial Narrow" w:eastAsia="Arial Narrow" w:hAnsi="Arial Narrow" w:cs="Arial Narrow"/>
          <w:sz w:val="23"/>
          <w:szCs w:val="23"/>
        </w:rPr>
        <w:t xml:space="preserve"> y presentarlo con los documentos de la propuesta.</w:t>
      </w:r>
      <w:r>
        <w:rPr>
          <w:rFonts w:ascii="Arial Narrow" w:eastAsia="Arial Narrow" w:hAnsi="Arial Narrow" w:cs="Arial Narrow"/>
          <w:color w:val="000000"/>
          <w:sz w:val="23"/>
          <w:szCs w:val="23"/>
        </w:rPr>
        <w:t xml:space="preserve"> </w:t>
      </w:r>
    </w:p>
    <w:p w14:paraId="1C3391C1"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016B52E3"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 (Ley 2014 de 2019 por la cual se regulan las sanciones para condenados por corrupción y delitos contra la administración pública, así como la cesión unilateral administrativa del contrato por actos de corrupción y se dictan otras disposiciones.)</w:t>
      </w:r>
    </w:p>
    <w:p w14:paraId="0D5783AB" w14:textId="77777777" w:rsidR="008745D1" w:rsidRDefault="008745D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11" w:name="_heading=h.3rdcrjn" w:colFirst="0" w:colLast="0"/>
      <w:bookmarkEnd w:id="11"/>
    </w:p>
    <w:p w14:paraId="7162E93F"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3.4. Costos derivados de participar en el Proceso de Contratación </w:t>
      </w:r>
    </w:p>
    <w:p w14:paraId="7A9B0F14"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299E7E29"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medios tecnológicos para acceder la puja electrónica y cualquier otro costo o gasto relacionado con la participación en el Proceso de Contratación estará a cargo exclusivo de los interesados y Proponentes.</w:t>
      </w:r>
    </w:p>
    <w:p w14:paraId="405AA32A"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   </w:t>
      </w:r>
    </w:p>
    <w:p w14:paraId="70326BE7"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3.5. Comunicaciones </w:t>
      </w:r>
    </w:p>
    <w:p w14:paraId="59628177"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330D9882"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Toda consulta o correspondencia que se genere y esté relacionada con el presente proceso de selección debe formularse a través de la plataforma SECOP II. Tenga en cuenta, que el SECOP II cuenta con un canal de mensajes, desde el cual podrá enviar comunicaciones relacionadas con el proceso directamente a la FGN.</w:t>
      </w:r>
    </w:p>
    <w:p w14:paraId="2BA08ABF"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48F77ADB"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La Fiscalía General de la Nación podrá enviar correspondencia a las direcciones, números de fax y/o correos electrónicos señalados por los participantes en la carta de presentación de la propuesta los términos o plazos serán contados a partir del recibo de la primera comunicación por parte del proponente.</w:t>
      </w:r>
    </w:p>
    <w:p w14:paraId="5931099C"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494A8EA5"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Los proponentes interesados en participar en el proceso de contratación deberán tener en cuenta los manuales sobre el uso del SECOP II que se encuentran disponibles en el siguiente enlace: </w:t>
      </w:r>
      <w:hyperlink r:id="rId20">
        <w:r>
          <w:rPr>
            <w:rFonts w:ascii="Arial Narrow" w:eastAsia="Arial Narrow" w:hAnsi="Arial Narrow" w:cs="Arial Narrow"/>
            <w:color w:val="000000"/>
            <w:sz w:val="23"/>
            <w:szCs w:val="23"/>
          </w:rPr>
          <w:t>https://www.colombiacompra.gov.co/secop-ii/proveedores</w:t>
        </w:r>
      </w:hyperlink>
    </w:p>
    <w:p w14:paraId="4C4F3C23"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16C2EFA5" w14:textId="77777777" w:rsidR="008745D1" w:rsidRDefault="00062AC1">
      <w:pPr>
        <w:numPr>
          <w:ilvl w:val="0"/>
          <w:numId w:val="10"/>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Registro de proveedores</w:t>
      </w:r>
    </w:p>
    <w:p w14:paraId="4F705A1E" w14:textId="77777777" w:rsidR="008745D1" w:rsidRDefault="00062AC1">
      <w:pPr>
        <w:numPr>
          <w:ilvl w:val="0"/>
          <w:numId w:val="10"/>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Configuración de cuentas</w:t>
      </w:r>
    </w:p>
    <w:p w14:paraId="243E0E30" w14:textId="77777777" w:rsidR="008745D1" w:rsidRDefault="00062AC1">
      <w:pPr>
        <w:numPr>
          <w:ilvl w:val="0"/>
          <w:numId w:val="10"/>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Creación de proponente plural</w:t>
      </w:r>
    </w:p>
    <w:p w14:paraId="7BB30061" w14:textId="77777777" w:rsidR="008745D1" w:rsidRDefault="00062AC1">
      <w:pPr>
        <w:numPr>
          <w:ilvl w:val="0"/>
          <w:numId w:val="10"/>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Presentar observaciones</w:t>
      </w:r>
    </w:p>
    <w:p w14:paraId="1D228B3E" w14:textId="77777777" w:rsidR="008745D1" w:rsidRDefault="00062AC1">
      <w:pPr>
        <w:numPr>
          <w:ilvl w:val="0"/>
          <w:numId w:val="10"/>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Presentar ofertas</w:t>
      </w:r>
    </w:p>
    <w:p w14:paraId="514482B1" w14:textId="77777777" w:rsidR="008745D1" w:rsidRDefault="00062AC1">
      <w:pPr>
        <w:numPr>
          <w:ilvl w:val="0"/>
          <w:numId w:val="10"/>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Gestión contractual</w:t>
      </w:r>
    </w:p>
    <w:p w14:paraId="4C56B0D8"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34CB2191"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No será atendida la correspondencia entregada en cualquier Dependencia de la Entidad, cualquier dirección de correo electrónico o medio distinto al SECOP II. </w:t>
      </w:r>
    </w:p>
    <w:p w14:paraId="6FD37C02" w14:textId="77777777" w:rsidR="008745D1" w:rsidRDefault="008745D1">
      <w:pPr>
        <w:spacing w:after="0" w:line="240" w:lineRule="auto"/>
        <w:ind w:left="0" w:hanging="2"/>
        <w:jc w:val="both"/>
        <w:rPr>
          <w:rFonts w:ascii="Arial Narrow" w:eastAsia="Arial Narrow" w:hAnsi="Arial Narrow" w:cs="Arial Narrow"/>
          <w:color w:val="000000"/>
          <w:sz w:val="23"/>
          <w:szCs w:val="23"/>
        </w:rPr>
      </w:pPr>
      <w:bookmarkStart w:id="12" w:name="_heading=h.lnxbz9" w:colFirst="0" w:colLast="0"/>
      <w:bookmarkEnd w:id="12"/>
    </w:p>
    <w:p w14:paraId="1F494BBE" w14:textId="77777777" w:rsidR="003A2D7D" w:rsidRDefault="003A2D7D">
      <w:pPr>
        <w:spacing w:after="0" w:line="240" w:lineRule="auto"/>
        <w:ind w:left="0" w:hanging="2"/>
        <w:jc w:val="both"/>
        <w:rPr>
          <w:rFonts w:ascii="Arial Narrow" w:eastAsia="Arial Narrow" w:hAnsi="Arial Narrow" w:cs="Arial Narrow"/>
          <w:color w:val="000000"/>
          <w:sz w:val="23"/>
          <w:szCs w:val="23"/>
        </w:rPr>
      </w:pPr>
    </w:p>
    <w:p w14:paraId="59EB8AF8" w14:textId="77777777" w:rsidR="003A2D7D" w:rsidRDefault="003A2D7D">
      <w:pPr>
        <w:spacing w:after="0" w:line="240" w:lineRule="auto"/>
        <w:ind w:left="0" w:hanging="2"/>
        <w:jc w:val="both"/>
        <w:rPr>
          <w:rFonts w:ascii="Arial Narrow" w:eastAsia="Arial Narrow" w:hAnsi="Arial Narrow" w:cs="Arial Narrow"/>
          <w:color w:val="000000"/>
          <w:sz w:val="23"/>
          <w:szCs w:val="23"/>
        </w:rPr>
      </w:pPr>
    </w:p>
    <w:p w14:paraId="3C3F28DB"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3.6. Idioma </w:t>
      </w:r>
    </w:p>
    <w:p w14:paraId="5E0F2E73"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0775EA44" w14:textId="77777777" w:rsidR="008745D1" w:rsidRDefault="00062AC1">
      <w:pPr>
        <w:spacing w:line="240" w:lineRule="auto"/>
        <w:ind w:left="0" w:hanging="2"/>
        <w:jc w:val="both"/>
        <w:rPr>
          <w:rFonts w:ascii="Arial Narrow" w:eastAsia="Arial Narrow" w:hAnsi="Arial Narrow" w:cs="Arial Narrow"/>
          <w:color w:val="000000"/>
          <w:sz w:val="23"/>
          <w:szCs w:val="23"/>
        </w:rPr>
      </w:pPr>
      <w:bookmarkStart w:id="13" w:name="_heading=h.108vz9727aul" w:colFirst="0" w:colLast="0"/>
      <w:bookmarkStart w:id="14" w:name="_Hlk204264006"/>
      <w:bookmarkEnd w:id="13"/>
      <w:r>
        <w:rPr>
          <w:rFonts w:ascii="Arial Narrow" w:eastAsia="Arial Narrow" w:hAnsi="Arial Narrow" w:cs="Arial Narrow"/>
          <w:color w:val="000000"/>
          <w:sz w:val="23"/>
          <w:szCs w:val="23"/>
        </w:rPr>
        <w:t xml:space="preserve">Los documentos y las comunicaciones entregadas, enviadas o expedidas por los Proponentes o por terceros para efectos del Proceso de Contratación o para ser tenidos en cuenta en el mismo, deben ser presentados en castellano. Los documentos con los cuales los Proponentes acrediten los requisitos habilitantes de que trata la sección V que estén en una </w:t>
      </w:r>
      <w:r>
        <w:rPr>
          <w:rFonts w:ascii="Arial Narrow" w:eastAsia="Arial Narrow" w:hAnsi="Arial Narrow" w:cs="Arial Narrow"/>
          <w:sz w:val="23"/>
          <w:szCs w:val="23"/>
        </w:rPr>
        <w:t xml:space="preserve">lengua extranjera, deben ser presentados en su lengua original junto con la traducción oficial al castellano. El proponente puede presentar con la oferta documentos con una traducción simple y entregar la </w:t>
      </w:r>
      <w:r>
        <w:rPr>
          <w:rFonts w:ascii="Arial Narrow" w:eastAsia="Arial Narrow" w:hAnsi="Arial Narrow" w:cs="Arial Narrow"/>
          <w:sz w:val="23"/>
          <w:szCs w:val="23"/>
        </w:rPr>
        <w:lastRenderedPageBreak/>
        <w:t>traducción oficial al castellano dentro del plazo previsto para la subsanación. La traducción oficial debe ser el mismo texto presentado.</w:t>
      </w:r>
      <w:r>
        <w:rPr>
          <w:rFonts w:ascii="Arial Narrow" w:eastAsia="Arial Narrow" w:hAnsi="Arial Narrow" w:cs="Arial Narrow"/>
          <w:color w:val="000000"/>
          <w:sz w:val="23"/>
          <w:szCs w:val="23"/>
        </w:rPr>
        <w:t xml:space="preserve"> </w:t>
      </w:r>
    </w:p>
    <w:bookmarkEnd w:id="14"/>
    <w:p w14:paraId="51A8E92D"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3.7. Legalización de documentos otorgados en el Exterior </w:t>
      </w:r>
    </w:p>
    <w:p w14:paraId="58063F35"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02B3C89F"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Los documentos expedidos en el exterior con que se pretenda acreditar requisitos señalados en el pliego de condiciones, deberán cumplir con todos y cada uno de los aspectos legales exigidos para la validez y oponibilidad en Colombia, con el propósito que puedan obrar como prueba conforme con lo dispuesto en el Código General del Proceso (Ley 1564 de 2012, artículos 74 y 251, según corresponda), artículo 480 del Código de Comercio y en la Resolución vigente proferida por el Ministerio de Relaciones Exteriores de Colombia “Por la cual se adopta el procedimiento para apostillar y legalizar documentos” y las demás normas vigentes relacionadas con apostilla, consularización y traducción oficial.</w:t>
      </w:r>
    </w:p>
    <w:p w14:paraId="4624329C"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75B66303"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Para efecto de documentos expedidos por autoridades de países miembros del Convenio de la Haya sobre la “abolición de requisitos de legalización para documentos públicos extranjeros”, no se requiere de la consularización, sino que será suficiente que los documentos se adicionen con el certificado de apostilla.</w:t>
      </w:r>
    </w:p>
    <w:p w14:paraId="710160D9"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5CED6149"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La FGN dará aplicación a lo señalado en la Circular Externa Única de Colombia Compra Eficiente vigente: “(…) las Entidades Estatales solamente pueden exigir la legalización de acuerdo con la Convención de la Apostilla o la legalización de documentos públicos otorgados en el extranjero. Este tipo de legalización no es procedente para los documentos privados. (…)”.</w:t>
      </w:r>
    </w:p>
    <w:p w14:paraId="19BA227C" w14:textId="77777777" w:rsidR="008745D1" w:rsidRDefault="008745D1">
      <w:pPr>
        <w:spacing w:after="0" w:line="240" w:lineRule="auto"/>
        <w:ind w:left="0" w:hanging="2"/>
        <w:jc w:val="both"/>
        <w:rPr>
          <w:rFonts w:ascii="Arial Narrow" w:eastAsia="Arial Narrow" w:hAnsi="Arial Narrow" w:cs="Arial Narrow"/>
          <w:color w:val="000000"/>
          <w:sz w:val="23"/>
          <w:szCs w:val="23"/>
        </w:rPr>
      </w:pPr>
      <w:bookmarkStart w:id="15" w:name="_heading=h.1ksv4uv" w:colFirst="0" w:colLast="0"/>
      <w:bookmarkEnd w:id="15"/>
    </w:p>
    <w:p w14:paraId="14C9B748"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3.8. Conversión de monedas </w:t>
      </w:r>
    </w:p>
    <w:p w14:paraId="1988FC88"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374CA9CD"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Los Proponentes deben presentar sus estados financieros en la moneda legal del país en el cual fueron emitidos y adicionalmente en pesos colombianos. </w:t>
      </w:r>
    </w:p>
    <w:p w14:paraId="131AE063"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091EF150"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Si está expresado originalmente en una moneda diferente a dólares de los Estados Unidos de Norte América, debe convertirse a esta moneda.</w:t>
      </w:r>
    </w:p>
    <w:p w14:paraId="031C3826"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6CA2B21D" w14:textId="77777777" w:rsidR="008745D1" w:rsidRDefault="00062AC1">
      <w:pPr>
        <w:spacing w:after="0" w:line="240" w:lineRule="auto"/>
        <w:ind w:left="0" w:hanging="2"/>
        <w:jc w:val="both"/>
        <w:rPr>
          <w:rFonts w:ascii="Arial Narrow" w:eastAsia="Arial Narrow" w:hAnsi="Arial Narrow" w:cs="Arial Narrow"/>
          <w:color w:val="000000"/>
          <w:sz w:val="23"/>
          <w:szCs w:val="23"/>
        </w:rPr>
      </w:pPr>
      <w:bookmarkStart w:id="16" w:name="_heading=h.44sinio" w:colFirst="0" w:colLast="0"/>
      <w:bookmarkEnd w:id="16"/>
      <w:r>
        <w:rPr>
          <w:rFonts w:ascii="Arial Narrow" w:eastAsia="Arial Narrow" w:hAnsi="Arial Narrow" w:cs="Arial Narrow"/>
          <w:color w:val="000000"/>
          <w:sz w:val="23"/>
          <w:szCs w:val="23"/>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3897F81A"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3915C7B3"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17" w:name="_heading=h.2jxsxqh" w:colFirst="0" w:colLast="0"/>
      <w:bookmarkEnd w:id="17"/>
      <w:r>
        <w:rPr>
          <w:rFonts w:ascii="Arial Narrow" w:eastAsia="Arial Narrow" w:hAnsi="Arial Narrow" w:cs="Arial Narrow"/>
          <w:b/>
          <w:color w:val="000000"/>
          <w:sz w:val="23"/>
          <w:szCs w:val="23"/>
        </w:rPr>
        <w:t>3.9. Ofertas Condicionadas</w:t>
      </w:r>
    </w:p>
    <w:p w14:paraId="139AF818"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3B2C70EF"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No podrán señalarse condiciones diferentes a las establecidas en el pliego de condiciones electrónico y/ su documento complementario. En caso de que la propuesta formule condiciones diferentes a las establecidas, se rechazará la oferta respectiva.</w:t>
      </w:r>
    </w:p>
    <w:p w14:paraId="32F54DDA" w14:textId="77777777" w:rsidR="008745D1" w:rsidRDefault="008745D1">
      <w:pPr>
        <w:spacing w:after="0" w:line="240" w:lineRule="auto"/>
        <w:ind w:left="0" w:hanging="2"/>
        <w:jc w:val="both"/>
        <w:rPr>
          <w:rFonts w:ascii="Arial Narrow" w:eastAsia="Arial Narrow" w:hAnsi="Arial Narrow" w:cs="Arial Narrow"/>
          <w:sz w:val="23"/>
          <w:szCs w:val="23"/>
        </w:rPr>
      </w:pPr>
    </w:p>
    <w:p w14:paraId="07B8738C"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3.10. Reserva Durante el Proceso de Evaluación</w:t>
      </w:r>
    </w:p>
    <w:p w14:paraId="4A35830C" w14:textId="77777777" w:rsidR="008745D1" w:rsidRDefault="008745D1">
      <w:pPr>
        <w:spacing w:after="0" w:line="240" w:lineRule="auto"/>
        <w:ind w:left="0" w:hanging="2"/>
        <w:rPr>
          <w:rFonts w:ascii="Arial Narrow" w:eastAsia="Arial Narrow" w:hAnsi="Arial Narrow" w:cs="Arial Narrow"/>
          <w:color w:val="000000"/>
          <w:sz w:val="23"/>
          <w:szCs w:val="23"/>
        </w:rPr>
      </w:pPr>
    </w:p>
    <w:p w14:paraId="01F13E40"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Los proponentes serán responsables de advertir en la carta de presentación </w:t>
      </w:r>
      <w:r>
        <w:rPr>
          <w:rFonts w:ascii="Arial Narrow" w:eastAsia="Arial Narrow" w:hAnsi="Arial Narrow" w:cs="Arial Narrow"/>
          <w:sz w:val="23"/>
          <w:szCs w:val="23"/>
        </w:rPr>
        <w:t>cuáles documentos</w:t>
      </w:r>
      <w:r>
        <w:rPr>
          <w:rFonts w:ascii="Arial Narrow" w:eastAsia="Arial Narrow" w:hAnsi="Arial Narrow" w:cs="Arial Narrow"/>
          <w:color w:val="000000"/>
          <w:sz w:val="23"/>
          <w:szCs w:val="23"/>
        </w:rPr>
        <w:t xml:space="preserve"> de la propuesta </w:t>
      </w:r>
      <w:r>
        <w:rPr>
          <w:rFonts w:ascii="Arial Narrow" w:eastAsia="Arial Narrow" w:hAnsi="Arial Narrow" w:cs="Arial Narrow"/>
          <w:sz w:val="23"/>
          <w:szCs w:val="23"/>
        </w:rPr>
        <w:t>contienen</w:t>
      </w:r>
      <w:r>
        <w:rPr>
          <w:rFonts w:ascii="Arial Narrow" w:eastAsia="Arial Narrow" w:hAnsi="Arial Narrow" w:cs="Arial Narrow"/>
          <w:color w:val="000000"/>
          <w:sz w:val="23"/>
          <w:szCs w:val="23"/>
        </w:rPr>
        <w:t xml:space="preserve"> información confidencial, privada o que configure secreto industrial, de acuerdo con la ley colombiana, debiendo indicar tal calidad y expresar las normas legales que le sirven de fundamento. Reserva que la Entidad Estatal mantendrá en el Proceso de Contratación frente a terceros. </w:t>
      </w:r>
    </w:p>
    <w:p w14:paraId="1EEDDD64"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26530B64"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En todo caso, la Entidad se reserva el derecho de revelar dicha información a sus agentes o asesores, con el fin de evaluar la propuesta. </w:t>
      </w:r>
    </w:p>
    <w:p w14:paraId="5AE8BF70"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2E0509CD"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lastRenderedPageBreak/>
        <w:t>La información relativa al análisis, aclaración, evaluación y comparación de las propuestas y la recomendación para la adjudicación no podrá ser revelada a los proponentes, ni a terceros, hasta que la Entidad, comunique a los primeros que el informe de evaluación se encuentra disponible para que presenten las observaciones correspondientes.</w:t>
      </w:r>
    </w:p>
    <w:p w14:paraId="1255B659" w14:textId="77777777" w:rsidR="008745D1" w:rsidRDefault="008745D1">
      <w:pPr>
        <w:spacing w:after="0" w:line="240" w:lineRule="auto"/>
        <w:ind w:left="0" w:hanging="2"/>
        <w:jc w:val="both"/>
        <w:rPr>
          <w:rFonts w:ascii="Arial Narrow" w:eastAsia="Arial Narrow" w:hAnsi="Arial Narrow" w:cs="Arial Narrow"/>
          <w:sz w:val="23"/>
          <w:szCs w:val="23"/>
        </w:rPr>
      </w:pPr>
      <w:bookmarkStart w:id="18" w:name="_heading=h.ull4q6n8mspw" w:colFirst="0" w:colLast="0"/>
      <w:bookmarkStart w:id="19" w:name="_heading=h.3j2qqm3" w:colFirst="0" w:colLast="0"/>
      <w:bookmarkEnd w:id="18"/>
      <w:bookmarkEnd w:id="19"/>
    </w:p>
    <w:p w14:paraId="46DAAACB"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3.11. Declaratoria de Desierta </w:t>
      </w:r>
    </w:p>
    <w:p w14:paraId="4DD71705"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4F9AFC86"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La Fiscalía General de la Nación declarará desierto el presente proceso de selección cuando:</w:t>
      </w:r>
    </w:p>
    <w:p w14:paraId="07D67521"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49581B4D" w14:textId="77777777" w:rsidR="008745D1" w:rsidRDefault="00062AC1">
      <w:pPr>
        <w:numPr>
          <w:ilvl w:val="0"/>
          <w:numId w:val="5"/>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No se presenten ofertas; </w:t>
      </w:r>
    </w:p>
    <w:p w14:paraId="541C282C" w14:textId="77777777" w:rsidR="008745D1" w:rsidRDefault="00062AC1">
      <w:pPr>
        <w:numPr>
          <w:ilvl w:val="0"/>
          <w:numId w:val="5"/>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Ninguna de las ofertas resulte admisible en los factores jurídicos y/o técnicos y/o financieros, previstos en el pliego de condiciones;</w:t>
      </w:r>
    </w:p>
    <w:p w14:paraId="573DF999" w14:textId="77777777" w:rsidR="008745D1" w:rsidRDefault="00062AC1">
      <w:pPr>
        <w:numPr>
          <w:ilvl w:val="0"/>
          <w:numId w:val="5"/>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Existan causas o motivos que impidan la escogencia objetiva del proponente;</w:t>
      </w:r>
    </w:p>
    <w:p w14:paraId="7F9D45B5" w14:textId="77777777" w:rsidR="008745D1" w:rsidRDefault="00062AC1">
      <w:pPr>
        <w:numPr>
          <w:ilvl w:val="0"/>
          <w:numId w:val="5"/>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ordenador del gasto no acoja la recomendación del comité evaluador y opte por la declaratoria de desierta del proceso, caso en el cual deberá motivar su decisión;</w:t>
      </w:r>
    </w:p>
    <w:p w14:paraId="4F883CDF" w14:textId="77777777" w:rsidR="008745D1" w:rsidRDefault="00062AC1">
      <w:pPr>
        <w:numPr>
          <w:ilvl w:val="0"/>
          <w:numId w:val="5"/>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Se </w:t>
      </w:r>
      <w:r>
        <w:rPr>
          <w:rFonts w:ascii="Arial Narrow" w:eastAsia="Arial Narrow" w:hAnsi="Arial Narrow" w:cs="Arial Narrow"/>
          <w:sz w:val="23"/>
          <w:szCs w:val="23"/>
        </w:rPr>
        <w:t>presentan</w:t>
      </w:r>
      <w:r>
        <w:rPr>
          <w:rFonts w:ascii="Arial Narrow" w:eastAsia="Arial Narrow" w:hAnsi="Arial Narrow" w:cs="Arial Narrow"/>
          <w:color w:val="000000"/>
          <w:sz w:val="23"/>
          <w:szCs w:val="23"/>
        </w:rPr>
        <w:t xml:space="preserve"> los demás casos contemplados en la ley.</w:t>
      </w:r>
    </w:p>
    <w:p w14:paraId="38940443"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20" w:name="_heading=h.1y810tw" w:colFirst="0" w:colLast="0"/>
      <w:bookmarkEnd w:id="20"/>
    </w:p>
    <w:p w14:paraId="21746299"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3.12. Causales de Rechazo</w:t>
      </w:r>
    </w:p>
    <w:p w14:paraId="08F73C69"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0FD53DCC" w14:textId="77777777" w:rsidR="008745D1" w:rsidRDefault="00062AC1">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En adición a otras causas previstas por la ley, la Fiscalía General de la Nación rechazará las Ofertas presentadas por los Proponentes que:</w:t>
      </w:r>
    </w:p>
    <w:p w14:paraId="02B070B0" w14:textId="77777777" w:rsidR="008745D1" w:rsidRDefault="008745D1">
      <w:pPr>
        <w:widowControl w:val="0"/>
        <w:tabs>
          <w:tab w:val="left" w:pos="284"/>
        </w:tabs>
        <w:spacing w:after="0" w:line="240" w:lineRule="auto"/>
        <w:ind w:left="0" w:right="-2" w:hanging="2"/>
        <w:jc w:val="both"/>
        <w:rPr>
          <w:rFonts w:ascii="Arial Narrow" w:eastAsia="Arial Narrow" w:hAnsi="Arial Narrow" w:cs="Arial Narrow"/>
          <w:sz w:val="23"/>
          <w:szCs w:val="23"/>
        </w:rPr>
      </w:pPr>
      <w:bookmarkStart w:id="21" w:name="_Hlk204265139"/>
    </w:p>
    <w:p w14:paraId="45DFBE8B"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bookmarkStart w:id="22" w:name="_Hlk204265557"/>
      <w:r>
        <w:rPr>
          <w:rFonts w:ascii="Arial Narrow" w:eastAsia="Arial Narrow" w:hAnsi="Arial Narrow" w:cs="Arial Narrow"/>
          <w:color w:val="000000"/>
          <w:sz w:val="23"/>
          <w:szCs w:val="23"/>
        </w:rPr>
        <w:t xml:space="preserve">Que no hayan cumplido el compromiso anticorrupción contenido en el Anexo respectivo durante el Proceso de Contratación. </w:t>
      </w:r>
    </w:p>
    <w:p w14:paraId="339DB397" w14:textId="77777777" w:rsidR="008745D1" w:rsidRDefault="008745D1">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p>
    <w:p w14:paraId="43FF7136"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Cuando la oferta, se presente en forma diferente al señalado en los numerales de “</w:t>
      </w:r>
      <w:r>
        <w:rPr>
          <w:rFonts w:ascii="Arial Narrow" w:eastAsia="Arial Narrow" w:hAnsi="Arial Narrow" w:cs="Arial Narrow"/>
          <w:b/>
          <w:color w:val="000000"/>
          <w:sz w:val="23"/>
          <w:szCs w:val="23"/>
        </w:rPr>
        <w:t>PRESENTACIÓN DE LAS PROPUESTAS” y “CRONOGRAMA DEL PROCESO”.</w:t>
      </w:r>
    </w:p>
    <w:p w14:paraId="39A6F7CA" w14:textId="77777777" w:rsidR="008745D1" w:rsidRDefault="008745D1">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p>
    <w:p w14:paraId="557CCBAF"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Cuando se encuentre incurso en alguna de las causales de inhabilidad o incompatibilidad previstas en la Constitución o en la Ley.</w:t>
      </w:r>
    </w:p>
    <w:p w14:paraId="2F9EE778" w14:textId="77777777" w:rsidR="008745D1" w:rsidRDefault="008745D1">
      <w:pPr>
        <w:tabs>
          <w:tab w:val="left" w:pos="284"/>
        </w:tabs>
        <w:spacing w:after="0" w:line="240" w:lineRule="auto"/>
        <w:ind w:left="0" w:right="-2" w:hanging="2"/>
        <w:jc w:val="both"/>
        <w:rPr>
          <w:rFonts w:ascii="Arial Narrow" w:eastAsia="Arial Narrow" w:hAnsi="Arial Narrow" w:cs="Arial Narrow"/>
          <w:color w:val="000000"/>
          <w:sz w:val="23"/>
          <w:szCs w:val="23"/>
        </w:rPr>
      </w:pPr>
    </w:p>
    <w:p w14:paraId="7E22B9D6"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Cuando el oferente; persona jurídica, persona natural, consorcio o unión temporal presente más de una propuesta para este mismo proceso o grupo. </w:t>
      </w:r>
    </w:p>
    <w:p w14:paraId="15403F61" w14:textId="77777777" w:rsidR="008745D1" w:rsidRDefault="008745D1">
      <w:pPr>
        <w:tabs>
          <w:tab w:val="left" w:pos="284"/>
        </w:tabs>
        <w:spacing w:after="0" w:line="240" w:lineRule="auto"/>
        <w:ind w:left="0" w:right="-2" w:hanging="2"/>
        <w:jc w:val="both"/>
        <w:rPr>
          <w:rFonts w:ascii="Arial Narrow" w:eastAsia="Arial Narrow" w:hAnsi="Arial Narrow" w:cs="Arial Narrow"/>
          <w:color w:val="000000"/>
          <w:sz w:val="23"/>
          <w:szCs w:val="23"/>
        </w:rPr>
      </w:pPr>
    </w:p>
    <w:p w14:paraId="5CCC30CC"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Cuando uno o más socios de la persona jurídica proponente, o su representante legal, sean socios o representante legal de otra persona jurídica oferente en este mismo proceso. </w:t>
      </w:r>
    </w:p>
    <w:p w14:paraId="2078E3AB" w14:textId="77777777" w:rsidR="008745D1" w:rsidRDefault="00062AC1">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 </w:t>
      </w:r>
    </w:p>
    <w:p w14:paraId="58C2DDA1"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Cuando uno o más socios de la persona jurídica proponente, o su representante legal, se presenten como personas naturales en este mismo proceso.  </w:t>
      </w:r>
    </w:p>
    <w:p w14:paraId="46BD4068" w14:textId="77777777" w:rsidR="008745D1" w:rsidRDefault="008745D1">
      <w:pPr>
        <w:widowControl w:val="0"/>
        <w:tabs>
          <w:tab w:val="left" w:pos="284"/>
        </w:tabs>
        <w:spacing w:after="0" w:line="240" w:lineRule="auto"/>
        <w:ind w:left="0" w:right="-2" w:hanging="2"/>
        <w:jc w:val="both"/>
        <w:rPr>
          <w:rFonts w:ascii="Arial Narrow" w:eastAsia="Arial Narrow" w:hAnsi="Arial Narrow" w:cs="Arial Narrow"/>
          <w:sz w:val="23"/>
          <w:szCs w:val="23"/>
        </w:rPr>
      </w:pPr>
    </w:p>
    <w:p w14:paraId="655CA43B"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Cuando se solicite aclaración respecto del contenido de los documentos o subsanaciones y el proponente no emita manifestación.</w:t>
      </w:r>
    </w:p>
    <w:p w14:paraId="2E154C18" w14:textId="77777777" w:rsidR="008745D1" w:rsidRDefault="008745D1">
      <w:pPr>
        <w:pBdr>
          <w:top w:val="nil"/>
          <w:left w:val="nil"/>
          <w:bottom w:val="nil"/>
          <w:right w:val="nil"/>
          <w:between w:val="nil"/>
        </w:pBdr>
        <w:spacing w:after="0" w:line="240" w:lineRule="auto"/>
        <w:ind w:left="0" w:hanging="2"/>
        <w:rPr>
          <w:rFonts w:ascii="Arial Narrow" w:eastAsia="Arial Narrow" w:hAnsi="Arial Narrow" w:cs="Arial Narrow"/>
          <w:color w:val="000000"/>
          <w:sz w:val="23"/>
          <w:szCs w:val="23"/>
        </w:rPr>
      </w:pPr>
    </w:p>
    <w:p w14:paraId="0214F456"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Cuando el proponente presente documentos con información inexacta, o contraria a la realidad, o que oculte información, o quienes suscriben los documentos lo refuten</w:t>
      </w:r>
      <w:r>
        <w:rPr>
          <w:rFonts w:ascii="Arial Narrow" w:eastAsia="Arial Narrow" w:hAnsi="Arial Narrow" w:cs="Arial Narrow"/>
          <w:sz w:val="23"/>
          <w:szCs w:val="23"/>
        </w:rPr>
        <w:t>.</w:t>
      </w:r>
    </w:p>
    <w:p w14:paraId="78EE42E2" w14:textId="77777777" w:rsidR="008745D1" w:rsidRDefault="008745D1">
      <w:pPr>
        <w:widowControl w:val="0"/>
        <w:tabs>
          <w:tab w:val="left" w:pos="284"/>
        </w:tabs>
        <w:spacing w:after="0" w:line="240" w:lineRule="auto"/>
        <w:ind w:left="0" w:right="-2" w:hanging="2"/>
        <w:jc w:val="both"/>
        <w:rPr>
          <w:rFonts w:ascii="Arial Narrow" w:eastAsia="Arial Narrow" w:hAnsi="Arial Narrow" w:cs="Arial Narrow"/>
          <w:sz w:val="23"/>
          <w:szCs w:val="23"/>
        </w:rPr>
      </w:pPr>
    </w:p>
    <w:p w14:paraId="6788C86B"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Cuando la FGN establezca que un proponente ha interferido, influenciado, u obtenido correspondencias internas, proyectos de concepto de evaluación o de respuesta a observaciones, no enviados oficialmente por el SECOP II</w:t>
      </w:r>
      <w:r>
        <w:rPr>
          <w:rFonts w:ascii="Arial Narrow" w:eastAsia="Arial Narrow" w:hAnsi="Arial Narrow" w:cs="Arial Narrow"/>
          <w:sz w:val="23"/>
          <w:szCs w:val="23"/>
        </w:rPr>
        <w:t xml:space="preserve">. </w:t>
      </w:r>
    </w:p>
    <w:p w14:paraId="057DAC6F" w14:textId="77777777" w:rsidR="008745D1" w:rsidRDefault="008745D1">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p>
    <w:p w14:paraId="414CBF98"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Cuando la FGN establezca que ha habido confabulación entre los proponentes que altere la aplicación del principio de selección objetiva</w:t>
      </w:r>
      <w:r>
        <w:rPr>
          <w:rFonts w:ascii="Arial Narrow" w:eastAsia="Arial Narrow" w:hAnsi="Arial Narrow" w:cs="Arial Narrow"/>
          <w:sz w:val="23"/>
          <w:szCs w:val="23"/>
        </w:rPr>
        <w:t>. Caso en el cual, se informará a la Superintendencia de Industria y Comercio.</w:t>
      </w:r>
    </w:p>
    <w:p w14:paraId="385EF692" w14:textId="77777777" w:rsidR="008745D1" w:rsidRDefault="008745D1">
      <w:pPr>
        <w:pBdr>
          <w:top w:val="nil"/>
          <w:left w:val="nil"/>
          <w:bottom w:val="nil"/>
          <w:right w:val="nil"/>
          <w:between w:val="nil"/>
        </w:pBdr>
        <w:tabs>
          <w:tab w:val="left" w:pos="284"/>
        </w:tabs>
        <w:spacing w:after="0" w:line="240" w:lineRule="auto"/>
        <w:ind w:left="0" w:right="-2" w:hanging="2"/>
        <w:jc w:val="both"/>
        <w:rPr>
          <w:rFonts w:ascii="Arial Narrow" w:eastAsia="Arial Narrow" w:hAnsi="Arial Narrow" w:cs="Arial Narrow"/>
          <w:color w:val="000000"/>
          <w:sz w:val="23"/>
          <w:szCs w:val="23"/>
        </w:rPr>
      </w:pPr>
    </w:p>
    <w:p w14:paraId="2E261C67"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 no presentación de la </w:t>
      </w:r>
      <w:r>
        <w:rPr>
          <w:rFonts w:ascii="Arial Narrow" w:eastAsia="Arial Narrow" w:hAnsi="Arial Narrow" w:cs="Arial Narrow"/>
          <w:b/>
          <w:color w:val="000000"/>
          <w:sz w:val="23"/>
          <w:szCs w:val="23"/>
        </w:rPr>
        <w:t>“PROPUESTA ECONÓMICA”</w:t>
      </w:r>
      <w:r>
        <w:rPr>
          <w:rFonts w:ascii="Arial Narrow" w:eastAsia="Arial Narrow" w:hAnsi="Arial Narrow" w:cs="Arial Narrow"/>
          <w:color w:val="000000"/>
          <w:sz w:val="23"/>
          <w:szCs w:val="23"/>
        </w:rPr>
        <w:t xml:space="preserve"> con la oferta o no se diligencie en su totalidad dejando espacios vacíos sin diligenciar.</w:t>
      </w:r>
    </w:p>
    <w:bookmarkEnd w:id="21"/>
    <w:p w14:paraId="071C5B56" w14:textId="77777777" w:rsidR="008745D1" w:rsidRDefault="008745D1">
      <w:pPr>
        <w:pBdr>
          <w:top w:val="nil"/>
          <w:left w:val="nil"/>
          <w:bottom w:val="nil"/>
          <w:right w:val="nil"/>
          <w:between w:val="nil"/>
        </w:pBdr>
        <w:spacing w:after="0" w:line="240" w:lineRule="auto"/>
        <w:ind w:left="0" w:hanging="2"/>
        <w:rPr>
          <w:rFonts w:ascii="Arial Narrow" w:eastAsia="Arial Narrow" w:hAnsi="Arial Narrow" w:cs="Arial Narrow"/>
          <w:color w:val="000000"/>
          <w:sz w:val="23"/>
          <w:szCs w:val="23"/>
        </w:rPr>
      </w:pPr>
    </w:p>
    <w:p w14:paraId="65E8A365" w14:textId="0844C1BA" w:rsidR="008745D1" w:rsidRPr="006E3C82"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u w:val="single"/>
        </w:rPr>
      </w:pPr>
      <w:r w:rsidRPr="006E3C82">
        <w:rPr>
          <w:rFonts w:ascii="Arial Narrow" w:eastAsia="Arial Narrow" w:hAnsi="Arial Narrow" w:cs="Arial Narrow"/>
          <w:color w:val="000000"/>
          <w:sz w:val="23"/>
          <w:szCs w:val="23"/>
          <w:u w:val="single"/>
        </w:rPr>
        <w:t xml:space="preserve">Cuando el </w:t>
      </w:r>
      <w:r w:rsidRPr="006E3C82">
        <w:rPr>
          <w:rFonts w:ascii="Arial Narrow" w:eastAsia="Arial Narrow" w:hAnsi="Arial Narrow" w:cs="Arial Narrow"/>
          <w:b/>
          <w:color w:val="000000"/>
          <w:sz w:val="23"/>
          <w:szCs w:val="23"/>
          <w:u w:val="single"/>
        </w:rPr>
        <w:t>valor total incluido IVA</w:t>
      </w:r>
      <w:r w:rsidRPr="006E3C82">
        <w:rPr>
          <w:rFonts w:ascii="Arial Narrow" w:eastAsia="Arial Narrow" w:hAnsi="Arial Narrow" w:cs="Arial Narrow"/>
          <w:color w:val="000000"/>
          <w:sz w:val="23"/>
          <w:szCs w:val="23"/>
          <w:u w:val="single"/>
        </w:rPr>
        <w:t xml:space="preserve"> de la oferta inicial de precio, sea superior al presupuesto oficial estimado, de acuerdo con el estudio de mercado.</w:t>
      </w:r>
    </w:p>
    <w:p w14:paraId="28D13987" w14:textId="77777777" w:rsidR="008745D1" w:rsidRPr="006E3C82" w:rsidRDefault="008745D1">
      <w:pPr>
        <w:widowControl w:val="0"/>
        <w:tabs>
          <w:tab w:val="left" w:pos="284"/>
        </w:tabs>
        <w:spacing w:after="0" w:line="240" w:lineRule="auto"/>
        <w:ind w:left="0" w:right="-2" w:hanging="2"/>
        <w:jc w:val="both"/>
        <w:rPr>
          <w:rFonts w:ascii="Arial Narrow" w:eastAsia="Arial Narrow" w:hAnsi="Arial Narrow" w:cs="Arial Narrow"/>
          <w:sz w:val="23"/>
          <w:szCs w:val="23"/>
          <w:u w:val="single"/>
        </w:rPr>
      </w:pPr>
    </w:p>
    <w:p w14:paraId="7D98AFBB" w14:textId="1AF6FDBF" w:rsidR="008745D1" w:rsidRPr="006E3C82" w:rsidRDefault="00062AC1" w:rsidP="004379D1">
      <w:pPr>
        <w:numPr>
          <w:ilvl w:val="0"/>
          <w:numId w:val="13"/>
        </w:numPr>
        <w:tabs>
          <w:tab w:val="left" w:pos="284"/>
        </w:tabs>
        <w:spacing w:after="0" w:line="240" w:lineRule="auto"/>
        <w:ind w:leftChars="0" w:left="284" w:firstLineChars="0"/>
        <w:jc w:val="both"/>
        <w:rPr>
          <w:rFonts w:ascii="Arial Narrow" w:eastAsia="Arial Narrow" w:hAnsi="Arial Narrow" w:cs="Arial Narrow"/>
          <w:sz w:val="23"/>
          <w:szCs w:val="23"/>
          <w:u w:val="single"/>
        </w:rPr>
      </w:pPr>
      <w:r w:rsidRPr="006E3C82">
        <w:rPr>
          <w:rFonts w:ascii="Arial Narrow" w:eastAsia="Arial Narrow" w:hAnsi="Arial Narrow" w:cs="Arial Narrow"/>
          <w:sz w:val="23"/>
          <w:szCs w:val="23"/>
        </w:rPr>
        <w:t>Cuando el valor unitario por ítems con IVA de la oferta inicial de precio sea superior al Estudio de Mercado Definitivo.</w:t>
      </w:r>
    </w:p>
    <w:p w14:paraId="659A81E8" w14:textId="77777777" w:rsidR="008745D1" w:rsidRPr="006E3C82" w:rsidRDefault="008745D1">
      <w:pPr>
        <w:widowControl w:val="0"/>
        <w:tabs>
          <w:tab w:val="left" w:pos="284"/>
        </w:tabs>
        <w:spacing w:after="0" w:line="240" w:lineRule="auto"/>
        <w:ind w:left="0" w:right="-2" w:hanging="2"/>
        <w:jc w:val="both"/>
        <w:rPr>
          <w:rFonts w:ascii="Arial Narrow" w:eastAsia="Arial Narrow" w:hAnsi="Arial Narrow" w:cs="Arial Narrow"/>
          <w:sz w:val="23"/>
          <w:szCs w:val="23"/>
        </w:rPr>
      </w:pPr>
    </w:p>
    <w:p w14:paraId="73768D8D" w14:textId="55731F26" w:rsidR="008745D1" w:rsidRPr="006E3C82"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sz w:val="23"/>
          <w:szCs w:val="23"/>
          <w:u w:val="single"/>
        </w:rPr>
      </w:pPr>
      <w:r w:rsidRPr="006E3C82">
        <w:rPr>
          <w:rFonts w:ascii="Arial Narrow" w:eastAsia="Arial Narrow" w:hAnsi="Arial Narrow" w:cs="Arial Narrow"/>
          <w:sz w:val="23"/>
          <w:szCs w:val="23"/>
          <w:u w:val="single"/>
        </w:rPr>
        <w:t>Cuando el valor total incluido IVA</w:t>
      </w:r>
      <w:r w:rsidR="00A87F23" w:rsidRPr="006E3C82">
        <w:rPr>
          <w:rFonts w:ascii="Arial Narrow" w:eastAsia="Arial Narrow" w:hAnsi="Arial Narrow" w:cs="Arial Narrow"/>
          <w:sz w:val="23"/>
          <w:szCs w:val="23"/>
          <w:u w:val="single"/>
        </w:rPr>
        <w:t xml:space="preserve"> </w:t>
      </w:r>
      <w:r w:rsidRPr="006E3C82">
        <w:rPr>
          <w:rFonts w:ascii="Arial Narrow" w:eastAsia="Arial Narrow" w:hAnsi="Arial Narrow" w:cs="Arial Narrow"/>
          <w:sz w:val="23"/>
          <w:szCs w:val="23"/>
          <w:u w:val="single"/>
        </w:rPr>
        <w:t>de la oferta inicial de precio, contenga errores aritméticos de que trata el numeral 6.1 del presente documento, y que producto de la corrección aritmética realizada por la Entidad, dicho valor difiera de la propuesta económica inicial registrada en el sobre económico del SECOP II, y esta sea la oferta de menor valor presentada al proceso de contratación, y por tanto el precio de arranque para el inicio del evento de subasta, esta oferta será rechazada, teniendo en cuenta que el valor registrado como oferta económica inicial por parte de los proponentes en el sobre económico del SECOP II es imposible de ser ajustado en la plataforma</w:t>
      </w:r>
      <w:r w:rsidRPr="006E3C82">
        <w:rPr>
          <w:rFonts w:ascii="Arial Narrow" w:eastAsia="Arial Narrow" w:hAnsi="Arial Narrow" w:cs="Arial Narrow"/>
          <w:sz w:val="23"/>
          <w:szCs w:val="23"/>
          <w:u w:val="single"/>
          <w:vertAlign w:val="superscript"/>
        </w:rPr>
        <w:footnoteReference w:id="1"/>
      </w:r>
      <w:r w:rsidRPr="006E3C82">
        <w:rPr>
          <w:rFonts w:ascii="Arial Narrow" w:eastAsia="Arial Narrow" w:hAnsi="Arial Narrow" w:cs="Arial Narrow"/>
          <w:sz w:val="23"/>
          <w:szCs w:val="23"/>
          <w:u w:val="single"/>
        </w:rPr>
        <w:t xml:space="preserve"> tanto para la Entidad, como para los proponentes. Por lo tanto, el proponente debe tener especial cuidado al momento de estructurar la oferta económica aplicando las reglas señaladas en el pliego y registrar los valores en el sobre económico de la plataforma del SECOP II.</w:t>
      </w:r>
    </w:p>
    <w:p w14:paraId="2621461F" w14:textId="77777777" w:rsidR="008745D1" w:rsidRDefault="008745D1">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p>
    <w:p w14:paraId="658BDC51"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Cuando se considere que el precio final obtenido de la propuesta resulte artificialmente bajo, </w:t>
      </w:r>
      <w:r>
        <w:rPr>
          <w:rFonts w:ascii="Arial Narrow" w:eastAsia="Arial Narrow" w:hAnsi="Arial Narrow" w:cs="Arial Narrow"/>
          <w:sz w:val="23"/>
          <w:szCs w:val="23"/>
        </w:rPr>
        <w:t xml:space="preserve">en </w:t>
      </w:r>
      <w:r>
        <w:rPr>
          <w:rFonts w:ascii="Arial Narrow" w:eastAsia="Arial Narrow" w:hAnsi="Arial Narrow" w:cs="Arial Narrow"/>
          <w:color w:val="000000"/>
          <w:sz w:val="23"/>
          <w:szCs w:val="23"/>
        </w:rPr>
        <w:t>aplicación a la Guía G-MOAB-01 “Guía para el manejo de ofertas artificialmente bajas”, expedida por Colombia Compra Eficiente</w:t>
      </w:r>
      <w:r>
        <w:rPr>
          <w:rFonts w:ascii="Arial Narrow" w:eastAsia="Arial Narrow" w:hAnsi="Arial Narrow" w:cs="Arial Narrow"/>
          <w:sz w:val="23"/>
          <w:szCs w:val="23"/>
        </w:rPr>
        <w:t>. Lo anterior aplica igualmente para el caso de oferta única que haya cumplido con los requisitos habilitantes.</w:t>
      </w:r>
    </w:p>
    <w:p w14:paraId="418FED16" w14:textId="77777777" w:rsidR="008745D1" w:rsidRDefault="008745D1">
      <w:pPr>
        <w:widowControl w:val="0"/>
        <w:tabs>
          <w:tab w:val="left" w:pos="284"/>
        </w:tabs>
        <w:spacing w:after="0" w:line="240" w:lineRule="auto"/>
        <w:ind w:left="0" w:right="-2" w:hanging="2"/>
        <w:jc w:val="both"/>
        <w:rPr>
          <w:rFonts w:ascii="Arial Narrow" w:eastAsia="Arial Narrow" w:hAnsi="Arial Narrow" w:cs="Arial Narrow"/>
          <w:sz w:val="23"/>
          <w:szCs w:val="23"/>
        </w:rPr>
      </w:pPr>
    </w:p>
    <w:p w14:paraId="498740C7"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Cuando se presente oferta como proponente plural </w:t>
      </w:r>
      <w:r>
        <w:rPr>
          <w:rFonts w:ascii="Arial Narrow" w:eastAsia="Arial Narrow" w:hAnsi="Arial Narrow" w:cs="Arial Narrow"/>
          <w:b/>
          <w:sz w:val="23"/>
          <w:szCs w:val="23"/>
        </w:rPr>
        <w:t>desde otra cuenta en la plataforma SECOP II</w:t>
      </w:r>
      <w:r>
        <w:rPr>
          <w:rFonts w:ascii="Arial Narrow" w:eastAsia="Arial Narrow" w:hAnsi="Arial Narrow" w:cs="Arial Narrow"/>
          <w:sz w:val="23"/>
          <w:szCs w:val="23"/>
        </w:rPr>
        <w:t>.</w:t>
      </w:r>
    </w:p>
    <w:p w14:paraId="64CCFFB0" w14:textId="77777777" w:rsidR="008745D1" w:rsidRDefault="008745D1">
      <w:pPr>
        <w:pBdr>
          <w:top w:val="nil"/>
          <w:left w:val="nil"/>
          <w:bottom w:val="nil"/>
          <w:right w:val="nil"/>
          <w:between w:val="nil"/>
        </w:pBdr>
        <w:spacing w:after="0" w:line="240" w:lineRule="auto"/>
        <w:ind w:left="0" w:hanging="2"/>
        <w:rPr>
          <w:rFonts w:ascii="Arial Narrow" w:eastAsia="Arial Narrow" w:hAnsi="Arial Narrow" w:cs="Arial Narrow"/>
          <w:color w:val="000000"/>
          <w:sz w:val="23"/>
          <w:szCs w:val="23"/>
        </w:rPr>
      </w:pPr>
    </w:p>
    <w:p w14:paraId="2779E445"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Cuando un proponente, persona natural o el representante legal de la persona jurídica o del consorcio o unión temporal, se encuentre reportado en el boletín de antecedentes disciplinarios con sanción de destitución.</w:t>
      </w:r>
    </w:p>
    <w:p w14:paraId="0A370309" w14:textId="77777777" w:rsidR="008745D1" w:rsidRDefault="008745D1">
      <w:pPr>
        <w:pBdr>
          <w:top w:val="nil"/>
          <w:left w:val="nil"/>
          <w:bottom w:val="nil"/>
          <w:right w:val="nil"/>
          <w:between w:val="nil"/>
        </w:pBdr>
        <w:spacing w:after="0" w:line="240" w:lineRule="auto"/>
        <w:ind w:left="0" w:hanging="2"/>
        <w:rPr>
          <w:rFonts w:ascii="Arial Narrow" w:eastAsia="Arial Narrow" w:hAnsi="Arial Narrow" w:cs="Arial Narrow"/>
          <w:color w:val="000000"/>
          <w:sz w:val="23"/>
          <w:szCs w:val="23"/>
        </w:rPr>
      </w:pPr>
    </w:p>
    <w:p w14:paraId="7B7C2D2F"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Cuando el proponente persona natural o representante legal de la persona jurídica o del consorcio o unión temporal, según el caso, registre antecedentes judiciales consistentes en sentencia judicial ejecutoriada con pena accesoria de interdicción de derechos y funciones públicas.</w:t>
      </w:r>
    </w:p>
    <w:p w14:paraId="65DE57C3" w14:textId="77777777" w:rsidR="008745D1" w:rsidRDefault="008745D1">
      <w:pPr>
        <w:pBdr>
          <w:top w:val="nil"/>
          <w:left w:val="nil"/>
          <w:bottom w:val="nil"/>
          <w:right w:val="nil"/>
          <w:between w:val="nil"/>
        </w:pBdr>
        <w:spacing w:after="0" w:line="240" w:lineRule="auto"/>
        <w:ind w:left="0" w:hanging="2"/>
        <w:rPr>
          <w:rFonts w:ascii="Arial Narrow" w:eastAsia="Arial Narrow" w:hAnsi="Arial Narrow" w:cs="Arial Narrow"/>
          <w:color w:val="000000"/>
          <w:sz w:val="23"/>
          <w:szCs w:val="23"/>
        </w:rPr>
      </w:pPr>
    </w:p>
    <w:p w14:paraId="1DD9BF11"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Cuando la FGN modifique el cuestionario o garantía de seriedad de la oferta en la sección de “configuración” a través de adenda y </w:t>
      </w:r>
      <w:r>
        <w:rPr>
          <w:rFonts w:ascii="Arial Narrow" w:eastAsia="Arial Narrow" w:hAnsi="Arial Narrow" w:cs="Arial Narrow"/>
          <w:sz w:val="23"/>
          <w:szCs w:val="23"/>
          <w:u w:val="single"/>
        </w:rPr>
        <w:t>el interesado no “Aplique la Modificación”</w:t>
      </w:r>
      <w:r>
        <w:rPr>
          <w:rFonts w:ascii="Arial Narrow" w:eastAsia="Arial Narrow" w:hAnsi="Arial Narrow" w:cs="Arial Narrow"/>
          <w:sz w:val="23"/>
          <w:szCs w:val="23"/>
        </w:rPr>
        <w:t xml:space="preserve"> y vuelva a presentar la oferta a través de la plataforma del SECOP II, en el evento que la oferta haya sido presentada antes de la publicación de la respectiva Adenda.</w:t>
      </w:r>
      <w:r>
        <w:rPr>
          <w:rFonts w:ascii="Arial Narrow" w:eastAsia="Arial Narrow" w:hAnsi="Arial Narrow" w:cs="Arial Narrow"/>
          <w:sz w:val="23"/>
          <w:szCs w:val="23"/>
          <w:vertAlign w:val="superscript"/>
        </w:rPr>
        <w:footnoteReference w:id="2"/>
      </w:r>
    </w:p>
    <w:p w14:paraId="45839FE1" w14:textId="77777777" w:rsidR="008745D1" w:rsidRDefault="008745D1">
      <w:pPr>
        <w:spacing w:after="0" w:line="240" w:lineRule="auto"/>
        <w:ind w:left="0" w:right="-2" w:hanging="2"/>
        <w:jc w:val="both"/>
        <w:rPr>
          <w:rFonts w:ascii="Arial Narrow" w:eastAsia="Arial Narrow" w:hAnsi="Arial Narrow" w:cs="Arial Narrow"/>
          <w:color w:val="000000"/>
          <w:sz w:val="23"/>
          <w:szCs w:val="23"/>
        </w:rPr>
      </w:pPr>
    </w:p>
    <w:p w14:paraId="6599571F" w14:textId="77777777" w:rsidR="008745D1" w:rsidRDefault="00062AC1">
      <w:pPr>
        <w:widowControl w:val="0"/>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b/>
          <w:sz w:val="23"/>
          <w:szCs w:val="23"/>
        </w:rPr>
        <w:t>Nota</w:t>
      </w:r>
      <w:r>
        <w:rPr>
          <w:rFonts w:ascii="Arial Narrow" w:eastAsia="Arial Narrow" w:hAnsi="Arial Narrow" w:cs="Arial Narrow"/>
          <w:sz w:val="23"/>
          <w:szCs w:val="23"/>
        </w:rPr>
        <w:t>: En el evento de adelantar procesos por grupos, y se presente alguna de las modificaciones señaladas anteriormente, el proponente debe retirar la oferta y volverla a cargar en la plataforma SECOP II aunque la adenda no haya afectado el grupo al que presenta oferta. Lo anterior, debido a que las adendas antes del cierre se realizan en el marco del proceso propiamente dicho e impide habilitarlo para la subasta y/o suscribir el contrato electrónico en caso de resultar adjudicatario.</w:t>
      </w:r>
    </w:p>
    <w:p w14:paraId="46B03F0A" w14:textId="77777777" w:rsidR="008745D1" w:rsidRDefault="00062AC1">
      <w:pPr>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726F495B"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Para el caso de los consorcios y uniones temporales, incurrirán en causal de rechazo cuando alguno de los </w:t>
      </w:r>
      <w:r>
        <w:rPr>
          <w:rFonts w:ascii="Arial Narrow" w:eastAsia="Arial Narrow" w:hAnsi="Arial Narrow" w:cs="Arial Narrow"/>
          <w:color w:val="000000"/>
          <w:sz w:val="23"/>
          <w:szCs w:val="23"/>
        </w:rPr>
        <w:lastRenderedPageBreak/>
        <w:t xml:space="preserve">integrantes </w:t>
      </w:r>
      <w:r>
        <w:rPr>
          <w:rFonts w:ascii="Arial Narrow" w:eastAsia="Arial Narrow" w:hAnsi="Arial Narrow" w:cs="Arial Narrow"/>
          <w:sz w:val="23"/>
          <w:szCs w:val="23"/>
        </w:rPr>
        <w:t>esté</w:t>
      </w:r>
      <w:r>
        <w:rPr>
          <w:rFonts w:ascii="Arial Narrow" w:eastAsia="Arial Narrow" w:hAnsi="Arial Narrow" w:cs="Arial Narrow"/>
          <w:color w:val="000000"/>
          <w:sz w:val="23"/>
          <w:szCs w:val="23"/>
        </w:rPr>
        <w:t xml:space="preserve"> inmerso en los numerales antes mencionados.</w:t>
      </w:r>
    </w:p>
    <w:p w14:paraId="325E2963" w14:textId="77777777" w:rsidR="008745D1" w:rsidRDefault="008745D1">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p>
    <w:p w14:paraId="61668238"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 no presentación de la GARANTÍA DE SERIEDAD de la oferta junto con la propuesta. </w:t>
      </w:r>
    </w:p>
    <w:p w14:paraId="349E9495" w14:textId="77777777" w:rsidR="008745D1" w:rsidRDefault="008745D1">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p>
    <w:p w14:paraId="42B6E3BB"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Las demás indicadas en el pliego de condiciones. </w:t>
      </w:r>
    </w:p>
    <w:p w14:paraId="7D4B6156" w14:textId="77777777" w:rsidR="008745D1" w:rsidRDefault="008745D1">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p>
    <w:p w14:paraId="4FE2095E" w14:textId="77777777" w:rsidR="008745D1" w:rsidRDefault="00062AC1">
      <w:pPr>
        <w:widowControl w:val="0"/>
        <w:numPr>
          <w:ilvl w:val="0"/>
          <w:numId w:val="13"/>
        </w:numP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Toda otra causa contemplada en las normas legales vigentes.</w:t>
      </w:r>
    </w:p>
    <w:p w14:paraId="2D8E2EFF" w14:textId="77777777" w:rsidR="008745D1" w:rsidRDefault="008745D1">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bookmarkStart w:id="23" w:name="_heading=h.4i7ojhp" w:colFirst="0" w:colLast="0"/>
      <w:bookmarkEnd w:id="22"/>
      <w:bookmarkEnd w:id="23"/>
    </w:p>
    <w:p w14:paraId="42ADA9EE"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3.13. Observaciones al proyecto de pliego y/o pliego de condiciones definitivo y su documento complementario.</w:t>
      </w:r>
    </w:p>
    <w:p w14:paraId="1B5CD945" w14:textId="77777777" w:rsidR="008745D1" w:rsidRDefault="008745D1">
      <w:pPr>
        <w:widowControl w:val="0"/>
        <w:spacing w:after="0" w:line="240" w:lineRule="auto"/>
        <w:ind w:left="0" w:hanging="2"/>
        <w:jc w:val="both"/>
        <w:rPr>
          <w:rFonts w:ascii="Arial Narrow" w:eastAsia="Arial Narrow" w:hAnsi="Arial Narrow" w:cs="Arial Narrow"/>
          <w:color w:val="000000"/>
          <w:sz w:val="23"/>
          <w:szCs w:val="23"/>
        </w:rPr>
      </w:pPr>
    </w:p>
    <w:p w14:paraId="5407DC52"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Las observaciones al pliego de condiciones deberán realizarse exclusivamente a través del SECOP II en la sección “Observaciones al Pliego de Condiciones” del área de trabajo del proceso, hasta la fecha y hora límite establecida en el cronograma del documento complementario del SECOP II, las cuales serán resueltas mediante documento denominado </w:t>
      </w:r>
      <w:r>
        <w:rPr>
          <w:rFonts w:ascii="Arial Narrow" w:eastAsia="Arial Narrow" w:hAnsi="Arial Narrow" w:cs="Arial Narrow"/>
          <w:b/>
          <w:color w:val="000000"/>
          <w:sz w:val="23"/>
          <w:szCs w:val="23"/>
        </w:rPr>
        <w:t>“FORMULARIO DE PREGUNTAS Y RESPUESTAS”</w:t>
      </w:r>
      <w:r>
        <w:rPr>
          <w:rFonts w:ascii="Arial Narrow" w:eastAsia="Arial Narrow" w:hAnsi="Arial Narrow" w:cs="Arial Narrow"/>
          <w:color w:val="000000"/>
          <w:sz w:val="23"/>
          <w:szCs w:val="23"/>
        </w:rPr>
        <w:t>, publicado en esta misma plataforma.</w:t>
      </w:r>
    </w:p>
    <w:p w14:paraId="4C9C0EBA" w14:textId="77777777" w:rsidR="008745D1" w:rsidRDefault="00062AC1">
      <w:pPr>
        <w:spacing w:line="240" w:lineRule="auto"/>
        <w:ind w:left="0" w:hanging="2"/>
        <w:jc w:val="both"/>
        <w:rPr>
          <w:rFonts w:ascii="Arial Narrow" w:eastAsia="Arial Narrow" w:hAnsi="Arial Narrow" w:cs="Arial Narrow"/>
          <w:color w:val="000000"/>
          <w:sz w:val="23"/>
          <w:szCs w:val="23"/>
        </w:rPr>
      </w:pPr>
      <w:bookmarkStart w:id="24" w:name="_heading=h.2xcytpi" w:colFirst="0" w:colLast="0"/>
      <w:bookmarkEnd w:id="24"/>
      <w:r>
        <w:rPr>
          <w:rFonts w:ascii="Arial Narrow" w:eastAsia="Arial Narrow" w:hAnsi="Arial Narrow" w:cs="Arial Narrow"/>
          <w:color w:val="000000"/>
          <w:sz w:val="23"/>
          <w:szCs w:val="23"/>
        </w:rPr>
        <w:t xml:space="preserve">Para el envío de observaciones al pliego de condiciones deberán seguir el procedimiento establecido por la Agencia Nacional de Contratación Pública – Colombia Compra Eficiente en la guía la presentación de observaciones al proceso de contratación que encuentra disponible en el siguiente enlace: </w:t>
      </w:r>
      <w:hyperlink r:id="rId21">
        <w:r>
          <w:rPr>
            <w:rFonts w:ascii="Arial Narrow" w:eastAsia="Arial Narrow" w:hAnsi="Arial Narrow" w:cs="Arial Narrow"/>
            <w:color w:val="000000"/>
            <w:sz w:val="23"/>
            <w:szCs w:val="23"/>
          </w:rPr>
          <w:t>https://www.colombiacompra.gov.co/secop-ii/proveedores</w:t>
        </w:r>
      </w:hyperlink>
      <w:r>
        <w:rPr>
          <w:rFonts w:ascii="Arial Narrow" w:eastAsia="Arial Narrow" w:hAnsi="Arial Narrow" w:cs="Arial Narrow"/>
          <w:color w:val="000000"/>
          <w:sz w:val="23"/>
          <w:szCs w:val="23"/>
        </w:rPr>
        <w:t xml:space="preserve"> en la sección “Presentar observaciones”.</w:t>
      </w:r>
    </w:p>
    <w:p w14:paraId="19EDE6B7"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interesado indicará en su escrito el número de la página con su correspondiente numeral, subordinal o inciso del pliego de condiciones sobre el cual efectúa la observación respectiva.</w:t>
      </w:r>
    </w:p>
    <w:p w14:paraId="56B8B898" w14:textId="77777777" w:rsidR="008745D1" w:rsidRDefault="00062AC1">
      <w:pPr>
        <w:widowControl w:val="0"/>
        <w:tabs>
          <w:tab w:val="left" w:pos="0"/>
        </w:tabs>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 FGN analizará las inquietudes presentadas por los proponentes y cuando dichas solicitudes impliquen modificaciones al pliego de condiciones, éstas se harán mediante Adendas numeradas y formarán parte del pliego de condiciones, siendo de obligatorio análisis para la preparación de las propuestas. </w:t>
      </w:r>
      <w:r>
        <w:rPr>
          <w:rFonts w:ascii="Arial Narrow" w:eastAsia="Arial Narrow" w:hAnsi="Arial Narrow" w:cs="Arial Narrow"/>
          <w:b/>
          <w:color w:val="000000"/>
          <w:sz w:val="23"/>
          <w:szCs w:val="23"/>
        </w:rPr>
        <w:t>El plazo máximo para modificar el pliego de condiciones a través de adenda será el día hábil anterior al vencimiento del plazo para presentar ofertas.</w:t>
      </w:r>
      <w:r>
        <w:rPr>
          <w:rFonts w:ascii="Arial Narrow" w:eastAsia="Arial Narrow" w:hAnsi="Arial Narrow" w:cs="Arial Narrow"/>
          <w:color w:val="000000"/>
          <w:sz w:val="23"/>
          <w:szCs w:val="23"/>
        </w:rPr>
        <w:t xml:space="preserve"> </w:t>
      </w:r>
    </w:p>
    <w:p w14:paraId="078E8F51" w14:textId="77777777" w:rsidR="008745D1" w:rsidRDefault="00062AC1">
      <w:pPr>
        <w:tabs>
          <w:tab w:val="left" w:pos="0"/>
        </w:tabs>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Dichas adendas se publicarán en el Sistema Electrónico para la Contratación Pública SECOP II.</w:t>
      </w:r>
    </w:p>
    <w:p w14:paraId="031CBFB7" w14:textId="77777777" w:rsidR="008745D1" w:rsidRDefault="00062AC1">
      <w:pPr>
        <w:tabs>
          <w:tab w:val="left" w:pos="0"/>
        </w:tabs>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 consulta y la respuesta a las observaciones formuladas por los interesados no producirán efecto suspensivo sobre el plazo de presentación de las propuestas. </w:t>
      </w:r>
    </w:p>
    <w:p w14:paraId="00F3862F"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La FGN no aceptará después del cierre del proceso de selección, cuestionamientos sobre el contenido del alcance de las estipulaciones y exigencias establecidas en el pliego de condiciones.</w:t>
      </w:r>
    </w:p>
    <w:p w14:paraId="196F5D1F" w14:textId="77777777" w:rsidR="008745D1" w:rsidRDefault="00062AC1">
      <w:pPr>
        <w:pBdr>
          <w:top w:val="single" w:sz="4" w:space="1" w:color="000000"/>
          <w:left w:val="single" w:sz="4" w:space="0" w:color="000000"/>
          <w:bottom w:val="single" w:sz="4" w:space="1" w:color="000000"/>
          <w:right w:val="single" w:sz="4" w:space="4" w:color="000000"/>
        </w:pBdr>
        <w:spacing w:line="240" w:lineRule="auto"/>
        <w:ind w:left="0" w:hanging="2"/>
        <w:jc w:val="both"/>
        <w:rPr>
          <w:rFonts w:ascii="Arial Narrow" w:eastAsia="Arial Narrow" w:hAnsi="Arial Narrow" w:cs="Arial Narrow"/>
          <w:color w:val="000000"/>
          <w:sz w:val="23"/>
          <w:szCs w:val="23"/>
        </w:rPr>
      </w:pPr>
      <w:bookmarkStart w:id="25" w:name="_heading=h.1ci93xb" w:colFirst="0" w:colLast="0"/>
      <w:bookmarkEnd w:id="25"/>
      <w:r>
        <w:rPr>
          <w:rFonts w:ascii="Arial Narrow" w:eastAsia="Arial Narrow" w:hAnsi="Arial Narrow" w:cs="Arial Narrow"/>
          <w:b/>
          <w:color w:val="000000"/>
          <w:sz w:val="23"/>
          <w:szCs w:val="23"/>
          <w:u w:val="single"/>
        </w:rPr>
        <w:t>NOTA:</w:t>
      </w:r>
      <w:r>
        <w:rPr>
          <w:rFonts w:ascii="Arial Narrow" w:eastAsia="Arial Narrow" w:hAnsi="Arial Narrow" w:cs="Arial Narrow"/>
          <w:b/>
          <w:color w:val="000000"/>
          <w:sz w:val="23"/>
          <w:szCs w:val="23"/>
        </w:rPr>
        <w:t xml:space="preserve"> La FGN no atenderá consultas personales ni telefónicas. Toda solicitud de aclaración debe presentarse por escrito y en los términos señalados en el presente pliego de condiciones a   través del SECOP II.</w:t>
      </w:r>
    </w:p>
    <w:p w14:paraId="60542088"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b/>
          <w:sz w:val="23"/>
          <w:szCs w:val="23"/>
        </w:rPr>
      </w:pPr>
    </w:p>
    <w:p w14:paraId="1670E9EA"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3.14. Adendas</w:t>
      </w:r>
    </w:p>
    <w:p w14:paraId="04CA8044"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67A76467" w14:textId="77777777" w:rsidR="008745D1" w:rsidRDefault="00062AC1">
      <w:pPr>
        <w:spacing w:line="240" w:lineRule="auto"/>
        <w:ind w:left="0" w:hanging="2"/>
        <w:jc w:val="both"/>
        <w:rPr>
          <w:rFonts w:ascii="Arial Narrow" w:eastAsia="Arial Narrow" w:hAnsi="Arial Narrow" w:cs="Arial Narrow"/>
          <w:color w:val="000000"/>
          <w:sz w:val="23"/>
          <w:szCs w:val="23"/>
        </w:rPr>
      </w:pPr>
      <w:bookmarkStart w:id="26" w:name="_Hlk204266239"/>
      <w:r>
        <w:rPr>
          <w:rFonts w:ascii="Arial Narrow" w:eastAsia="Arial Narrow" w:hAnsi="Arial Narrow" w:cs="Arial Narrow"/>
          <w:color w:val="000000"/>
          <w:sz w:val="23"/>
          <w:szCs w:val="23"/>
        </w:rPr>
        <w:t xml:space="preserve">Las adendas serán realizadas a través del SECOP II. </w:t>
      </w:r>
    </w:p>
    <w:p w14:paraId="1BC3A9FF" w14:textId="77777777" w:rsidR="008745D1" w:rsidRDefault="00062AC1">
      <w:pPr>
        <w:spacing w:line="240" w:lineRule="auto"/>
        <w:ind w:left="0" w:hanging="2"/>
        <w:jc w:val="both"/>
        <w:rPr>
          <w:rFonts w:ascii="Arial Narrow" w:eastAsia="Arial Narrow" w:hAnsi="Arial Narrow" w:cs="Arial Narrow"/>
          <w:color w:val="000000"/>
          <w:sz w:val="23"/>
          <w:szCs w:val="23"/>
        </w:rPr>
      </w:pPr>
      <w:bookmarkStart w:id="27" w:name="_heading=h.3whwml4" w:colFirst="0" w:colLast="0"/>
      <w:bookmarkEnd w:id="27"/>
      <w:r>
        <w:rPr>
          <w:rFonts w:ascii="Arial Narrow" w:eastAsia="Arial Narrow" w:hAnsi="Arial Narrow" w:cs="Arial Narrow"/>
          <w:color w:val="000000"/>
          <w:sz w:val="23"/>
          <w:szCs w:val="23"/>
        </w:rPr>
        <w:t>Tenga en cuenta, que en caso de que la Fiscalía General de la Nación realice una adenda al proceso de contratación que modifique la garantía de la seriedad de la oferta, en la sección de configuración o en la sección del cuestionario del pliego de condiciones electrónico, el oferente debe retirar la oferta anterior y presentar una nueva oferta aplicando los cambios incorporados por la Entidad. Esto es para asegurar que leyó y comprendió los cambios incorporados al pliego de condiciones. Si no se vuelve a presentar la oferta, la oferta anterior no será válida, es decir que no podrá ser adjudicada. Para verificar adendas cuando ya ha enviado su oferta, debe ingresar a la sección “Notificaciones” del área de trabajo del Proceso.</w:t>
      </w:r>
    </w:p>
    <w:bookmarkEnd w:id="26"/>
    <w:p w14:paraId="3C5D68AA" w14:textId="77777777" w:rsidR="008745D1" w:rsidRDefault="00062AC1">
      <w:pPr>
        <w:pBdr>
          <w:top w:val="nil"/>
          <w:left w:val="nil"/>
          <w:bottom w:val="nil"/>
          <w:right w:val="nil"/>
          <w:between w:val="nil"/>
        </w:pBdr>
        <w:tabs>
          <w:tab w:val="left" w:pos="1134"/>
        </w:tabs>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 xml:space="preserve">3.15. Garantías. </w:t>
      </w:r>
    </w:p>
    <w:p w14:paraId="6685111B" w14:textId="77777777" w:rsidR="008745D1" w:rsidRDefault="008745D1">
      <w:pPr>
        <w:pBdr>
          <w:top w:val="nil"/>
          <w:left w:val="nil"/>
          <w:bottom w:val="nil"/>
          <w:right w:val="nil"/>
          <w:between w:val="nil"/>
        </w:pBdr>
        <w:tabs>
          <w:tab w:val="left" w:pos="1134"/>
        </w:tabs>
        <w:spacing w:after="0" w:line="240" w:lineRule="auto"/>
        <w:ind w:left="0" w:hanging="2"/>
        <w:jc w:val="both"/>
        <w:rPr>
          <w:rFonts w:ascii="Arial Narrow" w:eastAsia="Arial Narrow" w:hAnsi="Arial Narrow" w:cs="Arial Narrow"/>
          <w:b/>
          <w:sz w:val="23"/>
          <w:szCs w:val="23"/>
        </w:rPr>
      </w:pPr>
    </w:p>
    <w:p w14:paraId="19EE205D" w14:textId="77777777" w:rsidR="008745D1" w:rsidRDefault="00062AC1">
      <w:pPr>
        <w:widowControl w:val="0"/>
        <w:numPr>
          <w:ilvl w:val="0"/>
          <w:numId w:val="11"/>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 xml:space="preserve">Garantía de Seriedad </w:t>
      </w:r>
    </w:p>
    <w:p w14:paraId="5F5C444F" w14:textId="77777777" w:rsidR="008745D1" w:rsidRDefault="008745D1">
      <w:pPr>
        <w:widowControl w:val="0"/>
        <w:spacing w:after="0" w:line="240" w:lineRule="auto"/>
        <w:ind w:left="0" w:hanging="2"/>
        <w:jc w:val="both"/>
        <w:rPr>
          <w:rFonts w:ascii="Arial Narrow" w:eastAsia="Arial Narrow" w:hAnsi="Arial Narrow" w:cs="Arial Narrow"/>
          <w:sz w:val="23"/>
          <w:szCs w:val="23"/>
        </w:rPr>
      </w:pPr>
    </w:p>
    <w:p w14:paraId="71B57133" w14:textId="77777777" w:rsidR="008745D1" w:rsidRDefault="00062AC1">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proponente debe presentar junto con la oferta una garantía de seriedad de la oferta a favor de la Fiscalía General de la Nación con NIT. 800.152.783-2, por un valor del diez por ciento (10%) del valor del presupuesto oficial del presente proceso y con vigencia de noventa (90) días calendario, contados desde la fecha de presentación de ofertas establecida en el cronograma.</w:t>
      </w:r>
    </w:p>
    <w:p w14:paraId="58C49DF3" w14:textId="77777777" w:rsidR="008745D1" w:rsidRDefault="008745D1">
      <w:pPr>
        <w:spacing w:after="0" w:line="240" w:lineRule="auto"/>
        <w:ind w:left="0" w:hanging="2"/>
        <w:jc w:val="both"/>
        <w:rPr>
          <w:rFonts w:ascii="Arial Narrow" w:eastAsia="Arial Narrow" w:hAnsi="Arial Narrow" w:cs="Arial Narrow"/>
          <w:sz w:val="23"/>
          <w:szCs w:val="23"/>
        </w:rPr>
      </w:pPr>
    </w:p>
    <w:p w14:paraId="09EC46D3" w14:textId="77777777" w:rsidR="008745D1" w:rsidRDefault="00062AC1">
      <w:pPr>
        <w:spacing w:line="240" w:lineRule="auto"/>
        <w:ind w:left="0" w:hanging="2"/>
        <w:jc w:val="center"/>
        <w:rPr>
          <w:rFonts w:ascii="Arial Narrow" w:eastAsia="Arial Narrow" w:hAnsi="Arial Narrow" w:cs="Arial Narrow"/>
          <w:sz w:val="23"/>
          <w:szCs w:val="23"/>
        </w:rPr>
      </w:pPr>
      <w:r>
        <w:rPr>
          <w:rFonts w:ascii="Arial Narrow" w:eastAsia="Arial Narrow" w:hAnsi="Arial Narrow" w:cs="Arial Narrow"/>
          <w:b/>
          <w:sz w:val="23"/>
          <w:szCs w:val="23"/>
        </w:rPr>
        <w:t>Seriedad de la Oferta.</w:t>
      </w:r>
    </w:p>
    <w:tbl>
      <w:tblPr>
        <w:tblStyle w:val="afff"/>
        <w:tblW w:w="93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55"/>
        <w:gridCol w:w="3723"/>
        <w:gridCol w:w="3702"/>
      </w:tblGrid>
      <w:tr w:rsidR="008745D1" w14:paraId="233FAB32" w14:textId="77777777">
        <w:trPr>
          <w:trHeight w:val="513"/>
          <w:tblHeader/>
          <w:jc w:val="center"/>
        </w:trPr>
        <w:tc>
          <w:tcPr>
            <w:tcW w:w="1955" w:type="dxa"/>
            <w:shd w:val="clear" w:color="auto" w:fill="D9D9D9"/>
            <w:vAlign w:val="center"/>
          </w:tcPr>
          <w:p w14:paraId="4865D46F" w14:textId="77777777" w:rsidR="008745D1" w:rsidRDefault="00062AC1">
            <w:pPr>
              <w:spacing w:line="240" w:lineRule="auto"/>
              <w:ind w:left="0" w:hanging="2"/>
              <w:jc w:val="center"/>
              <w:rPr>
                <w:rFonts w:ascii="Arial Narrow" w:eastAsia="Arial Narrow" w:hAnsi="Arial Narrow" w:cs="Arial Narrow"/>
              </w:rPr>
            </w:pPr>
            <w:r>
              <w:rPr>
                <w:rFonts w:ascii="Arial Narrow" w:eastAsia="Arial Narrow" w:hAnsi="Arial Narrow" w:cs="Arial Narrow"/>
                <w:b/>
              </w:rPr>
              <w:t>AMPARO</w:t>
            </w:r>
          </w:p>
        </w:tc>
        <w:tc>
          <w:tcPr>
            <w:tcW w:w="3723" w:type="dxa"/>
            <w:shd w:val="clear" w:color="auto" w:fill="D9D9D9"/>
            <w:vAlign w:val="center"/>
          </w:tcPr>
          <w:p w14:paraId="0593809E" w14:textId="77777777" w:rsidR="008745D1" w:rsidRDefault="00062AC1">
            <w:pPr>
              <w:spacing w:line="240" w:lineRule="auto"/>
              <w:ind w:left="0" w:hanging="2"/>
              <w:jc w:val="center"/>
              <w:rPr>
                <w:rFonts w:ascii="Arial Narrow" w:eastAsia="Arial Narrow" w:hAnsi="Arial Narrow" w:cs="Arial Narrow"/>
              </w:rPr>
            </w:pPr>
            <w:r>
              <w:rPr>
                <w:rFonts w:ascii="Arial Narrow" w:eastAsia="Arial Narrow" w:hAnsi="Arial Narrow" w:cs="Arial Narrow"/>
                <w:b/>
              </w:rPr>
              <w:t>SUFICIENCIA DEL PRESUPUESTO DEL PROCESO</w:t>
            </w:r>
          </w:p>
        </w:tc>
        <w:tc>
          <w:tcPr>
            <w:tcW w:w="3702" w:type="dxa"/>
            <w:shd w:val="clear" w:color="auto" w:fill="D9D9D9"/>
            <w:vAlign w:val="center"/>
          </w:tcPr>
          <w:p w14:paraId="06B9DC28" w14:textId="77777777" w:rsidR="008745D1" w:rsidRDefault="00062AC1">
            <w:pPr>
              <w:spacing w:line="240" w:lineRule="auto"/>
              <w:ind w:left="0" w:hanging="2"/>
              <w:jc w:val="center"/>
              <w:rPr>
                <w:rFonts w:ascii="Arial Narrow" w:eastAsia="Arial Narrow" w:hAnsi="Arial Narrow" w:cs="Arial Narrow"/>
              </w:rPr>
            </w:pPr>
            <w:r>
              <w:rPr>
                <w:rFonts w:ascii="Arial Narrow" w:eastAsia="Arial Narrow" w:hAnsi="Arial Narrow" w:cs="Arial Narrow"/>
                <w:b/>
              </w:rPr>
              <w:t>VIGENCIA</w:t>
            </w:r>
          </w:p>
        </w:tc>
      </w:tr>
      <w:tr w:rsidR="008745D1" w14:paraId="7FAB2D45" w14:textId="77777777">
        <w:trPr>
          <w:trHeight w:val="828"/>
          <w:jc w:val="center"/>
        </w:trPr>
        <w:tc>
          <w:tcPr>
            <w:tcW w:w="1955" w:type="dxa"/>
          </w:tcPr>
          <w:p w14:paraId="5C976DA3" w14:textId="77777777" w:rsidR="008745D1" w:rsidRDefault="00062AC1">
            <w:pPr>
              <w:spacing w:line="240" w:lineRule="auto"/>
              <w:ind w:left="0" w:hanging="2"/>
              <w:jc w:val="center"/>
              <w:rPr>
                <w:rFonts w:ascii="Arial Narrow" w:eastAsia="Arial Narrow" w:hAnsi="Arial Narrow" w:cs="Arial Narrow"/>
              </w:rPr>
            </w:pPr>
            <w:r>
              <w:rPr>
                <w:rFonts w:ascii="Arial Narrow" w:eastAsia="Arial Narrow" w:hAnsi="Arial Narrow" w:cs="Arial Narrow"/>
              </w:rPr>
              <w:t>Seriedad de la oferta</w:t>
            </w:r>
          </w:p>
        </w:tc>
        <w:tc>
          <w:tcPr>
            <w:tcW w:w="3723" w:type="dxa"/>
          </w:tcPr>
          <w:p w14:paraId="3855E334" w14:textId="77777777" w:rsidR="008745D1" w:rsidRDefault="00062AC1">
            <w:pPr>
              <w:spacing w:line="240" w:lineRule="auto"/>
              <w:ind w:left="0" w:hanging="2"/>
              <w:jc w:val="center"/>
              <w:rPr>
                <w:rFonts w:ascii="Arial Narrow" w:eastAsia="Arial Narrow" w:hAnsi="Arial Narrow" w:cs="Arial Narrow"/>
              </w:rPr>
            </w:pPr>
            <w:r>
              <w:rPr>
                <w:rFonts w:ascii="Arial Narrow" w:eastAsia="Arial Narrow" w:hAnsi="Arial Narrow" w:cs="Arial Narrow"/>
              </w:rPr>
              <w:t>10%</w:t>
            </w:r>
          </w:p>
        </w:tc>
        <w:tc>
          <w:tcPr>
            <w:tcW w:w="3702" w:type="dxa"/>
          </w:tcPr>
          <w:p w14:paraId="51FA0553" w14:textId="77777777" w:rsidR="008745D1" w:rsidRDefault="00062AC1">
            <w:pPr>
              <w:spacing w:line="240" w:lineRule="auto"/>
              <w:ind w:left="0" w:hanging="2"/>
              <w:jc w:val="center"/>
              <w:rPr>
                <w:rFonts w:ascii="Arial Narrow" w:eastAsia="Arial Narrow" w:hAnsi="Arial Narrow" w:cs="Arial Narrow"/>
              </w:rPr>
            </w:pPr>
            <w:r>
              <w:rPr>
                <w:rFonts w:ascii="Arial Narrow" w:eastAsia="Arial Narrow" w:hAnsi="Arial Narrow" w:cs="Arial Narrow"/>
              </w:rPr>
              <w:t>Noventa (90) días calendario contados desde la fecha de presentación de ofertas establecida en el cronograma.</w:t>
            </w:r>
          </w:p>
        </w:tc>
      </w:tr>
    </w:tbl>
    <w:p w14:paraId="64F4B463"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1AB931C7" w14:textId="77777777" w:rsidR="008745D1" w:rsidRDefault="00062AC1">
      <w:pPr>
        <w:numPr>
          <w:ilvl w:val="0"/>
          <w:numId w:val="11"/>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Garantía De Cumplimiento</w:t>
      </w:r>
    </w:p>
    <w:p w14:paraId="4DB763C7"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0F7BA3E2" w14:textId="77777777" w:rsidR="008745D1" w:rsidRDefault="00062AC1">
      <w:pPr>
        <w:spacing w:after="0" w:line="240" w:lineRule="auto"/>
        <w:ind w:left="0" w:hanging="2"/>
        <w:jc w:val="both"/>
        <w:rPr>
          <w:rFonts w:ascii="Arial Narrow" w:eastAsia="Arial Narrow" w:hAnsi="Arial Narrow" w:cs="Arial Narrow"/>
          <w:color w:val="000000"/>
          <w:sz w:val="23"/>
          <w:szCs w:val="23"/>
        </w:rPr>
      </w:pPr>
      <w:bookmarkStart w:id="28" w:name="_Hlk204266694"/>
      <w:r>
        <w:rPr>
          <w:rFonts w:ascii="Arial Narrow" w:eastAsia="Arial Narrow" w:hAnsi="Arial Narrow" w:cs="Arial Narrow"/>
          <w:color w:val="000000"/>
          <w:sz w:val="23"/>
          <w:szCs w:val="23"/>
        </w:rPr>
        <w:t xml:space="preserve">El contratista deberá asumir por su cuenta y costo, a fin de asegurar el cumplimiento de las obligaciones emanadas del contrato, cualquiera de las garantías establecidas en el artículo 2.2.1.2.3.1.2 del Decreto 1082 de 2015 a favor de la Fiscalía General de la Nación con NIT. 800.152.783-2, de conformidad con la Subsección 1 de la Sección 3 del Decreto 1082 de 2015, y que cubra los riesgos en </w:t>
      </w:r>
      <w:r>
        <w:rPr>
          <w:rFonts w:ascii="Arial Narrow" w:eastAsia="Arial Narrow" w:hAnsi="Arial Narrow" w:cs="Arial Narrow"/>
          <w:b/>
          <w:color w:val="000000"/>
          <w:sz w:val="23"/>
          <w:szCs w:val="23"/>
        </w:rPr>
        <w:t>suficiencia y vigencia señalados en la plataforma SECOP II y en el documento complementario al contrato electrónico.</w:t>
      </w:r>
    </w:p>
    <w:bookmarkEnd w:id="28"/>
    <w:p w14:paraId="154ADFBC" w14:textId="77777777" w:rsidR="008745D1" w:rsidRDefault="008745D1">
      <w:pPr>
        <w:spacing w:line="240" w:lineRule="auto"/>
        <w:ind w:left="0" w:hanging="2"/>
        <w:jc w:val="center"/>
        <w:rPr>
          <w:rFonts w:ascii="Arial Narrow" w:eastAsia="Arial Narrow" w:hAnsi="Arial Narrow" w:cs="Arial Narrow"/>
          <w:color w:val="000000"/>
          <w:sz w:val="23"/>
          <w:szCs w:val="23"/>
        </w:rPr>
      </w:pPr>
    </w:p>
    <w:p w14:paraId="7475DF79" w14:textId="77777777" w:rsidR="008745D1" w:rsidRDefault="00062AC1">
      <w:pPr>
        <w:spacing w:line="240" w:lineRule="auto"/>
        <w:ind w:left="0" w:hanging="2"/>
        <w:jc w:val="center"/>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Suficiencia y vigencia de los amparos de la garantía de cumplimiento.</w:t>
      </w:r>
    </w:p>
    <w:tbl>
      <w:tblPr>
        <w:tblStyle w:val="afff0"/>
        <w:tblW w:w="950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73"/>
        <w:gridCol w:w="2332"/>
        <w:gridCol w:w="2702"/>
      </w:tblGrid>
      <w:tr w:rsidR="008745D1" w14:paraId="2777EBE5" w14:textId="77777777" w:rsidTr="00BB0CC7">
        <w:trPr>
          <w:trHeight w:val="461"/>
          <w:jc w:val="center"/>
        </w:trPr>
        <w:tc>
          <w:tcPr>
            <w:tcW w:w="4473"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690B1D4A" w14:textId="77777777" w:rsidR="008745D1" w:rsidRDefault="00062AC1">
            <w:pPr>
              <w:ind w:left="0" w:hanging="2"/>
              <w:jc w:val="center"/>
              <w:rPr>
                <w:rFonts w:ascii="Arial Narrow" w:eastAsia="Arial Narrow" w:hAnsi="Arial Narrow" w:cs="Arial Narrow"/>
              </w:rPr>
            </w:pPr>
            <w:r>
              <w:rPr>
                <w:rFonts w:ascii="Arial Narrow" w:eastAsia="Arial Narrow" w:hAnsi="Arial Narrow" w:cs="Arial Narrow"/>
                <w:b/>
              </w:rPr>
              <w:t>AMPARO</w:t>
            </w:r>
          </w:p>
        </w:tc>
        <w:tc>
          <w:tcPr>
            <w:tcW w:w="233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6A6F954B" w14:textId="77777777" w:rsidR="008745D1" w:rsidRDefault="00062AC1">
            <w:pPr>
              <w:ind w:left="0" w:hanging="2"/>
              <w:jc w:val="center"/>
              <w:rPr>
                <w:rFonts w:ascii="Arial Narrow" w:eastAsia="Arial Narrow" w:hAnsi="Arial Narrow" w:cs="Arial Narrow"/>
              </w:rPr>
            </w:pPr>
            <w:r>
              <w:rPr>
                <w:rFonts w:ascii="Arial Narrow" w:eastAsia="Arial Narrow" w:hAnsi="Arial Narrow" w:cs="Arial Narrow"/>
                <w:b/>
              </w:rPr>
              <w:t>SUFICIENCIA</w:t>
            </w:r>
          </w:p>
        </w:tc>
        <w:tc>
          <w:tcPr>
            <w:tcW w:w="270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55BF5049" w14:textId="77777777" w:rsidR="008745D1" w:rsidRDefault="00062AC1">
            <w:pPr>
              <w:ind w:left="0" w:hanging="2"/>
              <w:jc w:val="center"/>
              <w:rPr>
                <w:rFonts w:ascii="Arial Narrow" w:eastAsia="Arial Narrow" w:hAnsi="Arial Narrow" w:cs="Arial Narrow"/>
              </w:rPr>
            </w:pPr>
            <w:r>
              <w:rPr>
                <w:rFonts w:ascii="Arial Narrow" w:eastAsia="Arial Narrow" w:hAnsi="Arial Narrow" w:cs="Arial Narrow"/>
                <w:b/>
              </w:rPr>
              <w:t>VIGENCIA</w:t>
            </w:r>
          </w:p>
        </w:tc>
      </w:tr>
      <w:tr w:rsidR="00BB0CC7" w14:paraId="5FADD448" w14:textId="77777777" w:rsidTr="00BB0CC7">
        <w:trPr>
          <w:jc w:val="center"/>
        </w:trPr>
        <w:tc>
          <w:tcPr>
            <w:tcW w:w="4473" w:type="dxa"/>
            <w:vAlign w:val="center"/>
          </w:tcPr>
          <w:p w14:paraId="3EA16ED5" w14:textId="6C06AB87" w:rsidR="00BB0CC7" w:rsidRPr="004514BC" w:rsidRDefault="0030011E" w:rsidP="00BB0CC7">
            <w:pPr>
              <w:ind w:left="0" w:hanging="2"/>
              <w:rPr>
                <w:rFonts w:ascii="Arial Narrow" w:eastAsia="Arial" w:hAnsi="Arial Narrow"/>
              </w:rPr>
            </w:pPr>
            <w:r w:rsidRPr="0030011E">
              <w:rPr>
                <w:rFonts w:ascii="Arial Narrow" w:eastAsia="Arial" w:hAnsi="Arial Narrow"/>
              </w:rPr>
              <w:t>Cumplimiento del contrato</w:t>
            </w:r>
          </w:p>
        </w:tc>
        <w:tc>
          <w:tcPr>
            <w:tcW w:w="2332" w:type="dxa"/>
            <w:vAlign w:val="center"/>
          </w:tcPr>
          <w:p w14:paraId="5225B586" w14:textId="45EC06E9" w:rsidR="00BB0CC7" w:rsidRPr="004514BC" w:rsidRDefault="0030011E" w:rsidP="00BB0CC7">
            <w:pPr>
              <w:ind w:left="0" w:hanging="2"/>
              <w:jc w:val="center"/>
              <w:rPr>
                <w:rFonts w:ascii="Arial Narrow" w:eastAsia="Arial" w:hAnsi="Arial Narrow"/>
              </w:rPr>
            </w:pPr>
            <w:r w:rsidRPr="0030011E">
              <w:rPr>
                <w:rFonts w:ascii="Arial Narrow" w:eastAsia="Arial" w:hAnsi="Arial Narrow"/>
              </w:rPr>
              <w:t>30% del valor total del contrato</w:t>
            </w:r>
          </w:p>
        </w:tc>
        <w:tc>
          <w:tcPr>
            <w:tcW w:w="2702" w:type="dxa"/>
            <w:vAlign w:val="center"/>
          </w:tcPr>
          <w:p w14:paraId="3A8D7427" w14:textId="33D128D6" w:rsidR="00BB0CC7" w:rsidRPr="004514BC" w:rsidRDefault="00C761DD" w:rsidP="00BB0CC7">
            <w:pPr>
              <w:ind w:left="0" w:hanging="2"/>
              <w:jc w:val="center"/>
              <w:rPr>
                <w:rFonts w:ascii="Arial Narrow" w:eastAsia="Arial" w:hAnsi="Arial Narrow"/>
              </w:rPr>
            </w:pPr>
            <w:r w:rsidRPr="00C761DD">
              <w:rPr>
                <w:rFonts w:ascii="Arial Narrow" w:eastAsia="Arial" w:hAnsi="Arial Narrow"/>
              </w:rPr>
              <w:t>Por el término de ejecución del contrato y doce (12) meses más</w:t>
            </w:r>
          </w:p>
        </w:tc>
      </w:tr>
      <w:tr w:rsidR="00BB0CC7" w14:paraId="07277AD9" w14:textId="77777777" w:rsidTr="00BB0CC7">
        <w:trPr>
          <w:jc w:val="center"/>
        </w:trPr>
        <w:tc>
          <w:tcPr>
            <w:tcW w:w="4473" w:type="dxa"/>
            <w:vAlign w:val="center"/>
          </w:tcPr>
          <w:p w14:paraId="2AB5BF60" w14:textId="0353BA07" w:rsidR="00BB0CC7" w:rsidRPr="00BF125E" w:rsidRDefault="0030011E" w:rsidP="00BB0CC7">
            <w:pPr>
              <w:ind w:left="0" w:hanging="2"/>
              <w:rPr>
                <w:rFonts w:ascii="Arial Narrow" w:eastAsia="Arial" w:hAnsi="Arial Narrow"/>
              </w:rPr>
            </w:pPr>
            <w:r w:rsidRPr="0030011E">
              <w:rPr>
                <w:rFonts w:ascii="Arial Narrow" w:eastAsia="Arial" w:hAnsi="Arial Narrow"/>
              </w:rPr>
              <w:t>Pago de salarios prestaciones sociales legales e indemnizaciones laborales</w:t>
            </w:r>
          </w:p>
        </w:tc>
        <w:tc>
          <w:tcPr>
            <w:tcW w:w="2332" w:type="dxa"/>
            <w:vAlign w:val="center"/>
          </w:tcPr>
          <w:p w14:paraId="197B8AF6" w14:textId="40D1C5E1" w:rsidR="00BB0CC7" w:rsidRPr="00BF125E" w:rsidRDefault="00255DEF" w:rsidP="00BB0CC7">
            <w:pPr>
              <w:ind w:left="0" w:hanging="2"/>
              <w:jc w:val="center"/>
              <w:rPr>
                <w:rFonts w:ascii="Arial Narrow" w:eastAsia="Arial" w:hAnsi="Arial Narrow"/>
              </w:rPr>
            </w:pPr>
            <w:r w:rsidRPr="00255DEF">
              <w:rPr>
                <w:rFonts w:ascii="Arial Narrow" w:eastAsia="Arial" w:hAnsi="Arial Narrow"/>
              </w:rPr>
              <w:t>30% del valor total del contrato</w:t>
            </w:r>
          </w:p>
        </w:tc>
        <w:tc>
          <w:tcPr>
            <w:tcW w:w="2702" w:type="dxa"/>
            <w:vAlign w:val="center"/>
          </w:tcPr>
          <w:p w14:paraId="338EC4FA" w14:textId="0167744B" w:rsidR="00BB0CC7" w:rsidRPr="00BF125E" w:rsidRDefault="00C761DD" w:rsidP="00BB0CC7">
            <w:pPr>
              <w:ind w:left="0" w:hanging="2"/>
              <w:jc w:val="center"/>
              <w:rPr>
                <w:rFonts w:ascii="Arial Narrow" w:eastAsia="Arial" w:hAnsi="Arial Narrow"/>
              </w:rPr>
            </w:pPr>
            <w:r>
              <w:rPr>
                <w:rFonts w:ascii="Arial Narrow" w:eastAsia="Arial" w:hAnsi="Arial Narrow"/>
              </w:rPr>
              <w:t>P</w:t>
            </w:r>
            <w:r w:rsidRPr="00C761DD">
              <w:rPr>
                <w:rFonts w:ascii="Arial Narrow" w:eastAsia="Arial" w:hAnsi="Arial Narrow"/>
              </w:rPr>
              <w:t>or el término de ejecución del contrato y tres (3) años más contados a partir de la terminación del contrato</w:t>
            </w:r>
          </w:p>
        </w:tc>
      </w:tr>
      <w:tr w:rsidR="00BB0CC7" w14:paraId="3B496668" w14:textId="77777777" w:rsidTr="00BB0CC7">
        <w:trPr>
          <w:jc w:val="center"/>
        </w:trPr>
        <w:tc>
          <w:tcPr>
            <w:tcW w:w="4473" w:type="dxa"/>
            <w:vAlign w:val="center"/>
          </w:tcPr>
          <w:p w14:paraId="10A08A03" w14:textId="769B9308" w:rsidR="00BB0CC7" w:rsidRPr="004514BC" w:rsidRDefault="0030011E" w:rsidP="00BB0CC7">
            <w:pPr>
              <w:ind w:left="0" w:hanging="2"/>
              <w:rPr>
                <w:rFonts w:ascii="Arial Narrow" w:eastAsia="Arial" w:hAnsi="Arial Narrow"/>
              </w:rPr>
            </w:pPr>
            <w:r w:rsidRPr="0030011E">
              <w:rPr>
                <w:rFonts w:ascii="Arial Narrow" w:eastAsia="Arial" w:hAnsi="Arial Narrow"/>
              </w:rPr>
              <w:t>Calidad de servicio</w:t>
            </w:r>
          </w:p>
        </w:tc>
        <w:tc>
          <w:tcPr>
            <w:tcW w:w="2332" w:type="dxa"/>
            <w:vAlign w:val="center"/>
          </w:tcPr>
          <w:p w14:paraId="79DB4AE3" w14:textId="2088B47D" w:rsidR="00BB0CC7" w:rsidRPr="004514BC" w:rsidRDefault="00255DEF" w:rsidP="00BB0CC7">
            <w:pPr>
              <w:ind w:left="0" w:hanging="2"/>
              <w:jc w:val="center"/>
              <w:rPr>
                <w:rFonts w:ascii="Arial Narrow" w:eastAsia="Arial" w:hAnsi="Arial Narrow"/>
              </w:rPr>
            </w:pPr>
            <w:r w:rsidRPr="00255DEF">
              <w:rPr>
                <w:rFonts w:ascii="Arial Narrow" w:eastAsia="Arial" w:hAnsi="Arial Narrow"/>
              </w:rPr>
              <w:t>30% del valor total del contrato</w:t>
            </w:r>
          </w:p>
        </w:tc>
        <w:tc>
          <w:tcPr>
            <w:tcW w:w="2702" w:type="dxa"/>
            <w:vAlign w:val="center"/>
          </w:tcPr>
          <w:p w14:paraId="6CD4D056" w14:textId="51A69328" w:rsidR="00BB0CC7" w:rsidRPr="005E755E" w:rsidRDefault="00C761DD" w:rsidP="005B2480">
            <w:pPr>
              <w:ind w:left="0" w:hanging="2"/>
              <w:jc w:val="center"/>
              <w:rPr>
                <w:rFonts w:ascii="Arial Narrow" w:eastAsia="Arial" w:hAnsi="Arial Narrow"/>
              </w:rPr>
            </w:pPr>
            <w:r w:rsidRPr="00C761DD">
              <w:rPr>
                <w:rFonts w:ascii="Arial Narrow" w:eastAsia="Arial" w:hAnsi="Arial Narrow"/>
              </w:rPr>
              <w:t>Por el término de ejecución del contrato y doce (12) meses más, contados a partir de la terminación del plazo de ejecución del contrato.</w:t>
            </w:r>
          </w:p>
        </w:tc>
      </w:tr>
      <w:tr w:rsidR="00BB0CC7" w14:paraId="6DF85AC3" w14:textId="77777777" w:rsidTr="00BB0CC7">
        <w:trPr>
          <w:jc w:val="center"/>
        </w:trPr>
        <w:tc>
          <w:tcPr>
            <w:tcW w:w="4473" w:type="dxa"/>
            <w:vAlign w:val="center"/>
          </w:tcPr>
          <w:p w14:paraId="09EA84AB" w14:textId="17AF6420" w:rsidR="00BB0CC7" w:rsidRPr="004514BC" w:rsidRDefault="0030011E" w:rsidP="00BB0CC7">
            <w:pPr>
              <w:ind w:left="0" w:hanging="2"/>
              <w:rPr>
                <w:rFonts w:ascii="Arial Narrow" w:eastAsia="Arial" w:hAnsi="Arial Narrow"/>
              </w:rPr>
            </w:pPr>
            <w:r w:rsidRPr="0030011E">
              <w:rPr>
                <w:rFonts w:ascii="Arial Narrow" w:eastAsia="Arial" w:hAnsi="Arial Narrow"/>
              </w:rPr>
              <w:t>Calidad y correcto funcionamiento de los bienes</w:t>
            </w:r>
          </w:p>
        </w:tc>
        <w:tc>
          <w:tcPr>
            <w:tcW w:w="2332" w:type="dxa"/>
            <w:vAlign w:val="center"/>
          </w:tcPr>
          <w:p w14:paraId="04F04248" w14:textId="54F0932E" w:rsidR="00BB0CC7" w:rsidRPr="004514BC" w:rsidRDefault="00C761DD" w:rsidP="00BB0CC7">
            <w:pPr>
              <w:ind w:left="0" w:hanging="2"/>
              <w:jc w:val="center"/>
              <w:rPr>
                <w:rFonts w:ascii="Arial Narrow" w:eastAsia="Arial" w:hAnsi="Arial Narrow"/>
              </w:rPr>
            </w:pPr>
            <w:r>
              <w:rPr>
                <w:rFonts w:ascii="Arial Narrow" w:eastAsia="Arial" w:hAnsi="Arial Narrow"/>
              </w:rPr>
              <w:t>3</w:t>
            </w:r>
            <w:r w:rsidRPr="00C761DD">
              <w:rPr>
                <w:rFonts w:ascii="Arial Narrow" w:eastAsia="Arial" w:hAnsi="Arial Narrow"/>
              </w:rPr>
              <w:t>0% del valor total de la bolsa de repuestos</w:t>
            </w:r>
          </w:p>
        </w:tc>
        <w:tc>
          <w:tcPr>
            <w:tcW w:w="2702" w:type="dxa"/>
            <w:vAlign w:val="center"/>
          </w:tcPr>
          <w:p w14:paraId="102B7370" w14:textId="3462B1EA" w:rsidR="00BB0CC7" w:rsidRPr="004514BC" w:rsidRDefault="00C761DD" w:rsidP="00BB0CC7">
            <w:pPr>
              <w:ind w:left="0" w:hanging="2"/>
              <w:jc w:val="center"/>
              <w:rPr>
                <w:rFonts w:ascii="Arial Narrow" w:eastAsia="Arial" w:hAnsi="Arial Narrow"/>
              </w:rPr>
            </w:pPr>
            <w:r>
              <w:rPr>
                <w:rFonts w:ascii="Arial Narrow" w:eastAsia="Arial" w:hAnsi="Arial Narrow"/>
              </w:rPr>
              <w:t>P</w:t>
            </w:r>
            <w:r w:rsidRPr="00C761DD">
              <w:rPr>
                <w:rFonts w:ascii="Arial Narrow" w:eastAsia="Arial" w:hAnsi="Arial Narrow"/>
              </w:rPr>
              <w:t>or el término de ejecución del contrato y doce (12) meses más, contados a partir del recibo a satisfacción del contrato</w:t>
            </w:r>
          </w:p>
        </w:tc>
      </w:tr>
    </w:tbl>
    <w:p w14:paraId="6BBEEB31"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4A2CB40E" w14:textId="77777777" w:rsidR="009105D7" w:rsidRDefault="009105D7">
      <w:pPr>
        <w:spacing w:after="0" w:line="240" w:lineRule="auto"/>
        <w:ind w:left="0" w:hanging="2"/>
        <w:jc w:val="both"/>
        <w:rPr>
          <w:rFonts w:ascii="Arial Narrow" w:eastAsia="Arial Narrow" w:hAnsi="Arial Narrow" w:cs="Arial Narrow"/>
          <w:color w:val="000000"/>
          <w:sz w:val="23"/>
          <w:szCs w:val="23"/>
        </w:rPr>
      </w:pPr>
    </w:p>
    <w:p w14:paraId="319E92BC" w14:textId="77777777" w:rsidR="009105D7" w:rsidRDefault="009105D7">
      <w:pPr>
        <w:spacing w:after="0" w:line="240" w:lineRule="auto"/>
        <w:ind w:left="0" w:hanging="2"/>
        <w:jc w:val="both"/>
        <w:rPr>
          <w:rFonts w:ascii="Arial Narrow" w:eastAsia="Arial Narrow" w:hAnsi="Arial Narrow" w:cs="Arial Narrow"/>
          <w:color w:val="000000"/>
          <w:sz w:val="23"/>
          <w:szCs w:val="23"/>
        </w:rPr>
      </w:pPr>
    </w:p>
    <w:p w14:paraId="05E597DB" w14:textId="77777777" w:rsidR="009105D7" w:rsidRDefault="009105D7">
      <w:pPr>
        <w:spacing w:after="0" w:line="240" w:lineRule="auto"/>
        <w:ind w:left="0" w:hanging="2"/>
        <w:jc w:val="both"/>
        <w:rPr>
          <w:rFonts w:ascii="Arial Narrow" w:eastAsia="Arial Narrow" w:hAnsi="Arial Narrow" w:cs="Arial Narrow"/>
          <w:color w:val="000000"/>
          <w:sz w:val="23"/>
          <w:szCs w:val="23"/>
        </w:rPr>
      </w:pPr>
    </w:p>
    <w:p w14:paraId="042300C9" w14:textId="77777777" w:rsidR="00264964" w:rsidRDefault="00264964">
      <w:pPr>
        <w:spacing w:after="0" w:line="240" w:lineRule="auto"/>
        <w:ind w:left="0" w:hanging="2"/>
        <w:jc w:val="both"/>
        <w:rPr>
          <w:rFonts w:ascii="Arial Narrow" w:eastAsia="Arial Narrow" w:hAnsi="Arial Narrow" w:cs="Arial Narrow"/>
          <w:color w:val="000000"/>
          <w:sz w:val="23"/>
          <w:szCs w:val="23"/>
        </w:rPr>
      </w:pPr>
    </w:p>
    <w:p w14:paraId="1651967D" w14:textId="77777777" w:rsidR="008745D1" w:rsidRDefault="00062AC1">
      <w:pPr>
        <w:numPr>
          <w:ilvl w:val="0"/>
          <w:numId w:val="12"/>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 xml:space="preserve">Garantía de responsabilidad civil extracontractual </w:t>
      </w:r>
    </w:p>
    <w:p w14:paraId="5306EB3D" w14:textId="77777777" w:rsidR="008745D1" w:rsidRDefault="008745D1">
      <w:pPr>
        <w:spacing w:after="0" w:line="240" w:lineRule="auto"/>
        <w:ind w:left="0" w:hanging="2"/>
        <w:jc w:val="both"/>
        <w:rPr>
          <w:rFonts w:ascii="Arial Narrow" w:eastAsia="Arial Narrow" w:hAnsi="Arial Narrow" w:cs="Arial Narrow"/>
          <w:sz w:val="23"/>
          <w:szCs w:val="23"/>
        </w:rPr>
      </w:pPr>
    </w:p>
    <w:p w14:paraId="4B7B54FB" w14:textId="77777777" w:rsidR="008745D1" w:rsidRDefault="00062AC1">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El contratista debe presentar una garantía de responsabilidad civil extracontractual, a favor de la Fiscalía General de la Nación con NIT. 800.152.783-2, de conformidad con la Subsección 1 Sección 3 del </w:t>
      </w:r>
      <w:r>
        <w:rPr>
          <w:rFonts w:ascii="Arial Narrow" w:eastAsia="Arial Narrow" w:hAnsi="Arial Narrow" w:cs="Arial Narrow"/>
          <w:sz w:val="23"/>
          <w:szCs w:val="23"/>
          <w:u w:val="single"/>
        </w:rPr>
        <w:t>Decreto</w:t>
      </w:r>
      <w:r>
        <w:rPr>
          <w:rFonts w:ascii="Arial Narrow" w:eastAsia="Arial Narrow" w:hAnsi="Arial Narrow" w:cs="Arial Narrow"/>
          <w:sz w:val="23"/>
          <w:szCs w:val="23"/>
        </w:rPr>
        <w:t xml:space="preserve"> 1082 de 2015. La garantía deberá ser presentada a la Subdirección de Gestión Contractual:</w:t>
      </w:r>
    </w:p>
    <w:p w14:paraId="55780882" w14:textId="77777777" w:rsidR="008745D1" w:rsidRDefault="008745D1">
      <w:pPr>
        <w:spacing w:after="0" w:line="240" w:lineRule="auto"/>
        <w:ind w:left="0" w:hanging="2"/>
        <w:jc w:val="both"/>
        <w:rPr>
          <w:rFonts w:ascii="Arial Narrow" w:eastAsia="Arial Narrow" w:hAnsi="Arial Narrow" w:cs="Arial Narrow"/>
          <w:sz w:val="23"/>
          <w:szCs w:val="23"/>
        </w:rPr>
      </w:pPr>
    </w:p>
    <w:tbl>
      <w:tblPr>
        <w:tblStyle w:val="afff1"/>
        <w:tblW w:w="96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13"/>
        <w:gridCol w:w="3213"/>
        <w:gridCol w:w="3214"/>
      </w:tblGrid>
      <w:tr w:rsidR="008745D1" w14:paraId="4A21F6F6" w14:textId="77777777">
        <w:trPr>
          <w:trHeight w:val="404"/>
          <w:jc w:val="center"/>
        </w:trPr>
        <w:tc>
          <w:tcPr>
            <w:tcW w:w="3213" w:type="dxa"/>
            <w:shd w:val="clear" w:color="auto" w:fill="F2F2F2"/>
            <w:vAlign w:val="center"/>
          </w:tcPr>
          <w:p w14:paraId="78EB4F92" w14:textId="77777777" w:rsidR="008745D1" w:rsidRDefault="00062AC1">
            <w:pPr>
              <w:spacing w:after="0" w:line="240" w:lineRule="auto"/>
              <w:ind w:left="0" w:hanging="2"/>
              <w:jc w:val="center"/>
              <w:rPr>
                <w:b/>
                <w:sz w:val="24"/>
                <w:szCs w:val="24"/>
              </w:rPr>
            </w:pPr>
            <w:r>
              <w:rPr>
                <w:b/>
                <w:sz w:val="24"/>
                <w:szCs w:val="24"/>
              </w:rPr>
              <w:t>Amparo</w:t>
            </w:r>
          </w:p>
        </w:tc>
        <w:tc>
          <w:tcPr>
            <w:tcW w:w="3213" w:type="dxa"/>
            <w:shd w:val="clear" w:color="auto" w:fill="F2F2F2"/>
            <w:vAlign w:val="center"/>
          </w:tcPr>
          <w:p w14:paraId="765886E7" w14:textId="77777777" w:rsidR="008745D1" w:rsidRDefault="00062AC1">
            <w:pPr>
              <w:spacing w:after="0" w:line="240" w:lineRule="auto"/>
              <w:ind w:left="0" w:hanging="2"/>
              <w:jc w:val="center"/>
              <w:rPr>
                <w:b/>
                <w:sz w:val="24"/>
                <w:szCs w:val="24"/>
              </w:rPr>
            </w:pPr>
            <w:r>
              <w:rPr>
                <w:b/>
                <w:sz w:val="24"/>
                <w:szCs w:val="24"/>
              </w:rPr>
              <w:t>Suficiencia</w:t>
            </w:r>
          </w:p>
        </w:tc>
        <w:tc>
          <w:tcPr>
            <w:tcW w:w="3214" w:type="dxa"/>
            <w:shd w:val="clear" w:color="auto" w:fill="F2F2F2"/>
            <w:vAlign w:val="center"/>
          </w:tcPr>
          <w:p w14:paraId="3D3C374A" w14:textId="77777777" w:rsidR="008745D1" w:rsidRDefault="00062AC1">
            <w:pPr>
              <w:spacing w:after="0" w:line="240" w:lineRule="auto"/>
              <w:ind w:left="0" w:hanging="2"/>
              <w:jc w:val="center"/>
              <w:rPr>
                <w:b/>
                <w:sz w:val="24"/>
                <w:szCs w:val="24"/>
              </w:rPr>
            </w:pPr>
            <w:r>
              <w:rPr>
                <w:b/>
                <w:sz w:val="24"/>
                <w:szCs w:val="24"/>
              </w:rPr>
              <w:t>Vigencia</w:t>
            </w:r>
          </w:p>
        </w:tc>
      </w:tr>
      <w:tr w:rsidR="00BB0CC7" w14:paraId="59BB6115" w14:textId="77777777">
        <w:trPr>
          <w:trHeight w:val="404"/>
          <w:jc w:val="center"/>
        </w:trPr>
        <w:tc>
          <w:tcPr>
            <w:tcW w:w="3213" w:type="dxa"/>
            <w:shd w:val="clear" w:color="auto" w:fill="F2F2F2"/>
            <w:vAlign w:val="center"/>
          </w:tcPr>
          <w:p w14:paraId="140C167C" w14:textId="77777777" w:rsidR="00BB0CC7" w:rsidRDefault="00BB0CC7" w:rsidP="00BB0CC7">
            <w:pPr>
              <w:spacing w:after="0" w:line="240" w:lineRule="auto"/>
              <w:ind w:left="0" w:hanging="2"/>
              <w:rPr>
                <w:rFonts w:ascii="Arial Narrow" w:eastAsia="Arial Narrow" w:hAnsi="Arial Narrow" w:cs="Arial Narrow"/>
                <w:sz w:val="23"/>
                <w:szCs w:val="23"/>
              </w:rPr>
            </w:pPr>
            <w:r>
              <w:rPr>
                <w:rFonts w:ascii="Arial Narrow" w:eastAsia="Arial Narrow" w:hAnsi="Arial Narrow" w:cs="Arial Narrow"/>
                <w:sz w:val="23"/>
                <w:szCs w:val="23"/>
              </w:rPr>
              <w:t>Responsabilidad civil extracontractual</w:t>
            </w:r>
          </w:p>
        </w:tc>
        <w:tc>
          <w:tcPr>
            <w:tcW w:w="3213" w:type="dxa"/>
            <w:vAlign w:val="center"/>
          </w:tcPr>
          <w:p w14:paraId="3C00F588" w14:textId="77777777" w:rsidR="00BB0CC7" w:rsidRDefault="00E749EC" w:rsidP="00BB0CC7">
            <w:pPr>
              <w:ind w:left="0" w:hanging="2"/>
              <w:jc w:val="center"/>
              <w:rPr>
                <w:rFonts w:ascii="Arial Narrow" w:eastAsia="Arial" w:hAnsi="Arial Narrow"/>
              </w:rPr>
            </w:pPr>
            <w:r w:rsidRPr="00E749EC">
              <w:rPr>
                <w:rFonts w:ascii="Arial Narrow" w:eastAsia="Arial" w:hAnsi="Arial Narrow"/>
              </w:rPr>
              <w:t>El amparo de Responsabilidad Civil Extracontractual (RCE) deberá constituirse de acuerdo con las coberturas y requisitos establecidos en el Decreto 1082 de 2015, sin sublímite alguno. El seguro deberá incluir, de forma expresa, los siguientes amparos y coberturas: Predios, Labores y Operaciones: Cobertura básica de las actividades y ubicaciones del proyecto. Perjuicios patrimoniales: Inclusión expresa de daño emergente y lucro cesante. Perjuicios extrapatrimoniales: Cobertura para daños morales o a la vida de relación. Actos de terceros: Responsabilidad surgida por contratistas y subcontratistas.</w:t>
            </w:r>
          </w:p>
          <w:p w14:paraId="02976289" w14:textId="77777777" w:rsidR="00E749EC" w:rsidRDefault="00E749EC" w:rsidP="00BB0CC7">
            <w:pPr>
              <w:ind w:left="0" w:hanging="2"/>
              <w:jc w:val="center"/>
              <w:rPr>
                <w:rFonts w:ascii="Arial Narrow" w:eastAsia="Arial" w:hAnsi="Arial Narrow"/>
              </w:rPr>
            </w:pPr>
          </w:p>
          <w:p w14:paraId="2EC741BB" w14:textId="04ABD52D" w:rsidR="00E749EC" w:rsidRPr="00BF125E" w:rsidRDefault="00E749EC" w:rsidP="00BB0CC7">
            <w:pPr>
              <w:ind w:left="0" w:hanging="2"/>
              <w:jc w:val="center"/>
              <w:rPr>
                <w:rFonts w:ascii="Arial Narrow" w:eastAsia="Arial" w:hAnsi="Arial Narrow"/>
              </w:rPr>
            </w:pPr>
            <w:r w:rsidRPr="00E749EC">
              <w:rPr>
                <w:rFonts w:ascii="Arial Narrow" w:eastAsia="Arial" w:hAnsi="Arial Narrow"/>
              </w:rPr>
              <w:t>El valor asegurado corresponderá a ciento (5%) del valor del contrato, esto es, 1.935,60 Salarios Mínimos Mensuales Legales Vigentes (SMMLV)</w:t>
            </w:r>
          </w:p>
        </w:tc>
        <w:tc>
          <w:tcPr>
            <w:tcW w:w="3214" w:type="dxa"/>
            <w:vAlign w:val="center"/>
          </w:tcPr>
          <w:p w14:paraId="2D315CA1" w14:textId="0179D649" w:rsidR="00BB0CC7" w:rsidRPr="00BF125E" w:rsidRDefault="00E749EC" w:rsidP="00BB0CC7">
            <w:pPr>
              <w:ind w:left="0" w:hanging="2"/>
              <w:jc w:val="center"/>
              <w:rPr>
                <w:rFonts w:ascii="Arial Narrow" w:eastAsia="Arial" w:hAnsi="Arial Narrow"/>
              </w:rPr>
            </w:pPr>
            <w:r w:rsidRPr="00E749EC">
              <w:rPr>
                <w:rFonts w:ascii="Arial Narrow" w:eastAsia="Arial" w:hAnsi="Arial Narrow"/>
              </w:rPr>
              <w:t xml:space="preserve">Por el término de ejecución del contrato, contado desde su inicio y hasta la finalización del mismo. </w:t>
            </w:r>
          </w:p>
        </w:tc>
      </w:tr>
    </w:tbl>
    <w:p w14:paraId="04883F3F" w14:textId="77777777" w:rsidR="008745D1" w:rsidRDefault="008745D1">
      <w:pPr>
        <w:widowControl w:val="0"/>
        <w:spacing w:after="0" w:line="240" w:lineRule="auto"/>
        <w:ind w:left="0" w:hanging="2"/>
        <w:jc w:val="both"/>
        <w:rPr>
          <w:rFonts w:ascii="Arial Narrow" w:eastAsia="Arial Narrow" w:hAnsi="Arial Narrow" w:cs="Arial Narrow"/>
          <w:sz w:val="23"/>
          <w:szCs w:val="23"/>
        </w:rPr>
      </w:pPr>
    </w:p>
    <w:p w14:paraId="79EEF47A" w14:textId="77777777" w:rsidR="00BB0CC7" w:rsidRPr="00BB0CC7" w:rsidRDefault="00BB0CC7" w:rsidP="00BB0CC7">
      <w:pPr>
        <w:ind w:left="0" w:hanging="2"/>
        <w:jc w:val="both"/>
        <w:rPr>
          <w:rFonts w:ascii="Arial Narrow" w:eastAsia="Arial Narrow" w:hAnsi="Arial Narrow" w:cs="Arial Narrow"/>
          <w:sz w:val="23"/>
          <w:szCs w:val="23"/>
        </w:rPr>
      </w:pPr>
      <w:bookmarkStart w:id="29" w:name="_heading=h.2bn6wsx" w:colFirst="0" w:colLast="0"/>
      <w:bookmarkEnd w:id="29"/>
      <w:r w:rsidRPr="00BB0CC7">
        <w:rPr>
          <w:rFonts w:ascii="Arial Narrow" w:eastAsia="Arial Narrow" w:hAnsi="Arial Narrow" w:cs="Arial Narrow"/>
          <w:sz w:val="23"/>
          <w:szCs w:val="23"/>
        </w:rPr>
        <w:t>En aplicación al artículo 2.2.1.2.3.2.9 del Decreto 1082 de 2015, el amparo de responsabilidad civil extracontractual debe contener además de la cobertura básica de predios, labores y operaciones, mínimo los siguientes amparos:</w:t>
      </w:r>
    </w:p>
    <w:p w14:paraId="5F25ED0C" w14:textId="77777777" w:rsidR="00BB0CC7" w:rsidRPr="00BB0CC7" w:rsidRDefault="00BB0CC7" w:rsidP="00BB0CC7">
      <w:pPr>
        <w:ind w:left="0" w:hanging="2"/>
        <w:jc w:val="both"/>
        <w:rPr>
          <w:rFonts w:ascii="Arial Narrow" w:eastAsia="Arial Narrow" w:hAnsi="Arial Narrow" w:cs="Arial Narrow"/>
          <w:sz w:val="23"/>
          <w:szCs w:val="23"/>
        </w:rPr>
      </w:pPr>
      <w:r w:rsidRPr="00BB0CC7">
        <w:rPr>
          <w:rFonts w:ascii="Arial Narrow" w:eastAsia="Arial Narrow" w:hAnsi="Arial Narrow" w:cs="Arial Narrow"/>
          <w:sz w:val="23"/>
          <w:szCs w:val="23"/>
        </w:rPr>
        <w:t>3.1. Cobertura expresa de perjuicios por daño emergente y lucro cesante.</w:t>
      </w:r>
    </w:p>
    <w:p w14:paraId="4D03C198" w14:textId="77777777" w:rsidR="00BB0CC7" w:rsidRPr="00BB0CC7" w:rsidRDefault="00BB0CC7" w:rsidP="00BB0CC7">
      <w:pPr>
        <w:ind w:left="0" w:hanging="2"/>
        <w:jc w:val="both"/>
        <w:rPr>
          <w:rFonts w:ascii="Arial Narrow" w:eastAsia="Arial Narrow" w:hAnsi="Arial Narrow" w:cs="Arial Narrow"/>
          <w:sz w:val="23"/>
          <w:szCs w:val="23"/>
        </w:rPr>
      </w:pPr>
      <w:r w:rsidRPr="00BB0CC7">
        <w:rPr>
          <w:rFonts w:ascii="Arial Narrow" w:eastAsia="Arial Narrow" w:hAnsi="Arial Narrow" w:cs="Arial Narrow"/>
          <w:sz w:val="23"/>
          <w:szCs w:val="23"/>
        </w:rPr>
        <w:t>3.2. Cobertura expresa de perjuicios extrapatrimoniales.</w:t>
      </w:r>
    </w:p>
    <w:p w14:paraId="2426D510" w14:textId="77777777" w:rsidR="00BB0CC7" w:rsidRPr="00BB0CC7" w:rsidRDefault="00BB0CC7" w:rsidP="00BB0CC7">
      <w:pPr>
        <w:ind w:left="0" w:hanging="2"/>
        <w:jc w:val="both"/>
        <w:rPr>
          <w:rFonts w:ascii="Arial Narrow" w:eastAsia="Arial Narrow" w:hAnsi="Arial Narrow" w:cs="Arial Narrow"/>
          <w:sz w:val="23"/>
          <w:szCs w:val="23"/>
        </w:rPr>
      </w:pPr>
      <w:r w:rsidRPr="00BB0CC7">
        <w:rPr>
          <w:rFonts w:ascii="Arial Narrow" w:eastAsia="Arial Narrow" w:hAnsi="Arial Narrow" w:cs="Arial Narrow"/>
          <w:sz w:val="23"/>
          <w:szCs w:val="23"/>
        </w:rPr>
        <w:t>3.3. Cobertura expresa de la responsabilidad surgida por actos de contratistas y subcontratistas, salvo que el subcontratista tenga su propio seguro de responsabilidad extracontractual, con los mismos amparos aquí requeridos.</w:t>
      </w:r>
    </w:p>
    <w:p w14:paraId="00C88F6C" w14:textId="77777777" w:rsidR="00BB0CC7" w:rsidRPr="00BB0CC7" w:rsidRDefault="00BB0CC7" w:rsidP="00BB0CC7">
      <w:pPr>
        <w:ind w:left="0" w:hanging="2"/>
        <w:jc w:val="both"/>
        <w:rPr>
          <w:rFonts w:ascii="Arial Narrow" w:eastAsia="Arial Narrow" w:hAnsi="Arial Narrow" w:cs="Arial Narrow"/>
          <w:sz w:val="23"/>
          <w:szCs w:val="23"/>
        </w:rPr>
      </w:pPr>
      <w:r w:rsidRPr="00BB0CC7">
        <w:rPr>
          <w:rFonts w:ascii="Arial Narrow" w:eastAsia="Arial Narrow" w:hAnsi="Arial Narrow" w:cs="Arial Narrow"/>
          <w:sz w:val="23"/>
          <w:szCs w:val="23"/>
        </w:rPr>
        <w:t>3.4. Cobertura expresa de amparo patronal.</w:t>
      </w:r>
    </w:p>
    <w:p w14:paraId="2932D616" w14:textId="77777777" w:rsidR="00BB0CC7" w:rsidRPr="00BB0CC7" w:rsidRDefault="00BB0CC7" w:rsidP="00BB0CC7">
      <w:pPr>
        <w:ind w:left="0" w:hanging="2"/>
        <w:jc w:val="both"/>
        <w:rPr>
          <w:rFonts w:ascii="Arial Narrow" w:eastAsia="Arial Narrow" w:hAnsi="Arial Narrow" w:cs="Arial Narrow"/>
          <w:sz w:val="23"/>
          <w:szCs w:val="23"/>
        </w:rPr>
      </w:pPr>
      <w:r w:rsidRPr="00BB0CC7">
        <w:rPr>
          <w:rFonts w:ascii="Arial Narrow" w:eastAsia="Arial Narrow" w:hAnsi="Arial Narrow" w:cs="Arial Narrow"/>
          <w:sz w:val="23"/>
          <w:szCs w:val="23"/>
        </w:rPr>
        <w:t>3.5. Cobertura expresa de vehículos propios y no propios.</w:t>
      </w:r>
    </w:p>
    <w:p w14:paraId="1E4BD825" w14:textId="09A56A89" w:rsidR="008745D1" w:rsidRDefault="00BB0CC7" w:rsidP="00BB0CC7">
      <w:pPr>
        <w:spacing w:line="240" w:lineRule="auto"/>
        <w:ind w:left="0" w:hanging="2"/>
        <w:jc w:val="both"/>
        <w:rPr>
          <w:rFonts w:ascii="Arial Narrow" w:eastAsia="Arial Narrow" w:hAnsi="Arial Narrow" w:cs="Arial Narrow"/>
          <w:sz w:val="23"/>
          <w:szCs w:val="23"/>
        </w:rPr>
      </w:pPr>
      <w:r w:rsidRPr="00BB0CC7">
        <w:rPr>
          <w:rFonts w:ascii="Arial Narrow" w:eastAsia="Arial Narrow" w:hAnsi="Arial Narrow" w:cs="Arial Narrow"/>
          <w:sz w:val="23"/>
          <w:szCs w:val="23"/>
        </w:rPr>
        <w:t>Tener en cuenta que la suficiencia</w:t>
      </w:r>
      <w:r w:rsidR="005B2480">
        <w:rPr>
          <w:rFonts w:ascii="Arial Narrow" w:eastAsia="Arial Narrow" w:hAnsi="Arial Narrow" w:cs="Arial Narrow"/>
          <w:sz w:val="23"/>
          <w:szCs w:val="23"/>
        </w:rPr>
        <w:t xml:space="preserve"> de cada amparo deberá ser de </w:t>
      </w:r>
      <w:r w:rsidR="00E749EC" w:rsidRPr="00E749EC">
        <w:rPr>
          <w:rFonts w:ascii="Arial Narrow" w:eastAsia="Arial Narrow" w:hAnsi="Arial Narrow" w:cs="Arial Narrow"/>
          <w:sz w:val="23"/>
          <w:szCs w:val="23"/>
        </w:rPr>
        <w:t>1.935,60 SMML</w:t>
      </w:r>
      <w:r w:rsidRPr="00BB0CC7">
        <w:rPr>
          <w:rFonts w:ascii="Arial Narrow" w:eastAsia="Arial Narrow" w:hAnsi="Arial Narrow" w:cs="Arial Narrow"/>
          <w:sz w:val="23"/>
          <w:szCs w:val="23"/>
        </w:rPr>
        <w:t xml:space="preserve"> es decir sin sublímites.</w:t>
      </w:r>
    </w:p>
    <w:p w14:paraId="673AFB24" w14:textId="77777777" w:rsidR="006B0DE9" w:rsidRDefault="006B0DE9" w:rsidP="00BB0CC7">
      <w:pPr>
        <w:spacing w:line="240" w:lineRule="auto"/>
        <w:ind w:left="0" w:hanging="2"/>
        <w:jc w:val="both"/>
        <w:rPr>
          <w:rFonts w:ascii="Arial Narrow" w:eastAsia="Arial Narrow" w:hAnsi="Arial Narrow" w:cs="Arial Narrow"/>
          <w:sz w:val="23"/>
          <w:szCs w:val="23"/>
        </w:rPr>
      </w:pPr>
    </w:p>
    <w:p w14:paraId="0596CB8B" w14:textId="77777777" w:rsidR="006B0DE9" w:rsidRDefault="006B0DE9" w:rsidP="00BB0CC7">
      <w:pPr>
        <w:spacing w:line="240" w:lineRule="auto"/>
        <w:ind w:left="0" w:hanging="2"/>
        <w:jc w:val="both"/>
        <w:rPr>
          <w:rFonts w:ascii="Arial Narrow" w:eastAsia="Arial Narrow" w:hAnsi="Arial Narrow" w:cs="Arial Narrow"/>
          <w:sz w:val="23"/>
          <w:szCs w:val="23"/>
        </w:rPr>
      </w:pPr>
    </w:p>
    <w:p w14:paraId="5EAFD3BA" w14:textId="77777777" w:rsidR="008745D1" w:rsidRDefault="00062AC1">
      <w:pPr>
        <w:spacing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 xml:space="preserve">3.16 CONVOCATORIA LIMITADA A MIPYMES </w:t>
      </w:r>
    </w:p>
    <w:p w14:paraId="1A5A6552" w14:textId="1E637C79" w:rsidR="00AA02BB" w:rsidRPr="006B0DE9" w:rsidRDefault="009C41F5">
      <w:pPr>
        <w:spacing w:after="0" w:line="240" w:lineRule="auto"/>
        <w:ind w:left="0" w:hanging="2"/>
        <w:rPr>
          <w:rFonts w:ascii="Arial Narrow" w:eastAsia="Arial Narrow" w:hAnsi="Arial Narrow" w:cs="Arial Narrow"/>
          <w:sz w:val="23"/>
          <w:szCs w:val="23"/>
        </w:rPr>
      </w:pPr>
      <w:bookmarkStart w:id="30" w:name="_heading=h.qsh70q" w:colFirst="0" w:colLast="0"/>
      <w:bookmarkStart w:id="31" w:name="_Hlk204266756"/>
      <w:bookmarkEnd w:id="30"/>
      <w:r w:rsidRPr="006B0DE9">
        <w:rPr>
          <w:rFonts w:ascii="Arial Narrow" w:eastAsia="Arial Narrow" w:hAnsi="Arial Narrow" w:cs="Arial Narrow"/>
          <w:sz w:val="23"/>
          <w:szCs w:val="23"/>
        </w:rPr>
        <w:t>De conformidad con lo dispuesto en el artículo 2.2.1.2.4.2.2 del Decreto 1082 de 2015 modificado por el artículo 5° del Decreto 1860 del 2021 en concordancia con el artículo 2.2.1.2.4.2.4 del Decreto 1082 de 2015, dado que la cuantía del proceso es superior a US$125.000 que corresponde a $</w:t>
      </w:r>
      <w:r w:rsidR="005A3759" w:rsidRPr="006B0DE9">
        <w:rPr>
          <w:rFonts w:ascii="Arial Narrow" w:eastAsia="Arial Narrow" w:hAnsi="Arial Narrow" w:cs="Arial Narrow"/>
          <w:sz w:val="23"/>
          <w:szCs w:val="23"/>
        </w:rPr>
        <w:t>511.708.497</w:t>
      </w:r>
      <w:r w:rsidRPr="006B0DE9">
        <w:rPr>
          <w:rFonts w:ascii="Arial Narrow" w:eastAsia="Arial Narrow" w:hAnsi="Arial Narrow" w:cs="Arial Narrow"/>
          <w:sz w:val="23"/>
          <w:szCs w:val="23"/>
        </w:rPr>
        <w:t xml:space="preserve">, el presente proceso no es objeto de </w:t>
      </w:r>
      <w:r w:rsidR="006B0DE9" w:rsidRPr="006B0DE9">
        <w:rPr>
          <w:rFonts w:ascii="Arial Narrow" w:eastAsia="Arial Narrow" w:hAnsi="Arial Narrow" w:cs="Arial Narrow"/>
          <w:sz w:val="23"/>
          <w:szCs w:val="23"/>
        </w:rPr>
        <w:t>limitación a</w:t>
      </w:r>
      <w:r w:rsidRPr="006B0DE9">
        <w:rPr>
          <w:rFonts w:ascii="Arial Narrow" w:eastAsia="Arial Narrow" w:hAnsi="Arial Narrow" w:cs="Arial Narrow"/>
          <w:sz w:val="23"/>
          <w:szCs w:val="23"/>
        </w:rPr>
        <w:t xml:space="preserve"> Mipymes.</w:t>
      </w:r>
    </w:p>
    <w:bookmarkEnd w:id="31"/>
    <w:p w14:paraId="778598AC" w14:textId="77777777" w:rsidR="00091AE2" w:rsidRPr="00726857" w:rsidRDefault="00091AE2">
      <w:pPr>
        <w:spacing w:after="0" w:line="240" w:lineRule="auto"/>
        <w:ind w:left="0" w:hanging="2"/>
        <w:rPr>
          <w:rFonts w:ascii="Arial Narrow" w:eastAsia="Arial Narrow" w:hAnsi="Arial Narrow" w:cs="Arial Narrow"/>
          <w:sz w:val="23"/>
          <w:szCs w:val="23"/>
          <w:highlight w:val="yellow"/>
        </w:rPr>
      </w:pPr>
    </w:p>
    <w:tbl>
      <w:tblPr>
        <w:tblStyle w:val="afff2"/>
        <w:tblW w:w="99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4"/>
      </w:tblGrid>
      <w:tr w:rsidR="008745D1" w14:paraId="26F7DFE1" w14:textId="77777777">
        <w:trPr>
          <w:jc w:val="center"/>
        </w:trPr>
        <w:tc>
          <w:tcPr>
            <w:tcW w:w="9904" w:type="dxa"/>
            <w:shd w:val="clear" w:color="auto" w:fill="CCCCCC"/>
          </w:tcPr>
          <w:p w14:paraId="72544C16"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sz w:val="23"/>
                <w:szCs w:val="23"/>
              </w:rPr>
              <w:t>PRESENTACIÓN</w:t>
            </w:r>
            <w:r>
              <w:rPr>
                <w:rFonts w:ascii="Arial Narrow" w:eastAsia="Arial Narrow" w:hAnsi="Arial Narrow" w:cs="Arial Narrow"/>
                <w:b/>
                <w:color w:val="000000"/>
                <w:sz w:val="23"/>
                <w:szCs w:val="23"/>
              </w:rPr>
              <w:t xml:space="preserve"> DE LA OFERTA </w:t>
            </w:r>
          </w:p>
        </w:tc>
      </w:tr>
    </w:tbl>
    <w:p w14:paraId="0E548632" w14:textId="77777777" w:rsidR="008745D1" w:rsidRDefault="008745D1">
      <w:pPr>
        <w:widowControl w:val="0"/>
        <w:spacing w:after="0" w:line="240" w:lineRule="auto"/>
        <w:ind w:left="0" w:hanging="2"/>
        <w:jc w:val="both"/>
        <w:rPr>
          <w:rFonts w:ascii="Arial Narrow" w:eastAsia="Arial Narrow" w:hAnsi="Arial Narrow" w:cs="Arial Narrow"/>
          <w:color w:val="000000"/>
          <w:sz w:val="23"/>
          <w:szCs w:val="23"/>
        </w:rPr>
      </w:pPr>
      <w:bookmarkStart w:id="32" w:name="_heading=h.3as4poj" w:colFirst="0" w:colLast="0"/>
      <w:bookmarkEnd w:id="32"/>
    </w:p>
    <w:p w14:paraId="5BACDC44"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4.1 Presentación</w:t>
      </w:r>
    </w:p>
    <w:p w14:paraId="118B0E13"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1EA79B90"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Los Proponentes interesados, deberán presentar su oferta únicamente a través del SECOP II hasta la fecha y hora límite de “Presentación de ofertas” que aparece en el cronograma del formulario electrónico del pliego de condiciones del SECOP II.  Tenga en cuenta, que después de vencida esta fecha no le será posible presentar su oferta. No se aceptarán propuestas enviadas a través de canales diferentes al SECOP II. </w:t>
      </w:r>
    </w:p>
    <w:p w14:paraId="1F07A0AE"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02AC03FD"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Para la presentación de las ofertas, el proponente deberá tener en cuenta los requisitos y condiciones establecidos en la sección “Cuestionario” del formulario electrónico del pliego de condiciones del SECOP II, así como la información consagrada en el presente documento por considerarse complementario al pliego de condiciones electrónico. Así mismo, deberán seguir el procedimiento establecido por la Agencia Nacional de Contratación Pública – Colombia Compra Eficiente en la guía para la presentación de ofertas al proceso de contratación en el SECOP II que encuentra disponible en el siguiente enlace: </w:t>
      </w:r>
    </w:p>
    <w:bookmarkStart w:id="33" w:name="_Hlk204266805"/>
    <w:p w14:paraId="1C21AD0C" w14:textId="77777777" w:rsidR="008745D1" w:rsidRDefault="00062AC1">
      <w:pPr>
        <w:spacing w:line="240" w:lineRule="auto"/>
        <w:ind w:left="0" w:hanging="2"/>
        <w:jc w:val="both"/>
        <w:rPr>
          <w:rFonts w:ascii="Arial Narrow" w:eastAsia="Arial Narrow" w:hAnsi="Arial Narrow" w:cs="Arial Narrow"/>
          <w:color w:val="000000"/>
          <w:sz w:val="23"/>
          <w:szCs w:val="23"/>
        </w:rPr>
      </w:pPr>
      <w:r>
        <w:fldChar w:fldCharType="begin"/>
      </w:r>
      <w:r>
        <w:instrText>HYPERLINK "https://www.colombiacompra.gov.co/secop-ii/proveedores" \h</w:instrText>
      </w:r>
      <w:r>
        <w:fldChar w:fldCharType="separate"/>
      </w:r>
      <w:r>
        <w:rPr>
          <w:rFonts w:ascii="Arial Narrow" w:eastAsia="Arial Narrow" w:hAnsi="Arial Narrow" w:cs="Arial Narrow"/>
          <w:color w:val="000000"/>
          <w:sz w:val="23"/>
          <w:szCs w:val="23"/>
        </w:rPr>
        <w:t>https://www.colombiacompra.gov.co/secop-ii/proveedores</w:t>
      </w:r>
      <w:r>
        <w:fldChar w:fldCharType="end"/>
      </w:r>
      <w:r>
        <w:rPr>
          <w:rFonts w:ascii="Arial Narrow" w:eastAsia="Arial Narrow" w:hAnsi="Arial Narrow" w:cs="Arial Narrow"/>
          <w:color w:val="000000"/>
          <w:sz w:val="23"/>
          <w:szCs w:val="23"/>
        </w:rPr>
        <w:t xml:space="preserve"> en la sección “Presentar Ofertas”.</w:t>
      </w:r>
    </w:p>
    <w:bookmarkEnd w:id="33"/>
    <w:p w14:paraId="52F85850" w14:textId="77777777" w:rsidR="008745D1" w:rsidRDefault="00062AC1">
      <w:pPr>
        <w:widowControl w:val="0"/>
        <w:spacing w:after="0" w:line="240" w:lineRule="auto"/>
        <w:ind w:left="0" w:right="81"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Los proponentes deben presentar la oferta y los anexos en los formatos indicados.</w:t>
      </w:r>
    </w:p>
    <w:p w14:paraId="1C60D353" w14:textId="77777777" w:rsidR="008745D1" w:rsidRDefault="008745D1">
      <w:pPr>
        <w:widowControl w:val="0"/>
        <w:spacing w:after="0" w:line="240" w:lineRule="auto"/>
        <w:ind w:left="0" w:right="81" w:hanging="2"/>
        <w:jc w:val="both"/>
        <w:rPr>
          <w:rFonts w:ascii="Arial Narrow" w:eastAsia="Arial Narrow" w:hAnsi="Arial Narrow" w:cs="Arial Narrow"/>
          <w:color w:val="000000"/>
          <w:sz w:val="23"/>
          <w:szCs w:val="23"/>
        </w:rPr>
      </w:pPr>
    </w:p>
    <w:p w14:paraId="4997DDF6"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No deben figurar tachones, borrones o enmendaduras que hagan dudar sobre el contenido de la misma. Cualquier enmendadura que contenga la propuesta deberá ser aclarada y validada por el interesado en el mismo documento, antes del vencimiento del plazo para la presentación de las propuestas. No se aceptarán modificaciones a las propuestas presentadas con posterioridad a la fecha y hora del vencimiento del plazo destinado para tal fin. </w:t>
      </w:r>
    </w:p>
    <w:p w14:paraId="622AF2CB"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24B13A14"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No se admiten ofertas enviadas por medios diferentes al SECOP II.</w:t>
      </w:r>
    </w:p>
    <w:p w14:paraId="3E0DCD0F"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32809057" w14:textId="77777777" w:rsidR="008745D1" w:rsidRDefault="00062AC1">
      <w:pPr>
        <w:spacing w:line="240" w:lineRule="auto"/>
        <w:ind w:left="0" w:hanging="2"/>
        <w:jc w:val="both"/>
        <w:rPr>
          <w:rFonts w:ascii="Arial Narrow" w:eastAsia="Arial Narrow" w:hAnsi="Arial Narrow" w:cs="Arial Narrow"/>
          <w:color w:val="000000"/>
          <w:sz w:val="23"/>
          <w:szCs w:val="23"/>
        </w:rPr>
      </w:pPr>
      <w:bookmarkStart w:id="34" w:name="_heading=h.1pxezwc" w:colFirst="0" w:colLast="0"/>
      <w:bookmarkStart w:id="35" w:name="_Hlk204266996"/>
      <w:bookmarkEnd w:id="34"/>
      <w:r>
        <w:rPr>
          <w:rFonts w:ascii="Arial Narrow" w:eastAsia="Arial Narrow" w:hAnsi="Arial Narrow" w:cs="Arial Narrow"/>
          <w:b/>
          <w:color w:val="000000"/>
          <w:sz w:val="23"/>
          <w:szCs w:val="23"/>
        </w:rPr>
        <w:t>Nota 1</w:t>
      </w:r>
      <w:r>
        <w:rPr>
          <w:rFonts w:ascii="Arial Narrow" w:eastAsia="Arial Narrow" w:hAnsi="Arial Narrow" w:cs="Arial Narrow"/>
          <w:color w:val="000000"/>
          <w:sz w:val="23"/>
          <w:szCs w:val="23"/>
        </w:rPr>
        <w:t xml:space="preserve">. </w:t>
      </w:r>
      <w:r>
        <w:rPr>
          <w:rFonts w:ascii="Arial Narrow" w:eastAsia="Arial Narrow" w:hAnsi="Arial Narrow" w:cs="Arial Narrow"/>
          <w:color w:val="000000"/>
          <w:sz w:val="23"/>
          <w:szCs w:val="23"/>
          <w:u w:val="single"/>
        </w:rPr>
        <w:t xml:space="preserve">En el evento que los proponentes hayan presentado su oferta a través de la plataforma del SECOP II previamente a que la entidad publique una modificación o adenda </w:t>
      </w:r>
      <w:r>
        <w:rPr>
          <w:rFonts w:ascii="Arial Narrow" w:eastAsia="Arial Narrow" w:hAnsi="Arial Narrow" w:cs="Arial Narrow"/>
          <w:b/>
          <w:color w:val="000000"/>
          <w:sz w:val="23"/>
          <w:szCs w:val="23"/>
          <w:u w:val="single"/>
        </w:rPr>
        <w:t>antes del cierre</w:t>
      </w:r>
      <w:r>
        <w:rPr>
          <w:rFonts w:ascii="Arial Narrow" w:eastAsia="Arial Narrow" w:hAnsi="Arial Narrow" w:cs="Arial Narrow"/>
          <w:color w:val="000000"/>
          <w:sz w:val="23"/>
          <w:szCs w:val="23"/>
          <w:u w:val="single"/>
        </w:rPr>
        <w:t xml:space="preserve"> del proceso de selección, los proponentes deberán ingresar a la oferta presentada, "Aplicar la modificación" y volver a presentarla, toda vez que sí no se realiza el trámite en mención, la plataforma del SECOP II no tendrá en cuenta la oferta presentada previamente para el informe de selección</w:t>
      </w:r>
      <w:r>
        <w:rPr>
          <w:rFonts w:ascii="Arial Narrow" w:eastAsia="Arial Narrow" w:hAnsi="Arial Narrow" w:cs="Arial Narrow"/>
          <w:color w:val="000000"/>
          <w:sz w:val="23"/>
          <w:szCs w:val="23"/>
        </w:rPr>
        <w:t>.</w:t>
      </w:r>
    </w:p>
    <w:bookmarkEnd w:id="35"/>
    <w:p w14:paraId="092E35EC"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 xml:space="preserve">4.2. Retiro de la oferta </w:t>
      </w:r>
    </w:p>
    <w:p w14:paraId="4CD749D1"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7A37C1C5"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Los proponentes que opten por presentar su oferta antes de la fecha de cierre del proceso de selección, podrán retirarlas, siempre y cuando sea antes de la fecha y hora de cierre del presente proceso establecida en el cronograma del pliego electrónico de condiciones. </w:t>
      </w:r>
    </w:p>
    <w:p w14:paraId="4811A385"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67BAF005" w14:textId="77777777" w:rsidR="008745D1" w:rsidRDefault="00062AC1">
      <w:pPr>
        <w:widowControl w:val="0"/>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En el caso de que requiera retirar su oferta, deberá seguir el procedimiento establecido en la guía sobre el uso del SECOP II “Presentar ofertas</w:t>
      </w:r>
    </w:p>
    <w:p w14:paraId="0996CD55" w14:textId="77777777" w:rsidR="008745D1" w:rsidRDefault="008745D1">
      <w:pPr>
        <w:widowControl w:val="0"/>
        <w:spacing w:after="0" w:line="240" w:lineRule="auto"/>
        <w:ind w:left="0" w:hanging="2"/>
        <w:jc w:val="both"/>
        <w:rPr>
          <w:rFonts w:ascii="Arial Narrow" w:eastAsia="Arial Narrow" w:hAnsi="Arial Narrow" w:cs="Arial Narrow"/>
          <w:sz w:val="23"/>
          <w:szCs w:val="23"/>
        </w:rPr>
      </w:pPr>
    </w:p>
    <w:p w14:paraId="794FDD5D" w14:textId="77777777" w:rsidR="008745D1" w:rsidRDefault="00062AC1">
      <w:pPr>
        <w:keepNext/>
        <w:keepLines/>
        <w:numPr>
          <w:ilvl w:val="1"/>
          <w:numId w:val="16"/>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36" w:name="_heading=h.49x2ik5" w:colFirst="0" w:colLast="0"/>
      <w:bookmarkEnd w:id="36"/>
      <w:r>
        <w:rPr>
          <w:rFonts w:ascii="Arial Narrow" w:eastAsia="Arial Narrow" w:hAnsi="Arial Narrow" w:cs="Arial Narrow"/>
          <w:b/>
          <w:color w:val="000000"/>
          <w:sz w:val="23"/>
          <w:szCs w:val="23"/>
        </w:rPr>
        <w:t>Indisponibilidad</w:t>
      </w:r>
    </w:p>
    <w:p w14:paraId="07EC2E6D"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0ABDC5F8" w14:textId="77777777" w:rsidR="008745D1" w:rsidRDefault="00062AC1">
      <w:pPr>
        <w:spacing w:line="240" w:lineRule="auto"/>
        <w:ind w:left="0" w:hanging="2"/>
        <w:jc w:val="both"/>
        <w:rPr>
          <w:rFonts w:ascii="Arial Narrow" w:eastAsia="Arial Narrow" w:hAnsi="Arial Narrow" w:cs="Arial Narrow"/>
          <w:color w:val="000000"/>
          <w:sz w:val="23"/>
          <w:szCs w:val="23"/>
        </w:rPr>
      </w:pPr>
      <w:bookmarkStart w:id="37" w:name="_Hlk204267059"/>
      <w:r>
        <w:rPr>
          <w:rFonts w:ascii="Arial Narrow" w:eastAsia="Arial Narrow" w:hAnsi="Arial Narrow" w:cs="Arial Narrow"/>
          <w:color w:val="000000"/>
          <w:sz w:val="23"/>
          <w:szCs w:val="23"/>
        </w:rPr>
        <w:t xml:space="preserve">En caso de que SECOP II presente indisponibilidad (la plataforma no esté disponible por fallas de la misma), los proponentes deberán aplicar el procedimiento establecido en el Protocolo de indisponibilidad del SECOP II, el cual </w:t>
      </w:r>
      <w:r>
        <w:rPr>
          <w:rFonts w:ascii="Arial Narrow" w:eastAsia="Arial Narrow" w:hAnsi="Arial Narrow" w:cs="Arial Narrow"/>
          <w:color w:val="000000"/>
          <w:sz w:val="23"/>
          <w:szCs w:val="23"/>
        </w:rPr>
        <w:lastRenderedPageBreak/>
        <w:t xml:space="preserve">se encuentra disponible en el siguiente enlace: </w:t>
      </w:r>
      <w:hyperlink r:id="rId22">
        <w:r>
          <w:rPr>
            <w:rFonts w:ascii="Arial Narrow" w:eastAsia="Arial Narrow" w:hAnsi="Arial Narrow" w:cs="Arial Narrow"/>
            <w:color w:val="000000"/>
            <w:sz w:val="23"/>
            <w:szCs w:val="23"/>
          </w:rPr>
          <w:t>https://www.colombiacompra.gov.co/sites/cce_public/files/files_2020/cce-sec-gi-14_protocolo_de_indisponibilidad_secop_ii_25-11-2022_0.pdf</w:t>
        </w:r>
      </w:hyperlink>
    </w:p>
    <w:p w14:paraId="2D6081AD"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Tenga en cuenta, que este protocolo hace parte integral de los términos y condiciones del SECOP II por lo tanto es de obligatorio cumplimiento a partir del 25 de enero del 2022 y discrimina el procedimiento para los dos tipos de eventos en lo que el SECOP II puede presentar indisponibilidad: Fallas Generales y Fallas particulares.</w:t>
      </w:r>
    </w:p>
    <w:p w14:paraId="6A5BA7BB" w14:textId="77777777" w:rsidR="008745D1" w:rsidRDefault="00062AC1">
      <w:pPr>
        <w:numPr>
          <w:ilvl w:val="0"/>
          <w:numId w:val="9"/>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Fallas Generales: </w:t>
      </w:r>
      <w:r>
        <w:rPr>
          <w:rFonts w:ascii="Arial Narrow" w:eastAsia="Arial Narrow" w:hAnsi="Arial Narrow" w:cs="Arial Narrow"/>
          <w:color w:val="000000"/>
          <w:sz w:val="23"/>
          <w:szCs w:val="23"/>
        </w:rPr>
        <w:t xml:space="preserve">Afectan el normal funcionamiento de la plataforma y se presentan para todos sus usuarios. Si se presentan estas Fallas, Colombia Compra Eficiente expedirá un certificado con la fecha y hora de inicio, y la fecha y hora de terminación “Certificado de indisponibilidad”. El certificado se publicará cuando sea superada la Falla en un plazo máximo de tres horas siguientes a la terminación de la misma en el siguiente enlace </w:t>
      </w:r>
    </w:p>
    <w:p w14:paraId="593EA1A0"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52CB5828" w14:textId="77777777" w:rsidR="008745D1" w:rsidRDefault="00062AC1">
      <w:pPr>
        <w:spacing w:after="0" w:line="240" w:lineRule="auto"/>
        <w:ind w:left="0" w:hanging="2"/>
        <w:jc w:val="both"/>
        <w:rPr>
          <w:rFonts w:ascii="Arial Narrow" w:eastAsia="Arial Narrow" w:hAnsi="Arial Narrow" w:cs="Arial Narrow"/>
          <w:color w:val="000000"/>
          <w:sz w:val="23"/>
          <w:szCs w:val="23"/>
        </w:rPr>
      </w:pPr>
      <w:hyperlink r:id="rId23">
        <w:r>
          <w:rPr>
            <w:rFonts w:ascii="Arial Narrow" w:eastAsia="Arial Narrow" w:hAnsi="Arial Narrow" w:cs="Arial Narrow"/>
            <w:color w:val="000000"/>
            <w:sz w:val="23"/>
            <w:szCs w:val="23"/>
          </w:rPr>
          <w:t>https://www.colombiacompra.gov.co/secopii/indisponibilidad-en-el-secop-ii</w:t>
        </w:r>
      </w:hyperlink>
      <w:r>
        <w:rPr>
          <w:rFonts w:ascii="Arial Narrow" w:eastAsia="Arial Narrow" w:hAnsi="Arial Narrow" w:cs="Arial Narrow"/>
          <w:color w:val="000000"/>
          <w:sz w:val="23"/>
          <w:szCs w:val="23"/>
        </w:rPr>
        <w:t>.</w:t>
      </w:r>
    </w:p>
    <w:p w14:paraId="5E01D8FC"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07EE2F51"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Mientras se esté presentando la Falla, Colombia Compra Eficiente lo anunciará por sus diferentes Medios de Comunicación (banner principal de su página web, IVR de Mesa de servicio y banner de la página de inicio de SECOP II).</w:t>
      </w:r>
    </w:p>
    <w:p w14:paraId="5799DBE4"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44958CC6" w14:textId="77777777" w:rsidR="008745D1" w:rsidRDefault="00062AC1">
      <w:pPr>
        <w:numPr>
          <w:ilvl w:val="0"/>
          <w:numId w:val="9"/>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Fallas Particulares</w:t>
      </w:r>
      <w:r>
        <w:rPr>
          <w:rFonts w:ascii="Arial Narrow" w:eastAsia="Arial Narrow" w:hAnsi="Arial Narrow" w:cs="Arial Narrow"/>
          <w:color w:val="000000"/>
          <w:sz w:val="23"/>
          <w:szCs w:val="23"/>
        </w:rPr>
        <w:t xml:space="preserve">: Son las que se presentan para una cuenta de Entidad, Proveedor o usuario en particular y que impiden la culminación de una etapa o acto del Proceso de </w:t>
      </w:r>
      <w:r>
        <w:rPr>
          <w:rFonts w:ascii="Arial Narrow" w:eastAsia="Arial Narrow" w:hAnsi="Arial Narrow" w:cs="Arial Narrow"/>
          <w:sz w:val="23"/>
          <w:szCs w:val="23"/>
        </w:rPr>
        <w:t>Contratación</w:t>
      </w:r>
      <w:r>
        <w:rPr>
          <w:rFonts w:ascii="Arial Narrow" w:eastAsia="Arial Narrow" w:hAnsi="Arial Narrow" w:cs="Arial Narrow"/>
          <w:color w:val="000000"/>
          <w:sz w:val="23"/>
          <w:szCs w:val="23"/>
        </w:rPr>
        <w:t xml:space="preserve"> en específico. Estos casos particulares son certificados por la Mesa de servicio de Colombia Compra Eficiente mediante un correo electrónico que responde al caso radicado por el Proveedor o Entidad Estatal a través del formulario de soporte disponible en https://www.colombiacompra.gov.co/soporte/formulario-de-soporte  en el correo Colombia Compra Eficiente determinará la existencia de una Falla y ese correo constituye el certificado que habilitará, tanto a la Entidad Estatal como al Proveedor, para hacer uso del Protocolo de indisponibilidad.</w:t>
      </w:r>
    </w:p>
    <w:p w14:paraId="384664B1"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7F91AF31"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En todo caso, tenga en cuenta que el protocolo aplica cuando dichas Fallas se presentan dentro de las cuatro (4) horas calendario previas al evento en el que se está presentando la falla (presentación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w:t>
      </w:r>
    </w:p>
    <w:p w14:paraId="12FAE34A"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3DEE445B"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En cualquiera de los casos, el proveedor deberá enviar un correo electrónico al dominio </w:t>
      </w:r>
      <w:hyperlink r:id="rId24">
        <w:r>
          <w:rPr>
            <w:rFonts w:ascii="Arial Narrow" w:eastAsia="Arial Narrow" w:hAnsi="Arial Narrow" w:cs="Arial Narrow"/>
            <w:b/>
            <w:color w:val="000000"/>
            <w:sz w:val="23"/>
            <w:szCs w:val="23"/>
            <w:u w:val="single"/>
          </w:rPr>
          <w:t>gestioncontractual.pcontractualesnc@fiscalia.gov.co</w:t>
        </w:r>
      </w:hyperlink>
      <w:r>
        <w:rPr>
          <w:rFonts w:ascii="Arial Narrow" w:eastAsia="Arial Narrow" w:hAnsi="Arial Narrow" w:cs="Arial Narrow"/>
          <w:b/>
          <w:color w:val="000000"/>
          <w:sz w:val="23"/>
          <w:szCs w:val="23"/>
          <w:u w:val="single"/>
        </w:rPr>
        <w:t>.</w:t>
      </w:r>
      <w:r>
        <w:rPr>
          <w:rFonts w:ascii="Arial Narrow" w:eastAsia="Arial Narrow" w:hAnsi="Arial Narrow" w:cs="Arial Narrow"/>
          <w:color w:val="000000"/>
          <w:sz w:val="23"/>
          <w:szCs w:val="23"/>
        </w:rPr>
        <w:t xml:space="preserve"> Indicando la imposibilidad de realizar la acción a través del SECOP II debido a la indisponibilidad de la plataforma antes de la fecha límite para adelantar la acción (presentar oferta, presentar observaciones, subsanaciones etc). En el correo que el Proveedor envíe a la Fiscalía General de la Nación a través de la Subdirección de Gestión Contractual de la FGN, deberá especificar: </w:t>
      </w:r>
    </w:p>
    <w:p w14:paraId="78C132EB"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26CB55BD" w14:textId="77777777" w:rsidR="008745D1" w:rsidRDefault="00062AC1">
      <w:pPr>
        <w:numPr>
          <w:ilvl w:val="0"/>
          <w:numId w:val="15"/>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número de Proceso; </w:t>
      </w:r>
    </w:p>
    <w:p w14:paraId="61A4EA95" w14:textId="77777777" w:rsidR="008745D1" w:rsidRDefault="00062AC1">
      <w:pPr>
        <w:numPr>
          <w:ilvl w:val="0"/>
          <w:numId w:val="15"/>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Objeto</w:t>
      </w:r>
    </w:p>
    <w:p w14:paraId="0EC83571" w14:textId="77777777" w:rsidR="008745D1" w:rsidRDefault="00062AC1">
      <w:pPr>
        <w:numPr>
          <w:ilvl w:val="0"/>
          <w:numId w:val="15"/>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Señalar claramente a la FGN como contratante.</w:t>
      </w:r>
    </w:p>
    <w:p w14:paraId="31B6E553" w14:textId="77777777" w:rsidR="008745D1" w:rsidRDefault="00062AC1">
      <w:pPr>
        <w:numPr>
          <w:ilvl w:val="0"/>
          <w:numId w:val="15"/>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nombre del usuario en la plataforma </w:t>
      </w:r>
    </w:p>
    <w:p w14:paraId="5088809C" w14:textId="77777777" w:rsidR="008745D1" w:rsidRDefault="00062AC1">
      <w:pPr>
        <w:numPr>
          <w:ilvl w:val="0"/>
          <w:numId w:val="15"/>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Nombre de la cuenta del proponente que está adelantando la acción en la plataforma; </w:t>
      </w:r>
    </w:p>
    <w:p w14:paraId="1FBACA40" w14:textId="77777777" w:rsidR="008745D1" w:rsidRDefault="00062AC1">
      <w:pPr>
        <w:numPr>
          <w:ilvl w:val="0"/>
          <w:numId w:val="15"/>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NIT o cédula del Proveedor</w:t>
      </w:r>
    </w:p>
    <w:p w14:paraId="5BEDAA1A"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47A391C5"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Adicionalmente, tenga en cuenta no hacer uso del canal de mensajes del SECOP II como mecanismo de comunicación con la Entidad hasta tanto no se certifique que se superó la Falla. Los mensajes podrían estar afectados por la Falla y no llegar, o llegar con retraso. </w:t>
      </w:r>
    </w:p>
    <w:p w14:paraId="691C02BD"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72A1F422" w14:textId="77777777" w:rsidR="008745D1" w:rsidRDefault="00062AC1">
      <w:pPr>
        <w:spacing w:after="0" w:line="240" w:lineRule="auto"/>
        <w:ind w:left="0" w:hanging="2"/>
        <w:jc w:val="both"/>
        <w:rPr>
          <w:rFonts w:ascii="Arial Narrow" w:eastAsia="Arial Narrow" w:hAnsi="Arial Narrow" w:cs="Arial Narrow"/>
          <w:b/>
          <w:color w:val="000000"/>
          <w:sz w:val="23"/>
          <w:szCs w:val="23"/>
          <w:u w:val="single"/>
        </w:rPr>
      </w:pPr>
      <w:r>
        <w:rPr>
          <w:rFonts w:ascii="Arial Narrow" w:eastAsia="Arial Narrow" w:hAnsi="Arial Narrow" w:cs="Arial Narrow"/>
          <w:b/>
          <w:color w:val="000000"/>
          <w:sz w:val="23"/>
          <w:szCs w:val="23"/>
          <w:u w:val="single"/>
        </w:rPr>
        <w:t>El anterior correo se habilitará exclusivamente para los efectos de la aplicación del protocolo de indisponibilidad del SECOP II, en consecuencia, cualquier otra comunicación recibida por este medio no será tenida en cuenta por la FGN.</w:t>
      </w:r>
    </w:p>
    <w:p w14:paraId="4A1FB6A2"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3DAE4F7A"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Ante la ocurrencia de una falla, la FGN comunicará a los interesados la decisión que tome frente a la falla general o particular certificada por Colombia Compra Eficiente a través de un mensaje público en el SECOP II, una vez se restablezca la indisponibilidad, con el fin de realizar las acciones pertinentes.</w:t>
      </w:r>
    </w:p>
    <w:p w14:paraId="632BC100"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20981A5B"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No será atendida la correspondencia entregada en cualquier Dependencia de la Entidad o cualquier otra dirección de correo diferente a la señalada con antelación.</w:t>
      </w:r>
    </w:p>
    <w:p w14:paraId="0637EA7B" w14:textId="77777777" w:rsidR="008745D1" w:rsidRDefault="008745D1">
      <w:pPr>
        <w:spacing w:after="0" w:line="240" w:lineRule="auto"/>
        <w:ind w:left="0" w:hanging="2"/>
        <w:jc w:val="both"/>
        <w:rPr>
          <w:rFonts w:ascii="Arial Narrow" w:eastAsia="Arial Narrow" w:hAnsi="Arial Narrow" w:cs="Arial Narrow"/>
          <w:color w:val="000000"/>
          <w:sz w:val="23"/>
          <w:szCs w:val="23"/>
        </w:rPr>
      </w:pPr>
      <w:bookmarkStart w:id="38" w:name="_heading=h.2p2csry" w:colFirst="0" w:colLast="0"/>
      <w:bookmarkEnd w:id="37"/>
      <w:bookmarkEnd w:id="38"/>
    </w:p>
    <w:p w14:paraId="2A2B26DC" w14:textId="77777777" w:rsidR="008745D1" w:rsidRDefault="00062AC1">
      <w:pPr>
        <w:keepNext/>
        <w:keepLines/>
        <w:numPr>
          <w:ilvl w:val="1"/>
          <w:numId w:val="16"/>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Riesgos</w:t>
      </w:r>
    </w:p>
    <w:p w14:paraId="547E85E9" w14:textId="77777777" w:rsidR="008745D1" w:rsidRDefault="008745D1">
      <w:pPr>
        <w:tabs>
          <w:tab w:val="left" w:pos="540"/>
        </w:tabs>
        <w:spacing w:after="0" w:line="240" w:lineRule="auto"/>
        <w:ind w:left="0" w:hanging="2"/>
        <w:jc w:val="both"/>
        <w:rPr>
          <w:rFonts w:ascii="Arial Narrow" w:eastAsia="Arial Narrow" w:hAnsi="Arial Narrow" w:cs="Arial Narrow"/>
          <w:color w:val="000000"/>
          <w:sz w:val="23"/>
          <w:szCs w:val="23"/>
        </w:rPr>
      </w:pPr>
    </w:p>
    <w:p w14:paraId="14E41A22"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De acuerdo con la metodología de Colombia Compra Eficiente, en un documento adjunto a este pliego, se identifican los Riesgos del Proceso de Contratación desde su planeación hasta su terminación o liquidación si aplica.</w:t>
      </w:r>
    </w:p>
    <w:p w14:paraId="0DCB3FB4" w14:textId="77777777" w:rsidR="008745D1" w:rsidRDefault="008745D1">
      <w:pPr>
        <w:tabs>
          <w:tab w:val="left" w:pos="2520"/>
        </w:tabs>
        <w:spacing w:line="240" w:lineRule="auto"/>
        <w:ind w:left="0" w:hanging="2"/>
        <w:jc w:val="both"/>
        <w:rPr>
          <w:rFonts w:ascii="Arial Narrow" w:eastAsia="Arial Narrow" w:hAnsi="Arial Narrow" w:cs="Arial Narrow"/>
          <w:sz w:val="23"/>
          <w:szCs w:val="23"/>
        </w:rPr>
      </w:pPr>
    </w:p>
    <w:tbl>
      <w:tblPr>
        <w:tblStyle w:val="afff3"/>
        <w:tblW w:w="97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5"/>
      </w:tblGrid>
      <w:tr w:rsidR="008745D1" w14:paraId="4119F398" w14:textId="77777777">
        <w:trPr>
          <w:jc w:val="center"/>
        </w:trPr>
        <w:tc>
          <w:tcPr>
            <w:tcW w:w="9795" w:type="dxa"/>
            <w:shd w:val="clear" w:color="auto" w:fill="CCCCCC"/>
          </w:tcPr>
          <w:p w14:paraId="49579C74"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39" w:name="_heading=h.147n2zr" w:colFirst="0" w:colLast="0"/>
            <w:bookmarkEnd w:id="39"/>
            <w:r>
              <w:rPr>
                <w:rFonts w:ascii="Arial Narrow" w:eastAsia="Arial Narrow" w:hAnsi="Arial Narrow" w:cs="Arial Narrow"/>
                <w:b/>
                <w:color w:val="000000"/>
                <w:sz w:val="23"/>
                <w:szCs w:val="23"/>
              </w:rPr>
              <w:t xml:space="preserve"> REQUISITOS MÍNIMOS HABILITANTES </w:t>
            </w:r>
          </w:p>
        </w:tc>
      </w:tr>
    </w:tbl>
    <w:p w14:paraId="1BA2E5D0"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53571D00"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40" w:name="_Hlk204267201"/>
      <w:r>
        <w:rPr>
          <w:rFonts w:ascii="Arial Narrow" w:eastAsia="Arial Narrow" w:hAnsi="Arial Narrow" w:cs="Arial Narrow"/>
          <w:color w:val="000000"/>
          <w:sz w:val="23"/>
          <w:szCs w:val="23"/>
        </w:rPr>
        <w:t xml:space="preserve">La verificación de los requisitos habilitantes se realizará individualmente por parte de los miembros que conformen el </w:t>
      </w:r>
      <w:r>
        <w:rPr>
          <w:rFonts w:ascii="Arial Narrow" w:eastAsia="Arial Narrow" w:hAnsi="Arial Narrow" w:cs="Arial Narrow"/>
          <w:b/>
          <w:color w:val="000000"/>
          <w:sz w:val="23"/>
          <w:szCs w:val="23"/>
        </w:rPr>
        <w:t>Comité Evaluador, en</w:t>
      </w:r>
      <w:r>
        <w:rPr>
          <w:rFonts w:ascii="Arial Narrow" w:eastAsia="Arial Narrow" w:hAnsi="Arial Narrow" w:cs="Arial Narrow"/>
          <w:b/>
          <w:sz w:val="23"/>
          <w:szCs w:val="23"/>
        </w:rPr>
        <w:t xml:space="preserve"> los aspectos técnicos, jurídicos y financieros</w:t>
      </w:r>
      <w:r>
        <w:rPr>
          <w:rFonts w:ascii="Arial Narrow" w:eastAsia="Arial Narrow" w:hAnsi="Arial Narrow" w:cs="Arial Narrow"/>
          <w:color w:val="000000"/>
          <w:sz w:val="23"/>
          <w:szCs w:val="23"/>
        </w:rPr>
        <w:t xml:space="preserve"> y se efectuará de la siguiente manera: </w:t>
      </w:r>
    </w:p>
    <w:bookmarkEnd w:id="40"/>
    <w:p w14:paraId="50006AEE"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3B1315D0" w14:textId="77777777" w:rsidR="008745D1" w:rsidRDefault="00062AC1">
      <w:pPr>
        <w:widowControl w:val="0"/>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La Fiscalía General de la Nación debe verificar con el Registro Único de Proponentes el cumplimiento de los requisitos habilitantes. Esta verificación se hará de acuerdo con el artículo 2.2.1.1.1.5.2 y 2.2.1.1.1.5.3 del Decreto 1082 de 2015 y el Manual para determinar y verificar los requisitos habilitantes en Procesos de Contratación expedido por Colombia Compra Eficiente.</w:t>
      </w:r>
    </w:p>
    <w:p w14:paraId="66388EDF" w14:textId="77777777" w:rsidR="008745D1" w:rsidRDefault="008745D1">
      <w:pPr>
        <w:widowControl w:val="0"/>
        <w:spacing w:after="0" w:line="240" w:lineRule="auto"/>
        <w:ind w:left="0" w:hanging="2"/>
        <w:jc w:val="both"/>
        <w:rPr>
          <w:rFonts w:ascii="Arial Narrow" w:eastAsia="Arial Narrow" w:hAnsi="Arial Narrow" w:cs="Arial Narrow"/>
          <w:color w:val="000000"/>
          <w:sz w:val="23"/>
          <w:szCs w:val="23"/>
        </w:rPr>
      </w:pPr>
    </w:p>
    <w:p w14:paraId="22CDF7B3" w14:textId="77777777" w:rsidR="008745D1" w:rsidRDefault="00062AC1">
      <w:pPr>
        <w:widowControl w:val="0"/>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w:t>
      </w:r>
    </w:p>
    <w:p w14:paraId="52A45D13" w14:textId="77777777" w:rsidR="008745D1" w:rsidRDefault="008745D1">
      <w:pPr>
        <w:widowControl w:val="0"/>
        <w:spacing w:after="0" w:line="240" w:lineRule="auto"/>
        <w:ind w:left="0" w:hanging="2"/>
        <w:jc w:val="both"/>
        <w:rPr>
          <w:rFonts w:ascii="Arial Narrow" w:eastAsia="Arial Narrow" w:hAnsi="Arial Narrow" w:cs="Arial Narrow"/>
          <w:color w:val="000000"/>
          <w:sz w:val="23"/>
          <w:szCs w:val="23"/>
        </w:rPr>
      </w:pPr>
    </w:p>
    <w:p w14:paraId="069393F2" w14:textId="77777777" w:rsidR="008745D1" w:rsidRDefault="00062AC1">
      <w:pPr>
        <w:widowControl w:val="0"/>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Los Proponentes extranjeros no obligados </w:t>
      </w:r>
      <w:r>
        <w:rPr>
          <w:rFonts w:ascii="Arial Narrow" w:eastAsia="Arial Narrow" w:hAnsi="Arial Narrow" w:cs="Arial Narrow"/>
          <w:sz w:val="23"/>
          <w:szCs w:val="23"/>
        </w:rPr>
        <w:t>a</w:t>
      </w:r>
      <w:r>
        <w:rPr>
          <w:rFonts w:ascii="Arial Narrow" w:eastAsia="Arial Narrow" w:hAnsi="Arial Narrow" w:cs="Arial Narrow"/>
          <w:color w:val="000000"/>
          <w:sz w:val="23"/>
          <w:szCs w:val="23"/>
        </w:rPr>
        <w:t xml:space="preserve"> tener RUP deben acreditar los requisitos habilitantes utilizando los formatos contenidos en el Anexo (formato para acreditar los requisitos habilitantes de los proponentes extranjeros sin domicilio o sucursal en Colombia).</w:t>
      </w:r>
    </w:p>
    <w:p w14:paraId="669F6FEC" w14:textId="77777777" w:rsidR="008745D1" w:rsidRDefault="008745D1">
      <w:pPr>
        <w:widowControl w:val="0"/>
        <w:spacing w:after="0" w:line="240" w:lineRule="auto"/>
        <w:ind w:left="0" w:hanging="2"/>
        <w:jc w:val="both"/>
        <w:rPr>
          <w:rFonts w:ascii="Arial Narrow" w:eastAsia="Arial Narrow" w:hAnsi="Arial Narrow" w:cs="Arial Narrow"/>
          <w:color w:val="000000"/>
          <w:sz w:val="23"/>
          <w:szCs w:val="23"/>
        </w:rPr>
      </w:pPr>
    </w:p>
    <w:p w14:paraId="0D9595BE"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Los proveedores interesados en participar en el presente proceso de contratación deberán estar registrados con una cuenta de Proveedor en el Sistema Electrónico para la Contratación Pública - SECOP II. Para ello deben seguir el procedimiento establecido por la Agencia Nacional de Contratación Pública – Colombia Compra Eficiente en el manual para el registro de proveedores del SECOP II que encuentran disponible en el siguiente enlace: </w:t>
      </w:r>
    </w:p>
    <w:bookmarkStart w:id="41" w:name="_heading=h.3o7alnk" w:colFirst="0" w:colLast="0"/>
    <w:bookmarkStart w:id="42" w:name="_Hlk204267478"/>
    <w:bookmarkEnd w:id="41"/>
    <w:p w14:paraId="3E9E47CE" w14:textId="77777777" w:rsidR="008745D1" w:rsidRDefault="00062AC1">
      <w:pPr>
        <w:spacing w:line="240" w:lineRule="auto"/>
        <w:ind w:left="0" w:hanging="2"/>
        <w:jc w:val="both"/>
        <w:rPr>
          <w:rFonts w:ascii="Arial Narrow" w:eastAsia="Arial Narrow" w:hAnsi="Arial Narrow" w:cs="Arial Narrow"/>
          <w:color w:val="000000"/>
          <w:sz w:val="23"/>
          <w:szCs w:val="23"/>
        </w:rPr>
      </w:pPr>
      <w:r>
        <w:fldChar w:fldCharType="begin"/>
      </w:r>
      <w:r>
        <w:instrText xml:space="preserve"> HYPERLINK "https://www.colombiacompra.gov.co/secop-ii/proveedores" \h </w:instrText>
      </w:r>
      <w:r>
        <w:fldChar w:fldCharType="separate"/>
      </w:r>
      <w:r>
        <w:rPr>
          <w:rFonts w:ascii="Arial Narrow" w:eastAsia="Arial Narrow" w:hAnsi="Arial Narrow" w:cs="Arial Narrow"/>
          <w:color w:val="000000"/>
          <w:sz w:val="23"/>
          <w:szCs w:val="23"/>
        </w:rPr>
        <w:t>https://www.colombiacompra.gov.co/secop-ii/proveedores</w:t>
      </w:r>
      <w:r>
        <w:rPr>
          <w:rFonts w:ascii="Arial Narrow" w:eastAsia="Arial Narrow" w:hAnsi="Arial Narrow" w:cs="Arial Narrow"/>
          <w:color w:val="000000"/>
          <w:sz w:val="23"/>
          <w:szCs w:val="23"/>
        </w:rPr>
        <w:fldChar w:fldCharType="end"/>
      </w:r>
      <w:r>
        <w:rPr>
          <w:rFonts w:ascii="Arial Narrow" w:eastAsia="Arial Narrow" w:hAnsi="Arial Narrow" w:cs="Arial Narrow"/>
          <w:color w:val="000000"/>
          <w:sz w:val="23"/>
          <w:szCs w:val="23"/>
        </w:rPr>
        <w:t xml:space="preserve"> en la sección “Registro de Proveedores”.</w:t>
      </w:r>
    </w:p>
    <w:bookmarkEnd w:id="42"/>
    <w:p w14:paraId="59358300"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Si el proveedor va a presentar su oferta como proponente plural, debe constituir la unión temporal o el consorcio a través del SECOP II y presentar la oferta desde esa cuenta (No serán tenidas en cuenta las ofertas presentadas desde una cuenta de proveedor particular a nombre de proponente plural). Para crear una cuenta a nombre de proponente plural, debe seguir el procedimiento establecido por la Agencia Nacional de Contratación Pública – Colombia Compra Eficiente en el manual de creación de proponente plural en el SECOP II que encuentran disponible en el siguiente enlace: </w:t>
      </w:r>
    </w:p>
    <w:p w14:paraId="4C5468C3" w14:textId="77777777" w:rsidR="000355A2" w:rsidRPr="000355A2" w:rsidRDefault="000355A2">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43" w:name="_heading=h.23ckvvd" w:colFirst="0" w:colLast="0"/>
      <w:bookmarkStart w:id="44" w:name="_Hlk204267490"/>
      <w:bookmarkEnd w:id="43"/>
      <w:r w:rsidRPr="000355A2">
        <w:rPr>
          <w:rFonts w:ascii="Arial Narrow" w:eastAsia="Arial Narrow" w:hAnsi="Arial Narrow" w:cs="Arial Narrow"/>
          <w:color w:val="000000"/>
          <w:sz w:val="23"/>
          <w:szCs w:val="23"/>
        </w:rPr>
        <w:t>https://www.colombiacompra.gov.co/secop-ii/proveedores en la sección “Registro de Proveedores”.</w:t>
      </w:r>
    </w:p>
    <w:bookmarkEnd w:id="44"/>
    <w:p w14:paraId="10D8437D" w14:textId="77777777" w:rsidR="000355A2" w:rsidRDefault="000355A2">
      <w:pPr>
        <w:pBdr>
          <w:top w:val="nil"/>
          <w:left w:val="nil"/>
          <w:bottom w:val="nil"/>
          <w:right w:val="nil"/>
          <w:between w:val="nil"/>
        </w:pBdr>
        <w:spacing w:after="0" w:line="240" w:lineRule="auto"/>
        <w:ind w:left="0" w:hanging="2"/>
        <w:jc w:val="both"/>
      </w:pPr>
    </w:p>
    <w:p w14:paraId="21A8EFB1" w14:textId="5D43E5EB"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 Entidad revisará el cumplimiento de los requisitos habilitantes contemplados en el presente documento. </w:t>
      </w:r>
    </w:p>
    <w:p w14:paraId="69002427"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4577D79D"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Para dar aplicación del Decreto 1860 de 2021, en la aplicación de criterios habilitantes diferenciales para mipymes se deberá tener en cuenta las siguientes reglas:</w:t>
      </w:r>
    </w:p>
    <w:p w14:paraId="21978E02"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4E2FB2C0" w14:textId="77777777" w:rsidR="008745D1" w:rsidRDefault="00062AC1">
      <w:pPr>
        <w:numPr>
          <w:ilvl w:val="0"/>
          <w:numId w:val="11"/>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lastRenderedPageBreak/>
        <w:t>El tamaño de la empresa se verificará según lo establecido en la Ley 590 de 2000 y el Decreto 1074 de 2015, o las normas que lo modifiquen, sustituyan o complementen.</w:t>
      </w:r>
    </w:p>
    <w:p w14:paraId="16E9494B"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0EAD780C" w14:textId="77777777" w:rsidR="008745D1" w:rsidRDefault="00062AC1">
      <w:pPr>
        <w:numPr>
          <w:ilvl w:val="0"/>
          <w:numId w:val="11"/>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Para la acreditación de la condición de Mipyme, se tendrá en cuenta lo establecido en el artículo 2.2.1.2.4.2.4 del Decreto 1082 de 2015 modificado por el Decreto 1860 de 2021, de conformidad con lo establecido cuarto del citado artículo.</w:t>
      </w:r>
      <w:r>
        <w:rPr>
          <w:rFonts w:ascii="Arial Narrow" w:eastAsia="Arial Narrow" w:hAnsi="Arial Narrow" w:cs="Arial Narrow"/>
          <w:color w:val="000000"/>
          <w:sz w:val="23"/>
          <w:szCs w:val="23"/>
          <w:vertAlign w:val="superscript"/>
        </w:rPr>
        <w:footnoteReference w:id="3"/>
      </w:r>
    </w:p>
    <w:p w14:paraId="2FE327DF" w14:textId="77777777" w:rsidR="0049232C" w:rsidRDefault="0049232C" w:rsidP="0049232C">
      <w:pPr>
        <w:spacing w:line="240" w:lineRule="auto"/>
        <w:ind w:leftChars="0" w:left="0" w:firstLineChars="0" w:firstLine="0"/>
        <w:jc w:val="both"/>
        <w:rPr>
          <w:rFonts w:ascii="Arial Narrow" w:eastAsia="Arial Narrow" w:hAnsi="Arial Narrow" w:cs="Arial Narrow"/>
          <w:color w:val="000000"/>
          <w:sz w:val="23"/>
          <w:szCs w:val="23"/>
        </w:rPr>
      </w:pPr>
    </w:p>
    <w:p w14:paraId="387D62BD" w14:textId="77777777" w:rsidR="008745D1" w:rsidRDefault="00062AC1" w:rsidP="0049232C">
      <w:pPr>
        <w:spacing w:line="240" w:lineRule="auto"/>
        <w:ind w:leftChars="0" w:left="0" w:firstLineChars="0" w:firstLine="0"/>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Los proponentes pueden subsanar la forma como acreditaron los requisitos habilitantes en cualquier momento hasta la realización de la subasta, es decir previo a la apertura de sobres económicos, por cuanto constituye el primer requisito para iniciar la puja dinámica a la baja</w:t>
      </w:r>
      <w:r>
        <w:rPr>
          <w:rFonts w:ascii="Arial Narrow" w:eastAsia="Arial Narrow" w:hAnsi="Arial Narrow" w:cs="Arial Narrow"/>
          <w:color w:val="000000"/>
          <w:sz w:val="23"/>
          <w:szCs w:val="23"/>
          <w:vertAlign w:val="superscript"/>
        </w:rPr>
        <w:footnoteReference w:id="4"/>
      </w:r>
      <w:r>
        <w:rPr>
          <w:rFonts w:ascii="Arial Narrow" w:eastAsia="Arial Narrow" w:hAnsi="Arial Narrow" w:cs="Arial Narrow"/>
          <w:color w:val="000000"/>
          <w:sz w:val="23"/>
          <w:szCs w:val="23"/>
        </w:rPr>
        <w:t>. Las subsanaciones que el proveedor realice al proceso de contratación, las deberá realizar a través del canal de “Mensajes” del área de trabajo del proceso de contratación en el SECOP II. No serán tenidas en cuenta las subsanaciones que se envíen por otro canal.</w:t>
      </w:r>
    </w:p>
    <w:p w14:paraId="3D41C680"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La Fiscalía General de la Nación, publicará los informes de verificación de requisitos habilitantes, a través de los cuales solicitará los documentos subsanables referentes a la futura contratación o al proponente, no necesarios para la comparación de la propuesta.</w:t>
      </w:r>
    </w:p>
    <w:p w14:paraId="1F68EE2D"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1785E760"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color w:val="000000"/>
          <w:sz w:val="23"/>
          <w:szCs w:val="23"/>
        </w:rPr>
        <w:t xml:space="preserve">El Proveedor podrá realizar observaciones al informe de evaluación una vez el informe sea publicado por la Fiscalía General de la Nación en el SECOP II. En la sección “Notificaciones” del Área de trabajo del proceso de contratación del SECOP II, encontrará el informe de evaluación publicado y podrá crear y enviar observaciones a </w:t>
      </w:r>
      <w:r>
        <w:rPr>
          <w:rFonts w:ascii="Arial Narrow" w:eastAsia="Arial Narrow" w:hAnsi="Arial Narrow" w:cs="Arial Narrow"/>
          <w:sz w:val="23"/>
          <w:szCs w:val="23"/>
        </w:rPr>
        <w:t>través del botón “Opciones”, de conformidad con el cronograma del proceso.</w:t>
      </w:r>
    </w:p>
    <w:p w14:paraId="070A1C1B"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sz w:val="23"/>
          <w:szCs w:val="23"/>
        </w:rPr>
      </w:pPr>
    </w:p>
    <w:p w14:paraId="29E4DD33"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b/>
          <w:sz w:val="23"/>
          <w:szCs w:val="23"/>
        </w:rPr>
      </w:pPr>
      <w:r>
        <w:rPr>
          <w:rFonts w:ascii="Arial Narrow" w:eastAsia="Arial Narrow" w:hAnsi="Arial Narrow" w:cs="Arial Narrow"/>
          <w:b/>
          <w:sz w:val="23"/>
          <w:szCs w:val="23"/>
        </w:rPr>
        <w:t>MEDIDAS CONTRA LA AFECTACIÓN DE LA COMPETENCIA EN LO PROCESOS CONTRACTUALES</w:t>
      </w:r>
    </w:p>
    <w:p w14:paraId="4C06B981"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sz w:val="23"/>
          <w:szCs w:val="23"/>
        </w:rPr>
      </w:pPr>
    </w:p>
    <w:p w14:paraId="39076ABF"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sz w:val="23"/>
          <w:szCs w:val="23"/>
        </w:rPr>
      </w:pPr>
      <w:bookmarkStart w:id="45" w:name="_Hlk204267696"/>
      <w:r>
        <w:rPr>
          <w:rFonts w:ascii="Arial Narrow" w:eastAsia="Arial Narrow" w:hAnsi="Arial Narrow" w:cs="Arial Narrow"/>
          <w:sz w:val="23"/>
          <w:szCs w:val="23"/>
        </w:rPr>
        <w:t xml:space="preserve">Durante el término de traslado, los oferentes subsanarán aquellas circunstancias evidenciadas en los respectivos informes de evaluación, caso contrario, justificarán el motivo por el cual NO SUBSANAN. </w:t>
      </w:r>
    </w:p>
    <w:bookmarkEnd w:id="45"/>
    <w:p w14:paraId="6C96F5E7"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sz w:val="23"/>
          <w:szCs w:val="23"/>
        </w:rPr>
      </w:pPr>
    </w:p>
    <w:p w14:paraId="76649AEC"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46" w:name="_heading=h.32hioqz" w:colFirst="0" w:colLast="0"/>
      <w:bookmarkEnd w:id="46"/>
      <w:r>
        <w:rPr>
          <w:rFonts w:ascii="Arial Narrow" w:eastAsia="Arial Narrow" w:hAnsi="Arial Narrow" w:cs="Arial Narrow"/>
          <w:b/>
          <w:color w:val="000000"/>
          <w:sz w:val="23"/>
          <w:szCs w:val="23"/>
        </w:rPr>
        <w:t>5.1. Capacidad Jurídica</w:t>
      </w:r>
    </w:p>
    <w:p w14:paraId="0C984141" w14:textId="77777777" w:rsidR="008745D1" w:rsidRPr="00F17E84"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sz w:val="23"/>
          <w:szCs w:val="23"/>
        </w:rPr>
      </w:pPr>
    </w:p>
    <w:p w14:paraId="12994D9D" w14:textId="4ED975D9" w:rsidR="008745D1" w:rsidRDefault="00091AE2">
      <w:pPr>
        <w:widowControl w:val="0"/>
        <w:pBdr>
          <w:top w:val="nil"/>
          <w:left w:val="nil"/>
          <w:bottom w:val="nil"/>
          <w:right w:val="nil"/>
          <w:between w:val="nil"/>
        </w:pBdr>
        <w:spacing w:after="0" w:line="240" w:lineRule="auto"/>
        <w:ind w:left="0" w:hanging="2"/>
        <w:jc w:val="both"/>
        <w:rPr>
          <w:rFonts w:ascii="Arial Narrow" w:eastAsia="Arial Narrow" w:hAnsi="Arial Narrow" w:cs="Arial Narrow"/>
          <w:sz w:val="23"/>
          <w:szCs w:val="23"/>
        </w:rPr>
      </w:pPr>
      <w:r w:rsidRPr="00091AE2">
        <w:rPr>
          <w:rFonts w:ascii="Arial Narrow" w:eastAsia="Arial Narrow" w:hAnsi="Arial Narrow" w:cs="Arial Narrow"/>
          <w:sz w:val="23"/>
          <w:szCs w:val="23"/>
        </w:rPr>
        <w:t>En el presente proceso de contratación pueden participar personas naturales o jurídicas, nacionales o extranjeras; consorcios, uniones temporales o promesas de sociedad futura, cuyo objeto social esté relacionado con el objeto del contrato a celebrarse.</w:t>
      </w:r>
    </w:p>
    <w:p w14:paraId="77CD22F8" w14:textId="77777777" w:rsidR="00091AE2" w:rsidRPr="00F17E84" w:rsidRDefault="00091AE2">
      <w:pPr>
        <w:widowControl w:val="0"/>
        <w:pBdr>
          <w:top w:val="nil"/>
          <w:left w:val="nil"/>
          <w:bottom w:val="nil"/>
          <w:right w:val="nil"/>
          <w:between w:val="nil"/>
        </w:pBdr>
        <w:spacing w:after="0" w:line="240" w:lineRule="auto"/>
        <w:ind w:left="0" w:hanging="2"/>
        <w:jc w:val="both"/>
        <w:rPr>
          <w:rFonts w:ascii="Arial Narrow" w:eastAsia="Arial Narrow" w:hAnsi="Arial Narrow" w:cs="Arial Narrow"/>
          <w:sz w:val="23"/>
          <w:szCs w:val="23"/>
        </w:rPr>
      </w:pPr>
    </w:p>
    <w:p w14:paraId="1E434D70" w14:textId="77777777" w:rsidR="008745D1" w:rsidRPr="00F17E84"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sz w:val="23"/>
          <w:szCs w:val="23"/>
        </w:rPr>
      </w:pPr>
      <w:r w:rsidRPr="00F17E84">
        <w:rPr>
          <w:rFonts w:ascii="Arial Narrow" w:eastAsia="Arial Narrow" w:hAnsi="Arial Narrow" w:cs="Arial Narrow"/>
          <w:sz w:val="23"/>
          <w:szCs w:val="23"/>
        </w:rPr>
        <w:t>La duración de esta asociación debe ser por lo menos por la vigencia del contrato y un año más.</w:t>
      </w:r>
    </w:p>
    <w:p w14:paraId="16FE8D85" w14:textId="77777777" w:rsidR="008745D1"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3E87D3E6"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La Fiscalía General de la Nación</w:t>
      </w:r>
      <w:r>
        <w:rPr>
          <w:rFonts w:ascii="Arial Narrow" w:eastAsia="Arial Narrow" w:hAnsi="Arial Narrow" w:cs="Arial Narrow"/>
          <w:b/>
          <w:color w:val="000000"/>
          <w:sz w:val="23"/>
          <w:szCs w:val="23"/>
        </w:rPr>
        <w:t xml:space="preserve"> </w:t>
      </w:r>
      <w:r>
        <w:rPr>
          <w:rFonts w:ascii="Arial Narrow" w:eastAsia="Arial Narrow" w:hAnsi="Arial Narrow" w:cs="Arial Narrow"/>
          <w:color w:val="000000"/>
          <w:sz w:val="23"/>
          <w:szCs w:val="23"/>
        </w:rPr>
        <w:t xml:space="preserve">también revisará que los proponentes no se encuentren en causales de inhabilidad, </w:t>
      </w:r>
      <w:r>
        <w:rPr>
          <w:rFonts w:ascii="Arial Narrow" w:eastAsia="Arial Narrow" w:hAnsi="Arial Narrow" w:cs="Arial Narrow"/>
          <w:color w:val="000000"/>
          <w:sz w:val="23"/>
          <w:szCs w:val="23"/>
        </w:rPr>
        <w:lastRenderedPageBreak/>
        <w:t>incompatibilidad o conflictos de interés para celebrar o ejecutar el contrato. Para ello, revisará el boletín de responsables fiscales, el certificado de antecedentes disciplinarios, el certificado de antecedentes judiciales y el RUP para verificar que no haya sanciones inscritas.</w:t>
      </w:r>
    </w:p>
    <w:p w14:paraId="7BD8FB50" w14:textId="77777777" w:rsidR="008745D1"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4E2E2752"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Las personas jurídicas extranjeras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5BA746FC" w14:textId="77777777" w:rsidR="008745D1"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3B5B155A"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Además de los requisitos exigidos en el cuestionario del pliego electrónico en el SECOP II se deberá tener en cuenta las siguientes consideraciones para proporcionar los documentos que se describen a continuación: </w:t>
      </w:r>
    </w:p>
    <w:p w14:paraId="304EF570" w14:textId="77777777" w:rsidR="008745D1"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47" w:name="_heading=h.1hmsyys" w:colFirst="0" w:colLast="0"/>
      <w:bookmarkEnd w:id="47"/>
    </w:p>
    <w:p w14:paraId="602A9810"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5.1.1 Condición de mipyme como criterio diferencial</w:t>
      </w:r>
    </w:p>
    <w:p w14:paraId="5D187780" w14:textId="77777777" w:rsidR="008745D1"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0EAD539A" w14:textId="77777777" w:rsidR="008745D1" w:rsidRDefault="00062AC1">
      <w:pPr>
        <w:widowControl w:val="0"/>
        <w:numPr>
          <w:ilvl w:val="0"/>
          <w:numId w:val="4"/>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48" w:name="_Hlk204267875"/>
      <w:r>
        <w:rPr>
          <w:rFonts w:ascii="Arial Narrow" w:eastAsia="Arial Narrow" w:hAnsi="Arial Narrow" w:cs="Arial Narrow"/>
          <w:color w:val="000000"/>
          <w:sz w:val="23"/>
          <w:szCs w:val="23"/>
        </w:rPr>
        <w:t>Mínimo (1) año de existencia.</w:t>
      </w:r>
    </w:p>
    <w:p w14:paraId="2A6CF637" w14:textId="77777777" w:rsidR="008745D1" w:rsidRDefault="00062AC1">
      <w:pPr>
        <w:widowControl w:val="0"/>
        <w:numPr>
          <w:ilvl w:val="0"/>
          <w:numId w:val="4"/>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objeto social les permita ejecutar el contrato</w:t>
      </w:r>
    </w:p>
    <w:p w14:paraId="312E6975" w14:textId="77777777" w:rsidR="008745D1" w:rsidRDefault="00062AC1">
      <w:pPr>
        <w:widowControl w:val="0"/>
        <w:numPr>
          <w:ilvl w:val="0"/>
          <w:numId w:val="4"/>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Copia del Registro mercantil, certificado de existencia y representación legal o del RUP </w:t>
      </w:r>
    </w:p>
    <w:p w14:paraId="5C90804C" w14:textId="77777777" w:rsidR="008745D1" w:rsidRDefault="008745D1">
      <w:pPr>
        <w:widowControl w:val="0"/>
        <w:tabs>
          <w:tab w:val="left" w:pos="284"/>
        </w:tabs>
        <w:spacing w:after="0" w:line="240" w:lineRule="auto"/>
        <w:ind w:left="0" w:right="113" w:hanging="2"/>
        <w:jc w:val="both"/>
        <w:rPr>
          <w:rFonts w:ascii="Arial Narrow" w:eastAsia="Arial Narrow" w:hAnsi="Arial Narrow" w:cs="Arial Narrow"/>
          <w:color w:val="000000"/>
          <w:sz w:val="23"/>
          <w:szCs w:val="23"/>
        </w:rPr>
      </w:pPr>
    </w:p>
    <w:p w14:paraId="2E96D8CC" w14:textId="77777777" w:rsidR="008745D1" w:rsidRDefault="00062AC1">
      <w:pPr>
        <w:widowControl w:val="0"/>
        <w:tabs>
          <w:tab w:val="left" w:pos="284"/>
        </w:tabs>
        <w:spacing w:after="0" w:line="240" w:lineRule="auto"/>
        <w:ind w:left="0" w:right="113" w:hanging="2"/>
        <w:jc w:val="both"/>
        <w:rPr>
          <w:rFonts w:ascii="Arial Narrow" w:eastAsia="Arial Narrow" w:hAnsi="Arial Narrow" w:cs="Arial Narrow"/>
          <w:color w:val="000000"/>
          <w:sz w:val="23"/>
          <w:szCs w:val="23"/>
        </w:rPr>
      </w:pPr>
      <w:bookmarkStart w:id="49" w:name="_heading=h.41mghml" w:colFirst="0" w:colLast="0"/>
      <w:bookmarkEnd w:id="49"/>
      <w:r>
        <w:rPr>
          <w:rFonts w:ascii="Arial Narrow" w:eastAsia="Arial Narrow" w:hAnsi="Arial Narrow" w:cs="Arial Narrow"/>
          <w:color w:val="000000"/>
          <w:sz w:val="23"/>
          <w:szCs w:val="23"/>
        </w:rPr>
        <w:t>Para la acreditación de la condición de mipyme, el proponente deberá dar cumplimiento a lo establecido en el artículo 2.2.1.2.4.2.4 del Decreto 1082 de 2015, modificado por el artículo 5 del Decreto 1860 de 2021.</w:t>
      </w:r>
    </w:p>
    <w:bookmarkEnd w:id="48"/>
    <w:p w14:paraId="6C07E73E" w14:textId="77777777" w:rsidR="008745D1" w:rsidRDefault="008745D1">
      <w:pPr>
        <w:widowControl w:val="0"/>
        <w:tabs>
          <w:tab w:val="left" w:pos="284"/>
        </w:tabs>
        <w:spacing w:after="0" w:line="240" w:lineRule="auto"/>
        <w:ind w:left="0" w:right="113" w:hanging="2"/>
        <w:jc w:val="both"/>
        <w:rPr>
          <w:rFonts w:ascii="Arial Narrow" w:eastAsia="Arial Narrow" w:hAnsi="Arial Narrow" w:cs="Arial Narrow"/>
          <w:color w:val="000000"/>
          <w:sz w:val="23"/>
          <w:szCs w:val="23"/>
        </w:rPr>
      </w:pPr>
    </w:p>
    <w:p w14:paraId="063F2D43"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5.1.2. Carta de presentación de la oferta</w:t>
      </w:r>
    </w:p>
    <w:p w14:paraId="40B82102" w14:textId="77777777" w:rsidR="008745D1" w:rsidRDefault="008745D1">
      <w:pPr>
        <w:widowControl w:val="0"/>
        <w:spacing w:after="0" w:line="240" w:lineRule="auto"/>
        <w:ind w:left="0" w:right="81" w:hanging="2"/>
        <w:jc w:val="both"/>
        <w:rPr>
          <w:rFonts w:ascii="Arial Narrow" w:eastAsia="Arial Narrow" w:hAnsi="Arial Narrow" w:cs="Arial Narrow"/>
          <w:color w:val="000000"/>
          <w:sz w:val="23"/>
          <w:szCs w:val="23"/>
        </w:rPr>
      </w:pPr>
    </w:p>
    <w:p w14:paraId="72D71002" w14:textId="77777777" w:rsidR="008745D1" w:rsidRDefault="00062AC1">
      <w:pPr>
        <w:widowControl w:val="0"/>
        <w:spacing w:after="0" w:line="240" w:lineRule="auto"/>
        <w:ind w:left="0" w:right="81"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oferente deberá diligenciar el formato establecido como</w:t>
      </w:r>
      <w:r>
        <w:rPr>
          <w:rFonts w:ascii="Arial Narrow" w:eastAsia="Arial Narrow" w:hAnsi="Arial Narrow" w:cs="Arial Narrow"/>
          <w:b/>
          <w:color w:val="000000"/>
          <w:sz w:val="23"/>
          <w:szCs w:val="23"/>
        </w:rPr>
        <w:t xml:space="preserve"> “CARTA DE </w:t>
      </w:r>
      <w:r>
        <w:rPr>
          <w:rFonts w:ascii="Arial Narrow" w:eastAsia="Arial Narrow" w:hAnsi="Arial Narrow" w:cs="Arial Narrow"/>
          <w:b/>
          <w:sz w:val="23"/>
          <w:szCs w:val="23"/>
        </w:rPr>
        <w:t>PRESENTACIÓN</w:t>
      </w:r>
      <w:r>
        <w:rPr>
          <w:rFonts w:ascii="Arial Narrow" w:eastAsia="Arial Narrow" w:hAnsi="Arial Narrow" w:cs="Arial Narrow"/>
          <w:b/>
          <w:color w:val="000000"/>
          <w:sz w:val="23"/>
          <w:szCs w:val="23"/>
        </w:rPr>
        <w:t xml:space="preserve">”, en la cual se indica que la oferta </w:t>
      </w:r>
      <w:r>
        <w:rPr>
          <w:rFonts w:ascii="Arial Narrow" w:eastAsia="Arial Narrow" w:hAnsi="Arial Narrow" w:cs="Arial Narrow"/>
          <w:color w:val="000000"/>
          <w:sz w:val="23"/>
          <w:szCs w:val="23"/>
        </w:rPr>
        <w:t>estará vigente por el término de noventa (90) días calendario, contados desde la fecha de su presentación.</w:t>
      </w:r>
    </w:p>
    <w:p w14:paraId="3F8E051A" w14:textId="77777777" w:rsidR="008745D1" w:rsidRDefault="008745D1">
      <w:pPr>
        <w:widowControl w:val="0"/>
        <w:spacing w:after="0" w:line="240" w:lineRule="auto"/>
        <w:ind w:left="0" w:right="81" w:hanging="2"/>
        <w:jc w:val="both"/>
        <w:rPr>
          <w:rFonts w:ascii="Arial Narrow" w:eastAsia="Arial Narrow" w:hAnsi="Arial Narrow" w:cs="Arial Narrow"/>
          <w:color w:val="000000"/>
          <w:sz w:val="23"/>
          <w:szCs w:val="23"/>
        </w:rPr>
      </w:pPr>
    </w:p>
    <w:p w14:paraId="46669155" w14:textId="77777777" w:rsidR="008745D1" w:rsidRDefault="00062AC1">
      <w:pPr>
        <w:widowControl w:val="0"/>
        <w:spacing w:after="0" w:line="240" w:lineRule="auto"/>
        <w:ind w:left="0" w:right="81"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La presentación de la oferta implica la aceptación por parte del proponente de la distribución de riesgos efectuada en el pliego de condiciones y sus adendas.</w:t>
      </w:r>
    </w:p>
    <w:p w14:paraId="67E25061" w14:textId="77777777" w:rsidR="008745D1" w:rsidRDefault="008745D1">
      <w:pPr>
        <w:widowControl w:val="0"/>
        <w:spacing w:after="0" w:line="240" w:lineRule="auto"/>
        <w:ind w:left="0" w:right="81" w:hanging="2"/>
        <w:jc w:val="both"/>
        <w:rPr>
          <w:rFonts w:ascii="Arial Narrow" w:eastAsia="Arial Narrow" w:hAnsi="Arial Narrow" w:cs="Arial Narrow"/>
          <w:color w:val="000000"/>
          <w:sz w:val="23"/>
          <w:szCs w:val="23"/>
        </w:rPr>
      </w:pPr>
    </w:p>
    <w:p w14:paraId="7FCB9E71" w14:textId="77777777" w:rsidR="009B1DB1" w:rsidRDefault="009B1DB1">
      <w:pPr>
        <w:widowControl w:val="0"/>
        <w:spacing w:after="0" w:line="240" w:lineRule="auto"/>
        <w:ind w:left="0" w:right="81" w:hanging="2"/>
        <w:jc w:val="both"/>
        <w:rPr>
          <w:rFonts w:ascii="Arial Narrow" w:eastAsia="Arial Narrow" w:hAnsi="Arial Narrow" w:cs="Arial Narrow"/>
          <w:color w:val="000000"/>
          <w:sz w:val="23"/>
          <w:szCs w:val="23"/>
        </w:rPr>
      </w:pPr>
    </w:p>
    <w:p w14:paraId="703285A8"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PODER</w:t>
      </w:r>
    </w:p>
    <w:p w14:paraId="5D3E77DD" w14:textId="77777777" w:rsidR="008745D1" w:rsidRDefault="008745D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p>
    <w:p w14:paraId="4089409D" w14:textId="77777777" w:rsidR="008745D1" w:rsidRDefault="00062AC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Cuando el oferente actúe a través de apoderado deberá acreditar mediante documento legalmente expedido, con anterioridad a la presentación de la oferta, que su apoderado está expresamente facultado para presentar la oferta y, en caso de que así se considere, firmar el contrato respectivo. </w:t>
      </w:r>
    </w:p>
    <w:p w14:paraId="6C808D04" w14:textId="77777777" w:rsidR="008745D1" w:rsidRDefault="008745D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p>
    <w:p w14:paraId="1AAEC552" w14:textId="77777777" w:rsidR="008745D1" w:rsidRDefault="00062AC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Si el oferente no anexa el respectivo poder o anexándolo no se ajusta a los términos legales para el efecto, la FGN le solicitará aclaración para que dentro del plazo que señale para el efecto lo aporte o subsane lo pertinente.</w:t>
      </w:r>
    </w:p>
    <w:p w14:paraId="3DD49FCC" w14:textId="77777777" w:rsidR="008745D1" w:rsidRDefault="008745D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p>
    <w:p w14:paraId="21033A1D" w14:textId="77777777" w:rsidR="008745D1" w:rsidRDefault="00062AC1">
      <w:pPr>
        <w:shd w:val="clear" w:color="auto" w:fill="FFFFFF"/>
        <w:tabs>
          <w:tab w:val="left" w:pos="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poder especial para representar al proponente deberá estar con nota de presentación personal de conformidad con lo señalado en el inciso tercero del artículo 25 del Decreto Ley 019 de 2012 y la Circular Externa Única de Colombia Compra Eficiente vigente. </w:t>
      </w:r>
      <w:r>
        <w:rPr>
          <w:rFonts w:ascii="Arial Narrow" w:eastAsia="Arial Narrow" w:hAnsi="Arial Narrow" w:cs="Arial Narrow"/>
          <w:strike/>
          <w:color w:val="000000"/>
          <w:sz w:val="23"/>
          <w:szCs w:val="23"/>
        </w:rPr>
        <w:t xml:space="preserve"> </w:t>
      </w:r>
    </w:p>
    <w:p w14:paraId="13D93EAF" w14:textId="77777777" w:rsidR="008745D1" w:rsidRDefault="008745D1">
      <w:pPr>
        <w:widowControl w:val="0"/>
        <w:spacing w:after="0" w:line="240" w:lineRule="auto"/>
        <w:ind w:left="0" w:right="81" w:hanging="2"/>
        <w:jc w:val="both"/>
        <w:rPr>
          <w:rFonts w:ascii="Arial Narrow" w:eastAsia="Arial Narrow" w:hAnsi="Arial Narrow" w:cs="Arial Narrow"/>
          <w:color w:val="000000"/>
          <w:sz w:val="23"/>
          <w:szCs w:val="23"/>
        </w:rPr>
      </w:pPr>
      <w:bookmarkStart w:id="50" w:name="_heading=h.2grqrue" w:colFirst="0" w:colLast="0"/>
      <w:bookmarkEnd w:id="50"/>
    </w:p>
    <w:p w14:paraId="10467261"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 xml:space="preserve">5.1.3 Certificado de existencia y representación legal </w:t>
      </w:r>
    </w:p>
    <w:p w14:paraId="799EAC8E"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574EC210"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Remitir al cuestionario electrónico.</w:t>
      </w:r>
    </w:p>
    <w:p w14:paraId="0377D108"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269AE4FE"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En caso de existir limitaciones estatutarias frente a las facultades del representante legal, se deberán aportar las respectivas autorizaciones para comprometer a la sociedad.</w:t>
      </w:r>
    </w:p>
    <w:p w14:paraId="1F4FA9E2"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51" w:name="_heading=h.vx1227" w:colFirst="0" w:colLast="0"/>
      <w:bookmarkEnd w:id="51"/>
    </w:p>
    <w:p w14:paraId="4E351320"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lastRenderedPageBreak/>
        <w:t>5.1.4 Registro único de proponentes</w:t>
      </w:r>
    </w:p>
    <w:p w14:paraId="652B8C2A"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52AD036B"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Remitir al cuestionario electrónico.</w:t>
      </w:r>
    </w:p>
    <w:p w14:paraId="526909BE"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52" w:name="_heading=h.3fwokq0" w:colFirst="0" w:colLast="0"/>
      <w:bookmarkEnd w:id="52"/>
    </w:p>
    <w:p w14:paraId="22A7B11E"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5.1.5 Acuerdo para conformar unión temporal o consorcio</w:t>
      </w:r>
    </w:p>
    <w:p w14:paraId="16427F61" w14:textId="77777777" w:rsidR="008745D1" w:rsidRDefault="008745D1">
      <w:pPr>
        <w:pBdr>
          <w:top w:val="nil"/>
          <w:left w:val="nil"/>
          <w:bottom w:val="nil"/>
          <w:right w:val="nil"/>
          <w:between w:val="nil"/>
        </w:pBdr>
        <w:spacing w:after="0" w:line="240" w:lineRule="auto"/>
        <w:ind w:left="0" w:hanging="2"/>
        <w:jc w:val="center"/>
        <w:rPr>
          <w:rFonts w:ascii="Arial Narrow" w:eastAsia="Arial Narrow" w:hAnsi="Arial Narrow" w:cs="Arial Narrow"/>
          <w:color w:val="000000"/>
          <w:sz w:val="23"/>
          <w:szCs w:val="23"/>
        </w:rPr>
      </w:pPr>
    </w:p>
    <w:p w14:paraId="101D578D"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Remitir al cuestionario electrónico.</w:t>
      </w:r>
    </w:p>
    <w:p w14:paraId="50B46F40" w14:textId="77777777" w:rsidR="008745D1"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53" w:name="_heading=h.1v1yuxt" w:colFirst="0" w:colLast="0"/>
      <w:bookmarkEnd w:id="53"/>
    </w:p>
    <w:p w14:paraId="351CB87A"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 xml:space="preserve">5.1.6. Certificación expedida sobre pago de aportes parafiscales: </w:t>
      </w:r>
    </w:p>
    <w:p w14:paraId="29DDEC13"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41B660E1"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De conformidad con lo dispuesto en el inciso 2º del artículo 41 de la Ley 80 de 1993, que fuera modificado por el artículo 23 de la Ley 1150 de 2007, en concordancia con lo señalado en el artículo 50 de la Ley 789 de 2002, el proponente junto con la presentación de su oferta debe acreditar que se encuentra al día en el pago de aportes al Sistema de Seguridad Social Integral, así como los propios del SENA, ICBF y Cajas de Compensación Familiar, cuando corresponda, la cual debe tener una fecha  de expedición no mayor a quince (15) días calendario anteriores a la fecha del cierre del presente proceso de selección.</w:t>
      </w:r>
    </w:p>
    <w:p w14:paraId="0CAF78A0" w14:textId="77777777" w:rsidR="008745D1" w:rsidRDefault="008745D1">
      <w:pPr>
        <w:spacing w:after="0" w:line="240" w:lineRule="auto"/>
        <w:ind w:left="0" w:hanging="2"/>
        <w:jc w:val="both"/>
        <w:rPr>
          <w:rFonts w:ascii="Arial Narrow" w:eastAsia="Arial Narrow" w:hAnsi="Arial Narrow" w:cs="Arial Narrow"/>
          <w:color w:val="000000"/>
          <w:sz w:val="23"/>
          <w:szCs w:val="23"/>
          <w:u w:val="single"/>
        </w:rPr>
      </w:pPr>
    </w:p>
    <w:p w14:paraId="42B34048"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u w:val="single"/>
        </w:rPr>
        <w:t>Si el proponente es persona jurídica</w:t>
      </w:r>
      <w:r>
        <w:rPr>
          <w:rFonts w:ascii="Arial Narrow" w:eastAsia="Arial Narrow" w:hAnsi="Arial Narrow" w:cs="Arial Narrow"/>
          <w:color w:val="000000"/>
          <w:sz w:val="23"/>
          <w:szCs w:val="23"/>
        </w:rPr>
        <w:t xml:space="preserve"> debe adjuntar con su propuesta, una certificación en la cual se acredite el pago de los aportes realizados durante por lo menos los seis (6) meses anteriores a la fecha definitiva de cierre del presente proceso de selección al Sistema General de Seguridad Social (Salud, Pensiones, Riesgos laborales) así como los aportes parafiscales: Cajas de Compensación Familiar, ICBF y SENA, de acuerdo con lo establecido en el artículo 50 de la Ley 789 de 2002 y en el artículo 23 de la Ley 1150 de 2007. </w:t>
      </w:r>
    </w:p>
    <w:p w14:paraId="71B5DFCC"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6957868C" w14:textId="77777777" w:rsidR="008745D1" w:rsidRDefault="00062AC1">
      <w:pPr>
        <w:spacing w:after="0" w:line="240" w:lineRule="auto"/>
        <w:ind w:left="0" w:hanging="2"/>
        <w:jc w:val="both"/>
        <w:rPr>
          <w:rFonts w:ascii="Arial Narrow" w:eastAsia="Arial Narrow" w:hAnsi="Arial Narrow" w:cs="Arial Narrow"/>
          <w:color w:val="000000"/>
          <w:sz w:val="23"/>
          <w:szCs w:val="23"/>
          <w:u w:val="single"/>
        </w:rPr>
      </w:pPr>
      <w:r>
        <w:rPr>
          <w:rFonts w:ascii="Arial Narrow" w:eastAsia="Arial Narrow" w:hAnsi="Arial Narrow" w:cs="Arial Narrow"/>
          <w:color w:val="000000"/>
          <w:sz w:val="23"/>
          <w:szCs w:val="23"/>
        </w:rPr>
        <w:t xml:space="preserve">Dicha certificación debe venir suscrita por el Revisor Fiscal de la sociedad, si el proponente de acuerdo con la Ley lo requiere, </w:t>
      </w:r>
      <w:r>
        <w:rPr>
          <w:rFonts w:ascii="Arial Narrow" w:eastAsia="Arial Narrow" w:hAnsi="Arial Narrow" w:cs="Arial Narrow"/>
          <w:b/>
          <w:color w:val="000000"/>
          <w:sz w:val="23"/>
          <w:szCs w:val="23"/>
          <w:u w:val="single"/>
        </w:rPr>
        <w:t>para lo cual deberá aportar, copia del documento de identidad, tarjeta profesional y certificado de vigencia de inscripción y Antecedentes disciplinarios de la Junta Central de Contadores, el cual debe encontrarse vigente, para la fecha de cierre del presente proceso</w:t>
      </w:r>
      <w:r>
        <w:rPr>
          <w:rFonts w:ascii="Arial Narrow" w:eastAsia="Arial Narrow" w:hAnsi="Arial Narrow" w:cs="Arial Narrow"/>
          <w:color w:val="000000"/>
          <w:sz w:val="23"/>
          <w:szCs w:val="23"/>
        </w:rPr>
        <w:t>, o en caso contrario la certificación debe venir suscrita por el Representante Legal de la sociedad proponente.</w:t>
      </w:r>
    </w:p>
    <w:p w14:paraId="5DD1A95C" w14:textId="77777777" w:rsidR="008745D1" w:rsidRDefault="008745D1">
      <w:pPr>
        <w:spacing w:after="0" w:line="240" w:lineRule="auto"/>
        <w:ind w:left="0" w:hanging="2"/>
        <w:jc w:val="both"/>
        <w:rPr>
          <w:rFonts w:ascii="Arial Narrow" w:eastAsia="Arial Narrow" w:hAnsi="Arial Narrow" w:cs="Arial Narrow"/>
          <w:color w:val="000000"/>
          <w:sz w:val="23"/>
          <w:szCs w:val="23"/>
          <w:u w:val="single"/>
        </w:rPr>
      </w:pPr>
    </w:p>
    <w:p w14:paraId="4F5B1BF7"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u w:val="single"/>
        </w:rPr>
        <w:t>En el caso de consorcios o uniones temporales</w:t>
      </w:r>
      <w:r>
        <w:rPr>
          <w:rFonts w:ascii="Arial Narrow" w:eastAsia="Arial Narrow" w:hAnsi="Arial Narrow" w:cs="Arial Narrow"/>
          <w:color w:val="000000"/>
          <w:sz w:val="23"/>
          <w:szCs w:val="23"/>
        </w:rPr>
        <w:t xml:space="preserve">, cada uno de sus integrantes cuando los mismos sean personas jurídicas constituidas en Colombia, deberán presentar en forma independiente dicha certificación expedida por el Representante Legal o Revisor Fiscal respectivo y según corresponda. </w:t>
      </w:r>
    </w:p>
    <w:p w14:paraId="754CC1FF" w14:textId="77777777" w:rsidR="008745D1" w:rsidRDefault="008745D1">
      <w:pPr>
        <w:spacing w:after="0" w:line="240" w:lineRule="auto"/>
        <w:ind w:left="0" w:hanging="2"/>
        <w:jc w:val="both"/>
        <w:rPr>
          <w:rFonts w:ascii="Arial Narrow" w:eastAsia="Arial Narrow" w:hAnsi="Arial Narrow" w:cs="Arial Narrow"/>
          <w:color w:val="000000"/>
          <w:sz w:val="23"/>
          <w:szCs w:val="23"/>
          <w:u w:val="single"/>
        </w:rPr>
      </w:pPr>
    </w:p>
    <w:p w14:paraId="1CBB49BA"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u w:val="single"/>
        </w:rPr>
        <w:t>Si el proponente es persona natural sin personal a cargo-</w:t>
      </w:r>
      <w:r>
        <w:rPr>
          <w:rFonts w:ascii="Arial Narrow" w:eastAsia="Arial Narrow" w:hAnsi="Arial Narrow" w:cs="Arial Narrow"/>
          <w:b/>
          <w:color w:val="000000"/>
          <w:sz w:val="23"/>
          <w:szCs w:val="23"/>
        </w:rPr>
        <w:t>(ANEXO 8)</w:t>
      </w:r>
      <w:r>
        <w:rPr>
          <w:rFonts w:ascii="Arial Narrow" w:eastAsia="Arial Narrow" w:hAnsi="Arial Narrow" w:cs="Arial Narrow"/>
          <w:color w:val="000000"/>
          <w:sz w:val="23"/>
          <w:szCs w:val="23"/>
        </w:rPr>
        <w:t xml:space="preserve">, debe adjuntar con su propuesta, una certificación en la cual se acredite que no cuenta con personal a cargo y por ende no está obligado a efectuar el pago de aportes parafiscales y seguridad social y adicional deberá allegar la planilla de pago del </w:t>
      </w:r>
      <w:r>
        <w:rPr>
          <w:rFonts w:ascii="Arial Narrow" w:eastAsia="Arial Narrow" w:hAnsi="Arial Narrow" w:cs="Arial Narrow"/>
        </w:rPr>
        <w:t xml:space="preserve">mes inmediatamente anterior al cierre, </w:t>
      </w:r>
      <w:r>
        <w:rPr>
          <w:rFonts w:ascii="Arial Narrow" w:eastAsia="Arial Narrow" w:hAnsi="Arial Narrow" w:cs="Arial Narrow"/>
          <w:sz w:val="23"/>
          <w:szCs w:val="23"/>
        </w:rPr>
        <w:t xml:space="preserve">en el </w:t>
      </w:r>
      <w:r>
        <w:rPr>
          <w:rFonts w:ascii="Arial Narrow" w:eastAsia="Arial Narrow" w:hAnsi="Arial Narrow" w:cs="Arial Narrow"/>
          <w:color w:val="000000"/>
          <w:sz w:val="23"/>
          <w:szCs w:val="23"/>
        </w:rPr>
        <w:t xml:space="preserve">cual se acredite estar al día en el cumplimiento de sus obligaciones con los Sistemas de Salud, Pensiones, Riesgos Laborales, Cajas de Compensación Familiar, ICBF y SENA, éstos últimos cuando a ello hubiere lugar. </w:t>
      </w:r>
    </w:p>
    <w:p w14:paraId="5808223C"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4B164471" w14:textId="77777777" w:rsidR="008745D1" w:rsidRDefault="00062AC1">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color w:val="000000"/>
          <w:sz w:val="23"/>
          <w:szCs w:val="23"/>
          <w:u w:val="single"/>
        </w:rPr>
        <w:t>Si el proponente es persona natural con personal a cargo</w:t>
      </w:r>
      <w:r>
        <w:rPr>
          <w:rFonts w:ascii="Arial Narrow" w:eastAsia="Arial Narrow" w:hAnsi="Arial Narrow" w:cs="Arial Narrow"/>
          <w:color w:val="000000"/>
          <w:sz w:val="23"/>
          <w:szCs w:val="23"/>
        </w:rPr>
        <w:t xml:space="preserve">- </w:t>
      </w:r>
      <w:r>
        <w:rPr>
          <w:rFonts w:ascii="Arial Narrow" w:eastAsia="Arial Narrow" w:hAnsi="Arial Narrow" w:cs="Arial Narrow"/>
          <w:b/>
          <w:color w:val="000000"/>
          <w:sz w:val="23"/>
          <w:szCs w:val="23"/>
        </w:rPr>
        <w:t>(ANEXO 8.1)</w:t>
      </w:r>
      <w:r>
        <w:rPr>
          <w:rFonts w:ascii="Arial Narrow" w:eastAsia="Arial Narrow" w:hAnsi="Arial Narrow" w:cs="Arial Narrow"/>
          <w:color w:val="000000"/>
          <w:sz w:val="23"/>
          <w:szCs w:val="23"/>
        </w:rPr>
        <w:t xml:space="preserve"> debe adjuntar con su propuesta, una certificación en la cual se acredite, que se encuentra al día con el pago de los aportes realizados durante por lo menos seis (6) meses anteriores a la fecha definitiva de cierre del presente proceso de selección al Sistema General de Seguridad Social (Salud, Pensiones, Riesgos laborales) así como los aportes parafiscales: Cajas de Compensación Familiar, ICBF y SENA, de acuerdo con lo establecido en el artículo 50 de la Ley 789 de 2002 y en el artículo 23 de la Ley 1150 de 2007, del personal a cargo.</w:t>
      </w:r>
    </w:p>
    <w:p w14:paraId="304C8B6D" w14:textId="77777777" w:rsidR="008745D1" w:rsidRDefault="008745D1">
      <w:pPr>
        <w:spacing w:after="0" w:line="240" w:lineRule="auto"/>
        <w:ind w:left="0" w:hanging="2"/>
        <w:jc w:val="both"/>
        <w:rPr>
          <w:rFonts w:ascii="Arial Narrow" w:eastAsia="Arial Narrow" w:hAnsi="Arial Narrow" w:cs="Arial Narrow"/>
          <w:sz w:val="23"/>
          <w:szCs w:val="23"/>
        </w:rPr>
      </w:pPr>
    </w:p>
    <w:p w14:paraId="038DAF6A" w14:textId="77777777" w:rsidR="008745D1" w:rsidRPr="00E17068" w:rsidRDefault="00062AC1">
      <w:pPr>
        <w:spacing w:after="0" w:line="240" w:lineRule="auto"/>
        <w:ind w:left="0" w:hanging="2"/>
        <w:jc w:val="both"/>
        <w:rPr>
          <w:rFonts w:ascii="Arial Narrow" w:eastAsia="Arial Narrow" w:hAnsi="Arial Narrow" w:cs="Arial Narrow"/>
          <w:color w:val="000000"/>
          <w:sz w:val="23"/>
          <w:szCs w:val="23"/>
        </w:rPr>
      </w:pPr>
      <w:r w:rsidRPr="00E17068">
        <w:rPr>
          <w:rFonts w:ascii="Arial Narrow" w:eastAsia="Arial Narrow" w:hAnsi="Arial Narrow" w:cs="Arial Narrow"/>
          <w:color w:val="000000"/>
          <w:sz w:val="23"/>
          <w:szCs w:val="23"/>
        </w:rPr>
        <w:t>Adicional deberá allegar la planilla de pago del mes inmediatamente anterior al cierre a través de la cual acredite estar al día en el cumplimiento de sus obligaciones con los Sistemas de Salud, Pensiones y Riesgos Laborales.</w:t>
      </w:r>
    </w:p>
    <w:p w14:paraId="6D8F2EAD"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28FE9364"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Nota 1:</w:t>
      </w:r>
      <w:r>
        <w:rPr>
          <w:rFonts w:ascii="Arial Narrow" w:eastAsia="Arial Narrow" w:hAnsi="Arial Narrow" w:cs="Arial Narrow"/>
          <w:color w:val="000000"/>
          <w:sz w:val="23"/>
          <w:szCs w:val="23"/>
        </w:rPr>
        <w:t xml:space="preserve"> En el evento en que la sociedad no tenga más de seis (6) meses de constituida deberá acreditar los pagos a partir de la fecha de su constitución.</w:t>
      </w:r>
    </w:p>
    <w:p w14:paraId="49693693"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645F77AC"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lastRenderedPageBreak/>
        <w:t xml:space="preserve">Nota 2: </w:t>
      </w:r>
      <w:r>
        <w:rPr>
          <w:rFonts w:ascii="Arial Narrow" w:eastAsia="Arial Narrow" w:hAnsi="Arial Narrow" w:cs="Arial Narrow"/>
          <w:color w:val="000000"/>
          <w:sz w:val="23"/>
          <w:szCs w:val="23"/>
        </w:rPr>
        <w:t xml:space="preserve">En caso de que el proponente no tenga personal a cargo y por ende no esté obligado a efectuar el pago de seguridad social y aportes parafiscales en relación con personal, debe así indicarlo en la certificación expedida por el Revisor Fiscal o por el representante legal o por la proponente persona natural, según el caso, estos últimos bajo la gravedad del juramento, el cual se entiende con la mera presentación de la oferta. </w:t>
      </w:r>
    </w:p>
    <w:p w14:paraId="3D7EEC42"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493A7399"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 obligación de presentar las certificaciones de cumplimiento del artículo 50 de la Ley 789 de 2002 no aplica para </w:t>
      </w:r>
      <w:r>
        <w:rPr>
          <w:rFonts w:ascii="Arial Narrow" w:eastAsia="Arial Narrow" w:hAnsi="Arial Narrow" w:cs="Arial Narrow"/>
          <w:b/>
          <w:color w:val="000000"/>
          <w:sz w:val="23"/>
          <w:szCs w:val="23"/>
          <w:u w:val="single"/>
        </w:rPr>
        <w:t>personas jurídicas extranjeras</w:t>
      </w:r>
      <w:r>
        <w:rPr>
          <w:rFonts w:ascii="Arial Narrow" w:eastAsia="Arial Narrow" w:hAnsi="Arial Narrow" w:cs="Arial Narrow"/>
          <w:color w:val="000000"/>
          <w:sz w:val="23"/>
          <w:szCs w:val="23"/>
        </w:rPr>
        <w:t>, salvo que participen sucursales de éstas legalmente constituidas en Colombia, caso en el cual deberán presentar la certificación mencionada en el segundo párrafo de este numeral o una certificación del Revisor Fiscal en la que manifieste que la sucursal no tiene empleados y, por lo tanto, no deben cumplir con lo señalado en la Ley 789 de 2002.</w:t>
      </w:r>
    </w:p>
    <w:p w14:paraId="62718354"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La Entidad se reserva el derecho de verificar con las respectivas Entidades la información que suministran los proponentes. Si se advierten discrepancias entre la información suministrada y lo establecido por la Entidad, se solicitarán las aclaraciones de rigor.</w:t>
      </w:r>
    </w:p>
    <w:p w14:paraId="37C82A0C"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Cuando el proponente no allegue con su oferta la certificación de que trata este numeral o la misma requiera aclaraciones, la Fiscalía General de la Nación se lo solicitará.</w:t>
      </w:r>
    </w:p>
    <w:p w14:paraId="1501E3DB" w14:textId="77777777" w:rsidR="008745D1" w:rsidRDefault="00062AC1">
      <w:pPr>
        <w:spacing w:line="240" w:lineRule="auto"/>
        <w:ind w:left="0" w:hanging="2"/>
        <w:jc w:val="both"/>
        <w:rPr>
          <w:rFonts w:ascii="Arial Narrow" w:eastAsia="Arial Narrow" w:hAnsi="Arial Narrow" w:cs="Arial Narrow"/>
          <w:color w:val="000000"/>
          <w:sz w:val="23"/>
          <w:szCs w:val="23"/>
        </w:rPr>
      </w:pPr>
      <w:bookmarkStart w:id="54" w:name="_heading=h.4f1mdlm" w:colFirst="0" w:colLast="0"/>
      <w:bookmarkEnd w:id="54"/>
      <w:r>
        <w:rPr>
          <w:rFonts w:ascii="Arial Narrow" w:eastAsia="Arial Narrow" w:hAnsi="Arial Narrow" w:cs="Arial Narrow"/>
          <w:b/>
          <w:color w:val="000000"/>
          <w:sz w:val="23"/>
          <w:szCs w:val="23"/>
        </w:rPr>
        <w:t xml:space="preserve">Nota 3: </w:t>
      </w:r>
      <w:r>
        <w:rPr>
          <w:rFonts w:ascii="Arial Narrow" w:eastAsia="Arial Narrow" w:hAnsi="Arial Narrow" w:cs="Arial Narrow"/>
          <w:color w:val="000000"/>
          <w:sz w:val="23"/>
          <w:szCs w:val="23"/>
        </w:rPr>
        <w:t>En caso de acreditar el requisito aquí señalado a través de certificado suscrito por Revisor Fiscal o contador, deberá adjuntar el Certificado de antecedentes disciplinarios, el cual debe encontrarse vigente a la fecha de cierre del proceso. Lo anterior, debido a que la vigencia del mismo es de tres (3) meses.</w:t>
      </w:r>
    </w:p>
    <w:p w14:paraId="048F05B4"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 xml:space="preserve">5.1.7. Control Preventivo De Las Prácticas Colusivas: </w:t>
      </w:r>
    </w:p>
    <w:p w14:paraId="7DDA8641"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435D70D6"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En el desarrollo del proceso de selección y en el marco de los principios de la contratación pública y con el objeto de minimizar los riesgos de colusión entre oferentes en los procesos de selección, la FGN adopta las prácticas que promueven la participación transparente y competitiva de los interesados en las distintas modalidades de procesos públicos. Según lo previsto por la Ley 155 de 1959, Decreto 2153 de 1992, Ley 1340 de 2009, el Decreto 4886 de 2011 y en especial por lo dispuesto en el artículo 27 de la Ley 1474 de 2011, el interesado deberá diligenciar el Anexo respectivo denominado “CERTIFICADO DE PARTICIPACIÓN INDEPENDIENTE DEL PROPONENTE", en donde exprese de forma unilateral su compromiso de no ejercer prácticas colusorias o restrictivas de la competencia”.</w:t>
      </w:r>
    </w:p>
    <w:p w14:paraId="72BE9A14"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1529F764"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En el evento que se advierta por parte de la entidad, que alguno de los proponentes se encuentra incurso en cualquier tipo de práctica colusoria o restrictiva de la competencia, se procederá a compulsar copias a la Superintendencia de Industria y Comercio, con el propósito de solicitar la apertura de la correspondiente investigación administrativa e imposición de multas y sanciones, según lo previsto en la Ley 1340 de 2009.</w:t>
      </w:r>
    </w:p>
    <w:p w14:paraId="06047034"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73512932"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55" w:name="_heading=h.2u6wntf" w:colFirst="0" w:colLast="0"/>
      <w:bookmarkEnd w:id="55"/>
      <w:r>
        <w:rPr>
          <w:rFonts w:ascii="Arial Narrow" w:eastAsia="Arial Narrow" w:hAnsi="Arial Narrow" w:cs="Arial Narrow"/>
          <w:b/>
          <w:color w:val="000000"/>
          <w:sz w:val="23"/>
          <w:szCs w:val="23"/>
        </w:rPr>
        <w:t xml:space="preserve"> 5.1.8. Certificado de antecedentes disciplinarios, judiciales y fiscales</w:t>
      </w:r>
    </w:p>
    <w:p w14:paraId="0BA646BF" w14:textId="77777777" w:rsidR="008745D1" w:rsidRDefault="008745D1">
      <w:pPr>
        <w:keepNext/>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04F4D04D"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proponente y todos los integrantes de Consorcios o Uniones Temporales no deben tener antecedentes que le inhabiliten o impidan presentar la oferta y celebrar el contrato. </w:t>
      </w:r>
    </w:p>
    <w:p w14:paraId="3EE7D551" w14:textId="77777777" w:rsidR="008745D1" w:rsidRDefault="00062AC1">
      <w:pPr>
        <w:numPr>
          <w:ilvl w:val="0"/>
          <w:numId w:val="7"/>
        </w:num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Comité Evaluador de conformidad con lo previsto por la Ley 1238 de 2008, consultará los antecedentes en la página web de la Procuraduría General de la Nación.</w:t>
      </w:r>
    </w:p>
    <w:p w14:paraId="5EEF58DE" w14:textId="77777777" w:rsidR="008745D1" w:rsidRDefault="00062AC1">
      <w:pPr>
        <w:numPr>
          <w:ilvl w:val="0"/>
          <w:numId w:val="7"/>
        </w:num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Comité Evaluador verificará en la página Web de la policía nacional </w:t>
      </w:r>
      <w:hyperlink r:id="rId25">
        <w:r>
          <w:rPr>
            <w:rFonts w:ascii="Arial Narrow" w:eastAsia="Arial Narrow" w:hAnsi="Arial Narrow" w:cs="Arial Narrow"/>
            <w:color w:val="000000"/>
            <w:sz w:val="23"/>
            <w:szCs w:val="23"/>
          </w:rPr>
          <w:t>www.policia.gov.co</w:t>
        </w:r>
      </w:hyperlink>
      <w:r>
        <w:rPr>
          <w:rFonts w:ascii="Arial Narrow" w:eastAsia="Arial Narrow" w:hAnsi="Arial Narrow" w:cs="Arial Narrow"/>
          <w:color w:val="000000"/>
          <w:sz w:val="23"/>
          <w:szCs w:val="23"/>
        </w:rPr>
        <w:t>, los antecedentes judiciales de los proponentes, lo anterior de conformidad con lo establecido en el artículo 93 del Decreto 019 de 2012.</w:t>
      </w:r>
    </w:p>
    <w:p w14:paraId="1F3131B0" w14:textId="77777777" w:rsidR="008745D1" w:rsidRDefault="00062AC1">
      <w:pPr>
        <w:numPr>
          <w:ilvl w:val="0"/>
          <w:numId w:val="7"/>
        </w:num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De conformidad con lo previsto por el artículo 60 de la Ley 610 de 2000, el proponente, persona natural, o persona jurídica, y/o cada uno de los integrantes del proponente plural (Consorcio o Unión Temporal), no deben estar relacionados en el Boletín de Responsables Fiscales, consulta que se realizara en página web de la Contraloría.</w:t>
      </w:r>
    </w:p>
    <w:p w14:paraId="3D4BFC23" w14:textId="77777777" w:rsidR="008745D1" w:rsidRDefault="00062AC1">
      <w:pPr>
        <w:spacing w:line="240" w:lineRule="auto"/>
        <w:ind w:left="0" w:hanging="2"/>
        <w:jc w:val="both"/>
        <w:rPr>
          <w:rFonts w:ascii="Arial Narrow" w:eastAsia="Arial Narrow" w:hAnsi="Arial Narrow" w:cs="Arial Narrow"/>
          <w:color w:val="000000"/>
          <w:sz w:val="23"/>
          <w:szCs w:val="23"/>
        </w:rPr>
      </w:pPr>
      <w:bookmarkStart w:id="56" w:name="_heading=h.19c6y18" w:colFirst="0" w:colLast="0"/>
      <w:bookmarkEnd w:id="56"/>
      <w:r>
        <w:rPr>
          <w:rFonts w:ascii="Arial Narrow" w:eastAsia="Arial Narrow" w:hAnsi="Arial Narrow" w:cs="Arial Narrow"/>
          <w:color w:val="000000"/>
          <w:sz w:val="23"/>
          <w:szCs w:val="23"/>
        </w:rPr>
        <w:t>El Comité Evaluador jurídico consultará, descargará  el certificado y lo anexará a su evaluación.</w:t>
      </w:r>
    </w:p>
    <w:p w14:paraId="5DF10DA5"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5.1.9. Sistema registro nacional de medidas correctivas RNMC de la policía nacional</w:t>
      </w:r>
    </w:p>
    <w:p w14:paraId="03A558B3" w14:textId="77777777" w:rsidR="008745D1"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794871C3"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lastRenderedPageBreak/>
        <w:t xml:space="preserve">Para los efectos del Código Nacional de Policía, el proponente debe aportar la verificación en el Sistema Registro Nacional de Medidas Correctivas RNMC de la Policía Nacional del representante legal principal, en caso de personas jurídicas, o de proponente persona natural. </w:t>
      </w:r>
    </w:p>
    <w:p w14:paraId="6B414285"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En caso de consorcios o uniones temporales debe aportar la verificación de cada uno de los representantes legales principales de las personas jurídicas que los integran o de la persona natural integrante. </w:t>
      </w:r>
    </w:p>
    <w:p w14:paraId="41A1CBBF"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En el evento que aparezca reportado en el registro de medidas correctivas el proponente o representante o alguno de los integrantes del Consorcios o Uniones Temporales, estos deben aportar el certificado en donde se verifique el pago respectivo. </w:t>
      </w:r>
    </w:p>
    <w:p w14:paraId="771239B9"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NOTA 1</w:t>
      </w:r>
      <w:r>
        <w:rPr>
          <w:rFonts w:ascii="Arial Narrow" w:eastAsia="Arial Narrow" w:hAnsi="Arial Narrow" w:cs="Arial Narrow"/>
          <w:color w:val="000000"/>
          <w:sz w:val="23"/>
          <w:szCs w:val="23"/>
        </w:rPr>
        <w:t xml:space="preserve">: La consulta debe hacerse según el documento de identificación del representante legal principal o proponente persona natural. </w:t>
      </w:r>
    </w:p>
    <w:p w14:paraId="113D5829"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 xml:space="preserve">5.1.10 Personas jurídicas públicas o privadas de origen extranjero </w:t>
      </w:r>
    </w:p>
    <w:p w14:paraId="796BCA5F" w14:textId="77777777" w:rsidR="008745D1" w:rsidRDefault="008745D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p>
    <w:p w14:paraId="373FA888"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Para los efectos previstos en este numeral, se consideran personas jurídicas públicas o privadas de origen extranjero las sociedades no constituidas de acuerdo con la legislación nacional, sea que tengan o no domicilio en Colombia a través de sucursales. </w:t>
      </w:r>
      <w:r>
        <w:rPr>
          <w:rFonts w:ascii="Arial Narrow" w:eastAsia="Arial Narrow" w:hAnsi="Arial Narrow" w:cs="Arial Narrow"/>
          <w:color w:val="000000"/>
          <w:sz w:val="23"/>
          <w:szCs w:val="23"/>
        </w:rPr>
        <w:br/>
      </w:r>
    </w:p>
    <w:p w14:paraId="2031335D"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Los proveedores extranjeros pueden estar representados por apoderados o representantes legales, caso en el cual el interesado debe acreditar que quien presenta la oferta está legalmente facultado para comprometer al interesado, presentar el documento correspondiente bien sea un poder o un nombramiento en el cual consten las facultades otorgadas y acreditar la identidad del apoderado o representante legal con su documento de identificación. </w:t>
      </w:r>
    </w:p>
    <w:p w14:paraId="1A8C34FA"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0FD92B85" w14:textId="77777777" w:rsidR="008745D1" w:rsidRDefault="00062AC1">
      <w:pPr>
        <w:spacing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Las Propuestas de personas jurídicas de origen extranjero se someterán en todo caso a la legislación colombiana, sin perjuicio de lo cual para su participación cumplirán con las siguientes condiciones: </w:t>
      </w:r>
    </w:p>
    <w:p w14:paraId="196758D9" w14:textId="77777777" w:rsidR="008745D1" w:rsidRDefault="00062AC1">
      <w:pPr>
        <w:tabs>
          <w:tab w:val="left" w:pos="284"/>
        </w:tabs>
        <w:spacing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a.</w:t>
      </w:r>
      <w:r>
        <w:rPr>
          <w:rFonts w:ascii="Arial Narrow" w:eastAsia="Arial Narrow" w:hAnsi="Arial Narrow" w:cs="Arial Narrow"/>
          <w:color w:val="000000"/>
          <w:sz w:val="23"/>
          <w:szCs w:val="23"/>
        </w:rPr>
        <w:tab/>
        <w:t xml:space="preserve">Acreditar su existencia y representación legal a efectos de lo cual presentará un documento expedido por la autoridad competente en el país de su domicilio, con fecha de expedición igual o inferior a los tres (3) meses anteriores a la fecha del cierre definitivo del presente proceso de selección,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suscribir el Contrato. </w:t>
      </w:r>
    </w:p>
    <w:p w14:paraId="2CC833E8" w14:textId="77777777" w:rsidR="008745D1" w:rsidRDefault="00062AC1">
      <w:pPr>
        <w:spacing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Cuando el representante legal tenga limitaciones estatutarias, se presentará adicionalmente copia del acta en la que conste la decisión del órgano social correspondiente que autorice al representante legal para presentar la Propuesta, la suscripción del Contrato y para actuar en los demás actos requeridos para la contratación en el caso de resultar Adjudicatario.</w:t>
      </w:r>
    </w:p>
    <w:p w14:paraId="177C122B" w14:textId="77777777" w:rsidR="008745D1" w:rsidRDefault="00062AC1">
      <w:pPr>
        <w:tabs>
          <w:tab w:val="left" w:pos="284"/>
        </w:tabs>
        <w:spacing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b.</w:t>
      </w:r>
      <w:r>
        <w:rPr>
          <w:rFonts w:ascii="Arial Narrow" w:eastAsia="Arial Narrow" w:hAnsi="Arial Narrow" w:cs="Arial Narrow"/>
          <w:color w:val="000000"/>
          <w:sz w:val="23"/>
          <w:szCs w:val="23"/>
        </w:rPr>
        <w:tab/>
        <w:t>Acreditar un término mínimo remanente de duración de la sociedad igual al término de vigencia del Contrato y tres (3) años más.</w:t>
      </w:r>
    </w:p>
    <w:p w14:paraId="0DD1A8A8" w14:textId="77777777" w:rsidR="008745D1" w:rsidRDefault="00062AC1">
      <w:pPr>
        <w:tabs>
          <w:tab w:val="left" w:pos="284"/>
        </w:tabs>
        <w:spacing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c.</w:t>
      </w:r>
      <w:r>
        <w:rPr>
          <w:rFonts w:ascii="Arial Narrow" w:eastAsia="Arial Narrow" w:hAnsi="Arial Narrow" w:cs="Arial Narrow"/>
          <w:b/>
          <w:color w:val="000000"/>
          <w:sz w:val="23"/>
          <w:szCs w:val="23"/>
        </w:rPr>
        <w:tab/>
      </w:r>
      <w:r>
        <w:rPr>
          <w:rFonts w:ascii="Arial Narrow" w:eastAsia="Arial Narrow" w:hAnsi="Arial Narrow" w:cs="Arial Narrow"/>
          <w:color w:val="000000"/>
          <w:sz w:val="23"/>
          <w:szCs w:val="23"/>
        </w:rPr>
        <w:t>Acreditar que su objeto social se encuentra directamente relacionado con el objeto de la presente contratación de manera que le permita a la persona jurídica celebrar y ejecutar el contrato ofrecido, teniendo en cuenta para estos efectos el alcance y la naturaleza de las diferentes obligaciones que adquiere.</w:t>
      </w:r>
    </w:p>
    <w:p w14:paraId="3F3FEEE0" w14:textId="77777777" w:rsidR="008745D1" w:rsidRDefault="00062AC1">
      <w:pPr>
        <w:pBdr>
          <w:top w:val="nil"/>
          <w:left w:val="nil"/>
          <w:bottom w:val="nil"/>
          <w:right w:val="nil"/>
          <w:between w:val="nil"/>
        </w:pBdr>
        <w:tabs>
          <w:tab w:val="left" w:pos="0"/>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Para los proponentes extranjeros con domicilio en el país o sucursal en Colombia deberán presentar con su oferta el </w:t>
      </w:r>
      <w:r>
        <w:rPr>
          <w:rFonts w:ascii="Arial Narrow" w:eastAsia="Arial Narrow" w:hAnsi="Arial Narrow" w:cs="Arial Narrow"/>
          <w:b/>
          <w:color w:val="000000"/>
          <w:sz w:val="23"/>
          <w:szCs w:val="23"/>
        </w:rPr>
        <w:t>REGISTRO ÚNICO DE PROPONENTES</w:t>
      </w:r>
      <w:r>
        <w:rPr>
          <w:rFonts w:ascii="Arial Narrow" w:eastAsia="Arial Narrow" w:hAnsi="Arial Narrow" w:cs="Arial Narrow"/>
          <w:color w:val="000000"/>
          <w:sz w:val="23"/>
          <w:szCs w:val="23"/>
        </w:rPr>
        <w:t xml:space="preserve"> el cual deberá tener una fecha de expedición no mayor a treinta (30) días calendarios anteriores a la fecha definitiva de cierre del proceso de selección, prevista en el </w:t>
      </w:r>
      <w:r>
        <w:rPr>
          <w:rFonts w:ascii="Arial Narrow" w:eastAsia="Arial Narrow" w:hAnsi="Arial Narrow" w:cs="Arial Narrow"/>
          <w:b/>
          <w:color w:val="000000"/>
          <w:sz w:val="23"/>
          <w:szCs w:val="23"/>
        </w:rPr>
        <w:t>“CRONOGRAMA DEL PROCESO”</w:t>
      </w:r>
      <w:r>
        <w:rPr>
          <w:rFonts w:ascii="Arial Narrow" w:eastAsia="Arial Narrow" w:hAnsi="Arial Narrow" w:cs="Arial Narrow"/>
          <w:color w:val="000000"/>
          <w:sz w:val="23"/>
          <w:szCs w:val="23"/>
        </w:rPr>
        <w:t>.</w:t>
      </w:r>
    </w:p>
    <w:p w14:paraId="12BBE9E9" w14:textId="77777777" w:rsidR="008745D1" w:rsidRDefault="008745D1">
      <w:pPr>
        <w:pBdr>
          <w:top w:val="nil"/>
          <w:left w:val="nil"/>
          <w:bottom w:val="nil"/>
          <w:right w:val="nil"/>
          <w:between w:val="nil"/>
        </w:pBdr>
        <w:tabs>
          <w:tab w:val="left" w:pos="0"/>
        </w:tabs>
        <w:spacing w:after="0" w:line="240" w:lineRule="auto"/>
        <w:ind w:left="0" w:right="-2" w:hanging="2"/>
        <w:jc w:val="both"/>
        <w:rPr>
          <w:rFonts w:ascii="Arial Narrow" w:eastAsia="Arial Narrow" w:hAnsi="Arial Narrow" w:cs="Arial Narrow"/>
          <w:color w:val="000000"/>
          <w:sz w:val="23"/>
          <w:szCs w:val="23"/>
        </w:rPr>
      </w:pPr>
    </w:p>
    <w:p w14:paraId="4E093DA6"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Los proveedores extranjeros sin domicilio en Colombia no están obligados a tener RUP por lo cual deben acreditar esta información financiera directamente ante la FGN.</w:t>
      </w:r>
    </w:p>
    <w:p w14:paraId="538EF760" w14:textId="77777777" w:rsidR="008745D1" w:rsidRDefault="008745D1">
      <w:pPr>
        <w:pBdr>
          <w:top w:val="nil"/>
          <w:left w:val="nil"/>
          <w:bottom w:val="nil"/>
          <w:right w:val="nil"/>
          <w:between w:val="nil"/>
        </w:pBdr>
        <w:tabs>
          <w:tab w:val="left" w:pos="284"/>
        </w:tabs>
        <w:spacing w:after="0" w:line="240" w:lineRule="auto"/>
        <w:ind w:left="0" w:right="-2" w:hanging="2"/>
        <w:jc w:val="both"/>
        <w:rPr>
          <w:rFonts w:ascii="Arial Narrow" w:eastAsia="Arial Narrow" w:hAnsi="Arial Narrow" w:cs="Arial Narrow"/>
          <w:color w:val="000000"/>
          <w:sz w:val="23"/>
          <w:szCs w:val="23"/>
        </w:rPr>
      </w:pPr>
    </w:p>
    <w:p w14:paraId="2EB4F132" w14:textId="77777777" w:rsidR="008745D1" w:rsidRDefault="00062AC1">
      <w:pPr>
        <w:pBdr>
          <w:top w:val="nil"/>
          <w:left w:val="nil"/>
          <w:bottom w:val="nil"/>
          <w:right w:val="nil"/>
          <w:between w:val="nil"/>
        </w:pBdr>
        <w:tabs>
          <w:tab w:val="left" w:pos="284"/>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lastRenderedPageBreak/>
        <w:t>En todos los casos, los documentos expedidos en el exterior que acrediten las condiciones anteriores cumplirán todos y cada uno de los requisitos legales exigidos para la validez y oponibilidad en Colombia.</w:t>
      </w:r>
    </w:p>
    <w:p w14:paraId="6E95E467" w14:textId="77777777" w:rsidR="008745D1" w:rsidRDefault="008745D1">
      <w:pPr>
        <w:pBdr>
          <w:top w:val="nil"/>
          <w:left w:val="nil"/>
          <w:bottom w:val="nil"/>
          <w:right w:val="nil"/>
          <w:between w:val="nil"/>
        </w:pBdr>
        <w:tabs>
          <w:tab w:val="left" w:pos="0"/>
        </w:tabs>
        <w:spacing w:after="0" w:line="240" w:lineRule="auto"/>
        <w:ind w:left="0" w:right="-2" w:hanging="2"/>
        <w:jc w:val="both"/>
        <w:rPr>
          <w:rFonts w:ascii="Arial Narrow" w:eastAsia="Arial Narrow" w:hAnsi="Arial Narrow" w:cs="Arial Narrow"/>
          <w:color w:val="000000"/>
          <w:sz w:val="23"/>
          <w:szCs w:val="23"/>
        </w:rPr>
      </w:pPr>
    </w:p>
    <w:p w14:paraId="07682A13" w14:textId="77777777" w:rsidR="008745D1" w:rsidRDefault="00062AC1">
      <w:pPr>
        <w:pBdr>
          <w:top w:val="nil"/>
          <w:left w:val="nil"/>
          <w:bottom w:val="nil"/>
          <w:right w:val="nil"/>
          <w:between w:val="nil"/>
        </w:pBdr>
        <w:tabs>
          <w:tab w:val="left" w:pos="0"/>
        </w:tabs>
        <w:spacing w:after="0" w:line="240" w:lineRule="auto"/>
        <w:ind w:left="0" w:right="-2"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Si el proponente no presenta con su propuesta los documentos solicitados en el presente numeral, la FGN requerirá al proponente a fin de que los aporte dentro del plazo que le señale para el efecto.</w:t>
      </w:r>
    </w:p>
    <w:p w14:paraId="4222C8AF" w14:textId="77777777" w:rsidR="008745D1" w:rsidRDefault="008745D1">
      <w:pPr>
        <w:pBdr>
          <w:top w:val="nil"/>
          <w:left w:val="nil"/>
          <w:bottom w:val="nil"/>
          <w:right w:val="nil"/>
          <w:between w:val="nil"/>
        </w:pBdr>
        <w:tabs>
          <w:tab w:val="left" w:pos="0"/>
        </w:tabs>
        <w:spacing w:after="0" w:line="240" w:lineRule="auto"/>
        <w:ind w:left="0" w:right="-2" w:hanging="2"/>
        <w:jc w:val="both"/>
        <w:rPr>
          <w:rFonts w:ascii="Arial Narrow" w:eastAsia="Arial Narrow" w:hAnsi="Arial Narrow" w:cs="Arial Narrow"/>
          <w:color w:val="000000"/>
          <w:sz w:val="23"/>
          <w:szCs w:val="23"/>
        </w:rPr>
      </w:pPr>
    </w:p>
    <w:p w14:paraId="4B79BABD" w14:textId="77777777" w:rsidR="008745D1" w:rsidRDefault="00062AC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Cuando el proponente no cumpla con las condiciones de capacidad aquí exigidas, la oferta no se considerará hábil en los términos señalados en el presente pliego de condiciones.</w:t>
      </w:r>
    </w:p>
    <w:p w14:paraId="17FDC459" w14:textId="77777777" w:rsidR="008745D1"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57" w:name="_heading=h.28h4qwu" w:colFirst="0" w:colLast="0"/>
      <w:bookmarkEnd w:id="57"/>
    </w:p>
    <w:p w14:paraId="7D623C15"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5.1.11 Apoderado</w:t>
      </w:r>
    </w:p>
    <w:p w14:paraId="3CA7E2D9" w14:textId="77777777" w:rsidR="008745D1" w:rsidRDefault="008745D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p>
    <w:p w14:paraId="0FB663FE"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Las personas jurídicas extranjeras sin sucursal en Colombia o naturales sin domicilio en Colombia, pueden estar representadas por un apoderado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6326D3D9"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639A1E19" w14:textId="77777777" w:rsidR="008745D1" w:rsidRDefault="00062AC1">
      <w:pPr>
        <w:pBdr>
          <w:top w:val="nil"/>
          <w:left w:val="nil"/>
          <w:bottom w:val="nil"/>
          <w:right w:val="nil"/>
          <w:between w:val="nil"/>
        </w:pBdr>
        <w:tabs>
          <w:tab w:val="left" w:pos="0"/>
        </w:tabs>
        <w:spacing w:after="0" w:line="240" w:lineRule="auto"/>
        <w:ind w:left="0" w:right="-234"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En todos los casos, deberán cumplirse cada uno de los requisitos legales exigidos para la validez y oponibilidad en Colombia de documentos expedidos en el exterior.</w:t>
      </w:r>
    </w:p>
    <w:p w14:paraId="2A817EFF" w14:textId="77777777" w:rsidR="008745D1" w:rsidRDefault="008745D1">
      <w:pPr>
        <w:pBdr>
          <w:top w:val="nil"/>
          <w:left w:val="nil"/>
          <w:bottom w:val="nil"/>
          <w:right w:val="nil"/>
          <w:between w:val="nil"/>
        </w:pBdr>
        <w:tabs>
          <w:tab w:val="left" w:pos="0"/>
        </w:tabs>
        <w:spacing w:after="0" w:line="240" w:lineRule="auto"/>
        <w:ind w:left="0" w:right="-234" w:hanging="2"/>
        <w:jc w:val="both"/>
        <w:rPr>
          <w:rFonts w:ascii="Arial Narrow" w:eastAsia="Arial Narrow" w:hAnsi="Arial Narrow" w:cs="Arial Narrow"/>
          <w:color w:val="000000"/>
          <w:sz w:val="23"/>
          <w:szCs w:val="23"/>
        </w:rPr>
      </w:pPr>
      <w:bookmarkStart w:id="58" w:name="_heading=h.nmf14n" w:colFirst="0" w:colLast="0"/>
      <w:bookmarkEnd w:id="58"/>
    </w:p>
    <w:p w14:paraId="44F1D547"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5.1.12 Cumplimiento del principio de reciprocidad.</w:t>
      </w:r>
    </w:p>
    <w:p w14:paraId="0C8FDA11" w14:textId="77777777" w:rsidR="008745D1" w:rsidRDefault="008745D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p>
    <w:p w14:paraId="05AD666B" w14:textId="77777777" w:rsidR="008745D1" w:rsidRDefault="00062AC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La FGN otorgará al Proponente extranjero el mismo tratamiento y las mismas condiciones, requisitos y procedimientos que los concedidos al nacional, exclusivamente bajo el principio de reciprocidad. Así, los Proponentes extranjeros recibirán igual tratamiento que los de origen colombiano, siempre que exista un acuerdo, tratado o convenio entre el país de su nacionalidad y Colombia que indique expresamente que a los nacionales colombianos se les concede en ese país el mismo tratamiento otorgado a sus nacionales.</w:t>
      </w:r>
    </w:p>
    <w:p w14:paraId="683EB8BD" w14:textId="77777777" w:rsidR="008745D1" w:rsidRDefault="008745D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p>
    <w:p w14:paraId="49420865" w14:textId="77777777" w:rsidR="008745D1" w:rsidRDefault="00062AC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interesado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w:t>
      </w:r>
    </w:p>
    <w:p w14:paraId="0548ED73" w14:textId="77777777" w:rsidR="008745D1" w:rsidRDefault="008745D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p>
    <w:p w14:paraId="59CA17B0" w14:textId="77777777" w:rsidR="008745D1" w:rsidRDefault="00062AC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Se precisa, en relación con consorcios, uniones temporales y sociedad de objeto único conformado de acuerdo con la legislación que presenten Propuestas que, en el evento en que en ellos participen personas (naturales o jurídicas) extranjeras, estas últimas deberán acreditar el principio de reciprocidad.</w:t>
      </w:r>
    </w:p>
    <w:p w14:paraId="38FB9CA5" w14:textId="77777777" w:rsidR="008745D1" w:rsidRDefault="008745D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p>
    <w:p w14:paraId="27B53A63" w14:textId="77777777" w:rsidR="008745D1" w:rsidRDefault="00062AC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bookmarkStart w:id="59" w:name="_heading=h.37m2jsg" w:colFirst="0" w:colLast="0"/>
      <w:bookmarkEnd w:id="59"/>
      <w:r>
        <w:rPr>
          <w:rFonts w:ascii="Arial Narrow" w:eastAsia="Arial Narrow" w:hAnsi="Arial Narrow" w:cs="Arial Narrow"/>
          <w:color w:val="000000"/>
          <w:sz w:val="23"/>
          <w:szCs w:val="23"/>
        </w:rPr>
        <w:t>La apertura o existencia de sucursales (establecimientos de comercio en los términos del artículo 263 del Código de Comercio) en Colombia, de empresas o sociedades extranjeras, no les confieren a estas la condición de nacionales colombianas.</w:t>
      </w:r>
    </w:p>
    <w:p w14:paraId="6E8DB6A3" w14:textId="77777777" w:rsidR="008745D1" w:rsidRDefault="00062AC1">
      <w:pPr>
        <w:keepNext/>
        <w:keepLines/>
        <w:pBdr>
          <w:top w:val="nil"/>
          <w:left w:val="nil"/>
          <w:bottom w:val="nil"/>
          <w:right w:val="nil"/>
          <w:between w:val="nil"/>
        </w:pBdr>
        <w:shd w:val="clear" w:color="auto" w:fill="FFFFFF"/>
        <w:spacing w:before="200" w:after="0" w:line="276" w:lineRule="auto"/>
        <w:ind w:left="0" w:hanging="2"/>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5.1.13 Registro de Deudores Alimentarios Morosos – REDAM</w:t>
      </w:r>
    </w:p>
    <w:p w14:paraId="4DA480C7" w14:textId="77777777" w:rsidR="008745D1" w:rsidRDefault="008745D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3AED2BFC"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Ministerio de Tecnologías de la Información y las Comunicaciones MinTIC, a través del Decreto 1310 de 2022[1] reglamenta la Ley estatutaria 2097 de 2021 que crea el Registro de Deudores Alimentarios Morosos – REDAM, por lo tanto el proponente (persona natural o el representante legal de la persona jurídica) deberá aportar con su propuesta  el Certificado de registro, entendido este como el Documento que expide gratuitamente el Registro de Deudores Alimentarios Morosos (REDAM) sobre la condición o no de deudor alimentario moroso de una persona, como consecuencia de su inclusión o cancelación en el registro, el cual deberá estar vigente.</w:t>
      </w:r>
    </w:p>
    <w:p w14:paraId="37BD2648" w14:textId="77777777" w:rsidR="008745D1"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6E7279C9"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lastRenderedPageBreak/>
        <w:t>Para el caso de las uniones temporales o consorcios o sociedad con objeto único, deberá aportar el certificado del representante legal de cada uno de sus integrantes.”</w:t>
      </w:r>
    </w:p>
    <w:p w14:paraId="38B707DC"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60B555DE"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Según, el artículo 6° de la mencionada ley, las consecuencias de que un deudor alimentario esté inscrito en el REDAM son las siguientes: (i) inhabilidad para contratar con el Estado, posesionarse en cargos públicos y de elección popular hasta no estar a paz y salvo (ii) la exigencia de presentar el certificado del REDAM para enajenar bienes muebles o inmuebles sujetos a registro, solicitar un crédito o renovación de este en entidades bancarias o de financiamiento, (iii) impedimento para salir del país y efectuar trámites migratorios ante Migración Colombia y, (iv) la remisión a las centrales de riesgo crediticio, financiero y comercial.</w:t>
      </w:r>
    </w:p>
    <w:p w14:paraId="27AC0269"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0CE54B0B"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Nota: Recuerde que previamente debe estar registrado en la carpeta ciudadana en el link: </w:t>
      </w:r>
      <w:hyperlink r:id="rId26">
        <w:r>
          <w:rPr>
            <w:rFonts w:ascii="Arial Narrow" w:eastAsia="Arial Narrow" w:hAnsi="Arial Narrow" w:cs="Arial Narrow"/>
            <w:color w:val="000000"/>
            <w:sz w:val="23"/>
            <w:szCs w:val="23"/>
          </w:rPr>
          <w:t>https://carpetaciudadana.and.gov.co/mas-informacion</w:t>
        </w:r>
      </w:hyperlink>
      <w:r>
        <w:rPr>
          <w:rFonts w:ascii="Arial Narrow" w:eastAsia="Arial Narrow" w:hAnsi="Arial Narrow" w:cs="Arial Narrow"/>
          <w:color w:val="000000"/>
          <w:sz w:val="23"/>
          <w:szCs w:val="23"/>
        </w:rPr>
        <w:t>.</w:t>
      </w:r>
    </w:p>
    <w:p w14:paraId="537C90C1" w14:textId="77777777" w:rsidR="008745D1" w:rsidRDefault="00062AC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Para realizar el registro debe ir al sitio web oficial: </w:t>
      </w:r>
      <w:hyperlink r:id="rId27">
        <w:r>
          <w:rPr>
            <w:rFonts w:ascii="Arial Narrow" w:eastAsia="Arial Narrow" w:hAnsi="Arial Narrow" w:cs="Arial Narrow"/>
            <w:color w:val="000000"/>
            <w:sz w:val="23"/>
            <w:szCs w:val="23"/>
          </w:rPr>
          <w:t>https://autenticaciondigital.and.gov.co/</w:t>
        </w:r>
      </w:hyperlink>
    </w:p>
    <w:p w14:paraId="76ED56BA" w14:textId="77777777" w:rsidR="00145EE7" w:rsidRDefault="00145EE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4CB4C985" w14:textId="77777777" w:rsidR="00145EE7" w:rsidRPr="008E4E06" w:rsidRDefault="00145EE7" w:rsidP="00145EE7">
      <w:pPr>
        <w:spacing w:after="0" w:line="240" w:lineRule="auto"/>
        <w:ind w:left="0" w:hanging="2"/>
        <w:jc w:val="both"/>
        <w:rPr>
          <w:rFonts w:ascii="Arial Narrow" w:eastAsia="Arial Narrow" w:hAnsi="Arial Narrow" w:cs="Arial Narrow"/>
          <w:b/>
        </w:rPr>
      </w:pPr>
      <w:r w:rsidRPr="00145EE7">
        <w:rPr>
          <w:rFonts w:ascii="Arial Narrow" w:eastAsia="Arial Narrow" w:hAnsi="Arial Narrow" w:cs="Arial Narrow"/>
          <w:b/>
        </w:rPr>
        <w:t xml:space="preserve">5.1.14 3. </w:t>
      </w:r>
      <w:r w:rsidRPr="008E4E06">
        <w:rPr>
          <w:rFonts w:ascii="Arial Narrow" w:eastAsia="Arial Narrow" w:hAnsi="Arial Narrow" w:cs="Arial Narrow"/>
          <w:b/>
        </w:rPr>
        <w:t>SITUACIONES DE CONTROL</w:t>
      </w:r>
      <w:r w:rsidRPr="008E4E06">
        <w:rPr>
          <w:rFonts w:ascii="Arial Narrow" w:hAnsi="Arial Narrow"/>
          <w:sz w:val="12"/>
          <w:szCs w:val="12"/>
        </w:rPr>
        <w:footnoteReference w:id="5"/>
      </w:r>
    </w:p>
    <w:p w14:paraId="4EA3E19C" w14:textId="77777777" w:rsidR="00145EE7" w:rsidRPr="008E4E06" w:rsidRDefault="00145EE7" w:rsidP="00145EE7">
      <w:pPr>
        <w:spacing w:after="0" w:line="240" w:lineRule="auto"/>
        <w:ind w:left="0" w:hanging="2"/>
        <w:jc w:val="both"/>
        <w:rPr>
          <w:rFonts w:ascii="Arial Narrow" w:eastAsia="Arial Narrow" w:hAnsi="Arial Narrow" w:cs="Arial Narrow"/>
        </w:rPr>
      </w:pPr>
    </w:p>
    <w:p w14:paraId="001305E7" w14:textId="77777777" w:rsidR="00145EE7" w:rsidRPr="008E4E06" w:rsidRDefault="00145EE7" w:rsidP="00145EE7">
      <w:pPr>
        <w:spacing w:after="0" w:line="240" w:lineRule="auto"/>
        <w:ind w:left="0" w:hanging="2"/>
        <w:jc w:val="both"/>
        <w:rPr>
          <w:rFonts w:ascii="Arial Narrow" w:hAnsi="Arial Narrow"/>
          <w:sz w:val="23"/>
          <w:szCs w:val="23"/>
        </w:rPr>
      </w:pPr>
      <w:r w:rsidRPr="008E4E06">
        <w:rPr>
          <w:rFonts w:ascii="Arial Narrow" w:hAnsi="Arial Narrow"/>
          <w:sz w:val="23"/>
          <w:szCs w:val="23"/>
        </w:rPr>
        <w:t>En cumplimiento del Artículo 2.1.4.3.2.1 del Decreto 1600 de 2024  los proponentes deberán  informar en la fecha establecida en el cronograma, la existencia o no de situaciones de control, en particular, si son controlantes, controladas o comparten alguna de estas condiciones con otras personas que se encuentren participando en el presente proceso de contratación. En caso de advertir circunstancias que pudieran implicar afectaciones a la libertad de concurrencia o competencia, o a la pluralidad, se evaluara la necesidad de poner tales situaciones en conocimiento de los entes de control competentes y, de ser necesario, solicitar acompañamiento preventivo. </w:t>
      </w:r>
    </w:p>
    <w:p w14:paraId="6CCA18F2" w14:textId="77777777" w:rsidR="008745D1" w:rsidRPr="008E4E06" w:rsidRDefault="00062AC1" w:rsidP="00145EE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60" w:name="_heading=h.1mrcu09" w:colFirst="0" w:colLast="0"/>
      <w:bookmarkEnd w:id="60"/>
      <w:r w:rsidRPr="008E4E06">
        <w:rPr>
          <w:rFonts w:ascii="Arial Narrow" w:eastAsia="Arial Narrow" w:hAnsi="Arial Narrow" w:cs="Arial Narrow"/>
          <w:color w:val="000000"/>
          <w:sz w:val="23"/>
          <w:szCs w:val="23"/>
        </w:rPr>
        <w:t> </w:t>
      </w:r>
    </w:p>
    <w:p w14:paraId="202BFE24" w14:textId="77777777" w:rsidR="008745D1" w:rsidRPr="008E4E06" w:rsidRDefault="00062AC1" w:rsidP="00145EE7">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8E4E06">
        <w:rPr>
          <w:rFonts w:ascii="Arial Narrow" w:eastAsia="Arial Narrow" w:hAnsi="Arial Narrow" w:cs="Arial Narrow"/>
          <w:b/>
          <w:color w:val="000000"/>
          <w:sz w:val="23"/>
          <w:szCs w:val="23"/>
        </w:rPr>
        <w:t xml:space="preserve">5.2. Capacidad Financiera </w:t>
      </w:r>
    </w:p>
    <w:p w14:paraId="52C1793A" w14:textId="77777777" w:rsidR="008745D1" w:rsidRPr="008E4E06" w:rsidRDefault="008745D1" w:rsidP="00145EE7">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61" w:name="_heading=h.46r0co2" w:colFirst="0" w:colLast="0"/>
      <w:bookmarkEnd w:id="61"/>
    </w:p>
    <w:p w14:paraId="13712DC1" w14:textId="77777777" w:rsidR="00CB2579" w:rsidRPr="008E4E06" w:rsidRDefault="00CB2579" w:rsidP="00145EE7">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2916DA77" w14:textId="77777777" w:rsidR="00021C0B" w:rsidRPr="008E4E06" w:rsidRDefault="00021C0B" w:rsidP="00021C0B">
      <w:pPr>
        <w:ind w:left="0" w:hanging="2"/>
        <w:jc w:val="both"/>
        <w:rPr>
          <w:rFonts w:ascii="Arial Narrow" w:eastAsia="Arial" w:hAnsi="Arial Narrow" w:cs="Times New Roman"/>
          <w:lang w:val="es-MX"/>
        </w:rPr>
      </w:pPr>
      <w:r w:rsidRPr="008E4E06">
        <w:rPr>
          <w:rFonts w:ascii="Arial Narrow" w:eastAsia="Arial" w:hAnsi="Arial Narrow" w:cs="Times New Roman"/>
          <w:lang w:val="es-MX"/>
        </w:rPr>
        <w:t>En cumplimiento de lo dispuesto en el artículo 2.2.1.1.1.5.3. numerales 3 y 4 del Decreto 1082 de 2015, la Capacidad Financiera y Organizacional de los proponentes se acredita mediante el Registro Único de Proponentes – RUP, vigente y en firme al finalizar el traslado del informe de evaluación. Dicho certificado constituye la evidencia documental validada por la Cámara de Comercio.</w:t>
      </w:r>
    </w:p>
    <w:p w14:paraId="45F37C2F" w14:textId="77777777" w:rsidR="00021C0B" w:rsidRPr="008E4E06" w:rsidRDefault="00021C0B" w:rsidP="00021C0B">
      <w:pPr>
        <w:ind w:left="0" w:hanging="2"/>
        <w:jc w:val="both"/>
        <w:rPr>
          <w:rFonts w:ascii="Arial Narrow" w:eastAsia="Arial" w:hAnsi="Arial Narrow" w:cs="Times New Roman"/>
          <w:lang w:val="es-MX"/>
        </w:rPr>
      </w:pPr>
      <w:r w:rsidRPr="008E4E06">
        <w:rPr>
          <w:rFonts w:ascii="Arial Narrow" w:eastAsia="Arial" w:hAnsi="Arial Narrow" w:cs="Times New Roman"/>
          <w:lang w:val="es-MX"/>
        </w:rPr>
        <w:t>De igual forma, el presente análisis toma como referencia el Manual para Determinar y Verificar los Requisitos Habilitantes expedido por Colombia Compra Eficiente (versión vigente),</w:t>
      </w:r>
      <w:r w:rsidRPr="008E4E06">
        <w:rPr>
          <w:rFonts w:ascii="Arial Narrow" w:eastAsia="Arial" w:hAnsi="Arial Narrow" w:cs="Times New Roman"/>
          <w:vertAlign w:val="superscript"/>
          <w:lang w:val="es-MX"/>
        </w:rPr>
        <w:footnoteReference w:id="6"/>
      </w:r>
      <w:r w:rsidRPr="008E4E06">
        <w:rPr>
          <w:rFonts w:ascii="Arial Narrow" w:eastAsia="Arial" w:hAnsi="Arial Narrow" w:cs="Times New Roman"/>
          <w:lang w:val="es-MX"/>
        </w:rPr>
        <w:t xml:space="preserve"> la Superintendencia de Sociedades</w:t>
      </w:r>
      <w:r w:rsidRPr="008E4E06">
        <w:rPr>
          <w:rFonts w:ascii="Arial Narrow" w:eastAsia="Arial" w:hAnsi="Arial Narrow" w:cs="Times New Roman"/>
          <w:b/>
          <w:bCs/>
          <w:vertAlign w:val="superscript"/>
          <w:lang w:val="es-MX"/>
        </w:rPr>
        <w:footnoteReference w:id="7"/>
      </w:r>
      <w:r w:rsidRPr="008E4E06">
        <w:rPr>
          <w:rFonts w:ascii="Arial Narrow" w:eastAsia="Arial" w:hAnsi="Arial Narrow" w:cs="Times New Roman"/>
          <w:lang w:val="es-MX"/>
        </w:rPr>
        <w:t xml:space="preserve"> y las disposiciones aplicables al proceso de contratación.</w:t>
      </w:r>
    </w:p>
    <w:p w14:paraId="17D7943C" w14:textId="77777777" w:rsidR="00021C0B" w:rsidRDefault="00021C0B" w:rsidP="00021C0B">
      <w:pPr>
        <w:suppressAutoHyphens w:val="0"/>
        <w:spacing w:after="0" w:line="240" w:lineRule="auto"/>
        <w:ind w:leftChars="0" w:left="0" w:firstLineChars="0" w:firstLine="0"/>
        <w:jc w:val="both"/>
        <w:textDirection w:val="lrTb"/>
        <w:textAlignment w:val="auto"/>
        <w:outlineLvl w:val="9"/>
        <w:rPr>
          <w:rFonts w:ascii="Arial Narrow" w:eastAsia="Arial" w:hAnsi="Arial Narrow" w:cs="Times New Roman"/>
          <w:b/>
          <w:bCs/>
        </w:rPr>
      </w:pPr>
      <w:r w:rsidRPr="008E4E06">
        <w:rPr>
          <w:rFonts w:ascii="Arial Narrow" w:eastAsia="Arial" w:hAnsi="Arial Narrow" w:cs="Times New Roman"/>
          <w:b/>
          <w:bCs/>
        </w:rPr>
        <w:t>CAPACIDAD FINANCIERA</w:t>
      </w:r>
    </w:p>
    <w:p w14:paraId="00015986" w14:textId="77777777" w:rsidR="008E4E06" w:rsidRPr="008E4E06" w:rsidRDefault="008E4E06" w:rsidP="00021C0B">
      <w:pPr>
        <w:suppressAutoHyphens w:val="0"/>
        <w:spacing w:after="0" w:line="240" w:lineRule="auto"/>
        <w:ind w:leftChars="0" w:left="0" w:firstLineChars="0" w:firstLine="0"/>
        <w:jc w:val="both"/>
        <w:textDirection w:val="lrTb"/>
        <w:textAlignment w:val="auto"/>
        <w:outlineLvl w:val="9"/>
        <w:rPr>
          <w:rFonts w:ascii="Arial Narrow" w:eastAsia="Arial" w:hAnsi="Arial Narrow" w:cs="Times New Roman"/>
        </w:rPr>
      </w:pPr>
    </w:p>
    <w:p w14:paraId="445E7FEA" w14:textId="77777777" w:rsidR="00021C0B" w:rsidRPr="008E4E06" w:rsidRDefault="00021C0B" w:rsidP="00021C0B">
      <w:pPr>
        <w:ind w:left="0" w:hanging="2"/>
        <w:jc w:val="both"/>
        <w:rPr>
          <w:rFonts w:ascii="Arial Narrow" w:eastAsia="Arial" w:hAnsi="Arial Narrow" w:cs="Times New Roman"/>
        </w:rPr>
      </w:pPr>
      <w:r w:rsidRPr="008E4E06">
        <w:rPr>
          <w:rFonts w:ascii="Arial Narrow" w:eastAsia="Arial" w:hAnsi="Arial Narrow" w:cs="Times New Roman"/>
        </w:rPr>
        <w:t>La Entidad evaluará la capacidad financiera de los proponentes con base en los indicadores definidos y la información financiera contenida en el RUP, correspondiente a los estados financieros con corte al </w:t>
      </w:r>
      <w:r w:rsidRPr="008E4E06">
        <w:rPr>
          <w:rFonts w:ascii="Arial Narrow" w:eastAsia="Arial" w:hAnsi="Arial Narrow" w:cs="Times New Roman"/>
          <w:b/>
          <w:bCs/>
          <w:u w:val="single"/>
        </w:rPr>
        <w:t>31 de diciembre de 2025. </w:t>
      </w:r>
    </w:p>
    <w:p w14:paraId="785DFDBC" w14:textId="77777777" w:rsidR="00021C0B" w:rsidRPr="008E4E06" w:rsidRDefault="00021C0B" w:rsidP="00021C0B">
      <w:pPr>
        <w:ind w:left="0" w:hanging="2"/>
        <w:jc w:val="both"/>
        <w:rPr>
          <w:rFonts w:ascii="Arial Narrow" w:eastAsia="Arial" w:hAnsi="Arial Narrow" w:cs="Times New Roman"/>
        </w:rPr>
      </w:pPr>
      <w:r w:rsidRPr="008E4E06">
        <w:rPr>
          <w:rFonts w:ascii="Arial Narrow" w:eastAsia="Arial" w:hAnsi="Arial Narrow" w:cs="Times New Roman"/>
        </w:rPr>
        <w:t>La información financiera permitirá determinar si la propuesta cumple las condiciones mínimas de solvencia y estabilidad requeridas. Un oferente se considerará habilitado financieramente cuando cumpla cada uno de los indicadores descritos a continuación.</w:t>
      </w:r>
    </w:p>
    <w:p w14:paraId="3CAAB2D6" w14:textId="77777777" w:rsidR="00021C0B" w:rsidRPr="008E4E06" w:rsidRDefault="00021C0B" w:rsidP="00021C0B">
      <w:pPr>
        <w:ind w:left="0" w:hanging="2"/>
        <w:jc w:val="both"/>
        <w:rPr>
          <w:rFonts w:ascii="Arial Narrow" w:eastAsia="Arial" w:hAnsi="Arial Narrow" w:cs="Times New Roman"/>
        </w:rPr>
      </w:pPr>
      <w:r w:rsidRPr="008E4E06">
        <w:rPr>
          <w:rFonts w:ascii="Arial Narrow" w:eastAsia="Arial" w:hAnsi="Arial Narrow" w:cs="Times New Roman"/>
        </w:rPr>
        <w:t>El </w:t>
      </w:r>
      <w:r w:rsidRPr="008E4E06">
        <w:rPr>
          <w:rFonts w:ascii="Arial Narrow" w:eastAsia="Arial" w:hAnsi="Arial Narrow" w:cs="Times New Roman"/>
          <w:b/>
          <w:bCs/>
        </w:rPr>
        <w:t>ÍNDICE DE LIQUIDEZ</w:t>
      </w:r>
      <w:r w:rsidRPr="008E4E06">
        <w:rPr>
          <w:rFonts w:ascii="Arial Narrow" w:eastAsia="Arial" w:hAnsi="Arial Narrow" w:cs="Times New Roman"/>
        </w:rPr>
        <w:t> determina la capacidad que tiene un proponente para cumplir con sus obligaciones de corto plazo. A mayor índice de liquidez, menor es la probabilidad de que el proponente incumpla sus obligaciones de corto plazo.</w:t>
      </w:r>
    </w:p>
    <w:p w14:paraId="7B9B8D1C" w14:textId="77777777" w:rsidR="00021C0B" w:rsidRPr="008E4E06" w:rsidRDefault="00021C0B" w:rsidP="00021C0B">
      <w:pPr>
        <w:ind w:left="0" w:hanging="2"/>
        <w:jc w:val="both"/>
        <w:rPr>
          <w:rFonts w:ascii="Arial Narrow" w:eastAsia="Arial" w:hAnsi="Arial Narrow" w:cs="Times New Roman"/>
        </w:rPr>
      </w:pPr>
    </w:p>
    <w:p w14:paraId="1981756B" w14:textId="77777777" w:rsidR="00021C0B" w:rsidRPr="00A029F6" w:rsidRDefault="00021C0B" w:rsidP="00021C0B">
      <w:pPr>
        <w:ind w:left="0" w:hanging="2"/>
        <w:jc w:val="both"/>
        <w:rPr>
          <w:rFonts w:ascii="Arial Narrow" w:eastAsia="Arial" w:hAnsi="Arial Narrow" w:cs="Times New Roman"/>
          <w:b/>
          <w:bCs/>
        </w:rPr>
      </w:pPr>
      <w:r w:rsidRPr="00A029F6">
        <w:rPr>
          <w:rFonts w:ascii="Arial Narrow" w:eastAsia="Arial" w:hAnsi="Arial Narrow" w:cs="Times New Roman"/>
          <w:b/>
          <w:bCs/>
        </w:rPr>
        <w:lastRenderedPageBreak/>
        <w:t>ÍNDICE DE LIQUIDEZ = (ACTIVO CORRIENTE / PASIVO CORRIENTE)</w:t>
      </w:r>
    </w:p>
    <w:p w14:paraId="794E3901"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 xml:space="preserve">Dado el comportamiento normal de las empresas y los promedios de recaudo, la Entidad exige un índice de liquidez </w:t>
      </w:r>
      <w:r w:rsidRPr="00A029F6">
        <w:rPr>
          <w:rFonts w:ascii="Arial Narrow" w:eastAsia="Arial" w:hAnsi="Arial Narrow" w:cs="Times New Roman"/>
          <w:b/>
          <w:bCs/>
        </w:rPr>
        <w:t>mayor o igual 1,00%</w:t>
      </w:r>
      <w:r w:rsidRPr="00A029F6">
        <w:rPr>
          <w:rFonts w:ascii="Arial Narrow" w:eastAsia="Arial" w:hAnsi="Arial Narrow" w:cs="Times New Roman"/>
        </w:rPr>
        <w:t>, por considerarse un nivel de solvencia adecuado.</w:t>
      </w:r>
    </w:p>
    <w:p w14:paraId="48EDE442"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Para los proponentes plurales, el cálculo se realizará tomando la sumatoria ponderada del activo corriente de cada integrante, sobre la sumatoria del pasivo corriente ponderado, según su porcentaje de participación.</w:t>
      </w:r>
    </w:p>
    <w:p w14:paraId="695A8C6B"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De conformidad con el manual para determinar y verificar los requisitos habilitantes en los procesos de contratación expedido por Colombia Compra Eficiente, LA FÓRMULA que se tendrá en cuenta será la siguiente:</w:t>
      </w:r>
    </w:p>
    <w:p w14:paraId="51C9D9E9"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noProof/>
        </w:rPr>
        <w:drawing>
          <wp:inline distT="0" distB="0" distL="0" distR="0" wp14:anchorId="0C7D89F0" wp14:editId="4721707D">
            <wp:extent cx="4095750" cy="723900"/>
            <wp:effectExtent l="0" t="0" r="0" b="0"/>
            <wp:docPr id="75215687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95750" cy="723900"/>
                    </a:xfrm>
                    <a:prstGeom prst="rect">
                      <a:avLst/>
                    </a:prstGeom>
                    <a:noFill/>
                    <a:ln>
                      <a:noFill/>
                    </a:ln>
                  </pic:spPr>
                </pic:pic>
              </a:graphicData>
            </a:graphic>
          </wp:inline>
        </w:drawing>
      </w:r>
    </w:p>
    <w:p w14:paraId="47B98ED8"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 </w:t>
      </w:r>
    </w:p>
    <w:p w14:paraId="34A9CE16"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El </w:t>
      </w:r>
      <w:r w:rsidRPr="00A029F6">
        <w:rPr>
          <w:rFonts w:ascii="Arial Narrow" w:eastAsia="Arial" w:hAnsi="Arial Narrow" w:cs="Times New Roman"/>
          <w:b/>
          <w:bCs/>
        </w:rPr>
        <w:t>ÍNDICE DE ENDEUDAMIENTO</w:t>
      </w:r>
      <w:r w:rsidRPr="00A029F6">
        <w:rPr>
          <w:rFonts w:ascii="Arial Narrow" w:eastAsia="Arial" w:hAnsi="Arial Narrow" w:cs="Times New Roman"/>
        </w:rPr>
        <w:t> permite verificar la solidez del oferente, medida desde su pasivo respecto de su activo, determina el grado de endeudamiento en la estructura de financiación del proponente. A mayor índice de endeudamiento, mayor es la probabilidad del proponente de no poder cumplir con sus pasivos.</w:t>
      </w:r>
    </w:p>
    <w:p w14:paraId="39959E3B" w14:textId="77777777" w:rsidR="00021C0B" w:rsidRPr="00A029F6" w:rsidRDefault="00021C0B" w:rsidP="00021C0B">
      <w:pPr>
        <w:ind w:left="0" w:hanging="2"/>
        <w:jc w:val="both"/>
        <w:rPr>
          <w:rFonts w:ascii="Arial Narrow" w:eastAsia="Arial" w:hAnsi="Arial Narrow" w:cs="Times New Roman"/>
          <w:b/>
          <w:bCs/>
        </w:rPr>
      </w:pPr>
      <w:r w:rsidRPr="00A029F6">
        <w:rPr>
          <w:rFonts w:ascii="Arial Narrow" w:eastAsia="Arial" w:hAnsi="Arial Narrow" w:cs="Times New Roman"/>
          <w:b/>
          <w:bCs/>
        </w:rPr>
        <w:t>INDICE DE ENDEUDAMIENTO = (PASIVO TOTAL / ACTIVO TOTAL) * 100%</w:t>
      </w:r>
    </w:p>
    <w:p w14:paraId="367ABFD4"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 xml:space="preserve">En Colombia, los niveles de endeudamiento empresarial suelen superar el 70%. No obstante, para permitir amplia concurrencia y garantizar viabilidad financiera, la Entidad establece un índice de endeudamiento </w:t>
      </w:r>
      <w:r w:rsidRPr="00A029F6">
        <w:rPr>
          <w:rFonts w:ascii="Arial Narrow" w:eastAsia="Arial" w:hAnsi="Arial Narrow" w:cs="Times New Roman"/>
          <w:b/>
          <w:bCs/>
        </w:rPr>
        <w:t xml:space="preserve">menor o igual al </w:t>
      </w:r>
      <w:r w:rsidRPr="00A029F6">
        <w:rPr>
          <w:rFonts w:ascii="Arial Narrow" w:eastAsia="Arial" w:hAnsi="Arial Narrow" w:cs="Times New Roman"/>
        </w:rPr>
        <w:t>70%.</w:t>
      </w:r>
    </w:p>
    <w:p w14:paraId="1E1E0335"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Para los proponentes plurales, el cálculo se realizará tomando la sumatoria ponderada del pasivo total de cada integrante, sobre la sumatoria del activo total ponderado, según su porcentaje de participación.</w:t>
      </w:r>
    </w:p>
    <w:p w14:paraId="006DBDE8"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De conformidad con el manual para determinar y verificar los requisitos habilitantes en los procesos de contratación expedido por Colombia Compra Eficiente, LA FÓRMULA que se tendrá en cuenta será la siguiente:</w:t>
      </w:r>
    </w:p>
    <w:p w14:paraId="0D1B22DC"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noProof/>
        </w:rPr>
        <w:drawing>
          <wp:inline distT="0" distB="0" distL="0" distR="0" wp14:anchorId="68E53D01" wp14:editId="3D624826">
            <wp:extent cx="4095750" cy="695325"/>
            <wp:effectExtent l="0" t="0" r="0" b="9525"/>
            <wp:docPr id="187693435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95750" cy="695325"/>
                    </a:xfrm>
                    <a:prstGeom prst="rect">
                      <a:avLst/>
                    </a:prstGeom>
                    <a:noFill/>
                    <a:ln>
                      <a:noFill/>
                    </a:ln>
                  </pic:spPr>
                </pic:pic>
              </a:graphicData>
            </a:graphic>
          </wp:inline>
        </w:drawing>
      </w:r>
    </w:p>
    <w:p w14:paraId="65150087" w14:textId="77777777" w:rsidR="00021C0B" w:rsidRPr="00A029F6" w:rsidRDefault="00021C0B" w:rsidP="00021C0B">
      <w:pPr>
        <w:ind w:left="0" w:hanging="2"/>
        <w:jc w:val="both"/>
        <w:rPr>
          <w:rFonts w:ascii="Arial Narrow" w:eastAsia="Arial" w:hAnsi="Arial Narrow" w:cs="Times New Roman"/>
        </w:rPr>
      </w:pPr>
    </w:p>
    <w:p w14:paraId="71C21FA2"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El </w:t>
      </w:r>
      <w:r w:rsidRPr="00A029F6">
        <w:rPr>
          <w:rFonts w:ascii="Arial Narrow" w:eastAsia="Arial" w:hAnsi="Arial Narrow" w:cs="Times New Roman"/>
          <w:b/>
          <w:bCs/>
        </w:rPr>
        <w:t>ÍNDICE DE RAZÓN DE COBERTURA DE INTERESES</w:t>
      </w:r>
      <w:r w:rsidRPr="00A029F6">
        <w:rPr>
          <w:rFonts w:ascii="Arial Narrow" w:eastAsia="Arial" w:hAnsi="Arial Narrow" w:cs="Times New Roman"/>
        </w:rPr>
        <w:t>, refleja la capacidad del proponente de cumplir con sus obligaciones financieras. A mayor cobertura de intereses, menor es la probabilidad de que el proponente incumpla sus obligaciones financieras.</w:t>
      </w:r>
    </w:p>
    <w:p w14:paraId="3FB99791" w14:textId="77777777" w:rsidR="00021C0B" w:rsidRPr="00A029F6" w:rsidRDefault="00021C0B" w:rsidP="00021C0B">
      <w:pPr>
        <w:ind w:left="0" w:hanging="2"/>
        <w:jc w:val="both"/>
        <w:rPr>
          <w:rFonts w:ascii="Arial Narrow" w:eastAsia="Arial" w:hAnsi="Arial Narrow" w:cs="Times New Roman"/>
          <w:b/>
          <w:bCs/>
        </w:rPr>
      </w:pPr>
      <w:r w:rsidRPr="00A029F6">
        <w:rPr>
          <w:rFonts w:ascii="Arial Narrow" w:eastAsia="Arial" w:hAnsi="Arial Narrow" w:cs="Times New Roman"/>
          <w:b/>
          <w:bCs/>
        </w:rPr>
        <w:t>RAZÓN DE COBERTURA DE INTERESES = UTILIDAD OPERACIONAL / GASTOS DE INTERESES</w:t>
      </w:r>
    </w:p>
    <w:p w14:paraId="4C3D2AC2" w14:textId="77777777" w:rsidR="00021C0B" w:rsidRPr="00A029F6" w:rsidRDefault="00021C0B" w:rsidP="00021C0B">
      <w:pPr>
        <w:ind w:left="0" w:hanging="2"/>
        <w:jc w:val="both"/>
        <w:rPr>
          <w:rFonts w:ascii="Arial Narrow" w:eastAsia="Arial" w:hAnsi="Arial Narrow" w:cs="Times New Roman"/>
          <w:b/>
          <w:bCs/>
        </w:rPr>
      </w:pPr>
      <w:r w:rsidRPr="00A029F6">
        <w:rPr>
          <w:rFonts w:ascii="Arial Narrow" w:eastAsia="Arial" w:hAnsi="Arial Narrow" w:cs="Times New Roman"/>
        </w:rPr>
        <w:t xml:space="preserve">Para la Entidad es importante contar con oferentes que puedan solventar sus obligaciones financieras, por lo tanto, definió una razón de cobertura de intereses </w:t>
      </w:r>
      <w:r w:rsidRPr="00A029F6">
        <w:rPr>
          <w:rFonts w:ascii="Arial Narrow" w:eastAsia="Arial" w:hAnsi="Arial Narrow" w:cs="Times New Roman"/>
          <w:b/>
          <w:bCs/>
        </w:rPr>
        <w:t>mayor o igual a 1,00.</w:t>
      </w:r>
    </w:p>
    <w:p w14:paraId="7E360441" w14:textId="619E2EFD"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b/>
          <w:bCs/>
        </w:rPr>
        <w:t>NOTA:</w:t>
      </w:r>
      <w:r w:rsidRPr="00A029F6">
        <w:rPr>
          <w:rFonts w:ascii="Arial Narrow" w:eastAsia="Arial" w:hAnsi="Arial Narrow" w:cs="Times New Roman"/>
        </w:rPr>
        <w:t xml:space="preserve"> Los oferentes cuyos gastos de intereses sean cero (0), no podrán calcular el indicador de razón de cobertura de intereses. Si el resultado de los gastos de intereses son cero (0) o indeterminado, el oferente cumple el indicador, salvo que su utilidad operacional sea negativa y en este caso, no cumple con el indicador de razón de cobertura de intereses.</w:t>
      </w:r>
    </w:p>
    <w:p w14:paraId="1B7038FF"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 xml:space="preserve">Para los proponentes plurales, el cálculo se realizará tomando la sumatoria ponderada de la Utilidad Operacional de cada integrante, sobre la sumatoria del Gasto de Intereses ponderado, según su porcentaje de participación. </w:t>
      </w:r>
    </w:p>
    <w:p w14:paraId="3B4760E9" w14:textId="77777777" w:rsidR="00021C0B" w:rsidRPr="00A029F6" w:rsidRDefault="00021C0B" w:rsidP="00021C0B">
      <w:pPr>
        <w:ind w:left="0" w:hanging="2"/>
        <w:jc w:val="both"/>
        <w:rPr>
          <w:rFonts w:ascii="Arial Narrow" w:eastAsia="Arial" w:hAnsi="Arial Narrow" w:cs="Times New Roman"/>
        </w:rPr>
      </w:pPr>
    </w:p>
    <w:p w14:paraId="3C5D8F0E"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lastRenderedPageBreak/>
        <w:t>De conformidad con el manual para determinar y verificar los requisitos habilitantes en los procesos de contratación expedido por Colombia Compra Eficiente, LA FÓRMULA que se tendrá en cuenta será la siguiente:</w:t>
      </w:r>
    </w:p>
    <w:p w14:paraId="4FA3F181"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b/>
          <w:noProof/>
        </w:rPr>
        <w:drawing>
          <wp:inline distT="0" distB="0" distL="0" distR="0" wp14:anchorId="2151D09C" wp14:editId="5ABCAAE4">
            <wp:extent cx="4029075" cy="685800"/>
            <wp:effectExtent l="0" t="0" r="9525" b="0"/>
            <wp:docPr id="66667462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29075" cy="685800"/>
                    </a:xfrm>
                    <a:prstGeom prst="rect">
                      <a:avLst/>
                    </a:prstGeom>
                    <a:noFill/>
                    <a:ln>
                      <a:noFill/>
                    </a:ln>
                  </pic:spPr>
                </pic:pic>
              </a:graphicData>
            </a:graphic>
          </wp:inline>
        </w:drawing>
      </w:r>
    </w:p>
    <w:p w14:paraId="1BC7C046"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b/>
          <w:bCs/>
        </w:rPr>
        <w:t>INDICADORES DE CAPACIDAD FINANCIERA</w:t>
      </w:r>
    </w:p>
    <w:p w14:paraId="5927F673"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Para evaluar la capacidad financiera del sector, se realizó una proyección de indicadores utilizando la matriz de la Superintendencia de Sociedades y los códigos definidos en el estudio del sector. Con esta información se tomó una muestra de 10 empresas, a partir de la cual se calculó el promedio y la desviación estándar de cada indicador.</w:t>
      </w:r>
    </w:p>
    <w:p w14:paraId="6D267C61"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Estos resultados permiten identificar el comportamiento financiero típico del sector, así como los rangos de referencia que sirven para medir la liquidez, el nivel de endeudamiento y la cobertura de intereses.</w:t>
      </w:r>
    </w:p>
    <w:p w14:paraId="787E96F0"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La tabla siguiente presenta la proyección estimada de cada indicador, basada en los valores obtenidos en la muestra analizada.</w:t>
      </w:r>
    </w:p>
    <w:p w14:paraId="2B715F36" w14:textId="533B92D2" w:rsidR="00021C0B" w:rsidRPr="00A029F6" w:rsidRDefault="008E4E06" w:rsidP="00021C0B">
      <w:pPr>
        <w:ind w:left="0" w:hanging="2"/>
        <w:jc w:val="both"/>
        <w:rPr>
          <w:rFonts w:ascii="Arial Narrow" w:eastAsia="Arial" w:hAnsi="Arial Narrow" w:cs="Times New Roman"/>
          <w:b/>
          <w:bCs/>
        </w:rPr>
      </w:pPr>
      <w:r w:rsidRPr="00A029F6">
        <w:rPr>
          <w:rFonts w:ascii="Arial Narrow" w:eastAsia="Arial" w:hAnsi="Arial Narrow" w:cs="Times New Roman"/>
          <w:b/>
          <w:bCs/>
        </w:rPr>
        <w:t>Tabla -</w:t>
      </w:r>
      <w:r w:rsidR="00021C0B" w:rsidRPr="00A029F6">
        <w:rPr>
          <w:rFonts w:ascii="Arial Narrow" w:eastAsia="Arial" w:hAnsi="Arial Narrow" w:cs="Times New Roman"/>
          <w:b/>
          <w:bCs/>
        </w:rPr>
        <w:t> Indicadores de capacidad financiera</w:t>
      </w:r>
    </w:p>
    <w:tbl>
      <w:tblPr>
        <w:tblW w:w="0" w:type="auto"/>
        <w:shd w:val="clear" w:color="auto" w:fill="FFFFFF"/>
        <w:tblCellMar>
          <w:left w:w="0" w:type="dxa"/>
          <w:right w:w="0" w:type="dxa"/>
        </w:tblCellMar>
        <w:tblLook w:val="04A0" w:firstRow="1" w:lastRow="0" w:firstColumn="1" w:lastColumn="0" w:noHBand="0" w:noVBand="1"/>
      </w:tblPr>
      <w:tblGrid>
        <w:gridCol w:w="4660"/>
        <w:gridCol w:w="4660"/>
      </w:tblGrid>
      <w:tr w:rsidR="00021C0B" w:rsidRPr="00A029F6" w14:paraId="5603AC51" w14:textId="77777777" w:rsidTr="00D75F8C">
        <w:trPr>
          <w:trHeight w:val="330"/>
        </w:trPr>
        <w:tc>
          <w:tcPr>
            <w:tcW w:w="4660"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DC8FCA0" w14:textId="77777777" w:rsidR="00021C0B" w:rsidRPr="00A029F6" w:rsidRDefault="00021C0B" w:rsidP="00D75F8C">
            <w:pPr>
              <w:ind w:left="0" w:hanging="2"/>
              <w:jc w:val="both"/>
              <w:rPr>
                <w:rFonts w:ascii="Arial Narrow" w:eastAsia="Arial" w:hAnsi="Arial Narrow" w:cs="Times New Roman"/>
              </w:rPr>
            </w:pPr>
            <w:r w:rsidRPr="00A029F6">
              <w:rPr>
                <w:rFonts w:ascii="Arial Narrow" w:eastAsia="Arial" w:hAnsi="Arial Narrow" w:cs="Times New Roman"/>
                <w:b/>
                <w:bCs/>
              </w:rPr>
              <w:t>Indicador</w:t>
            </w:r>
          </w:p>
        </w:tc>
        <w:tc>
          <w:tcPr>
            <w:tcW w:w="466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6290546C" w14:textId="77777777" w:rsidR="00021C0B" w:rsidRPr="00A029F6" w:rsidRDefault="00021C0B" w:rsidP="00D75F8C">
            <w:pPr>
              <w:ind w:left="0" w:hanging="2"/>
              <w:jc w:val="both"/>
              <w:rPr>
                <w:rFonts w:ascii="Arial Narrow" w:eastAsia="Arial" w:hAnsi="Arial Narrow" w:cs="Times New Roman"/>
              </w:rPr>
            </w:pPr>
            <w:r w:rsidRPr="00A029F6">
              <w:rPr>
                <w:rFonts w:ascii="Arial Narrow" w:eastAsia="Arial" w:hAnsi="Arial Narrow" w:cs="Times New Roman"/>
                <w:b/>
                <w:bCs/>
              </w:rPr>
              <w:t>Índice requerido</w:t>
            </w:r>
          </w:p>
        </w:tc>
      </w:tr>
      <w:tr w:rsidR="00021C0B" w:rsidRPr="00A029F6" w14:paraId="546D7986" w14:textId="77777777" w:rsidTr="00D75F8C">
        <w:trPr>
          <w:trHeight w:val="330"/>
        </w:trPr>
        <w:tc>
          <w:tcPr>
            <w:tcW w:w="46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5F68DA5" w14:textId="77777777" w:rsidR="00021C0B" w:rsidRPr="00A029F6" w:rsidRDefault="00021C0B" w:rsidP="00D75F8C">
            <w:pPr>
              <w:ind w:left="0" w:hanging="2"/>
              <w:jc w:val="both"/>
              <w:rPr>
                <w:rFonts w:ascii="Arial Narrow" w:eastAsia="Arial" w:hAnsi="Arial Narrow" w:cs="Times New Roman"/>
              </w:rPr>
            </w:pPr>
            <w:r w:rsidRPr="00A029F6">
              <w:rPr>
                <w:rFonts w:ascii="Arial Narrow" w:eastAsia="Arial" w:hAnsi="Arial Narrow" w:cs="Times New Roman"/>
              </w:rPr>
              <w:t>Índice de Liquidez</w:t>
            </w:r>
          </w:p>
        </w:tc>
        <w:tc>
          <w:tcPr>
            <w:tcW w:w="46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EA4D433" w14:textId="77777777" w:rsidR="00021C0B" w:rsidRPr="00A029F6" w:rsidRDefault="00021C0B" w:rsidP="00D75F8C">
            <w:pPr>
              <w:ind w:left="0" w:hanging="2"/>
              <w:jc w:val="both"/>
              <w:rPr>
                <w:rFonts w:ascii="Arial Narrow" w:eastAsia="Arial" w:hAnsi="Arial Narrow" w:cs="Times New Roman"/>
              </w:rPr>
            </w:pPr>
            <w:r w:rsidRPr="00A029F6">
              <w:rPr>
                <w:rFonts w:ascii="Arial Narrow" w:eastAsia="Arial" w:hAnsi="Arial Narrow" w:cs="Times New Roman"/>
              </w:rPr>
              <w:t>Mayor o igual a 1,00</w:t>
            </w:r>
          </w:p>
        </w:tc>
      </w:tr>
      <w:tr w:rsidR="00021C0B" w:rsidRPr="00A029F6" w14:paraId="60773F82" w14:textId="77777777" w:rsidTr="00D75F8C">
        <w:trPr>
          <w:trHeight w:val="330"/>
        </w:trPr>
        <w:tc>
          <w:tcPr>
            <w:tcW w:w="46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6DBF116" w14:textId="77777777" w:rsidR="00021C0B" w:rsidRPr="00A029F6" w:rsidRDefault="00021C0B" w:rsidP="00D75F8C">
            <w:pPr>
              <w:ind w:left="0" w:hanging="2"/>
              <w:jc w:val="both"/>
              <w:rPr>
                <w:rFonts w:ascii="Arial Narrow" w:eastAsia="Arial" w:hAnsi="Arial Narrow" w:cs="Times New Roman"/>
              </w:rPr>
            </w:pPr>
            <w:r w:rsidRPr="00A029F6">
              <w:rPr>
                <w:rFonts w:ascii="Arial Narrow" w:eastAsia="Arial" w:hAnsi="Arial Narrow" w:cs="Times New Roman"/>
              </w:rPr>
              <w:t>Índice de Endeudamiento</w:t>
            </w:r>
          </w:p>
        </w:tc>
        <w:tc>
          <w:tcPr>
            <w:tcW w:w="46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EBC7F95" w14:textId="77777777" w:rsidR="00021C0B" w:rsidRPr="00A029F6" w:rsidRDefault="00021C0B" w:rsidP="00D75F8C">
            <w:pPr>
              <w:ind w:left="0" w:hanging="2"/>
              <w:jc w:val="both"/>
              <w:rPr>
                <w:rFonts w:ascii="Arial Narrow" w:eastAsia="Arial" w:hAnsi="Arial Narrow" w:cs="Times New Roman"/>
              </w:rPr>
            </w:pPr>
            <w:r w:rsidRPr="00A029F6">
              <w:rPr>
                <w:rFonts w:ascii="Arial Narrow" w:eastAsia="Arial" w:hAnsi="Arial Narrow" w:cs="Times New Roman"/>
              </w:rPr>
              <w:t>Menor o igual a 70%</w:t>
            </w:r>
          </w:p>
        </w:tc>
      </w:tr>
      <w:tr w:rsidR="00021C0B" w:rsidRPr="00A029F6" w14:paraId="4BB69133" w14:textId="77777777" w:rsidTr="00D75F8C">
        <w:trPr>
          <w:trHeight w:val="330"/>
        </w:trPr>
        <w:tc>
          <w:tcPr>
            <w:tcW w:w="46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9CC49E6" w14:textId="77777777" w:rsidR="00021C0B" w:rsidRPr="00A029F6" w:rsidRDefault="00021C0B" w:rsidP="00D75F8C">
            <w:pPr>
              <w:ind w:left="0" w:hanging="2"/>
              <w:jc w:val="both"/>
              <w:rPr>
                <w:rFonts w:ascii="Arial Narrow" w:eastAsia="Arial" w:hAnsi="Arial Narrow" w:cs="Times New Roman"/>
              </w:rPr>
            </w:pPr>
            <w:r w:rsidRPr="00A029F6">
              <w:rPr>
                <w:rFonts w:ascii="Arial Narrow" w:eastAsia="Arial" w:hAnsi="Arial Narrow" w:cs="Times New Roman"/>
              </w:rPr>
              <w:t>Razón de Cobertura de Intereses</w:t>
            </w:r>
          </w:p>
        </w:tc>
        <w:tc>
          <w:tcPr>
            <w:tcW w:w="46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3BD712" w14:textId="77777777" w:rsidR="00021C0B" w:rsidRPr="00A029F6" w:rsidRDefault="00021C0B" w:rsidP="00D75F8C">
            <w:pPr>
              <w:ind w:left="0" w:hanging="2"/>
              <w:jc w:val="both"/>
              <w:rPr>
                <w:rFonts w:ascii="Arial Narrow" w:eastAsia="Arial" w:hAnsi="Arial Narrow" w:cs="Times New Roman"/>
              </w:rPr>
            </w:pPr>
            <w:r w:rsidRPr="00A029F6">
              <w:rPr>
                <w:rFonts w:ascii="Arial Narrow" w:eastAsia="Arial" w:hAnsi="Arial Narrow" w:cs="Times New Roman"/>
              </w:rPr>
              <w:t>Mayor o igual a 1,00.</w:t>
            </w:r>
          </w:p>
        </w:tc>
      </w:tr>
    </w:tbl>
    <w:p w14:paraId="35ED2C31"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 </w:t>
      </w:r>
    </w:p>
    <w:p w14:paraId="66C52565"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Se considera que el oferente cumple con la capacidad financiera solicitada por la Entidad y que está habilitado para continuar en el proceso, si obtiene en cada indicador los márgenes anteriormente establecidos.</w:t>
      </w:r>
    </w:p>
    <w:p w14:paraId="34388C7A"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b/>
          <w:bCs/>
        </w:rPr>
        <w:t>NOTA:</w:t>
      </w:r>
      <w:r w:rsidRPr="00A029F6">
        <w:rPr>
          <w:rFonts w:ascii="Arial Narrow" w:eastAsia="Arial" w:hAnsi="Arial Narrow" w:cs="Times New Roman"/>
        </w:rPr>
        <w:t xml:space="preserve"> En caso de que la propuesta no cumpla con alguno de los indicadores anteriormente mencionados, será calificada como NO CUMPLE.</w:t>
      </w:r>
    </w:p>
    <w:p w14:paraId="4710C980" w14:textId="77777777" w:rsidR="00021C0B" w:rsidRPr="00A029F6" w:rsidRDefault="00021C0B" w:rsidP="008E4E06">
      <w:pPr>
        <w:suppressAutoHyphens w:val="0"/>
        <w:spacing w:after="0" w:line="240" w:lineRule="auto"/>
        <w:ind w:leftChars="0" w:left="0" w:firstLineChars="0" w:firstLine="0"/>
        <w:jc w:val="both"/>
        <w:textDirection w:val="lrTb"/>
        <w:textAlignment w:val="auto"/>
        <w:outlineLvl w:val="9"/>
        <w:rPr>
          <w:rFonts w:ascii="Arial Narrow" w:eastAsia="Arial" w:hAnsi="Arial Narrow" w:cs="Times New Roman"/>
          <w:b/>
          <w:bCs/>
        </w:rPr>
      </w:pPr>
      <w:r w:rsidRPr="00A029F6">
        <w:rPr>
          <w:rFonts w:ascii="Arial Narrow" w:eastAsia="Arial" w:hAnsi="Arial Narrow" w:cs="Times New Roman"/>
          <w:b/>
          <w:bCs/>
        </w:rPr>
        <w:t>CAPACIDAD ORGANIZACIONAL</w:t>
      </w:r>
    </w:p>
    <w:p w14:paraId="63F1C75F" w14:textId="77777777" w:rsidR="008E4E06" w:rsidRPr="00A029F6" w:rsidRDefault="008E4E06" w:rsidP="008E4E06">
      <w:pPr>
        <w:suppressAutoHyphens w:val="0"/>
        <w:spacing w:after="0" w:line="240" w:lineRule="auto"/>
        <w:ind w:leftChars="0" w:left="0" w:firstLineChars="0" w:firstLine="0"/>
        <w:jc w:val="both"/>
        <w:textDirection w:val="lrTb"/>
        <w:textAlignment w:val="auto"/>
        <w:outlineLvl w:val="9"/>
        <w:rPr>
          <w:rFonts w:ascii="Arial Narrow" w:eastAsia="Arial" w:hAnsi="Arial Narrow" w:cs="Times New Roman"/>
        </w:rPr>
      </w:pPr>
    </w:p>
    <w:p w14:paraId="6A0F0326"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La capacidad organizacional es la aptitud de un proponente para cumplir oportuna y cabalmente el objeto del contrato en función de su organización interna.</w:t>
      </w:r>
    </w:p>
    <w:p w14:paraId="4A00000D"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rPr>
        <w:t>Los siguientes indicadores permiten acreditar los requisitos de capacidad organizacional:</w:t>
      </w:r>
    </w:p>
    <w:p w14:paraId="7D0EDAB8" w14:textId="77777777" w:rsidR="00021C0B" w:rsidRPr="00A029F6" w:rsidRDefault="00021C0B" w:rsidP="00021C0B">
      <w:pPr>
        <w:ind w:left="0" w:hanging="2"/>
        <w:jc w:val="both"/>
        <w:rPr>
          <w:rFonts w:ascii="Arial Narrow" w:eastAsia="Arial" w:hAnsi="Arial Narrow" w:cs="Times New Roman"/>
        </w:rPr>
      </w:pPr>
      <w:r w:rsidRPr="00A029F6">
        <w:rPr>
          <w:rFonts w:ascii="Arial Narrow" w:eastAsia="Arial" w:hAnsi="Arial Narrow" w:cs="Times New Roman"/>
          <w:b/>
          <w:bCs/>
        </w:rPr>
        <w:t>RENTABILIDAD SOBRE EL PATRIMONIO</w:t>
      </w:r>
      <w:r w:rsidRPr="00A029F6">
        <w:rPr>
          <w:rFonts w:ascii="Arial Narrow" w:eastAsia="Arial" w:hAnsi="Arial Narrow" w:cs="Times New Roman"/>
        </w:rPr>
        <w:t>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4CE5A759" w14:textId="77777777" w:rsidR="00021C0B" w:rsidRPr="00A029F6" w:rsidRDefault="00021C0B" w:rsidP="00021C0B">
      <w:pPr>
        <w:ind w:left="0" w:hanging="2"/>
        <w:jc w:val="both"/>
        <w:rPr>
          <w:rFonts w:ascii="Arial Narrow" w:eastAsia="Arial" w:hAnsi="Arial Narrow" w:cs="Times New Roman"/>
          <w:b/>
          <w:bCs/>
        </w:rPr>
      </w:pPr>
      <w:r w:rsidRPr="00A029F6">
        <w:rPr>
          <w:rFonts w:ascii="Arial Narrow" w:eastAsia="Arial" w:hAnsi="Arial Narrow" w:cs="Times New Roman"/>
          <w:b/>
          <w:bCs/>
        </w:rPr>
        <w:t xml:space="preserve">RENTABILIDAD DEL PATRIMONIO = (Utilidad Operacional / Patrimonio) </w:t>
      </w:r>
    </w:p>
    <w:p w14:paraId="16873DD5" w14:textId="77777777" w:rsidR="008E4E06" w:rsidRPr="00A029F6" w:rsidRDefault="008E4E06" w:rsidP="008E4E06">
      <w:pPr>
        <w:ind w:left="0" w:hanging="2"/>
        <w:jc w:val="both"/>
        <w:rPr>
          <w:rFonts w:ascii="Arial Narrow" w:eastAsia="Arial" w:hAnsi="Arial Narrow" w:cs="Times New Roman"/>
        </w:rPr>
      </w:pPr>
      <w:r w:rsidRPr="00A029F6">
        <w:rPr>
          <w:rFonts w:ascii="Arial Narrow" w:eastAsia="Arial" w:hAnsi="Arial Narrow" w:cs="Times New Roman"/>
        </w:rPr>
        <w:t xml:space="preserve">La Entidad considera que el oferente muestra su eficiencia al tener un resultado positivo de la utilidad operacional sobre el patrimonio, por lo tanto, determinó que la rentabilidad del patrimonio debe </w:t>
      </w:r>
      <w:r w:rsidRPr="00A029F6">
        <w:rPr>
          <w:rFonts w:ascii="Arial Narrow" w:eastAsia="Arial" w:hAnsi="Arial Narrow" w:cs="Times New Roman"/>
          <w:b/>
          <w:bCs/>
        </w:rPr>
        <w:t>ser mayor o igual a 0.02.</w:t>
      </w:r>
    </w:p>
    <w:p w14:paraId="5D5BDFC1" w14:textId="77777777" w:rsidR="008E4E06" w:rsidRPr="00A029F6" w:rsidRDefault="008E4E06" w:rsidP="008E4E06">
      <w:pPr>
        <w:ind w:left="0" w:hanging="2"/>
        <w:jc w:val="both"/>
        <w:rPr>
          <w:rFonts w:ascii="Arial Narrow" w:eastAsia="Arial" w:hAnsi="Arial Narrow" w:cs="Times New Roman"/>
        </w:rPr>
      </w:pPr>
      <w:r w:rsidRPr="00A029F6">
        <w:rPr>
          <w:rFonts w:ascii="Arial Narrow" w:eastAsia="Arial" w:hAnsi="Arial Narrow" w:cs="Times New Roman"/>
        </w:rPr>
        <w:t xml:space="preserve">Para los proponentes plurales, el cálculo se realizará tomando la sumatoria ponderada de la Utilidad Operacional de cada integrante, sobre la sumatoria del patrimonio ponderado, según su porcentaje de participación. </w:t>
      </w:r>
    </w:p>
    <w:p w14:paraId="28A3E4FA" w14:textId="77777777" w:rsidR="008E4E06" w:rsidRPr="00A029F6" w:rsidRDefault="008E4E06" w:rsidP="008E4E06">
      <w:pPr>
        <w:ind w:left="0" w:hanging="2"/>
        <w:jc w:val="both"/>
        <w:rPr>
          <w:rFonts w:ascii="Arial Narrow" w:eastAsia="Arial" w:hAnsi="Arial Narrow" w:cs="Times New Roman"/>
        </w:rPr>
      </w:pPr>
      <w:r w:rsidRPr="00A029F6">
        <w:rPr>
          <w:rFonts w:ascii="Arial Narrow" w:eastAsia="Arial" w:hAnsi="Arial Narrow" w:cs="Times New Roman"/>
        </w:rPr>
        <w:t>De conformidad con el manual para determinar y verificar los requisitos habilitantes en los procesos de contratación expedido por Colombia Compra Eficiente, LA FÓRMULA que se tendrá en cuenta será la siguiente:</w:t>
      </w:r>
    </w:p>
    <w:p w14:paraId="329419F2" w14:textId="77777777" w:rsidR="008E4E06" w:rsidRPr="00A029F6" w:rsidRDefault="008E4E06" w:rsidP="008E4E06">
      <w:pPr>
        <w:ind w:left="0" w:hanging="2"/>
        <w:jc w:val="both"/>
        <w:rPr>
          <w:rFonts w:ascii="Arial Narrow" w:eastAsia="Arial" w:hAnsi="Arial Narrow" w:cs="Times New Roman"/>
        </w:rPr>
      </w:pPr>
      <w:r w:rsidRPr="00A029F6">
        <w:rPr>
          <w:rFonts w:ascii="Arial Narrow" w:eastAsia="Arial" w:hAnsi="Arial Narrow" w:cs="Times New Roman"/>
          <w:noProof/>
        </w:rPr>
        <w:lastRenderedPageBreak/>
        <w:drawing>
          <wp:inline distT="0" distB="0" distL="0" distR="0" wp14:anchorId="780A6A1B" wp14:editId="42958BC3">
            <wp:extent cx="4019550" cy="695325"/>
            <wp:effectExtent l="0" t="0" r="0" b="9525"/>
            <wp:docPr id="9275676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19550" cy="695325"/>
                    </a:xfrm>
                    <a:prstGeom prst="rect">
                      <a:avLst/>
                    </a:prstGeom>
                    <a:noFill/>
                    <a:ln>
                      <a:noFill/>
                    </a:ln>
                  </pic:spPr>
                </pic:pic>
              </a:graphicData>
            </a:graphic>
          </wp:inline>
        </w:drawing>
      </w:r>
    </w:p>
    <w:p w14:paraId="78F7F433" w14:textId="77777777" w:rsidR="008E4E06" w:rsidRPr="00A029F6" w:rsidRDefault="008E4E06" w:rsidP="008E4E06">
      <w:pPr>
        <w:ind w:left="0" w:hanging="2"/>
        <w:jc w:val="both"/>
        <w:rPr>
          <w:rFonts w:ascii="Arial Narrow" w:eastAsia="Arial" w:hAnsi="Arial Narrow" w:cs="Times New Roman"/>
        </w:rPr>
      </w:pPr>
      <w:r w:rsidRPr="00A029F6">
        <w:rPr>
          <w:rFonts w:ascii="Arial Narrow" w:eastAsia="Arial" w:hAnsi="Arial Narrow" w:cs="Times New Roman"/>
          <w:b/>
          <w:bCs/>
        </w:rPr>
        <w:t xml:space="preserve">RENTABILIDAD SOBRE LOS ACTIVOS </w:t>
      </w:r>
      <w:r w:rsidRPr="00A029F6">
        <w:rPr>
          <w:rFonts w:ascii="Arial Narrow" w:eastAsia="Arial" w:hAnsi="Arial Narrow" w:cs="Times New Roman"/>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13D3ADB9" w14:textId="77777777" w:rsidR="008E4E06" w:rsidRPr="00A029F6" w:rsidRDefault="008E4E06" w:rsidP="008E4E06">
      <w:pPr>
        <w:ind w:left="0" w:hanging="2"/>
        <w:jc w:val="both"/>
        <w:rPr>
          <w:rFonts w:ascii="Arial Narrow" w:eastAsia="Arial" w:hAnsi="Arial Narrow" w:cs="Times New Roman"/>
          <w:b/>
          <w:bCs/>
        </w:rPr>
      </w:pPr>
      <w:r w:rsidRPr="00A029F6">
        <w:rPr>
          <w:rFonts w:ascii="Arial Narrow" w:eastAsia="Arial" w:hAnsi="Arial Narrow" w:cs="Times New Roman"/>
          <w:b/>
          <w:bCs/>
        </w:rPr>
        <w:t>RENTABILIDAD DEL ACTIVO = (Utilidad Operacional / Activo Total) .</w:t>
      </w:r>
    </w:p>
    <w:p w14:paraId="6628A0F5" w14:textId="77777777" w:rsidR="008E4E06" w:rsidRPr="00A029F6" w:rsidRDefault="008E4E06" w:rsidP="008E4E06">
      <w:pPr>
        <w:ind w:left="0" w:hanging="2"/>
        <w:jc w:val="both"/>
        <w:rPr>
          <w:rFonts w:ascii="Arial Narrow" w:eastAsia="Arial" w:hAnsi="Arial Narrow" w:cs="Times New Roman"/>
          <w:b/>
          <w:bCs/>
        </w:rPr>
      </w:pPr>
      <w:r w:rsidRPr="00A029F6">
        <w:rPr>
          <w:rFonts w:ascii="Arial Narrow" w:eastAsia="Arial" w:hAnsi="Arial Narrow" w:cs="Times New Roman"/>
        </w:rPr>
        <w:t xml:space="preserve">La Entidad considera que el oferente muestra su eficiencia al tener un resultado positivo de la utilidad operacional sobre el activo, por lo tanto, determinó que la rentabilidad del activo debe ser </w:t>
      </w:r>
      <w:r w:rsidRPr="00A029F6">
        <w:rPr>
          <w:rFonts w:ascii="Arial Narrow" w:eastAsia="Arial" w:hAnsi="Arial Narrow" w:cs="Times New Roman"/>
          <w:b/>
          <w:bCs/>
        </w:rPr>
        <w:t>mayor o igual a 0.01.</w:t>
      </w:r>
    </w:p>
    <w:p w14:paraId="3FB3BD35" w14:textId="77777777" w:rsidR="008E4E06" w:rsidRPr="00A029F6" w:rsidRDefault="008E4E06" w:rsidP="008E4E06">
      <w:pPr>
        <w:ind w:left="0" w:hanging="2"/>
        <w:jc w:val="both"/>
        <w:rPr>
          <w:rFonts w:ascii="Arial Narrow" w:eastAsia="Arial" w:hAnsi="Arial Narrow" w:cs="Times New Roman"/>
        </w:rPr>
      </w:pPr>
      <w:r w:rsidRPr="00A029F6">
        <w:rPr>
          <w:rFonts w:ascii="Arial Narrow" w:eastAsia="Arial" w:hAnsi="Arial Narrow" w:cs="Times New Roman"/>
        </w:rPr>
        <w:t xml:space="preserve">Para los proponentes plurales, el cálculo se realizará tomando la sumatoria ponderada de la Utilidad Operacional de cada integrante, sobre la sumatoria del Activo Total ponderado, según su porcentaje de participación. </w:t>
      </w:r>
    </w:p>
    <w:p w14:paraId="6D6E6ACD" w14:textId="77777777" w:rsidR="008E4E06" w:rsidRPr="00A029F6" w:rsidRDefault="008E4E06" w:rsidP="008E4E06">
      <w:pPr>
        <w:ind w:left="0" w:hanging="2"/>
        <w:jc w:val="both"/>
        <w:rPr>
          <w:rFonts w:ascii="Arial Narrow" w:eastAsia="Arial" w:hAnsi="Arial Narrow" w:cs="Times New Roman"/>
        </w:rPr>
      </w:pPr>
      <w:r w:rsidRPr="00A029F6">
        <w:rPr>
          <w:rFonts w:ascii="Arial Narrow" w:eastAsia="Arial" w:hAnsi="Arial Narrow" w:cs="Times New Roman"/>
        </w:rPr>
        <w:t>De conformidad con el manual para determinar y verificar los requisitos habilitantes en los procesos de contratación expedido por Colombia Compra Eficiente, LA FÓRMULA que se tendrá en cuenta será la siguiente:</w:t>
      </w:r>
    </w:p>
    <w:p w14:paraId="40041E6D" w14:textId="77777777" w:rsidR="008E4E06" w:rsidRPr="00A029F6" w:rsidRDefault="008E4E06" w:rsidP="008E4E06">
      <w:pPr>
        <w:ind w:left="0" w:hanging="2"/>
        <w:jc w:val="both"/>
        <w:rPr>
          <w:rFonts w:ascii="Arial Narrow" w:eastAsia="Arial" w:hAnsi="Arial Narrow" w:cs="Times New Roman"/>
        </w:rPr>
      </w:pPr>
      <w:r w:rsidRPr="00A029F6">
        <w:rPr>
          <w:rFonts w:ascii="Arial Narrow" w:eastAsia="Arial" w:hAnsi="Arial Narrow" w:cs="Times New Roman"/>
          <w:noProof/>
        </w:rPr>
        <w:drawing>
          <wp:inline distT="0" distB="0" distL="0" distR="0" wp14:anchorId="7E1F9EB7" wp14:editId="1E18BB62">
            <wp:extent cx="4038600" cy="695325"/>
            <wp:effectExtent l="0" t="0" r="0" b="9525"/>
            <wp:docPr id="97181163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38600" cy="695325"/>
                    </a:xfrm>
                    <a:prstGeom prst="rect">
                      <a:avLst/>
                    </a:prstGeom>
                    <a:noFill/>
                    <a:ln>
                      <a:noFill/>
                    </a:ln>
                  </pic:spPr>
                </pic:pic>
              </a:graphicData>
            </a:graphic>
          </wp:inline>
        </w:drawing>
      </w:r>
    </w:p>
    <w:p w14:paraId="7ADF26AA" w14:textId="77777777" w:rsidR="008E4E06" w:rsidRPr="00A029F6" w:rsidRDefault="008E4E06" w:rsidP="008E4E06">
      <w:pPr>
        <w:ind w:left="0" w:hanging="2"/>
        <w:jc w:val="both"/>
        <w:rPr>
          <w:rFonts w:ascii="Arial Narrow" w:eastAsia="Arial" w:hAnsi="Arial Narrow" w:cs="Times New Roman"/>
          <w:b/>
          <w:bCs/>
        </w:rPr>
      </w:pPr>
      <w:r w:rsidRPr="00A029F6">
        <w:rPr>
          <w:rFonts w:ascii="Arial Narrow" w:eastAsia="Arial" w:hAnsi="Arial Narrow" w:cs="Times New Roman"/>
          <w:b/>
          <w:bCs/>
        </w:rPr>
        <w:t>INDICADORES DE CAPACIDAD ORGANIZACIONAL  </w:t>
      </w:r>
    </w:p>
    <w:p w14:paraId="5DDB4077" w14:textId="77777777" w:rsidR="008E4E06" w:rsidRPr="00A029F6" w:rsidRDefault="008E4E06" w:rsidP="008E4E06">
      <w:pPr>
        <w:ind w:left="0" w:hanging="2"/>
        <w:jc w:val="both"/>
        <w:rPr>
          <w:rFonts w:ascii="Arial Narrow" w:eastAsia="Arial" w:hAnsi="Arial Narrow" w:cs="Times New Roman"/>
        </w:rPr>
      </w:pPr>
      <w:r w:rsidRPr="00A029F6">
        <w:rPr>
          <w:rFonts w:ascii="Arial Narrow" w:eastAsia="Arial" w:hAnsi="Arial Narrow" w:cs="Times New Roman"/>
        </w:rPr>
        <w:t>Para evaluar la capacidad organizacional del sector, se realizó una proyección de indicadores utilizando la matriz de la Superintendencia de Sociedades y los códigos definidos en el estudio del sector. Con esta información se tomó una muestra de 10 empresas, a partir de la cual se calculó el promedio y la desviación estándar de cada indicador.</w:t>
      </w:r>
    </w:p>
    <w:p w14:paraId="3F45070C" w14:textId="77777777" w:rsidR="008E4E06" w:rsidRPr="006418A2" w:rsidRDefault="008E4E06" w:rsidP="008E4E06">
      <w:pPr>
        <w:ind w:left="0" w:hanging="2"/>
        <w:jc w:val="both"/>
        <w:rPr>
          <w:rFonts w:ascii="Arial Narrow" w:eastAsia="Arial" w:hAnsi="Arial Narrow" w:cs="Times New Roman"/>
        </w:rPr>
      </w:pPr>
      <w:r w:rsidRPr="00A029F6">
        <w:rPr>
          <w:rFonts w:ascii="Arial Narrow" w:eastAsia="Arial" w:hAnsi="Arial Narrow" w:cs="Times New Roman"/>
        </w:rPr>
        <w:t xml:space="preserve">Estos resultados permiten identificar el comportamiento organizacional típico del sector, así como los rangos de referencia que sirven para medir la rentabilidad </w:t>
      </w:r>
      <w:r w:rsidRPr="006418A2">
        <w:rPr>
          <w:rFonts w:ascii="Arial Narrow" w:eastAsia="Arial" w:hAnsi="Arial Narrow" w:cs="Times New Roman"/>
        </w:rPr>
        <w:t>sobre el patrimonio y sobre los activos.</w:t>
      </w:r>
    </w:p>
    <w:p w14:paraId="562C2DD3" w14:textId="77777777" w:rsidR="008E4E06" w:rsidRPr="006418A2" w:rsidRDefault="008E4E06" w:rsidP="008E4E06">
      <w:pPr>
        <w:ind w:left="0" w:hanging="2"/>
        <w:jc w:val="both"/>
        <w:rPr>
          <w:rFonts w:ascii="Arial Narrow" w:eastAsia="Arial" w:hAnsi="Arial Narrow" w:cs="Times New Roman"/>
        </w:rPr>
      </w:pPr>
      <w:r w:rsidRPr="006418A2">
        <w:rPr>
          <w:rFonts w:ascii="Arial Narrow" w:eastAsia="Arial" w:hAnsi="Arial Narrow" w:cs="Times New Roman"/>
        </w:rPr>
        <w:t>La tabla siguiente presenta la proyección estimada de cada indicador, basada en los valores obtenidos en la muestra analizada.</w:t>
      </w:r>
    </w:p>
    <w:p w14:paraId="77E6E904" w14:textId="77777777" w:rsidR="008E4E06" w:rsidRPr="006418A2" w:rsidRDefault="008E4E06" w:rsidP="008E4E06">
      <w:pPr>
        <w:ind w:left="0" w:hanging="2"/>
        <w:jc w:val="both"/>
        <w:rPr>
          <w:rFonts w:ascii="Arial Narrow" w:eastAsia="Arial" w:hAnsi="Arial Narrow" w:cs="Times New Roman"/>
          <w:b/>
          <w:bCs/>
        </w:rPr>
      </w:pPr>
      <w:r w:rsidRPr="006418A2">
        <w:rPr>
          <w:rFonts w:ascii="Arial Narrow" w:eastAsia="Arial" w:hAnsi="Arial Narrow" w:cs="Times New Roman"/>
          <w:b/>
          <w:bCs/>
        </w:rPr>
        <w:t>Tabla 2 – Indicadores Capacidad Organizacional</w:t>
      </w:r>
    </w:p>
    <w:tbl>
      <w:tblPr>
        <w:tblW w:w="0" w:type="auto"/>
        <w:shd w:val="clear" w:color="auto" w:fill="FFFFFF"/>
        <w:tblCellMar>
          <w:left w:w="0" w:type="dxa"/>
          <w:right w:w="0" w:type="dxa"/>
        </w:tblCellMar>
        <w:tblLook w:val="04A0" w:firstRow="1" w:lastRow="0" w:firstColumn="1" w:lastColumn="0" w:noHBand="0" w:noVBand="1"/>
      </w:tblPr>
      <w:tblGrid>
        <w:gridCol w:w="4660"/>
        <w:gridCol w:w="4660"/>
      </w:tblGrid>
      <w:tr w:rsidR="008E4E06" w:rsidRPr="006418A2" w14:paraId="1FCE22CF" w14:textId="77777777" w:rsidTr="00D75F8C">
        <w:tc>
          <w:tcPr>
            <w:tcW w:w="4660"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08637D6" w14:textId="77777777" w:rsidR="008E4E06" w:rsidRPr="006418A2" w:rsidRDefault="008E4E06" w:rsidP="00D75F8C">
            <w:pPr>
              <w:ind w:left="0" w:hanging="2"/>
              <w:jc w:val="both"/>
              <w:rPr>
                <w:rFonts w:ascii="Arial Narrow" w:eastAsia="Arial" w:hAnsi="Arial Narrow" w:cs="Times New Roman"/>
              </w:rPr>
            </w:pPr>
            <w:r w:rsidRPr="006418A2">
              <w:rPr>
                <w:rFonts w:ascii="Arial Narrow" w:eastAsia="Arial" w:hAnsi="Arial Narrow" w:cs="Times New Roman"/>
                <w:b/>
                <w:bCs/>
              </w:rPr>
              <w:t>Indicador</w:t>
            </w:r>
          </w:p>
        </w:tc>
        <w:tc>
          <w:tcPr>
            <w:tcW w:w="466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6818F078" w14:textId="77777777" w:rsidR="008E4E06" w:rsidRPr="006418A2" w:rsidRDefault="008E4E06" w:rsidP="00D75F8C">
            <w:pPr>
              <w:ind w:left="0" w:hanging="2"/>
              <w:jc w:val="both"/>
              <w:rPr>
                <w:rFonts w:ascii="Arial Narrow" w:eastAsia="Arial" w:hAnsi="Arial Narrow" w:cs="Times New Roman"/>
              </w:rPr>
            </w:pPr>
            <w:r w:rsidRPr="006418A2">
              <w:rPr>
                <w:rFonts w:ascii="Arial Narrow" w:eastAsia="Arial" w:hAnsi="Arial Narrow" w:cs="Times New Roman"/>
                <w:b/>
                <w:bCs/>
              </w:rPr>
              <w:t>Índice requerido</w:t>
            </w:r>
          </w:p>
        </w:tc>
      </w:tr>
      <w:tr w:rsidR="008E4E06" w:rsidRPr="006418A2" w14:paraId="24C9DE41" w14:textId="77777777" w:rsidTr="00D75F8C">
        <w:tc>
          <w:tcPr>
            <w:tcW w:w="46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21A124D" w14:textId="77777777" w:rsidR="008E4E06" w:rsidRPr="006418A2" w:rsidRDefault="008E4E06" w:rsidP="00D75F8C">
            <w:pPr>
              <w:ind w:left="0" w:hanging="2"/>
              <w:jc w:val="both"/>
              <w:rPr>
                <w:rFonts w:ascii="Arial Narrow" w:eastAsia="Arial" w:hAnsi="Arial Narrow" w:cs="Times New Roman"/>
              </w:rPr>
            </w:pPr>
            <w:r w:rsidRPr="006418A2">
              <w:rPr>
                <w:rFonts w:ascii="Arial Narrow" w:eastAsia="Arial" w:hAnsi="Arial Narrow" w:cs="Times New Roman"/>
              </w:rPr>
              <w:t>Rentabilidad sobre el patrimonio</w:t>
            </w:r>
          </w:p>
        </w:tc>
        <w:tc>
          <w:tcPr>
            <w:tcW w:w="46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3CE92A" w14:textId="77777777" w:rsidR="008E4E06" w:rsidRPr="006418A2" w:rsidRDefault="008E4E06" w:rsidP="00D75F8C">
            <w:pPr>
              <w:ind w:left="0" w:hanging="2"/>
              <w:jc w:val="both"/>
              <w:rPr>
                <w:rFonts w:ascii="Arial Narrow" w:eastAsia="Arial" w:hAnsi="Arial Narrow" w:cs="Times New Roman"/>
              </w:rPr>
            </w:pPr>
            <w:r w:rsidRPr="006418A2">
              <w:rPr>
                <w:rFonts w:ascii="Arial Narrow" w:eastAsia="Arial" w:hAnsi="Arial Narrow" w:cs="Times New Roman"/>
              </w:rPr>
              <w:t>Mayor o igual a 0,02</w:t>
            </w:r>
          </w:p>
        </w:tc>
      </w:tr>
      <w:tr w:rsidR="008E4E06" w:rsidRPr="006418A2" w14:paraId="69CCFCC8" w14:textId="77777777" w:rsidTr="00D75F8C">
        <w:tc>
          <w:tcPr>
            <w:tcW w:w="46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F602FF6" w14:textId="77777777" w:rsidR="008E4E06" w:rsidRPr="006418A2" w:rsidRDefault="008E4E06" w:rsidP="00D75F8C">
            <w:pPr>
              <w:ind w:left="0" w:hanging="2"/>
              <w:jc w:val="both"/>
              <w:rPr>
                <w:rFonts w:ascii="Arial Narrow" w:eastAsia="Arial" w:hAnsi="Arial Narrow" w:cs="Times New Roman"/>
              </w:rPr>
            </w:pPr>
            <w:r w:rsidRPr="006418A2">
              <w:rPr>
                <w:rFonts w:ascii="Arial Narrow" w:eastAsia="Arial" w:hAnsi="Arial Narrow" w:cs="Times New Roman"/>
              </w:rPr>
              <w:t>Rentabilidad sobre activos</w:t>
            </w:r>
          </w:p>
        </w:tc>
        <w:tc>
          <w:tcPr>
            <w:tcW w:w="46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1CF417" w14:textId="77777777" w:rsidR="008E4E06" w:rsidRPr="006418A2" w:rsidRDefault="008E4E06" w:rsidP="00D75F8C">
            <w:pPr>
              <w:ind w:left="0" w:hanging="2"/>
              <w:jc w:val="both"/>
              <w:rPr>
                <w:rFonts w:ascii="Arial Narrow" w:eastAsia="Arial" w:hAnsi="Arial Narrow" w:cs="Times New Roman"/>
              </w:rPr>
            </w:pPr>
            <w:r w:rsidRPr="006418A2">
              <w:rPr>
                <w:rFonts w:ascii="Arial Narrow" w:eastAsia="Arial" w:hAnsi="Arial Narrow" w:cs="Times New Roman"/>
              </w:rPr>
              <w:t>Mayor o igual a 0,01</w:t>
            </w:r>
          </w:p>
        </w:tc>
      </w:tr>
    </w:tbl>
    <w:p w14:paraId="54064BB5" w14:textId="77777777" w:rsidR="008E4E06" w:rsidRPr="006418A2" w:rsidRDefault="008E4E06" w:rsidP="00021C0B">
      <w:pPr>
        <w:ind w:left="0" w:hanging="2"/>
        <w:jc w:val="both"/>
        <w:rPr>
          <w:rFonts w:ascii="Arial Narrow" w:eastAsia="Arial" w:hAnsi="Arial Narrow" w:cs="Times New Roman"/>
          <w:b/>
          <w:bCs/>
        </w:rPr>
      </w:pPr>
    </w:p>
    <w:p w14:paraId="5A954E4C" w14:textId="77777777" w:rsidR="00A029F6" w:rsidRPr="006418A2" w:rsidRDefault="00A029F6" w:rsidP="00021C0B">
      <w:pPr>
        <w:ind w:left="0" w:hanging="2"/>
        <w:jc w:val="both"/>
        <w:rPr>
          <w:rFonts w:ascii="Arial Narrow" w:eastAsia="Arial" w:hAnsi="Arial Narrow" w:cs="Times New Roman"/>
          <w:b/>
          <w:bCs/>
        </w:rPr>
      </w:pPr>
    </w:p>
    <w:p w14:paraId="4878DF81" w14:textId="77777777" w:rsidR="00A029F6" w:rsidRPr="006418A2" w:rsidRDefault="00A029F6" w:rsidP="00A029F6">
      <w:pPr>
        <w:ind w:left="0" w:hanging="2"/>
        <w:jc w:val="both"/>
        <w:rPr>
          <w:rFonts w:ascii="Arial Narrow" w:eastAsia="Arial" w:hAnsi="Arial Narrow" w:cs="Times New Roman"/>
        </w:rPr>
      </w:pPr>
      <w:r w:rsidRPr="006418A2">
        <w:rPr>
          <w:rFonts w:ascii="Arial Narrow" w:eastAsia="Arial" w:hAnsi="Arial Narrow" w:cs="Times New Roman"/>
        </w:rPr>
        <w:t>Se considera que el oferente cumple con la capacidad organizacional solicitada por la Entidad y que está habilitado para continuar en el proceso, si obtiene en cada indicador los márgenes anteriormente establecidos.</w:t>
      </w:r>
    </w:p>
    <w:p w14:paraId="60233825" w14:textId="77777777" w:rsidR="00A029F6" w:rsidRPr="006418A2" w:rsidRDefault="00A029F6" w:rsidP="00A029F6">
      <w:pPr>
        <w:ind w:left="0" w:hanging="2"/>
        <w:jc w:val="both"/>
        <w:rPr>
          <w:rFonts w:ascii="Arial Narrow" w:eastAsia="Arial" w:hAnsi="Arial Narrow" w:cs="Times New Roman"/>
        </w:rPr>
      </w:pPr>
      <w:r w:rsidRPr="006418A2">
        <w:rPr>
          <w:rFonts w:ascii="Arial Narrow" w:eastAsia="Arial" w:hAnsi="Arial Narrow" w:cs="Times New Roman"/>
          <w:b/>
          <w:bCs/>
        </w:rPr>
        <w:t>NOTA:</w:t>
      </w:r>
      <w:r w:rsidRPr="006418A2">
        <w:rPr>
          <w:rFonts w:ascii="Arial Narrow" w:eastAsia="Arial" w:hAnsi="Arial Narrow" w:cs="Times New Roman"/>
        </w:rPr>
        <w:t xml:space="preserve"> En caso de que la propuesta no cumpla con alguno de los indicadores anteriormente mencionados, será calificada como NO CUMPLE.</w:t>
      </w:r>
    </w:p>
    <w:p w14:paraId="422DCCF1" w14:textId="77777777" w:rsidR="00A029F6" w:rsidRPr="006418A2" w:rsidRDefault="00A029F6" w:rsidP="00A029F6">
      <w:pPr>
        <w:numPr>
          <w:ilvl w:val="0"/>
          <w:numId w:val="32"/>
        </w:numPr>
        <w:suppressAutoHyphens w:val="0"/>
        <w:spacing w:after="0" w:line="240" w:lineRule="auto"/>
        <w:ind w:leftChars="0" w:left="0" w:firstLineChars="0" w:hanging="2"/>
        <w:jc w:val="both"/>
        <w:textDirection w:val="lrTb"/>
        <w:textAlignment w:val="auto"/>
        <w:outlineLvl w:val="9"/>
        <w:rPr>
          <w:rFonts w:ascii="Arial Narrow" w:eastAsia="Arial" w:hAnsi="Arial Narrow" w:cs="Times New Roman"/>
        </w:rPr>
      </w:pPr>
      <w:r w:rsidRPr="006418A2">
        <w:rPr>
          <w:rFonts w:ascii="Arial Narrow" w:eastAsia="Arial" w:hAnsi="Arial Narrow" w:cs="Times New Roman"/>
          <w:b/>
          <w:bCs/>
        </w:rPr>
        <w:t>ASPECTOS COMUNES A LA VERIFICACIÓN DE LOS REQUISITOS</w:t>
      </w:r>
    </w:p>
    <w:p w14:paraId="721C09CC" w14:textId="77777777" w:rsidR="00A029F6" w:rsidRPr="006418A2" w:rsidRDefault="00A029F6" w:rsidP="00A029F6">
      <w:pPr>
        <w:ind w:left="0" w:hanging="2"/>
        <w:jc w:val="both"/>
        <w:rPr>
          <w:rFonts w:ascii="Arial Narrow" w:eastAsia="Arial" w:hAnsi="Arial Narrow" w:cs="Times New Roman"/>
        </w:rPr>
      </w:pPr>
    </w:p>
    <w:p w14:paraId="38B0C58E" w14:textId="77777777" w:rsidR="00A029F6" w:rsidRPr="006418A2" w:rsidRDefault="00A029F6" w:rsidP="00A029F6">
      <w:pPr>
        <w:numPr>
          <w:ilvl w:val="1"/>
          <w:numId w:val="32"/>
        </w:numPr>
        <w:suppressAutoHyphens w:val="0"/>
        <w:spacing w:after="0" w:line="240" w:lineRule="auto"/>
        <w:ind w:leftChars="0" w:left="0" w:firstLineChars="0" w:hanging="2"/>
        <w:jc w:val="both"/>
        <w:textDirection w:val="lrTb"/>
        <w:textAlignment w:val="auto"/>
        <w:outlineLvl w:val="9"/>
        <w:rPr>
          <w:rFonts w:ascii="Arial Narrow" w:eastAsia="Arial" w:hAnsi="Arial Narrow" w:cs="Times New Roman"/>
          <w:u w:val="single"/>
        </w:rPr>
      </w:pPr>
      <w:r w:rsidRPr="006418A2">
        <w:rPr>
          <w:rFonts w:ascii="Arial Narrow" w:eastAsia="Arial" w:hAnsi="Arial Narrow" w:cs="Times New Roman"/>
          <w:u w:val="single"/>
        </w:rPr>
        <w:lastRenderedPageBreak/>
        <w:t xml:space="preserve">VERIFICACIÓN DE PERSONAS NATURALES O JURÍDICAS NACIONALES O EXTRANJERAS, CON DOMICILIO O SUCURSAL EN COLOMBIA  </w:t>
      </w:r>
    </w:p>
    <w:p w14:paraId="7097A888" w14:textId="77777777" w:rsidR="00A029F6" w:rsidRPr="006418A2" w:rsidRDefault="00A029F6" w:rsidP="00A029F6">
      <w:pPr>
        <w:ind w:left="0" w:hanging="2"/>
        <w:jc w:val="both"/>
        <w:rPr>
          <w:rFonts w:ascii="Arial Narrow" w:eastAsia="Arial" w:hAnsi="Arial Narrow" w:cs="Times New Roman"/>
        </w:rPr>
      </w:pPr>
      <w:r w:rsidRPr="006418A2">
        <w:rPr>
          <w:rFonts w:ascii="Arial Narrow" w:eastAsia="Arial" w:hAnsi="Arial Narrow" w:cs="Times New Roman"/>
        </w:rPr>
        <w:t xml:space="preserve">La capacidad financiera de las personas naturales o jurídicas nacionales o extranjeras, con domicilio o sucursal en Colombia, se verificará de forma general de la información en firme contenida en el Certificado de Inscripción y Clasificación en el Registro Único de Proponentes (RUP) con corte a </w:t>
      </w:r>
      <w:r w:rsidRPr="006418A2">
        <w:rPr>
          <w:rFonts w:ascii="Arial Narrow" w:eastAsia="Arial" w:hAnsi="Arial Narrow" w:cs="Times New Roman"/>
          <w:b/>
          <w:bCs/>
        </w:rPr>
        <w:t>31 de diciembre de 2025.</w:t>
      </w:r>
      <w:r w:rsidRPr="006418A2">
        <w:rPr>
          <w:rFonts w:ascii="Arial Narrow" w:eastAsia="Arial" w:hAnsi="Arial Narrow" w:cs="Times New Roman"/>
        </w:rPr>
        <w:t xml:space="preserve"> </w:t>
      </w:r>
    </w:p>
    <w:p w14:paraId="1FAE840A" w14:textId="77777777" w:rsidR="00A029F6" w:rsidRPr="006418A2" w:rsidRDefault="00A029F6" w:rsidP="00A029F6">
      <w:pPr>
        <w:ind w:left="0" w:hanging="2"/>
        <w:jc w:val="both"/>
        <w:rPr>
          <w:rFonts w:ascii="Arial Narrow" w:eastAsia="Arial" w:hAnsi="Arial Narrow" w:cs="Times New Roman"/>
        </w:rPr>
      </w:pPr>
      <w:r w:rsidRPr="006418A2">
        <w:rPr>
          <w:rFonts w:ascii="Arial Narrow" w:eastAsia="Arial" w:hAnsi="Arial Narrow" w:cs="Times New Roman"/>
        </w:rPr>
        <w:t xml:space="preserve">Para tal efecto, el proponente o cada uno de sus integrantes (en caso de que éste sea un proponente plural) debe(n) presentar el registro único de proponentes RUP, expedido con una antelación no superior a treinta (30) días calendario a la fecha del cierre. </w:t>
      </w:r>
    </w:p>
    <w:p w14:paraId="42B49BC3" w14:textId="77777777" w:rsidR="00A029F6" w:rsidRPr="006418A2" w:rsidRDefault="00A029F6" w:rsidP="00A029F6">
      <w:pPr>
        <w:numPr>
          <w:ilvl w:val="1"/>
          <w:numId w:val="32"/>
        </w:numPr>
        <w:suppressAutoHyphens w:val="0"/>
        <w:spacing w:after="0" w:line="240" w:lineRule="auto"/>
        <w:ind w:leftChars="0" w:left="0" w:firstLineChars="0" w:hanging="2"/>
        <w:jc w:val="both"/>
        <w:textDirection w:val="lrTb"/>
        <w:textAlignment w:val="auto"/>
        <w:outlineLvl w:val="9"/>
        <w:rPr>
          <w:rFonts w:ascii="Arial Narrow" w:eastAsia="Arial" w:hAnsi="Arial Narrow" w:cs="Times New Roman"/>
          <w:u w:val="single"/>
        </w:rPr>
      </w:pPr>
      <w:r w:rsidRPr="006418A2">
        <w:rPr>
          <w:rFonts w:ascii="Arial Narrow" w:eastAsia="Arial" w:hAnsi="Arial Narrow" w:cs="Times New Roman"/>
          <w:u w:val="single"/>
        </w:rPr>
        <w:t>VERIFICACIÓN DE PERSONAS NATURALES O JURÍDICAS EXTRANJERAS, SIN DOMICILIO O SUCURSAL EN COLOMBIA</w:t>
      </w:r>
    </w:p>
    <w:p w14:paraId="25FFFBE9" w14:textId="77777777" w:rsidR="00A029F6" w:rsidRPr="006418A2" w:rsidRDefault="00A029F6" w:rsidP="00A029F6">
      <w:pPr>
        <w:numPr>
          <w:ilvl w:val="1"/>
          <w:numId w:val="32"/>
        </w:numPr>
        <w:suppressAutoHyphens w:val="0"/>
        <w:spacing w:after="0" w:line="240" w:lineRule="auto"/>
        <w:ind w:leftChars="0" w:left="0" w:firstLineChars="0" w:hanging="2"/>
        <w:jc w:val="both"/>
        <w:textDirection w:val="lrTb"/>
        <w:textAlignment w:val="auto"/>
        <w:outlineLvl w:val="9"/>
        <w:rPr>
          <w:rFonts w:ascii="Arial Narrow" w:eastAsia="Arial" w:hAnsi="Arial Narrow" w:cs="Times New Roman"/>
          <w:u w:val="single"/>
        </w:rPr>
      </w:pPr>
    </w:p>
    <w:p w14:paraId="25C850AC" w14:textId="77777777" w:rsidR="00A029F6" w:rsidRPr="006418A2" w:rsidRDefault="00A029F6" w:rsidP="00A029F6">
      <w:pPr>
        <w:ind w:left="0" w:hanging="2"/>
        <w:jc w:val="both"/>
        <w:rPr>
          <w:rFonts w:ascii="Arial Narrow" w:eastAsia="Arial" w:hAnsi="Arial Narrow" w:cs="Times New Roman"/>
        </w:rPr>
      </w:pPr>
      <w:r w:rsidRPr="006418A2">
        <w:rPr>
          <w:rFonts w:ascii="Arial Narrow" w:eastAsia="Arial" w:hAnsi="Arial Narrow" w:cs="Times New Roman"/>
        </w:rPr>
        <w:t xml:space="preserve">Los proponentes extranjeros sin domicilio en el país deberán diligenciar el </w:t>
      </w:r>
      <w:r w:rsidRPr="006418A2">
        <w:rPr>
          <w:rFonts w:ascii="Arial Narrow" w:eastAsia="Arial" w:hAnsi="Arial Narrow" w:cs="Times New Roman"/>
          <w:b/>
          <w:bCs/>
        </w:rPr>
        <w:t>ANEXO FORMATO DEL CERTIFICADO DE ACREDITACIÓN DE LA CAPACIDAD FINANCIERA Y ORGANIZACIONAL PARA CUMPLIR CON LOS REQUISITOS HABILITANTES</w:t>
      </w:r>
      <w:r w:rsidRPr="006418A2">
        <w:rPr>
          <w:rFonts w:ascii="Arial Narrow" w:eastAsia="Arial" w:hAnsi="Arial Narrow" w:cs="Times New Roman"/>
        </w:rPr>
        <w:t>,  el cual deberá estar soportado en los estados financieros del periodo fiscal más reciente, auditado de acuerdo con el cierre fiscal en el país de origen o en el balance de apertura si son sociedades nuevas, por el representante legal y el revisor fiscal o auditor del proponente, y si el proponente no está obligado a tener revisor fiscal, será por su contador.</w:t>
      </w:r>
    </w:p>
    <w:p w14:paraId="6EA8CF4F" w14:textId="77777777" w:rsidR="00A029F6" w:rsidRPr="006418A2" w:rsidRDefault="00A029F6" w:rsidP="00A029F6">
      <w:pPr>
        <w:ind w:left="0" w:hanging="2"/>
        <w:jc w:val="both"/>
        <w:rPr>
          <w:rFonts w:ascii="Arial Narrow" w:eastAsia="Arial" w:hAnsi="Arial Narrow" w:cs="Times New Roman"/>
        </w:rPr>
      </w:pPr>
      <w:r w:rsidRPr="006418A2">
        <w:rPr>
          <w:rFonts w:ascii="Arial Narrow" w:eastAsia="Arial" w:hAnsi="Arial Narrow" w:cs="Times New Roman"/>
        </w:rPr>
        <w:t xml:space="preserve">Para efectos de lo previsto en el párrafo anterior, el </w:t>
      </w:r>
      <w:r w:rsidRPr="006418A2">
        <w:rPr>
          <w:rFonts w:ascii="Arial Narrow" w:eastAsia="Arial" w:hAnsi="Arial Narrow" w:cs="Times New Roman"/>
          <w:b/>
          <w:bCs/>
        </w:rPr>
        <w:t>ANEXO FORMATO DEL CERTIFICADO DE ACREDITACIÓN DE LA CAPACIDAD FINANCIERA Y ORGANIZACIONAL PARA CUMPLIR CON LOS REQUISITOS HABILITANTES</w:t>
      </w:r>
      <w:r w:rsidRPr="006418A2">
        <w:rPr>
          <w:rFonts w:ascii="Arial Narrow" w:eastAsia="Arial" w:hAnsi="Arial Narrow" w:cs="Times New Roman"/>
        </w:rPr>
        <w:t>, deberá presentarse firmado por el Representante Legal y contador público, acompañado de traducción simple al castellano, con los valores expresados en la moneda funcional colombiana pesos colombianos (COP), a la tasa de cambio representativa del mercado emitida por el Banco de La República de Colombia de la siguiente manera:</w:t>
      </w:r>
    </w:p>
    <w:p w14:paraId="145A1712" w14:textId="77777777" w:rsidR="00A029F6" w:rsidRPr="006418A2" w:rsidRDefault="00A029F6" w:rsidP="00A029F6">
      <w:pPr>
        <w:ind w:left="0" w:hanging="2"/>
        <w:jc w:val="both"/>
        <w:rPr>
          <w:rFonts w:ascii="Arial Narrow" w:eastAsia="Arial" w:hAnsi="Arial Narrow" w:cs="Times New Roman"/>
        </w:rPr>
      </w:pPr>
      <w:r w:rsidRPr="006418A2">
        <w:rPr>
          <w:rFonts w:ascii="Arial Narrow" w:eastAsia="Arial" w:hAnsi="Arial Narrow" w:cs="Times New Roman"/>
        </w:rPr>
        <w:t>• El saldo de los activos y pasivos se convertirán a la Tasa Representativa del Mercado (TRM) de la fecha de corte de los estados financieros.</w:t>
      </w:r>
    </w:p>
    <w:p w14:paraId="5F33B733" w14:textId="77777777" w:rsidR="00A029F6" w:rsidRPr="006418A2" w:rsidRDefault="00A029F6" w:rsidP="00A029F6">
      <w:pPr>
        <w:ind w:left="0" w:hanging="2"/>
        <w:jc w:val="both"/>
        <w:rPr>
          <w:rFonts w:ascii="Arial Narrow" w:eastAsia="Arial" w:hAnsi="Arial Narrow" w:cs="Times New Roman"/>
        </w:rPr>
      </w:pPr>
      <w:r w:rsidRPr="006418A2">
        <w:rPr>
          <w:rFonts w:ascii="Arial Narrow" w:eastAsia="Arial" w:hAnsi="Arial Narrow" w:cs="Times New Roman"/>
        </w:rPr>
        <w:t>• El saldo de los ingresos, costos y gastos se convertirán a la Tasa Representativa del Mercado (TRM) promedio del periodo que se está informando</w:t>
      </w:r>
    </w:p>
    <w:p w14:paraId="5E07F911" w14:textId="77777777" w:rsidR="00A029F6" w:rsidRPr="006418A2" w:rsidRDefault="00A029F6" w:rsidP="00A029F6">
      <w:pPr>
        <w:ind w:left="0" w:hanging="2"/>
        <w:jc w:val="both"/>
        <w:rPr>
          <w:rFonts w:ascii="Arial Narrow" w:eastAsia="Arial" w:hAnsi="Arial Narrow" w:cs="Times New Roman"/>
        </w:rPr>
      </w:pPr>
      <w:r w:rsidRPr="006418A2">
        <w:rPr>
          <w:rFonts w:ascii="Arial Narrow" w:eastAsia="Arial" w:hAnsi="Arial Narrow" w:cs="Times New Roman"/>
        </w:rPr>
        <w:t>• El saldo del Patrimonio se convertirá a la Tasa Representativa del Mercado (TRM) de la fecha de corte de los estados financieros, a excepción de la ganancia o pérdida del periodo que proviene del Estado de Resultados integral que se expresó de acuerdo con la Tasa Representativa del Mercado (TRM) promedio del periodo que se está informando.</w:t>
      </w:r>
    </w:p>
    <w:p w14:paraId="373A161E" w14:textId="77777777" w:rsidR="00A029F6" w:rsidRPr="006418A2" w:rsidRDefault="00A029F6" w:rsidP="00A029F6">
      <w:pPr>
        <w:ind w:left="0" w:hanging="2"/>
        <w:jc w:val="both"/>
        <w:rPr>
          <w:rFonts w:ascii="Arial Narrow" w:eastAsia="Arial" w:hAnsi="Arial Narrow" w:cs="Times New Roman"/>
        </w:rPr>
      </w:pPr>
      <w:r w:rsidRPr="006418A2">
        <w:rPr>
          <w:rFonts w:ascii="Arial Narrow" w:eastAsia="Arial" w:hAnsi="Arial Narrow" w:cs="Times New Roman"/>
        </w:rPr>
        <w:t>En el evento que los documentos financieros o soportes de la información sean emitidos por autoridades extranjeras, deberán aportarse debidamente apostillados</w:t>
      </w:r>
      <w:r w:rsidRPr="006418A2">
        <w:rPr>
          <w:rFonts w:ascii="Arial Narrow" w:eastAsia="Arial" w:hAnsi="Arial Narrow" w:cs="Times New Roman"/>
          <w:b/>
          <w:bCs/>
        </w:rPr>
        <w:t xml:space="preserve"> o </w:t>
      </w:r>
      <w:r w:rsidRPr="006418A2">
        <w:rPr>
          <w:rFonts w:ascii="Arial Narrow" w:eastAsia="Arial" w:hAnsi="Arial Narrow" w:cs="Times New Roman"/>
        </w:rPr>
        <w:t xml:space="preserve">legalizados, según corresponda al país de origen. </w:t>
      </w:r>
    </w:p>
    <w:p w14:paraId="1AA1B3BB" w14:textId="2A6B38D6" w:rsidR="00A029F6" w:rsidRPr="006418A2" w:rsidRDefault="00A029F6" w:rsidP="00A029F6">
      <w:pPr>
        <w:ind w:left="0" w:hanging="2"/>
        <w:jc w:val="both"/>
        <w:rPr>
          <w:rFonts w:ascii="Arial Narrow" w:eastAsia="Arial" w:hAnsi="Arial Narrow" w:cs="Times New Roman"/>
          <w:b/>
          <w:bCs/>
        </w:rPr>
      </w:pPr>
      <w:r w:rsidRPr="006418A2">
        <w:rPr>
          <w:rFonts w:ascii="Arial Narrow" w:eastAsia="Arial" w:hAnsi="Arial Narrow" w:cs="Times New Roman"/>
        </w:rPr>
        <w:t>Cuando los documentos obren en idioma extranjero, el proponente podrá presentarlos en su lengua original acompañados de traducción simple al castellano al momento de presentar la oferta. No obstante, dentro del término de traslado del informe de evaluación, el proponente deberá aportar la traducción oficial al castellano, junto con la correspondiente apostilla o legalización, cuando haya lugar</w:t>
      </w:r>
    </w:p>
    <w:p w14:paraId="6A5E1DA0" w14:textId="500CA74A" w:rsidR="008E4E06" w:rsidRPr="006418A2" w:rsidRDefault="00A029F6" w:rsidP="00021C0B">
      <w:pPr>
        <w:ind w:left="0" w:hanging="2"/>
        <w:jc w:val="both"/>
        <w:rPr>
          <w:rFonts w:ascii="Arial Narrow" w:eastAsia="Arial" w:hAnsi="Arial Narrow" w:cs="Times New Roman"/>
          <w:b/>
          <w:bCs/>
        </w:rPr>
      </w:pPr>
      <w:r w:rsidRPr="006418A2">
        <w:rPr>
          <w:rFonts w:ascii="Arial Narrow" w:eastAsia="Arial" w:hAnsi="Arial Narrow" w:cs="Times New Roman"/>
        </w:rPr>
        <w:t>La traducción oficial deberá corresponder al mismo contenido de la traducción simple presentada con la propuesta. Cuando se trate de documentos expedidos por autoridades de países miembros del Convenio de La Haya de 1961, será suficiente la apostilla. Lo anterior, de conformidad con lo dispuesto en la Circular Externa Única de Colombia Compra Eficiente</w:t>
      </w:r>
    </w:p>
    <w:p w14:paraId="62A41146" w14:textId="77777777" w:rsidR="00D34EE1" w:rsidRPr="006418A2" w:rsidRDefault="00D34EE1" w:rsidP="00E97739">
      <w:pPr>
        <w:shd w:val="clear" w:color="auto" w:fill="FFFFFF"/>
        <w:suppressAutoHyphens w:val="0"/>
        <w:spacing w:after="0" w:line="240" w:lineRule="auto"/>
        <w:ind w:leftChars="0" w:left="0" w:firstLineChars="0" w:firstLine="0"/>
        <w:jc w:val="both"/>
        <w:textDirection w:val="lrTb"/>
        <w:textAlignment w:val="auto"/>
        <w:outlineLvl w:val="9"/>
        <w:rPr>
          <w:rFonts w:ascii="Arial Narrow" w:eastAsia="Times New Roman" w:hAnsi="Arial Narrow" w:cs="Arial"/>
          <w:color w:val="000000"/>
          <w:position w:val="0"/>
          <w:lang w:val="es-MX" w:eastAsia="es-MX"/>
        </w:rPr>
      </w:pPr>
    </w:p>
    <w:p w14:paraId="7C42A6DA" w14:textId="77777777" w:rsidR="00E97739" w:rsidRPr="006418A2" w:rsidRDefault="00E97739" w:rsidP="00E97739">
      <w:pPr>
        <w:shd w:val="clear" w:color="auto" w:fill="FFFFFF"/>
        <w:suppressAutoHyphens w:val="0"/>
        <w:spacing w:after="0" w:line="240" w:lineRule="auto"/>
        <w:ind w:leftChars="0" w:left="0" w:firstLineChars="0" w:firstLine="0"/>
        <w:jc w:val="both"/>
        <w:textDirection w:val="lrTb"/>
        <w:textAlignment w:val="auto"/>
        <w:outlineLvl w:val="9"/>
        <w:rPr>
          <w:rFonts w:ascii="Arial Narrow" w:eastAsia="Times New Roman" w:hAnsi="Arial Narrow" w:cs="Arial"/>
          <w:color w:val="000000"/>
          <w:position w:val="0"/>
          <w:lang w:val="es-MX" w:eastAsia="es-MX"/>
        </w:rPr>
      </w:pPr>
      <w:r w:rsidRPr="006418A2">
        <w:rPr>
          <w:rFonts w:ascii="Arial Narrow" w:eastAsia="Times New Roman" w:hAnsi="Arial Narrow" w:cs="Arial"/>
          <w:b/>
          <w:bCs/>
          <w:color w:val="000000"/>
          <w:position w:val="0"/>
          <w:lang w:val="es-MX" w:eastAsia="es-MX"/>
        </w:rPr>
        <w:t>INFORMACIÓN FINANCIERA PARA PROPONENTES EXTRANJEROS</w:t>
      </w:r>
    </w:p>
    <w:p w14:paraId="2407ED1D" w14:textId="77777777" w:rsidR="00E97739" w:rsidRPr="006418A2" w:rsidRDefault="00E97739" w:rsidP="00E97739">
      <w:pPr>
        <w:shd w:val="clear" w:color="auto" w:fill="FFFFFF"/>
        <w:suppressAutoHyphens w:val="0"/>
        <w:spacing w:after="0" w:line="240" w:lineRule="auto"/>
        <w:ind w:leftChars="0" w:left="0" w:firstLineChars="0" w:firstLine="0"/>
        <w:jc w:val="both"/>
        <w:textDirection w:val="lrTb"/>
        <w:textAlignment w:val="auto"/>
        <w:outlineLvl w:val="9"/>
        <w:rPr>
          <w:rFonts w:ascii="Arial Narrow" w:eastAsia="Times New Roman" w:hAnsi="Arial Narrow" w:cs="Arial"/>
          <w:color w:val="000000"/>
          <w:position w:val="0"/>
          <w:lang w:val="es-MX" w:eastAsia="es-MX"/>
        </w:rPr>
      </w:pPr>
      <w:r w:rsidRPr="006418A2">
        <w:rPr>
          <w:rFonts w:ascii="Arial Narrow" w:eastAsia="Times New Roman" w:hAnsi="Arial Narrow" w:cs="Arial"/>
          <w:b/>
          <w:bCs/>
          <w:color w:val="000000"/>
          <w:position w:val="0"/>
          <w:lang w:val="es-MX" w:eastAsia="es-MX"/>
        </w:rPr>
        <w:t> </w:t>
      </w:r>
    </w:p>
    <w:p w14:paraId="5F202502" w14:textId="77777777" w:rsidR="00E97739" w:rsidRPr="006418A2" w:rsidRDefault="00E97739" w:rsidP="00E97739">
      <w:pPr>
        <w:shd w:val="clear" w:color="auto" w:fill="FFFFFF"/>
        <w:suppressAutoHyphens w:val="0"/>
        <w:spacing w:after="0" w:line="240" w:lineRule="auto"/>
        <w:ind w:leftChars="0" w:left="0" w:firstLineChars="0" w:firstLine="0"/>
        <w:jc w:val="both"/>
        <w:textDirection w:val="lrTb"/>
        <w:textAlignment w:val="auto"/>
        <w:outlineLvl w:val="9"/>
        <w:rPr>
          <w:rFonts w:ascii="Arial Narrow" w:eastAsia="Times New Roman" w:hAnsi="Arial Narrow" w:cs="Arial"/>
          <w:color w:val="000000"/>
          <w:position w:val="0"/>
          <w:lang w:val="es-MX" w:eastAsia="es-MX"/>
        </w:rPr>
      </w:pPr>
      <w:r w:rsidRPr="006418A2">
        <w:rPr>
          <w:rFonts w:ascii="Arial Narrow" w:eastAsia="Times New Roman" w:hAnsi="Arial Narrow" w:cs="Arial"/>
          <w:color w:val="000000"/>
          <w:position w:val="0"/>
          <w:lang w:val="es-MX" w:eastAsia="es-MX"/>
        </w:rPr>
        <w:t>Los Proponentes extranjeros deben presentar la información financiera que se relaciona a continuación, de conformidad con las normas internacionales de contabilidad - NIC, avalados con la firma de quien se encuentre en obligación de hacerlo.</w:t>
      </w:r>
    </w:p>
    <w:p w14:paraId="6F38B5C2" w14:textId="77777777" w:rsidR="00E97739" w:rsidRPr="006418A2" w:rsidRDefault="00E97739" w:rsidP="00E97739">
      <w:pPr>
        <w:shd w:val="clear" w:color="auto" w:fill="FFFFFF"/>
        <w:suppressAutoHyphens w:val="0"/>
        <w:spacing w:after="0" w:line="240" w:lineRule="auto"/>
        <w:ind w:leftChars="0" w:left="0" w:firstLineChars="0" w:firstLine="0"/>
        <w:jc w:val="both"/>
        <w:textDirection w:val="lrTb"/>
        <w:textAlignment w:val="auto"/>
        <w:outlineLvl w:val="9"/>
        <w:rPr>
          <w:rFonts w:ascii="Arial Narrow" w:eastAsia="Times New Roman" w:hAnsi="Arial Narrow" w:cs="Arial"/>
          <w:color w:val="000000"/>
          <w:position w:val="0"/>
          <w:lang w:val="es-MX" w:eastAsia="es-MX"/>
        </w:rPr>
      </w:pPr>
      <w:r w:rsidRPr="006418A2">
        <w:rPr>
          <w:rFonts w:ascii="Arial Narrow" w:eastAsia="Times New Roman" w:hAnsi="Arial Narrow" w:cs="Arial"/>
          <w:color w:val="000000"/>
          <w:position w:val="0"/>
          <w:lang w:val="es-MX" w:eastAsia="es-MX"/>
        </w:rPr>
        <w:t> </w:t>
      </w:r>
    </w:p>
    <w:p w14:paraId="6DA1D33A" w14:textId="77777777" w:rsidR="00E97739" w:rsidRPr="006418A2" w:rsidRDefault="00E97739" w:rsidP="00E97739">
      <w:pPr>
        <w:shd w:val="clear" w:color="auto" w:fill="FFFFFF"/>
        <w:suppressAutoHyphens w:val="0"/>
        <w:spacing w:after="0" w:line="240" w:lineRule="auto"/>
        <w:ind w:leftChars="0" w:left="0" w:firstLineChars="0" w:firstLine="0"/>
        <w:jc w:val="both"/>
        <w:textDirection w:val="lrTb"/>
        <w:textAlignment w:val="auto"/>
        <w:outlineLvl w:val="9"/>
        <w:rPr>
          <w:rFonts w:ascii="Arial Narrow" w:eastAsia="Times New Roman" w:hAnsi="Arial Narrow" w:cs="Arial"/>
          <w:color w:val="000000"/>
          <w:position w:val="0"/>
          <w:lang w:val="es-MX" w:eastAsia="es-MX"/>
        </w:rPr>
      </w:pPr>
      <w:r w:rsidRPr="006418A2">
        <w:rPr>
          <w:rFonts w:ascii="Arial Narrow" w:eastAsia="Times New Roman" w:hAnsi="Arial Narrow" w:cs="Arial"/>
          <w:color w:val="000000"/>
          <w:position w:val="0"/>
          <w:lang w:val="es-MX" w:eastAsia="es-MX"/>
        </w:rPr>
        <w:t>(i) Estado de situación financiera.</w:t>
      </w:r>
    </w:p>
    <w:p w14:paraId="74314CBB" w14:textId="77777777" w:rsidR="00E97739" w:rsidRPr="006418A2" w:rsidRDefault="00E97739" w:rsidP="00E97739">
      <w:pPr>
        <w:shd w:val="clear" w:color="auto" w:fill="FFFFFF"/>
        <w:suppressAutoHyphens w:val="0"/>
        <w:spacing w:after="0" w:line="240" w:lineRule="auto"/>
        <w:ind w:leftChars="0" w:left="0" w:firstLineChars="0" w:firstLine="0"/>
        <w:jc w:val="both"/>
        <w:textDirection w:val="lrTb"/>
        <w:textAlignment w:val="auto"/>
        <w:outlineLvl w:val="9"/>
        <w:rPr>
          <w:rFonts w:ascii="Arial Narrow" w:eastAsia="Times New Roman" w:hAnsi="Arial Narrow" w:cs="Arial"/>
          <w:color w:val="000000"/>
          <w:position w:val="0"/>
          <w:lang w:val="es-MX" w:eastAsia="es-MX"/>
        </w:rPr>
      </w:pPr>
      <w:r w:rsidRPr="006418A2">
        <w:rPr>
          <w:rFonts w:ascii="Arial Narrow" w:eastAsia="Times New Roman" w:hAnsi="Arial Narrow" w:cs="Arial"/>
          <w:color w:val="000000"/>
          <w:position w:val="0"/>
          <w:lang w:val="es-MX" w:eastAsia="es-MX"/>
        </w:rPr>
        <w:t>(ii) Estado de resultados integrales</w:t>
      </w:r>
    </w:p>
    <w:p w14:paraId="22599B18" w14:textId="77777777" w:rsidR="00E97739" w:rsidRPr="006418A2" w:rsidRDefault="00E97739" w:rsidP="00E97739">
      <w:pPr>
        <w:shd w:val="clear" w:color="auto" w:fill="FFFFFF"/>
        <w:suppressAutoHyphens w:val="0"/>
        <w:spacing w:after="0" w:line="240" w:lineRule="auto"/>
        <w:ind w:leftChars="0" w:left="0" w:firstLineChars="0" w:firstLine="0"/>
        <w:jc w:val="both"/>
        <w:textDirection w:val="lrTb"/>
        <w:textAlignment w:val="auto"/>
        <w:outlineLvl w:val="9"/>
        <w:rPr>
          <w:rFonts w:ascii="Arial Narrow" w:eastAsia="Times New Roman" w:hAnsi="Arial Narrow" w:cs="Arial"/>
          <w:color w:val="000000"/>
          <w:position w:val="0"/>
          <w:lang w:val="es-MX" w:eastAsia="es-MX"/>
        </w:rPr>
      </w:pPr>
      <w:r w:rsidRPr="006418A2">
        <w:rPr>
          <w:rFonts w:ascii="Arial Narrow" w:eastAsia="Times New Roman" w:hAnsi="Arial Narrow" w:cs="Arial"/>
          <w:color w:val="000000"/>
          <w:position w:val="0"/>
          <w:lang w:val="es-MX" w:eastAsia="es-MX"/>
        </w:rPr>
        <w:t> </w:t>
      </w:r>
    </w:p>
    <w:p w14:paraId="629FB69E" w14:textId="77777777" w:rsidR="00E97739" w:rsidRPr="006418A2" w:rsidRDefault="00E97739" w:rsidP="00E97739">
      <w:pPr>
        <w:shd w:val="clear" w:color="auto" w:fill="FFFFFF"/>
        <w:suppressAutoHyphens w:val="0"/>
        <w:spacing w:after="0" w:line="240" w:lineRule="auto"/>
        <w:ind w:leftChars="0" w:left="0" w:firstLineChars="0" w:firstLine="0"/>
        <w:jc w:val="both"/>
        <w:textDirection w:val="lrTb"/>
        <w:textAlignment w:val="auto"/>
        <w:outlineLvl w:val="9"/>
        <w:rPr>
          <w:rFonts w:ascii="Arial Narrow" w:eastAsia="Times New Roman" w:hAnsi="Arial Narrow" w:cs="Arial"/>
          <w:color w:val="000000"/>
          <w:position w:val="0"/>
          <w:lang w:val="es-MX" w:eastAsia="es-MX"/>
        </w:rPr>
      </w:pPr>
      <w:r w:rsidRPr="006418A2">
        <w:rPr>
          <w:rFonts w:ascii="Arial Narrow" w:eastAsia="Times New Roman" w:hAnsi="Arial Narrow" w:cs="Arial"/>
          <w:b/>
          <w:bCs/>
          <w:color w:val="000000"/>
          <w:position w:val="0"/>
          <w:lang w:val="es-MX" w:eastAsia="es-MX"/>
        </w:rPr>
        <w:lastRenderedPageBreak/>
        <w:t>NOTA: </w:t>
      </w:r>
      <w:r w:rsidRPr="006418A2">
        <w:rPr>
          <w:rFonts w:ascii="Arial Narrow" w:eastAsia="Times New Roman" w:hAnsi="Arial Narrow" w:cs="Arial"/>
          <w:color w:val="000000"/>
          <w:position w:val="0"/>
          <w:lang w:val="es-MX" w:eastAsia="es-MX"/>
        </w:rPr>
        <w:t>Los estados financieros de las sociedades extranjeras deben ser presentados con la fecha de corte establecida de acuerdo con la normatividad del país de origen.</w:t>
      </w:r>
    </w:p>
    <w:p w14:paraId="242DAF81" w14:textId="77777777" w:rsidR="00E97739" w:rsidRPr="006418A2" w:rsidRDefault="00E97739" w:rsidP="00E97739">
      <w:pPr>
        <w:shd w:val="clear" w:color="auto" w:fill="FFFFFF"/>
        <w:suppressAutoHyphens w:val="0"/>
        <w:spacing w:after="0" w:line="240" w:lineRule="auto"/>
        <w:ind w:leftChars="0" w:left="0" w:firstLineChars="0" w:firstLine="0"/>
        <w:jc w:val="both"/>
        <w:textDirection w:val="lrTb"/>
        <w:textAlignment w:val="auto"/>
        <w:outlineLvl w:val="9"/>
        <w:rPr>
          <w:rFonts w:ascii="Arial Narrow" w:eastAsia="Times New Roman" w:hAnsi="Arial Narrow" w:cs="Arial"/>
          <w:color w:val="000000"/>
          <w:position w:val="0"/>
          <w:lang w:val="es-MX" w:eastAsia="es-MX"/>
        </w:rPr>
      </w:pPr>
      <w:r w:rsidRPr="006418A2">
        <w:rPr>
          <w:rFonts w:ascii="Arial Narrow" w:eastAsia="Times New Roman" w:hAnsi="Arial Narrow" w:cs="Arial"/>
          <w:color w:val="000000"/>
          <w:position w:val="0"/>
          <w:lang w:val="es-MX" w:eastAsia="es-MX"/>
        </w:rPr>
        <w:t> </w:t>
      </w:r>
    </w:p>
    <w:p w14:paraId="07B2B51E" w14:textId="77777777" w:rsidR="00E97739" w:rsidRPr="006418A2" w:rsidRDefault="00E97739" w:rsidP="00E97739">
      <w:pPr>
        <w:shd w:val="clear" w:color="auto" w:fill="FFFFFF"/>
        <w:suppressAutoHyphens w:val="0"/>
        <w:spacing w:after="0" w:line="240" w:lineRule="auto"/>
        <w:ind w:leftChars="0" w:left="0" w:firstLineChars="0" w:firstLine="0"/>
        <w:jc w:val="both"/>
        <w:textDirection w:val="lrTb"/>
        <w:textAlignment w:val="auto"/>
        <w:outlineLvl w:val="9"/>
        <w:rPr>
          <w:rFonts w:ascii="Arial Narrow" w:eastAsia="Times New Roman" w:hAnsi="Arial Narrow" w:cs="Arial"/>
          <w:color w:val="000000"/>
          <w:position w:val="0"/>
          <w:lang w:val="es-MX" w:eastAsia="es-MX"/>
        </w:rPr>
      </w:pPr>
      <w:r w:rsidRPr="006418A2">
        <w:rPr>
          <w:rFonts w:ascii="Arial Narrow" w:eastAsia="Times New Roman" w:hAnsi="Arial Narrow" w:cs="Arial"/>
          <w:color w:val="000000"/>
          <w:position w:val="0"/>
          <w:lang w:val="es-MX" w:eastAsia="es-MX"/>
        </w:rPr>
        <w:t>Los estados financieros de proponentes extranjeros convertidos a pesos colombianos deben ser firmados por un contador habilitado en Colombia, para lo cual debe incluirse fotocopia de la tarjeta profesional y certificado de antecedentes disciplinarios vigentes.</w:t>
      </w:r>
    </w:p>
    <w:p w14:paraId="6DDAFDC9" w14:textId="77777777" w:rsidR="00E97739" w:rsidRPr="006418A2" w:rsidRDefault="00E97739" w:rsidP="00E97739">
      <w:pPr>
        <w:widowControl w:val="0"/>
        <w:spacing w:after="0" w:line="240" w:lineRule="auto"/>
        <w:ind w:leftChars="0" w:left="0" w:firstLineChars="0" w:firstLine="0"/>
        <w:jc w:val="both"/>
        <w:rPr>
          <w:rFonts w:ascii="Arial Narrow" w:eastAsia="Arial Narrow" w:hAnsi="Arial Narrow" w:cs="Arial Narrow"/>
          <w:sz w:val="23"/>
          <w:szCs w:val="23"/>
          <w:highlight w:val="yellow"/>
        </w:rPr>
      </w:pPr>
    </w:p>
    <w:p w14:paraId="05470993" w14:textId="77777777" w:rsidR="008745D1" w:rsidRPr="006418A2" w:rsidRDefault="00062AC1">
      <w:pPr>
        <w:widowControl w:val="0"/>
        <w:spacing w:after="0" w:line="240" w:lineRule="auto"/>
        <w:ind w:left="0" w:hanging="2"/>
        <w:jc w:val="both"/>
        <w:rPr>
          <w:rFonts w:ascii="Arial Narrow" w:eastAsia="Arial Narrow" w:hAnsi="Arial Narrow" w:cs="Arial Narrow"/>
          <w:b/>
          <w:sz w:val="23"/>
          <w:szCs w:val="23"/>
        </w:rPr>
      </w:pPr>
      <w:r w:rsidRPr="006418A2">
        <w:rPr>
          <w:rFonts w:ascii="Arial Narrow" w:eastAsia="Arial Narrow" w:hAnsi="Arial Narrow" w:cs="Arial Narrow"/>
          <w:b/>
          <w:sz w:val="23"/>
          <w:szCs w:val="23"/>
        </w:rPr>
        <w:t>5.2.2 Condición de Mipyme como criterio diferencial.</w:t>
      </w:r>
    </w:p>
    <w:p w14:paraId="11470221" w14:textId="77777777" w:rsidR="008745D1" w:rsidRPr="006418A2" w:rsidRDefault="008745D1">
      <w:pPr>
        <w:widowControl w:val="0"/>
        <w:spacing w:after="0" w:line="240" w:lineRule="auto"/>
        <w:ind w:left="0" w:hanging="2"/>
        <w:jc w:val="both"/>
        <w:rPr>
          <w:rFonts w:ascii="Arial Narrow" w:eastAsia="Arial Narrow" w:hAnsi="Arial Narrow" w:cs="Arial Narrow"/>
          <w:b/>
          <w:sz w:val="23"/>
          <w:szCs w:val="23"/>
        </w:rPr>
      </w:pPr>
    </w:p>
    <w:p w14:paraId="6C296887" w14:textId="77777777" w:rsidR="008745D1" w:rsidRPr="006418A2" w:rsidRDefault="00062AC1">
      <w:pPr>
        <w:spacing w:line="240" w:lineRule="auto"/>
        <w:ind w:left="0" w:hanging="2"/>
        <w:jc w:val="both"/>
        <w:rPr>
          <w:rFonts w:ascii="Arial Narrow" w:eastAsia="Arial Narrow" w:hAnsi="Arial Narrow" w:cs="Arial Narrow"/>
          <w:sz w:val="23"/>
          <w:szCs w:val="23"/>
        </w:rPr>
      </w:pPr>
      <w:bookmarkStart w:id="62" w:name="_heading=h.2lwamvv" w:colFirst="0" w:colLast="0"/>
      <w:bookmarkEnd w:id="62"/>
      <w:r w:rsidRPr="006418A2">
        <w:rPr>
          <w:rFonts w:ascii="Arial Narrow" w:eastAsia="Arial Narrow" w:hAnsi="Arial Narrow" w:cs="Arial Narrow"/>
          <w:sz w:val="23"/>
          <w:szCs w:val="23"/>
        </w:rPr>
        <w:t>El tamaño de la empresa se verificará según lo establecido en la Ley 590 de 2000 y el Decreto 1074 de 2015, o las normas que lo modifiquen, sustituyan o complementen.</w:t>
      </w:r>
    </w:p>
    <w:p w14:paraId="0B9BFA42" w14:textId="77777777" w:rsidR="008745D1" w:rsidRPr="006418A2"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6418A2">
        <w:rPr>
          <w:rFonts w:ascii="Arial Narrow" w:eastAsia="Arial Narrow" w:hAnsi="Arial Narrow" w:cs="Arial Narrow"/>
          <w:b/>
          <w:color w:val="000000"/>
          <w:sz w:val="23"/>
          <w:szCs w:val="23"/>
        </w:rPr>
        <w:t xml:space="preserve">5.3. Capacidad Técnica. </w:t>
      </w:r>
    </w:p>
    <w:p w14:paraId="79DC6926" w14:textId="77777777" w:rsidR="008745D1" w:rsidRPr="006418A2"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63" w:name="_heading=h.3l18frh" w:colFirst="0" w:colLast="0"/>
      <w:bookmarkEnd w:id="63"/>
    </w:p>
    <w:p w14:paraId="17BAD955" w14:textId="77777777" w:rsidR="008745D1" w:rsidRPr="006418A2"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sz w:val="23"/>
          <w:szCs w:val="23"/>
        </w:rPr>
      </w:pPr>
      <w:r w:rsidRPr="006418A2">
        <w:rPr>
          <w:rFonts w:ascii="Arial Narrow" w:eastAsia="Arial Narrow" w:hAnsi="Arial Narrow" w:cs="Arial Narrow"/>
          <w:b/>
          <w:sz w:val="23"/>
          <w:szCs w:val="23"/>
        </w:rPr>
        <w:t>5.3.1. Experiencia</w:t>
      </w:r>
    </w:p>
    <w:p w14:paraId="76305589" w14:textId="77777777" w:rsidR="008745D1" w:rsidRPr="006418A2"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21B2F69A" w14:textId="77777777" w:rsidR="00A17008" w:rsidRPr="006418A2" w:rsidRDefault="00A17008" w:rsidP="00A17008">
      <w:pPr>
        <w:ind w:left="0" w:hanging="2"/>
        <w:jc w:val="both"/>
        <w:rPr>
          <w:rFonts w:ascii="Arial Narrow" w:eastAsia="Arial" w:hAnsi="Arial Narrow" w:cs="Times New Roman"/>
          <w:lang w:val="es-ES"/>
        </w:rPr>
      </w:pPr>
      <w:r w:rsidRPr="006418A2">
        <w:rPr>
          <w:rFonts w:ascii="Arial Narrow" w:eastAsia="Arial" w:hAnsi="Arial Narrow" w:cs="Times New Roman"/>
          <w:lang w:val="es-ES"/>
        </w:rPr>
        <w:t xml:space="preserve">El oferente deberá acreditar en el Registro Único de Proponentes la ejecución de hasta ocho (8) </w:t>
      </w:r>
      <w:r w:rsidRPr="006418A2">
        <w:rPr>
          <w:rFonts w:ascii="Arial Narrow" w:eastAsia="Arial" w:hAnsi="Arial Narrow" w:cs="Times New Roman"/>
          <w:highlight w:val="white"/>
          <w:lang w:val="es-ES"/>
        </w:rPr>
        <w:t xml:space="preserve">contratos ejecutados, identificados con cualquiera, o con la sumatoria de los códigos del Clasificador de Bienes y Servicios de Naciones Unidas relacionados en la tabla No 3 del presente documento, </w:t>
      </w:r>
      <w:r w:rsidRPr="006418A2">
        <w:rPr>
          <w:rFonts w:ascii="Arial Narrow" w:eastAsia="Arial" w:hAnsi="Arial Narrow" w:cs="Times New Roman"/>
          <w:lang w:val="es-ES"/>
        </w:rPr>
        <w:t>una experiencia igual o mayor a 38.712 SMLMV, cuyo objeto sea la implementación de servicios de mesa de ayuda, mesa de servicios de TI o puntos únicos de atención en TI, mantenimiento tecnológico, gestión de incidentes, gestión de requerimientos, centro de servicios, Service Desk o Help Desk, soporte técnico o administración de servicios tecnológicos y que incluya las siguientes actividades:</w:t>
      </w:r>
    </w:p>
    <w:p w14:paraId="6A6C165C" w14:textId="696491B2" w:rsidR="00A17008" w:rsidRPr="006418A2" w:rsidRDefault="00A17008" w:rsidP="00A17008">
      <w:pPr>
        <w:pStyle w:val="Prrafodelista"/>
        <w:widowControl w:val="0"/>
        <w:numPr>
          <w:ilvl w:val="0"/>
          <w:numId w:val="33"/>
        </w:numPr>
        <w:suppressAutoHyphens w:val="0"/>
        <w:spacing w:after="200" w:line="276" w:lineRule="auto"/>
        <w:ind w:leftChars="0" w:firstLineChars="0"/>
        <w:textDirection w:val="lrTb"/>
        <w:textAlignment w:val="auto"/>
        <w:outlineLvl w:val="9"/>
        <w:rPr>
          <w:rFonts w:ascii="Arial Narrow" w:eastAsia="Arial Narrow" w:hAnsi="Arial Narrow" w:cs="Arial Narrow"/>
          <w:b/>
          <w:lang w:val="es-ES"/>
        </w:rPr>
      </w:pPr>
      <w:r w:rsidRPr="006418A2">
        <w:rPr>
          <w:rFonts w:ascii="Arial Narrow" w:eastAsia="Arial" w:hAnsi="Arial Narrow" w:cs="Times New Roman"/>
          <w:lang w:val="es-ES"/>
        </w:rPr>
        <w:t>Atención en Mesa y en Sitio a mínimo quince mil (15.000) usuarios a nivel nacional.</w:t>
      </w:r>
    </w:p>
    <w:p w14:paraId="3B2F4DA5" w14:textId="77777777" w:rsidR="00A17008" w:rsidRPr="006418A2" w:rsidRDefault="00A17008" w:rsidP="00A17008">
      <w:pPr>
        <w:pStyle w:val="Prrafodelista"/>
        <w:numPr>
          <w:ilvl w:val="0"/>
          <w:numId w:val="33"/>
        </w:numPr>
        <w:suppressAutoHyphens w:val="0"/>
        <w:spacing w:after="200" w:line="276" w:lineRule="auto"/>
        <w:ind w:leftChars="0" w:left="0" w:firstLineChars="0" w:hanging="2"/>
        <w:jc w:val="both"/>
        <w:textDirection w:val="lrTb"/>
        <w:textAlignment w:val="auto"/>
        <w:outlineLvl w:val="9"/>
        <w:rPr>
          <w:rFonts w:ascii="Arial Narrow" w:eastAsia="Arial" w:hAnsi="Arial Narrow" w:cs="Times New Roman"/>
          <w:lang w:val="es-ES"/>
        </w:rPr>
      </w:pPr>
      <w:r w:rsidRPr="006418A2">
        <w:rPr>
          <w:rFonts w:ascii="Arial Narrow" w:eastAsia="Arial" w:hAnsi="Arial Narrow" w:cs="Times New Roman"/>
          <w:lang w:val="es-ES"/>
        </w:rPr>
        <w:t>Soporte y mantenimiento preventivo en sitio a los equipos de tecnológicos a nivel nacional.</w:t>
      </w:r>
    </w:p>
    <w:p w14:paraId="20C290E7" w14:textId="77777777" w:rsidR="00A17008" w:rsidRPr="006418A2" w:rsidRDefault="00A17008" w:rsidP="00A17008">
      <w:pPr>
        <w:pStyle w:val="Prrafodelista"/>
        <w:numPr>
          <w:ilvl w:val="0"/>
          <w:numId w:val="33"/>
        </w:numPr>
        <w:suppressAutoHyphens w:val="0"/>
        <w:spacing w:after="200" w:line="276" w:lineRule="auto"/>
        <w:ind w:leftChars="0" w:left="0" w:firstLineChars="0" w:hanging="2"/>
        <w:jc w:val="both"/>
        <w:textDirection w:val="lrTb"/>
        <w:textAlignment w:val="auto"/>
        <w:outlineLvl w:val="9"/>
        <w:rPr>
          <w:rFonts w:ascii="Arial Narrow" w:eastAsia="Arial" w:hAnsi="Arial Narrow" w:cs="Times New Roman"/>
          <w:lang w:val="es-ES"/>
        </w:rPr>
      </w:pPr>
      <w:r w:rsidRPr="006418A2">
        <w:rPr>
          <w:rFonts w:ascii="Arial Narrow" w:eastAsia="Arial" w:hAnsi="Arial Narrow" w:cs="Times New Roman"/>
          <w:lang w:val="es-ES"/>
        </w:rPr>
        <w:t>Administración de herramientas de gestión de servicios</w:t>
      </w:r>
    </w:p>
    <w:p w14:paraId="633DBF37" w14:textId="77777777" w:rsidR="00A17008" w:rsidRPr="006418A2" w:rsidRDefault="00A17008" w:rsidP="00A17008">
      <w:pPr>
        <w:pStyle w:val="Prrafodelista"/>
        <w:numPr>
          <w:ilvl w:val="0"/>
          <w:numId w:val="33"/>
        </w:numPr>
        <w:suppressAutoHyphens w:val="0"/>
        <w:spacing w:after="200" w:line="276" w:lineRule="auto"/>
        <w:ind w:leftChars="0" w:left="0" w:firstLineChars="0" w:hanging="2"/>
        <w:jc w:val="both"/>
        <w:textDirection w:val="lrTb"/>
        <w:textAlignment w:val="auto"/>
        <w:outlineLvl w:val="9"/>
        <w:rPr>
          <w:rFonts w:ascii="Arial Narrow" w:eastAsia="Arial" w:hAnsi="Arial Narrow" w:cs="Times New Roman"/>
          <w:lang w:val="es-ES"/>
        </w:rPr>
      </w:pPr>
      <w:r w:rsidRPr="006418A2">
        <w:rPr>
          <w:rFonts w:ascii="Arial Narrow" w:eastAsia="Arial" w:hAnsi="Arial Narrow" w:cs="Times New Roman"/>
          <w:lang w:val="es-ES"/>
        </w:rPr>
        <w:t>Servicios prestados con implementación bajo la metodología de ITIL V3, V4 o superior</w:t>
      </w:r>
    </w:p>
    <w:p w14:paraId="00890A04" w14:textId="7368612A" w:rsidR="00A17008" w:rsidRPr="006418A2" w:rsidRDefault="00A17008" w:rsidP="00A17008">
      <w:pPr>
        <w:pStyle w:val="Prrafodelista"/>
        <w:widowControl w:val="0"/>
        <w:numPr>
          <w:ilvl w:val="0"/>
          <w:numId w:val="33"/>
        </w:numPr>
        <w:suppressAutoHyphens w:val="0"/>
        <w:spacing w:after="200" w:line="276" w:lineRule="auto"/>
        <w:ind w:leftChars="0" w:firstLineChars="0"/>
        <w:textDirection w:val="lrTb"/>
        <w:textAlignment w:val="auto"/>
        <w:outlineLvl w:val="9"/>
        <w:rPr>
          <w:rFonts w:ascii="Arial Narrow" w:eastAsia="Arial Narrow" w:hAnsi="Arial Narrow" w:cs="Arial Narrow"/>
          <w:b/>
          <w:lang w:val="es-ES"/>
        </w:rPr>
      </w:pPr>
      <w:r w:rsidRPr="006418A2">
        <w:rPr>
          <w:rFonts w:ascii="Arial Narrow" w:eastAsia="Arial" w:hAnsi="Arial Narrow" w:cs="Times New Roman"/>
          <w:lang w:val="es-ES"/>
        </w:rPr>
        <w:t>Implementación, soporte y mantenimiento de herramienta ITSM</w:t>
      </w:r>
    </w:p>
    <w:p w14:paraId="563D88DB" w14:textId="2C34FDD1" w:rsidR="008745D1" w:rsidRPr="006418A2" w:rsidRDefault="00062AC1">
      <w:pPr>
        <w:widowControl w:val="0"/>
        <w:ind w:left="0" w:hanging="2"/>
        <w:jc w:val="center"/>
        <w:rPr>
          <w:rFonts w:ascii="Arial Narrow" w:eastAsia="Arial Narrow" w:hAnsi="Arial Narrow" w:cs="Arial Narrow"/>
          <w:b/>
        </w:rPr>
      </w:pPr>
      <w:r w:rsidRPr="006418A2">
        <w:rPr>
          <w:rFonts w:ascii="Arial Narrow" w:eastAsia="Arial Narrow" w:hAnsi="Arial Narrow" w:cs="Arial Narrow"/>
          <w:b/>
        </w:rPr>
        <w:t>Tabla - Experiencia requerida</w:t>
      </w:r>
    </w:p>
    <w:tbl>
      <w:tblPr>
        <w:tblW w:w="9923" w:type="dxa"/>
        <w:tblInd w:w="-28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978"/>
        <w:gridCol w:w="4677"/>
        <w:gridCol w:w="2268"/>
      </w:tblGrid>
      <w:tr w:rsidR="00A17008" w:rsidRPr="006418A2" w14:paraId="7CC5B1BB" w14:textId="77777777" w:rsidTr="00D75F8C">
        <w:trPr>
          <w:trHeight w:val="273"/>
        </w:trPr>
        <w:tc>
          <w:tcPr>
            <w:tcW w:w="2978" w:type="dxa"/>
            <w:shd w:val="clear" w:color="auto" w:fill="F2F2F2" w:themeFill="background1" w:themeFillShade="F2"/>
            <w:vAlign w:val="center"/>
          </w:tcPr>
          <w:p w14:paraId="7A545323" w14:textId="77777777" w:rsidR="00A17008" w:rsidRPr="006418A2" w:rsidRDefault="00A17008" w:rsidP="00D75F8C">
            <w:pPr>
              <w:ind w:left="0" w:hanging="2"/>
              <w:jc w:val="center"/>
              <w:rPr>
                <w:rFonts w:ascii="Arial Narrow" w:eastAsia="Arial" w:hAnsi="Arial Narrow" w:cs="Times New Roman"/>
                <w:b/>
                <w:sz w:val="18"/>
                <w:szCs w:val="18"/>
              </w:rPr>
            </w:pPr>
            <w:r w:rsidRPr="006418A2">
              <w:rPr>
                <w:rFonts w:ascii="Arial Narrow" w:eastAsia="Arial" w:hAnsi="Arial Narrow" w:cs="Times New Roman"/>
                <w:b/>
                <w:sz w:val="20"/>
                <w:szCs w:val="20"/>
              </w:rPr>
              <w:t>Contrato – Código del Clasificador de Bienes y Servicios</w:t>
            </w:r>
          </w:p>
        </w:tc>
        <w:tc>
          <w:tcPr>
            <w:tcW w:w="4677" w:type="dxa"/>
            <w:shd w:val="clear" w:color="auto" w:fill="F2F2F2" w:themeFill="background1" w:themeFillShade="F2"/>
            <w:vAlign w:val="center"/>
          </w:tcPr>
          <w:p w14:paraId="10065EA7" w14:textId="77777777" w:rsidR="00A17008" w:rsidRPr="006418A2" w:rsidRDefault="00A17008" w:rsidP="00D75F8C">
            <w:pPr>
              <w:ind w:left="0" w:hanging="2"/>
              <w:jc w:val="center"/>
              <w:rPr>
                <w:rFonts w:ascii="Arial Narrow" w:eastAsia="Arial" w:hAnsi="Arial Narrow" w:cs="Times New Roman"/>
                <w:b/>
                <w:sz w:val="18"/>
                <w:szCs w:val="18"/>
              </w:rPr>
            </w:pPr>
            <w:r w:rsidRPr="006418A2">
              <w:rPr>
                <w:rFonts w:ascii="Arial Narrow" w:eastAsia="Arial" w:hAnsi="Arial Narrow" w:cs="Times New Roman"/>
                <w:b/>
                <w:color w:val="000000"/>
                <w:sz w:val="20"/>
                <w:szCs w:val="20"/>
              </w:rPr>
              <w:t>Descripción</w:t>
            </w:r>
          </w:p>
        </w:tc>
        <w:tc>
          <w:tcPr>
            <w:tcW w:w="2268" w:type="dxa"/>
            <w:shd w:val="clear" w:color="auto" w:fill="F2F2F2" w:themeFill="background1" w:themeFillShade="F2"/>
            <w:vAlign w:val="center"/>
          </w:tcPr>
          <w:p w14:paraId="5F69E6BC" w14:textId="77777777" w:rsidR="00A17008" w:rsidRPr="006418A2" w:rsidRDefault="00A17008" w:rsidP="00D75F8C">
            <w:pPr>
              <w:ind w:left="0" w:hanging="2"/>
              <w:jc w:val="center"/>
              <w:rPr>
                <w:rFonts w:ascii="Arial Narrow" w:eastAsia="Arial" w:hAnsi="Arial Narrow" w:cs="Times New Roman"/>
                <w:b/>
                <w:sz w:val="18"/>
                <w:szCs w:val="18"/>
              </w:rPr>
            </w:pPr>
            <w:r w:rsidRPr="006418A2">
              <w:rPr>
                <w:rFonts w:ascii="Arial Narrow" w:eastAsia="Arial" w:hAnsi="Arial Narrow" w:cs="Times New Roman"/>
                <w:b/>
                <w:sz w:val="20"/>
                <w:szCs w:val="20"/>
              </w:rPr>
              <w:t>Cuantía - SMMLV</w:t>
            </w:r>
          </w:p>
        </w:tc>
      </w:tr>
      <w:tr w:rsidR="00A17008" w:rsidRPr="006418A2" w14:paraId="028F0CEC" w14:textId="77777777" w:rsidTr="00D75F8C">
        <w:trPr>
          <w:trHeight w:val="370"/>
        </w:trPr>
        <w:tc>
          <w:tcPr>
            <w:tcW w:w="2978" w:type="dxa"/>
            <w:shd w:val="clear" w:color="auto" w:fill="FFFFFF" w:themeFill="background1"/>
            <w:vAlign w:val="center"/>
          </w:tcPr>
          <w:p w14:paraId="4740414E"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80101600</w:t>
            </w:r>
          </w:p>
        </w:tc>
        <w:tc>
          <w:tcPr>
            <w:tcW w:w="4677" w:type="dxa"/>
            <w:shd w:val="clear" w:color="auto" w:fill="FFFFFF" w:themeFill="background1"/>
            <w:vAlign w:val="center"/>
          </w:tcPr>
          <w:p w14:paraId="0716163F"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Gerencia de proyectos</w:t>
            </w:r>
          </w:p>
        </w:tc>
        <w:tc>
          <w:tcPr>
            <w:tcW w:w="2268" w:type="dxa"/>
            <w:vMerge w:val="restart"/>
            <w:shd w:val="clear" w:color="auto" w:fill="FFFFFF" w:themeFill="background1"/>
            <w:vAlign w:val="center"/>
          </w:tcPr>
          <w:p w14:paraId="7560183F"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eastAsia="Arial" w:hAnsi="Arial Narrow" w:cs="Times New Roman"/>
              </w:rPr>
              <w:t>38.712 SMMLV</w:t>
            </w:r>
          </w:p>
        </w:tc>
      </w:tr>
      <w:tr w:rsidR="00A17008" w:rsidRPr="006418A2" w14:paraId="719F913B" w14:textId="77777777" w:rsidTr="00D75F8C">
        <w:trPr>
          <w:trHeight w:val="417"/>
        </w:trPr>
        <w:tc>
          <w:tcPr>
            <w:tcW w:w="2978" w:type="dxa"/>
            <w:shd w:val="clear" w:color="auto" w:fill="FFFFFF" w:themeFill="background1"/>
            <w:vAlign w:val="center"/>
          </w:tcPr>
          <w:p w14:paraId="44EF59BB"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81111800</w:t>
            </w:r>
          </w:p>
        </w:tc>
        <w:tc>
          <w:tcPr>
            <w:tcW w:w="4677" w:type="dxa"/>
            <w:shd w:val="clear" w:color="auto" w:fill="FFFFFF" w:themeFill="background1"/>
            <w:vAlign w:val="center"/>
          </w:tcPr>
          <w:p w14:paraId="2D5223EB"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Servicios de sistemas y administración de componentes de sistemas.</w:t>
            </w:r>
          </w:p>
        </w:tc>
        <w:tc>
          <w:tcPr>
            <w:tcW w:w="2268" w:type="dxa"/>
            <w:vMerge/>
            <w:vAlign w:val="center"/>
          </w:tcPr>
          <w:p w14:paraId="4338B5B4" w14:textId="77777777" w:rsidR="00A17008" w:rsidRPr="006418A2" w:rsidRDefault="00A17008" w:rsidP="00D75F8C">
            <w:pPr>
              <w:ind w:left="0" w:hanging="2"/>
              <w:jc w:val="center"/>
              <w:rPr>
                <w:rFonts w:ascii="Arial Narrow" w:eastAsia="Arial" w:hAnsi="Arial Narrow" w:cs="Times New Roman"/>
                <w:sz w:val="18"/>
                <w:szCs w:val="18"/>
              </w:rPr>
            </w:pPr>
          </w:p>
        </w:tc>
      </w:tr>
      <w:tr w:rsidR="00A17008" w:rsidRPr="006418A2" w14:paraId="188B3CE4" w14:textId="77777777" w:rsidTr="00D75F8C">
        <w:trPr>
          <w:trHeight w:val="417"/>
        </w:trPr>
        <w:tc>
          <w:tcPr>
            <w:tcW w:w="2978" w:type="dxa"/>
            <w:shd w:val="clear" w:color="auto" w:fill="FFFFFF" w:themeFill="background1"/>
            <w:vAlign w:val="center"/>
          </w:tcPr>
          <w:p w14:paraId="11937248"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81112200</w:t>
            </w:r>
          </w:p>
        </w:tc>
        <w:tc>
          <w:tcPr>
            <w:tcW w:w="4677" w:type="dxa"/>
            <w:shd w:val="clear" w:color="auto" w:fill="FFFFFF" w:themeFill="background1"/>
            <w:vAlign w:val="center"/>
          </w:tcPr>
          <w:p w14:paraId="6093F2B8"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Mantenimiento y soporte de software</w:t>
            </w:r>
          </w:p>
        </w:tc>
        <w:tc>
          <w:tcPr>
            <w:tcW w:w="2268" w:type="dxa"/>
            <w:vMerge/>
            <w:vAlign w:val="center"/>
          </w:tcPr>
          <w:p w14:paraId="26D37063" w14:textId="77777777" w:rsidR="00A17008" w:rsidRPr="006418A2" w:rsidRDefault="00A17008" w:rsidP="00D75F8C">
            <w:pPr>
              <w:ind w:left="0" w:hanging="2"/>
              <w:jc w:val="center"/>
              <w:rPr>
                <w:rFonts w:ascii="Arial Narrow" w:eastAsia="Arial" w:hAnsi="Arial Narrow" w:cs="Times New Roman"/>
                <w:sz w:val="18"/>
                <w:szCs w:val="18"/>
              </w:rPr>
            </w:pPr>
          </w:p>
        </w:tc>
      </w:tr>
      <w:tr w:rsidR="00A17008" w:rsidRPr="006418A2" w14:paraId="5DA15DED" w14:textId="77777777" w:rsidTr="00D75F8C">
        <w:trPr>
          <w:trHeight w:val="489"/>
        </w:trPr>
        <w:tc>
          <w:tcPr>
            <w:tcW w:w="2978" w:type="dxa"/>
            <w:shd w:val="clear" w:color="auto" w:fill="FFFFFF" w:themeFill="background1"/>
            <w:vAlign w:val="center"/>
          </w:tcPr>
          <w:p w14:paraId="30ABAFC6"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81112300</w:t>
            </w:r>
          </w:p>
        </w:tc>
        <w:tc>
          <w:tcPr>
            <w:tcW w:w="4677" w:type="dxa"/>
            <w:shd w:val="clear" w:color="auto" w:fill="FFFFFF" w:themeFill="background1"/>
            <w:vAlign w:val="center"/>
          </w:tcPr>
          <w:p w14:paraId="45831A91"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Mantenimiento y soporte de hardware de computador</w:t>
            </w:r>
          </w:p>
        </w:tc>
        <w:tc>
          <w:tcPr>
            <w:tcW w:w="2268" w:type="dxa"/>
            <w:vMerge/>
            <w:vAlign w:val="center"/>
          </w:tcPr>
          <w:p w14:paraId="519F0C22" w14:textId="77777777" w:rsidR="00A17008" w:rsidRPr="006418A2" w:rsidRDefault="00A17008" w:rsidP="00D75F8C">
            <w:pPr>
              <w:ind w:left="0" w:hanging="2"/>
              <w:jc w:val="center"/>
              <w:rPr>
                <w:rFonts w:ascii="Arial Narrow" w:eastAsia="Arial" w:hAnsi="Arial Narrow" w:cs="Times New Roman"/>
                <w:sz w:val="18"/>
                <w:szCs w:val="18"/>
              </w:rPr>
            </w:pPr>
          </w:p>
        </w:tc>
      </w:tr>
      <w:tr w:rsidR="00A17008" w:rsidRPr="006418A2" w14:paraId="5E0B8730" w14:textId="77777777" w:rsidTr="00D75F8C">
        <w:trPr>
          <w:trHeight w:val="417"/>
        </w:trPr>
        <w:tc>
          <w:tcPr>
            <w:tcW w:w="2978" w:type="dxa"/>
            <w:shd w:val="clear" w:color="auto" w:fill="FFFFFF" w:themeFill="background1"/>
            <w:vAlign w:val="center"/>
          </w:tcPr>
          <w:p w14:paraId="129D2451"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81161700</w:t>
            </w:r>
          </w:p>
        </w:tc>
        <w:tc>
          <w:tcPr>
            <w:tcW w:w="4677" w:type="dxa"/>
            <w:shd w:val="clear" w:color="auto" w:fill="FFFFFF" w:themeFill="background1"/>
            <w:vAlign w:val="center"/>
          </w:tcPr>
          <w:p w14:paraId="3186FB63"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Servicios de telecomunicaciones</w:t>
            </w:r>
          </w:p>
        </w:tc>
        <w:tc>
          <w:tcPr>
            <w:tcW w:w="2268" w:type="dxa"/>
            <w:vMerge/>
            <w:vAlign w:val="center"/>
          </w:tcPr>
          <w:p w14:paraId="2266D524" w14:textId="77777777" w:rsidR="00A17008" w:rsidRPr="006418A2" w:rsidRDefault="00A17008" w:rsidP="00D75F8C">
            <w:pPr>
              <w:ind w:left="0" w:hanging="2"/>
              <w:jc w:val="center"/>
              <w:rPr>
                <w:rFonts w:ascii="Arial Narrow" w:eastAsia="Arial" w:hAnsi="Arial Narrow" w:cs="Times New Roman"/>
                <w:sz w:val="18"/>
                <w:szCs w:val="18"/>
              </w:rPr>
            </w:pPr>
          </w:p>
        </w:tc>
      </w:tr>
      <w:tr w:rsidR="00A17008" w:rsidRPr="006418A2" w14:paraId="04B6AAA9" w14:textId="77777777" w:rsidTr="00D75F8C">
        <w:trPr>
          <w:trHeight w:val="417"/>
        </w:trPr>
        <w:tc>
          <w:tcPr>
            <w:tcW w:w="2978" w:type="dxa"/>
            <w:shd w:val="clear" w:color="auto" w:fill="FFFFFF" w:themeFill="background1"/>
            <w:vAlign w:val="center"/>
          </w:tcPr>
          <w:p w14:paraId="7B4E36B8"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81111500</w:t>
            </w:r>
          </w:p>
        </w:tc>
        <w:tc>
          <w:tcPr>
            <w:tcW w:w="4677" w:type="dxa"/>
            <w:shd w:val="clear" w:color="auto" w:fill="FFFFFF" w:themeFill="background1"/>
            <w:vAlign w:val="center"/>
          </w:tcPr>
          <w:p w14:paraId="02961B79"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Ingeniería de Software o Hardware</w:t>
            </w:r>
          </w:p>
        </w:tc>
        <w:tc>
          <w:tcPr>
            <w:tcW w:w="2268" w:type="dxa"/>
            <w:vMerge/>
            <w:vAlign w:val="center"/>
          </w:tcPr>
          <w:p w14:paraId="53A8905A" w14:textId="77777777" w:rsidR="00A17008" w:rsidRPr="006418A2" w:rsidRDefault="00A17008" w:rsidP="00D75F8C">
            <w:pPr>
              <w:ind w:left="0" w:hanging="2"/>
              <w:jc w:val="center"/>
              <w:rPr>
                <w:rFonts w:ascii="Arial Narrow" w:eastAsia="Arial" w:hAnsi="Arial Narrow" w:cs="Times New Roman"/>
                <w:sz w:val="18"/>
                <w:szCs w:val="18"/>
              </w:rPr>
            </w:pPr>
          </w:p>
        </w:tc>
      </w:tr>
      <w:tr w:rsidR="00A17008" w:rsidRPr="006418A2" w14:paraId="4528B6F6" w14:textId="77777777" w:rsidTr="00D75F8C">
        <w:trPr>
          <w:trHeight w:val="417"/>
        </w:trPr>
        <w:tc>
          <w:tcPr>
            <w:tcW w:w="2978" w:type="dxa"/>
            <w:shd w:val="clear" w:color="auto" w:fill="FFFFFF" w:themeFill="background1"/>
            <w:vAlign w:val="center"/>
          </w:tcPr>
          <w:p w14:paraId="6EBDD754"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81111600</w:t>
            </w:r>
          </w:p>
        </w:tc>
        <w:tc>
          <w:tcPr>
            <w:tcW w:w="4677" w:type="dxa"/>
            <w:shd w:val="clear" w:color="auto" w:fill="FFFFFF" w:themeFill="background1"/>
            <w:vAlign w:val="center"/>
          </w:tcPr>
          <w:p w14:paraId="03FAABBA"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Programadores de Computador</w:t>
            </w:r>
          </w:p>
        </w:tc>
        <w:tc>
          <w:tcPr>
            <w:tcW w:w="2268" w:type="dxa"/>
            <w:vMerge/>
            <w:vAlign w:val="center"/>
          </w:tcPr>
          <w:p w14:paraId="429ABBF0" w14:textId="77777777" w:rsidR="00A17008" w:rsidRPr="006418A2" w:rsidRDefault="00A17008" w:rsidP="00D75F8C">
            <w:pPr>
              <w:ind w:left="0" w:hanging="2"/>
              <w:jc w:val="center"/>
              <w:rPr>
                <w:rFonts w:ascii="Arial Narrow" w:eastAsia="Arial" w:hAnsi="Arial Narrow" w:cs="Times New Roman"/>
                <w:sz w:val="18"/>
                <w:szCs w:val="18"/>
              </w:rPr>
            </w:pPr>
          </w:p>
        </w:tc>
      </w:tr>
      <w:tr w:rsidR="00A17008" w:rsidRPr="006418A2" w14:paraId="063619C5" w14:textId="77777777" w:rsidTr="00D75F8C">
        <w:trPr>
          <w:trHeight w:val="417"/>
        </w:trPr>
        <w:tc>
          <w:tcPr>
            <w:tcW w:w="2978" w:type="dxa"/>
            <w:shd w:val="clear" w:color="auto" w:fill="FFFFFF" w:themeFill="background1"/>
            <w:vAlign w:val="center"/>
          </w:tcPr>
          <w:p w14:paraId="45FFCDDD"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43231500</w:t>
            </w:r>
          </w:p>
        </w:tc>
        <w:tc>
          <w:tcPr>
            <w:tcW w:w="4677" w:type="dxa"/>
            <w:shd w:val="clear" w:color="auto" w:fill="FFFFFF" w:themeFill="background1"/>
            <w:vAlign w:val="center"/>
          </w:tcPr>
          <w:p w14:paraId="0189709B" w14:textId="77777777" w:rsidR="00A17008" w:rsidRPr="006418A2" w:rsidRDefault="00A17008" w:rsidP="00D75F8C">
            <w:pPr>
              <w:ind w:left="0" w:hanging="2"/>
              <w:jc w:val="center"/>
              <w:rPr>
                <w:rFonts w:ascii="Arial Narrow" w:eastAsia="Arial" w:hAnsi="Arial Narrow" w:cs="Times New Roman"/>
                <w:sz w:val="18"/>
                <w:szCs w:val="18"/>
              </w:rPr>
            </w:pPr>
            <w:r w:rsidRPr="006418A2">
              <w:rPr>
                <w:rFonts w:ascii="Arial Narrow" w:hAnsi="Arial Narrow" w:cs="Times New Roman"/>
              </w:rPr>
              <w:t>Software Funcional Específico de la Empresa</w:t>
            </w:r>
          </w:p>
        </w:tc>
        <w:tc>
          <w:tcPr>
            <w:tcW w:w="2268" w:type="dxa"/>
            <w:vMerge/>
            <w:vAlign w:val="center"/>
          </w:tcPr>
          <w:p w14:paraId="10B18B35" w14:textId="77777777" w:rsidR="00A17008" w:rsidRPr="006418A2" w:rsidRDefault="00A17008" w:rsidP="00D75F8C">
            <w:pPr>
              <w:ind w:left="0" w:hanging="2"/>
              <w:jc w:val="center"/>
              <w:rPr>
                <w:rFonts w:ascii="Arial Narrow" w:eastAsia="Arial" w:hAnsi="Arial Narrow" w:cs="Times New Roman"/>
                <w:sz w:val="18"/>
                <w:szCs w:val="18"/>
              </w:rPr>
            </w:pPr>
          </w:p>
        </w:tc>
      </w:tr>
    </w:tbl>
    <w:p w14:paraId="1CC2DAE5" w14:textId="77777777" w:rsidR="00A17008" w:rsidRPr="006418A2" w:rsidRDefault="00A17008">
      <w:pPr>
        <w:widowControl w:val="0"/>
        <w:ind w:left="0" w:hanging="2"/>
        <w:jc w:val="center"/>
        <w:rPr>
          <w:rFonts w:ascii="Arial Narrow" w:eastAsia="Arial Narrow" w:hAnsi="Arial Narrow" w:cs="Arial Narrow"/>
        </w:rPr>
      </w:pPr>
    </w:p>
    <w:p w14:paraId="33AAE1AA" w14:textId="77777777" w:rsidR="00A17008" w:rsidRPr="006418A2" w:rsidRDefault="00A17008" w:rsidP="00A17008">
      <w:pPr>
        <w:ind w:left="0" w:hanging="2"/>
        <w:jc w:val="both"/>
        <w:rPr>
          <w:rFonts w:ascii="Arial Narrow" w:eastAsia="Arial" w:hAnsi="Arial Narrow" w:cs="Times New Roman"/>
        </w:rPr>
      </w:pPr>
      <w:r w:rsidRPr="006418A2">
        <w:rPr>
          <w:rFonts w:ascii="Arial Narrow" w:eastAsia="Arial" w:hAnsi="Arial Narrow" w:cs="Times New Roman"/>
          <w:b/>
          <w:bCs/>
          <w:u w:val="single"/>
          <w:lang w:val="es-ES"/>
        </w:rPr>
        <w:t>CRITERIO HABILITANTE DIFERENCIAL EN FAVOR DE LOS EMPRENDIMIENTOS Y EMPRESAS DE PERSONAS CON DISCAPACIDAD</w:t>
      </w:r>
      <w:r w:rsidRPr="006418A2">
        <w:rPr>
          <w:rFonts w:ascii="Arial Narrow" w:eastAsia="Arial" w:hAnsi="Arial Narrow" w:cs="Times New Roman"/>
          <w:bCs/>
          <w:lang w:val="es-ES"/>
        </w:rPr>
        <w:t>.</w:t>
      </w:r>
      <w:r w:rsidRPr="006418A2">
        <w:rPr>
          <w:rFonts w:ascii="Arial Narrow" w:eastAsia="Arial" w:hAnsi="Arial Narrow" w:cs="Times New Roman"/>
          <w:bCs/>
        </w:rPr>
        <w:t> </w:t>
      </w:r>
    </w:p>
    <w:p w14:paraId="3CD27B7C" w14:textId="77777777" w:rsidR="00A17008" w:rsidRPr="006418A2" w:rsidRDefault="00A17008" w:rsidP="00A17008">
      <w:pPr>
        <w:ind w:left="0" w:hanging="2"/>
        <w:jc w:val="both"/>
        <w:rPr>
          <w:rFonts w:ascii="Arial Narrow" w:eastAsia="Arial" w:hAnsi="Arial Narrow" w:cs="Times New Roman"/>
          <w:bCs/>
        </w:rPr>
      </w:pPr>
      <w:r w:rsidRPr="006418A2">
        <w:rPr>
          <w:rFonts w:ascii="Arial Narrow" w:eastAsia="Arial" w:hAnsi="Arial Narrow" w:cs="Times New Roman"/>
          <w:bCs/>
          <w:lang w:val="es-ES"/>
        </w:rPr>
        <w:lastRenderedPageBreak/>
        <w:t>En cumplimento de lo establecido en el artículo 2.2.1.2.4.2.7.3 del Decreto 1082 de 2015, modificado por el artículo 1 del Decreto 0287 de 2026, si los proponentes acreditan su condición de </w:t>
      </w:r>
      <w:r w:rsidRPr="006418A2">
        <w:rPr>
          <w:rFonts w:ascii="Arial Narrow" w:eastAsia="Arial" w:hAnsi="Arial Narrow" w:cs="Times New Roman"/>
          <w:b/>
          <w:bCs/>
          <w:lang w:val="es-ES"/>
        </w:rPr>
        <w:t>Empresas de personas con discapacidad con domicilio en el territorio nacional,</w:t>
      </w:r>
      <w:r w:rsidRPr="006418A2">
        <w:rPr>
          <w:rFonts w:ascii="Arial Narrow" w:eastAsia="Arial" w:hAnsi="Arial Narrow" w:cs="Times New Roman"/>
          <w:bCs/>
          <w:lang w:val="es-ES"/>
        </w:rPr>
        <w:t> se dará aplicación al siguiente criterio diferencial: </w:t>
      </w:r>
      <w:r w:rsidRPr="006418A2">
        <w:rPr>
          <w:rFonts w:ascii="Arial Narrow" w:eastAsia="Arial" w:hAnsi="Arial Narrow" w:cs="Times New Roman"/>
          <w:bCs/>
        </w:rPr>
        <w:t> </w:t>
      </w:r>
    </w:p>
    <w:p w14:paraId="096CF13F" w14:textId="77777777" w:rsidR="00A17008" w:rsidRPr="006418A2" w:rsidRDefault="00A17008" w:rsidP="00A17008">
      <w:pPr>
        <w:ind w:left="0" w:hanging="2"/>
        <w:jc w:val="both"/>
        <w:rPr>
          <w:rFonts w:ascii="Arial Narrow" w:eastAsia="Arial" w:hAnsi="Arial Narrow" w:cs="Times New Roman"/>
        </w:rPr>
      </w:pPr>
      <w:r w:rsidRPr="006418A2">
        <w:rPr>
          <w:rFonts w:ascii="Arial Narrow" w:eastAsia="Arial" w:hAnsi="Arial Narrow" w:cs="Times New Roman"/>
          <w:bCs/>
          <w:lang w:val="es-ES"/>
        </w:rPr>
        <w:t xml:space="preserve">El oferente podrá acreditar en el Registro Único de Proponentes la ejecución de hasta </w:t>
      </w:r>
      <w:r w:rsidRPr="006418A2">
        <w:rPr>
          <w:rFonts w:ascii="Arial Narrow" w:eastAsia="Arial" w:hAnsi="Arial Narrow" w:cs="Times New Roman"/>
          <w:lang w:val="es-ES"/>
        </w:rPr>
        <w:t>diez (10</w:t>
      </w:r>
      <w:r w:rsidRPr="006418A2">
        <w:rPr>
          <w:rFonts w:ascii="Arial Narrow" w:eastAsia="Arial" w:hAnsi="Arial Narrow" w:cs="Times New Roman"/>
          <w:bCs/>
          <w:lang w:val="es-ES"/>
        </w:rPr>
        <w:t xml:space="preserve">) contratos, identificados con cualquiera, con alguna o con la sumatoria de los códigos del Clasificador de Bienes y Servicios de Naciones Unidas relacionados en la tabla del presente documento, que en conjunto representen una experiencia igual o superior a </w:t>
      </w:r>
      <w:r w:rsidRPr="006418A2">
        <w:rPr>
          <w:rFonts w:ascii="Arial Narrow" w:eastAsia="Arial" w:hAnsi="Arial Narrow" w:cs="Times New Roman"/>
        </w:rPr>
        <w:t>38.712 SMMLV, sin que se requiera superar dicho número de contratos cuyo objeto sea la implementación de servicios de mesa de ayuda, mesa de servicios de TI o puntos únicos de atención en TI, mantenimiento tecnológico, gestión de incidentes, gestión de requerimientos, centro de servicios, Service Desk o Help Desk, soporte técnico o administración de servicios tecnológicos y que incluya las siguientes actividades:</w:t>
      </w:r>
    </w:p>
    <w:p w14:paraId="5F220C63" w14:textId="77777777" w:rsidR="00A17008" w:rsidRPr="006418A2" w:rsidRDefault="00A17008" w:rsidP="00A17008">
      <w:pPr>
        <w:pStyle w:val="Prrafodelista"/>
        <w:numPr>
          <w:ilvl w:val="0"/>
          <w:numId w:val="33"/>
        </w:numPr>
        <w:suppressAutoHyphens w:val="0"/>
        <w:spacing w:after="200" w:line="276" w:lineRule="auto"/>
        <w:ind w:leftChars="0" w:left="0" w:firstLineChars="0" w:hanging="2"/>
        <w:jc w:val="both"/>
        <w:textDirection w:val="lrTb"/>
        <w:textAlignment w:val="auto"/>
        <w:outlineLvl w:val="9"/>
        <w:rPr>
          <w:rFonts w:ascii="Arial Narrow" w:eastAsia="Arial" w:hAnsi="Arial Narrow" w:cs="Times New Roman"/>
          <w:lang w:val="es-ES"/>
        </w:rPr>
      </w:pPr>
      <w:r w:rsidRPr="006418A2">
        <w:rPr>
          <w:rFonts w:ascii="Arial Narrow" w:eastAsia="Arial" w:hAnsi="Arial Narrow" w:cs="Times New Roman"/>
          <w:lang w:val="es-ES"/>
        </w:rPr>
        <w:t>Atención en Mesa y en Sitio a mínimo quince mil (15.000) usuarios a nivel nacional.</w:t>
      </w:r>
    </w:p>
    <w:p w14:paraId="38421625" w14:textId="77777777" w:rsidR="00A17008" w:rsidRPr="006418A2" w:rsidRDefault="00A17008" w:rsidP="00A17008">
      <w:pPr>
        <w:pStyle w:val="Prrafodelista"/>
        <w:numPr>
          <w:ilvl w:val="0"/>
          <w:numId w:val="33"/>
        </w:numPr>
        <w:suppressAutoHyphens w:val="0"/>
        <w:spacing w:after="200" w:line="276" w:lineRule="auto"/>
        <w:ind w:leftChars="0" w:left="0" w:firstLineChars="0" w:hanging="2"/>
        <w:jc w:val="both"/>
        <w:textDirection w:val="lrTb"/>
        <w:textAlignment w:val="auto"/>
        <w:outlineLvl w:val="9"/>
        <w:rPr>
          <w:rFonts w:ascii="Arial Narrow" w:eastAsia="Arial" w:hAnsi="Arial Narrow" w:cs="Times New Roman"/>
          <w:lang w:val="es-ES"/>
        </w:rPr>
      </w:pPr>
      <w:r w:rsidRPr="006418A2">
        <w:rPr>
          <w:rFonts w:ascii="Arial Narrow" w:eastAsia="Arial" w:hAnsi="Arial Narrow" w:cs="Times New Roman"/>
          <w:lang w:val="es-ES"/>
        </w:rPr>
        <w:t>Soporte y mantenimiento preventivo en sitio a los equipos de tecnológicos a nivel nacional.</w:t>
      </w:r>
    </w:p>
    <w:p w14:paraId="5A585DA9" w14:textId="77777777" w:rsidR="00A17008" w:rsidRPr="006418A2" w:rsidRDefault="00A17008" w:rsidP="00A17008">
      <w:pPr>
        <w:pStyle w:val="Prrafodelista"/>
        <w:numPr>
          <w:ilvl w:val="0"/>
          <w:numId w:val="33"/>
        </w:numPr>
        <w:suppressAutoHyphens w:val="0"/>
        <w:spacing w:after="200" w:line="276" w:lineRule="auto"/>
        <w:ind w:leftChars="0" w:left="0" w:firstLineChars="0" w:hanging="2"/>
        <w:jc w:val="both"/>
        <w:textDirection w:val="lrTb"/>
        <w:textAlignment w:val="auto"/>
        <w:outlineLvl w:val="9"/>
        <w:rPr>
          <w:rFonts w:ascii="Arial Narrow" w:eastAsia="Arial" w:hAnsi="Arial Narrow" w:cs="Times New Roman"/>
          <w:lang w:val="es-ES"/>
        </w:rPr>
      </w:pPr>
      <w:r w:rsidRPr="006418A2">
        <w:rPr>
          <w:rFonts w:ascii="Arial Narrow" w:eastAsia="Arial" w:hAnsi="Arial Narrow" w:cs="Times New Roman"/>
          <w:lang w:val="es-ES"/>
        </w:rPr>
        <w:t>Administración de herramientas de gestión de servicios</w:t>
      </w:r>
    </w:p>
    <w:p w14:paraId="0B0DFC88" w14:textId="77777777" w:rsidR="00A17008" w:rsidRPr="006418A2" w:rsidRDefault="00A17008" w:rsidP="00A17008">
      <w:pPr>
        <w:pStyle w:val="Prrafodelista"/>
        <w:numPr>
          <w:ilvl w:val="0"/>
          <w:numId w:val="33"/>
        </w:numPr>
        <w:suppressAutoHyphens w:val="0"/>
        <w:spacing w:after="200" w:line="276" w:lineRule="auto"/>
        <w:ind w:leftChars="0" w:left="0" w:firstLineChars="0" w:hanging="2"/>
        <w:jc w:val="both"/>
        <w:textDirection w:val="lrTb"/>
        <w:textAlignment w:val="auto"/>
        <w:outlineLvl w:val="9"/>
        <w:rPr>
          <w:rFonts w:ascii="Arial Narrow" w:eastAsia="Arial" w:hAnsi="Arial Narrow" w:cs="Times New Roman"/>
          <w:lang w:val="es-ES"/>
        </w:rPr>
      </w:pPr>
      <w:r w:rsidRPr="006418A2">
        <w:rPr>
          <w:rFonts w:ascii="Arial Narrow" w:eastAsia="Arial" w:hAnsi="Arial Narrow" w:cs="Times New Roman"/>
          <w:lang w:val="es-ES"/>
        </w:rPr>
        <w:t>Servicios prestados con implementación bajo la metodología de ITIL V3, V4 o superior</w:t>
      </w:r>
    </w:p>
    <w:p w14:paraId="329DA29B" w14:textId="77777777" w:rsidR="00A17008" w:rsidRPr="006418A2" w:rsidRDefault="00A17008" w:rsidP="00A17008">
      <w:pPr>
        <w:pStyle w:val="Prrafodelista"/>
        <w:numPr>
          <w:ilvl w:val="0"/>
          <w:numId w:val="33"/>
        </w:numPr>
        <w:suppressAutoHyphens w:val="0"/>
        <w:spacing w:after="200" w:line="276" w:lineRule="auto"/>
        <w:ind w:leftChars="0" w:left="0" w:firstLineChars="0" w:hanging="2"/>
        <w:jc w:val="both"/>
        <w:textDirection w:val="lrTb"/>
        <w:textAlignment w:val="auto"/>
        <w:outlineLvl w:val="9"/>
        <w:rPr>
          <w:rFonts w:ascii="Arial Narrow" w:eastAsia="Arial" w:hAnsi="Arial Narrow" w:cs="Times New Roman"/>
          <w:lang w:val="es-ES"/>
        </w:rPr>
      </w:pPr>
      <w:r w:rsidRPr="006418A2">
        <w:rPr>
          <w:rFonts w:ascii="Arial Narrow" w:eastAsia="Arial" w:hAnsi="Arial Narrow" w:cs="Times New Roman"/>
          <w:lang w:val="es-ES"/>
        </w:rPr>
        <w:t>Implementación, soporte y mantenimiento de herramienta ITSM</w:t>
      </w:r>
    </w:p>
    <w:p w14:paraId="3A4D1338" w14:textId="77777777" w:rsidR="008745D1" w:rsidRPr="006418A2"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7716DDB8" w14:textId="77777777" w:rsidR="00A17008" w:rsidRPr="006418A2" w:rsidRDefault="00A17008" w:rsidP="00A17008">
      <w:pPr>
        <w:ind w:left="0" w:hanging="2"/>
        <w:jc w:val="both"/>
        <w:rPr>
          <w:rFonts w:ascii="Arial Narrow" w:eastAsia="Arial" w:hAnsi="Arial Narrow" w:cs="Times New Roman"/>
          <w:b/>
          <w:bCs/>
        </w:rPr>
      </w:pPr>
      <w:r w:rsidRPr="006418A2">
        <w:rPr>
          <w:rFonts w:ascii="Arial Narrow" w:eastAsia="Arial" w:hAnsi="Arial Narrow" w:cs="Times New Roman"/>
          <w:b/>
          <w:bCs/>
        </w:rPr>
        <w:t>REQUISITO DIFERENCIAL PARA INCENTIVAR LOS EMPRENDIMIENTOS Y EMPRESAS DE MUJERES CON DOMICILIO EN EL TERRITORIO NACIONAL y PARA INCENTIVAR LAS MIPYMES CON DOMICILIO EN EL TERRITORIO NACIONAL.</w:t>
      </w:r>
    </w:p>
    <w:p w14:paraId="61A9188E" w14:textId="77777777" w:rsidR="00A17008" w:rsidRPr="006418A2" w:rsidRDefault="00A17008" w:rsidP="00A17008">
      <w:pPr>
        <w:ind w:left="0" w:hanging="2"/>
        <w:jc w:val="both"/>
        <w:rPr>
          <w:rFonts w:ascii="Arial Narrow" w:eastAsia="Arial" w:hAnsi="Arial Narrow" w:cs="Times New Roman"/>
        </w:rPr>
      </w:pPr>
      <w:r w:rsidRPr="006418A2">
        <w:rPr>
          <w:rFonts w:ascii="Arial Narrow" w:eastAsia="Arial" w:hAnsi="Arial Narrow" w:cs="Times New Roman"/>
        </w:rPr>
        <w:t>En cumplimento a lo establecido en el artículo 2.2.1.2.4.2., del Decreto 1860 de 2021, si los proponentes acreditan su condición de emprendimiento y empresas de mujeres dando cumplimiento al artículo 2.2.1.2.4.2.14 del Decreto 1860 de 2021 y 2.2.1.2.4.2.18., del mismo decreto y si los proponentes acreditan su condición de Mipymes dando cumplimiento al artículo 2.2.1.2.4.2.4. del Decreto 1082 de 2015 se dará aplicación al siguiente criterio diferencial:</w:t>
      </w:r>
      <w:r w:rsidRPr="006418A2">
        <w:rPr>
          <w:rFonts w:ascii="Arial Narrow" w:eastAsia="Arial" w:hAnsi="Arial Narrow" w:cs="Times New Roman"/>
        </w:rPr>
        <w:br/>
      </w:r>
    </w:p>
    <w:p w14:paraId="2F1FF586" w14:textId="77777777" w:rsidR="00A17008" w:rsidRPr="006418A2" w:rsidRDefault="00A17008" w:rsidP="00A17008">
      <w:pPr>
        <w:ind w:left="0" w:hanging="2"/>
        <w:jc w:val="both"/>
        <w:rPr>
          <w:rFonts w:ascii="Arial Narrow" w:eastAsia="Arial" w:hAnsi="Arial Narrow" w:cs="Times New Roman"/>
        </w:rPr>
      </w:pPr>
      <w:r w:rsidRPr="006418A2">
        <w:rPr>
          <w:rFonts w:ascii="Arial Narrow" w:eastAsia="Arial" w:hAnsi="Arial Narrow" w:cs="Times New Roman"/>
          <w:bCs/>
          <w:lang w:val="es-ES"/>
        </w:rPr>
        <w:t xml:space="preserve">El oferente podrá acreditar en el Registro Único de Proponentes la ejecución de hasta </w:t>
      </w:r>
      <w:r w:rsidRPr="006418A2">
        <w:rPr>
          <w:rFonts w:ascii="Arial Narrow" w:eastAsia="Arial" w:hAnsi="Arial Narrow" w:cs="Times New Roman"/>
          <w:lang w:val="es-ES"/>
        </w:rPr>
        <w:t>diez (10</w:t>
      </w:r>
      <w:r w:rsidRPr="006418A2">
        <w:rPr>
          <w:rFonts w:ascii="Arial Narrow" w:eastAsia="Arial" w:hAnsi="Arial Narrow" w:cs="Times New Roman"/>
          <w:bCs/>
          <w:lang w:val="es-ES"/>
        </w:rPr>
        <w:t xml:space="preserve">) contratos, identificados con cualquiera, con alguna o con la sumatoria de los códigos del Clasificador de Bienes y Servicios de Naciones Unidas relacionados en la tabla del presente documento, que en conjunto representen una experiencia igual o superior a </w:t>
      </w:r>
      <w:r w:rsidRPr="006418A2">
        <w:rPr>
          <w:rFonts w:ascii="Arial Narrow" w:eastAsia="Arial" w:hAnsi="Arial Narrow" w:cs="Times New Roman"/>
        </w:rPr>
        <w:t>38.712 SMMLV, sin que se requiera superar dicho número de contratos cuyo objeto sea la implementación de servicios de mesa de ayuda, mesa de servicios de TI o puntos únicos de atención en TI, mantenimiento tecnológico, gestión de incidentes, gestión de requerimientos, centro de servicios, Service Desk o Help Desk, soporte técnico o administración de servicios tecnológicos y que incluya las siguientes actividades:</w:t>
      </w:r>
    </w:p>
    <w:p w14:paraId="7859E392" w14:textId="77777777" w:rsidR="00A17008" w:rsidRPr="006418A2" w:rsidRDefault="00A17008" w:rsidP="00A17008">
      <w:pPr>
        <w:pStyle w:val="Prrafodelista"/>
        <w:numPr>
          <w:ilvl w:val="0"/>
          <w:numId w:val="33"/>
        </w:numPr>
        <w:suppressAutoHyphens w:val="0"/>
        <w:spacing w:after="200" w:line="276" w:lineRule="auto"/>
        <w:ind w:leftChars="0" w:left="0" w:firstLineChars="0" w:hanging="2"/>
        <w:jc w:val="both"/>
        <w:textDirection w:val="lrTb"/>
        <w:textAlignment w:val="auto"/>
        <w:outlineLvl w:val="9"/>
        <w:rPr>
          <w:rFonts w:ascii="Arial Narrow" w:eastAsia="Arial" w:hAnsi="Arial Narrow" w:cs="Times New Roman"/>
          <w:lang w:val="es-ES"/>
        </w:rPr>
      </w:pPr>
      <w:r w:rsidRPr="006418A2">
        <w:rPr>
          <w:rFonts w:ascii="Arial Narrow" w:eastAsia="Arial" w:hAnsi="Arial Narrow" w:cs="Times New Roman"/>
          <w:lang w:val="es-ES"/>
        </w:rPr>
        <w:t>Atención en Mesa y en Sitio a mínimo quince mil (15.000) usuarios a nivel nacional.</w:t>
      </w:r>
    </w:p>
    <w:p w14:paraId="2B7C4BE1" w14:textId="77777777" w:rsidR="00A17008" w:rsidRPr="006418A2" w:rsidRDefault="00A17008" w:rsidP="00A17008">
      <w:pPr>
        <w:pStyle w:val="Prrafodelista"/>
        <w:numPr>
          <w:ilvl w:val="0"/>
          <w:numId w:val="33"/>
        </w:numPr>
        <w:suppressAutoHyphens w:val="0"/>
        <w:spacing w:after="200" w:line="276" w:lineRule="auto"/>
        <w:ind w:leftChars="0" w:left="0" w:firstLineChars="0" w:hanging="2"/>
        <w:jc w:val="both"/>
        <w:textDirection w:val="lrTb"/>
        <w:textAlignment w:val="auto"/>
        <w:outlineLvl w:val="9"/>
        <w:rPr>
          <w:rFonts w:ascii="Arial Narrow" w:eastAsia="Arial" w:hAnsi="Arial Narrow" w:cs="Times New Roman"/>
          <w:lang w:val="es-ES"/>
        </w:rPr>
      </w:pPr>
      <w:r w:rsidRPr="006418A2">
        <w:rPr>
          <w:rFonts w:ascii="Arial Narrow" w:eastAsia="Arial" w:hAnsi="Arial Narrow" w:cs="Times New Roman"/>
          <w:lang w:val="es-ES"/>
        </w:rPr>
        <w:t>Soporte y mantenimiento preventivo en sitio a los equipos de tecnológicos a nivel nacional.</w:t>
      </w:r>
    </w:p>
    <w:p w14:paraId="5A77C9AF" w14:textId="77777777" w:rsidR="00A17008" w:rsidRPr="006418A2" w:rsidRDefault="00A17008" w:rsidP="00A17008">
      <w:pPr>
        <w:pStyle w:val="Prrafodelista"/>
        <w:numPr>
          <w:ilvl w:val="0"/>
          <w:numId w:val="33"/>
        </w:numPr>
        <w:suppressAutoHyphens w:val="0"/>
        <w:spacing w:after="200" w:line="276" w:lineRule="auto"/>
        <w:ind w:leftChars="0" w:left="0" w:firstLineChars="0" w:hanging="2"/>
        <w:jc w:val="both"/>
        <w:textDirection w:val="lrTb"/>
        <w:textAlignment w:val="auto"/>
        <w:outlineLvl w:val="9"/>
        <w:rPr>
          <w:rFonts w:ascii="Arial Narrow" w:eastAsia="Arial" w:hAnsi="Arial Narrow" w:cs="Times New Roman"/>
          <w:lang w:val="es-ES"/>
        </w:rPr>
      </w:pPr>
      <w:r w:rsidRPr="006418A2">
        <w:rPr>
          <w:rFonts w:ascii="Arial Narrow" w:eastAsia="Arial" w:hAnsi="Arial Narrow" w:cs="Times New Roman"/>
          <w:lang w:val="es-ES"/>
        </w:rPr>
        <w:t>Administración de herramientas de gestión de servicios</w:t>
      </w:r>
    </w:p>
    <w:p w14:paraId="40811B56" w14:textId="77777777" w:rsidR="00A17008" w:rsidRPr="006418A2" w:rsidRDefault="00A17008" w:rsidP="00A17008">
      <w:pPr>
        <w:pStyle w:val="Prrafodelista"/>
        <w:numPr>
          <w:ilvl w:val="0"/>
          <w:numId w:val="33"/>
        </w:numPr>
        <w:suppressAutoHyphens w:val="0"/>
        <w:spacing w:after="200" w:line="276" w:lineRule="auto"/>
        <w:ind w:leftChars="0" w:left="0" w:firstLineChars="0" w:hanging="2"/>
        <w:jc w:val="both"/>
        <w:textDirection w:val="lrTb"/>
        <w:textAlignment w:val="auto"/>
        <w:outlineLvl w:val="9"/>
        <w:rPr>
          <w:rFonts w:ascii="Arial Narrow" w:eastAsia="Arial" w:hAnsi="Arial Narrow" w:cs="Times New Roman"/>
          <w:lang w:val="es-ES"/>
        </w:rPr>
      </w:pPr>
      <w:r w:rsidRPr="006418A2">
        <w:rPr>
          <w:rFonts w:ascii="Arial Narrow" w:eastAsia="Arial" w:hAnsi="Arial Narrow" w:cs="Times New Roman"/>
          <w:lang w:val="es-ES"/>
        </w:rPr>
        <w:t>Servicios prestados con implementación bajo la metodología de ITIL V3, V4 o superior</w:t>
      </w:r>
    </w:p>
    <w:p w14:paraId="34028723" w14:textId="77777777" w:rsidR="00A17008" w:rsidRPr="006418A2" w:rsidRDefault="00A17008" w:rsidP="00A17008">
      <w:pPr>
        <w:pStyle w:val="Prrafodelista"/>
        <w:numPr>
          <w:ilvl w:val="0"/>
          <w:numId w:val="33"/>
        </w:numPr>
        <w:suppressAutoHyphens w:val="0"/>
        <w:spacing w:after="200" w:line="276" w:lineRule="auto"/>
        <w:ind w:leftChars="0" w:left="0" w:firstLineChars="0" w:hanging="2"/>
        <w:jc w:val="both"/>
        <w:textDirection w:val="lrTb"/>
        <w:textAlignment w:val="auto"/>
        <w:outlineLvl w:val="9"/>
        <w:rPr>
          <w:rFonts w:ascii="Arial Narrow" w:eastAsia="Arial" w:hAnsi="Arial Narrow" w:cs="Times New Roman"/>
          <w:lang w:val="es-ES"/>
        </w:rPr>
      </w:pPr>
      <w:r w:rsidRPr="006418A2">
        <w:rPr>
          <w:rFonts w:ascii="Arial Narrow" w:eastAsia="Arial" w:hAnsi="Arial Narrow" w:cs="Times New Roman"/>
          <w:lang w:val="es-ES"/>
        </w:rPr>
        <w:t>Implementación, soporte y mantenimiento de herramienta ITSM</w:t>
      </w:r>
    </w:p>
    <w:p w14:paraId="6A1A4913" w14:textId="71710042" w:rsidR="008745D1" w:rsidRPr="006418A2" w:rsidRDefault="00062AC1">
      <w:pPr>
        <w:ind w:left="0" w:hanging="2"/>
        <w:jc w:val="both"/>
        <w:rPr>
          <w:rFonts w:ascii="Arial Narrow" w:eastAsia="Arial Narrow" w:hAnsi="Arial Narrow" w:cs="Arial Narrow"/>
          <w:sz w:val="23"/>
          <w:szCs w:val="23"/>
        </w:rPr>
      </w:pPr>
      <w:r w:rsidRPr="006418A2">
        <w:rPr>
          <w:rFonts w:ascii="Arial Narrow" w:eastAsia="Arial Narrow" w:hAnsi="Arial Narrow" w:cs="Arial Narrow"/>
          <w:sz w:val="23"/>
          <w:szCs w:val="23"/>
        </w:rPr>
        <w:t>Para la verificación de este requisito, el proponente deberá indicar en el anexo “Experiencia requerida” del pliego de condiciones, cuál de los contratos certificados en el Registro Único de Proponentes (RUP) deben ser tenidos en cuenta por la entidad con el fin de ser habilitado.</w:t>
      </w:r>
    </w:p>
    <w:p w14:paraId="577253DA" w14:textId="77777777" w:rsidR="006418A2" w:rsidRPr="006418A2" w:rsidRDefault="006418A2">
      <w:pPr>
        <w:ind w:left="0" w:hanging="2"/>
        <w:jc w:val="both"/>
        <w:rPr>
          <w:rFonts w:ascii="Arial Narrow" w:eastAsia="Arial Narrow" w:hAnsi="Arial Narrow" w:cs="Arial Narrow"/>
          <w:b/>
          <w:sz w:val="23"/>
          <w:szCs w:val="23"/>
          <w:u w:val="single"/>
        </w:rPr>
      </w:pPr>
    </w:p>
    <w:p w14:paraId="395FA6F1" w14:textId="77777777" w:rsidR="006418A2" w:rsidRPr="006418A2" w:rsidRDefault="006418A2">
      <w:pPr>
        <w:ind w:left="0" w:hanging="2"/>
        <w:jc w:val="both"/>
        <w:rPr>
          <w:rFonts w:ascii="Arial Narrow" w:eastAsia="Arial Narrow" w:hAnsi="Arial Narrow" w:cs="Arial Narrow"/>
          <w:b/>
          <w:sz w:val="23"/>
          <w:szCs w:val="23"/>
          <w:u w:val="single"/>
        </w:rPr>
      </w:pPr>
    </w:p>
    <w:p w14:paraId="44259FC7" w14:textId="77777777" w:rsidR="006418A2" w:rsidRPr="006418A2" w:rsidRDefault="006418A2">
      <w:pPr>
        <w:ind w:left="0" w:hanging="2"/>
        <w:jc w:val="both"/>
        <w:rPr>
          <w:rFonts w:ascii="Arial Narrow" w:eastAsia="Arial Narrow" w:hAnsi="Arial Narrow" w:cs="Arial Narrow"/>
          <w:b/>
          <w:sz w:val="23"/>
          <w:szCs w:val="23"/>
          <w:u w:val="single"/>
        </w:rPr>
      </w:pPr>
    </w:p>
    <w:p w14:paraId="35EAD556" w14:textId="77777777" w:rsidR="006418A2" w:rsidRPr="006418A2" w:rsidRDefault="006418A2">
      <w:pPr>
        <w:ind w:left="0" w:hanging="2"/>
        <w:jc w:val="both"/>
        <w:rPr>
          <w:rFonts w:ascii="Arial Narrow" w:eastAsia="Arial Narrow" w:hAnsi="Arial Narrow" w:cs="Arial Narrow"/>
          <w:b/>
          <w:sz w:val="23"/>
          <w:szCs w:val="23"/>
          <w:u w:val="single"/>
        </w:rPr>
      </w:pPr>
    </w:p>
    <w:p w14:paraId="0D723ECA" w14:textId="03FD0217" w:rsidR="008745D1" w:rsidRPr="006418A2" w:rsidRDefault="00062AC1">
      <w:pPr>
        <w:ind w:left="0" w:hanging="2"/>
        <w:jc w:val="both"/>
        <w:rPr>
          <w:rFonts w:ascii="Arial Narrow" w:eastAsia="Arial Narrow" w:hAnsi="Arial Narrow" w:cs="Arial Narrow"/>
          <w:sz w:val="23"/>
          <w:szCs w:val="23"/>
          <w:u w:val="single"/>
        </w:rPr>
      </w:pPr>
      <w:r w:rsidRPr="006418A2">
        <w:rPr>
          <w:rFonts w:ascii="Arial Narrow" w:eastAsia="Arial Narrow" w:hAnsi="Arial Narrow" w:cs="Arial Narrow"/>
          <w:b/>
          <w:sz w:val="23"/>
          <w:szCs w:val="23"/>
          <w:u w:val="single"/>
        </w:rPr>
        <w:lastRenderedPageBreak/>
        <w:t>REGLAS APLICABLES:</w:t>
      </w:r>
    </w:p>
    <w:p w14:paraId="47F65EF9" w14:textId="77777777" w:rsidR="006418A2" w:rsidRPr="006418A2" w:rsidRDefault="006418A2" w:rsidP="006418A2">
      <w:pPr>
        <w:ind w:left="0" w:hanging="2"/>
        <w:jc w:val="both"/>
        <w:rPr>
          <w:rFonts w:ascii="Arial Narrow" w:eastAsia="Arial" w:hAnsi="Arial Narrow" w:cs="Times New Roman"/>
          <w:lang w:val="es-ES"/>
        </w:rPr>
      </w:pPr>
      <w:r w:rsidRPr="006418A2">
        <w:rPr>
          <w:rFonts w:ascii="Arial Narrow" w:eastAsia="Arial" w:hAnsi="Arial Narrow" w:cs="Times New Roman"/>
          <w:b/>
          <w:bCs/>
          <w:lang w:val="es-ES"/>
        </w:rPr>
        <w:t>Nota 1:</w:t>
      </w:r>
      <w:r w:rsidRPr="006418A2">
        <w:rPr>
          <w:rFonts w:ascii="Arial Narrow" w:eastAsia="Arial" w:hAnsi="Arial Narrow" w:cs="Times New Roman"/>
          <w:lang w:val="es-ES"/>
        </w:rPr>
        <w:t xml:space="preserve"> Para la verificación de este requisito, la Fiscalía General de la Nación, verificará del Registro Único de Proponentes, lo relacionado con Código del Clasificador de Bienes y Servicios hasta el tercer nivel, y su cuantía expresada en SMMLV.</w:t>
      </w:r>
    </w:p>
    <w:p w14:paraId="71C86348" w14:textId="77777777" w:rsidR="006418A2" w:rsidRPr="006418A2" w:rsidRDefault="006418A2" w:rsidP="006418A2">
      <w:pPr>
        <w:ind w:left="0" w:hanging="2"/>
        <w:jc w:val="both"/>
        <w:rPr>
          <w:rFonts w:ascii="Arial Narrow" w:eastAsia="Arial" w:hAnsi="Arial Narrow" w:cs="Times New Roman"/>
          <w:b/>
          <w:bCs/>
          <w:lang w:val="es-ES"/>
        </w:rPr>
      </w:pPr>
      <w:r w:rsidRPr="006418A2">
        <w:rPr>
          <w:rFonts w:ascii="Arial Narrow" w:eastAsia="Arial" w:hAnsi="Arial Narrow" w:cs="Times New Roman"/>
          <w:b/>
          <w:bCs/>
          <w:lang w:val="es-ES"/>
        </w:rPr>
        <w:t>Nota 2:</w:t>
      </w:r>
      <w:r w:rsidRPr="006418A2">
        <w:rPr>
          <w:rFonts w:ascii="Arial Narrow" w:eastAsia="Arial" w:hAnsi="Arial Narrow" w:cs="Times New Roman"/>
          <w:lang w:val="es-ES"/>
        </w:rPr>
        <w:t xml:space="preserve"> Teniendo en cuenta que la Cámara de Comercio, no certifica el Código del Clasificador de Bienes y Servicios hasta el cuarto nivel, ni el objeto de los contratos registrados en el RUP, y se requiere que la experiencia tenga relación la implementación de servicios de mesa de ayuda, mesa de servicios de TI o puntos únicos de atención en TI, mantenimiento tecnológico, gestión de incidentes, gestión de requerimientos, centro de servicios, Service Desk o Help Desk, soporte técnico o administración de servicios tecnológicos</w:t>
      </w:r>
      <w:r w:rsidRPr="006418A2">
        <w:rPr>
          <w:rFonts w:ascii="Arial Narrow" w:eastAsia="Arial" w:hAnsi="Arial Narrow" w:cs="Times New Roman"/>
          <w:b/>
          <w:bCs/>
          <w:lang w:val="es-ES"/>
        </w:rPr>
        <w:t xml:space="preserve">, </w:t>
      </w:r>
      <w:r w:rsidRPr="006418A2">
        <w:rPr>
          <w:rFonts w:ascii="Arial Narrow" w:eastAsia="Arial" w:hAnsi="Arial Narrow" w:cs="Times New Roman"/>
          <w:lang w:val="es-ES"/>
        </w:rPr>
        <w:t xml:space="preserve">la Fiscalía General de la Nación verificará contra documentos el objeto del contrato y/o sus actividades, para lo cual adicionalmente deberá presentar una(s) certificación(es), y/o actas de liquidación que contenga como mínimo lo siguiente: </w:t>
      </w:r>
    </w:p>
    <w:p w14:paraId="2F95BDEA" w14:textId="77777777" w:rsidR="006418A2" w:rsidRPr="006418A2" w:rsidRDefault="006418A2" w:rsidP="006418A2">
      <w:pPr>
        <w:numPr>
          <w:ilvl w:val="0"/>
          <w:numId w:val="35"/>
        </w:numPr>
        <w:suppressAutoHyphens w:val="0"/>
        <w:spacing w:after="0" w:line="240" w:lineRule="auto"/>
        <w:ind w:leftChars="0" w:left="0" w:firstLineChars="0" w:hanging="2"/>
        <w:jc w:val="both"/>
        <w:textDirection w:val="lrTb"/>
        <w:textAlignment w:val="auto"/>
        <w:outlineLvl w:val="9"/>
        <w:rPr>
          <w:rFonts w:ascii="Arial Narrow" w:eastAsia="Arial" w:hAnsi="Arial Narrow" w:cs="Times New Roman"/>
        </w:rPr>
      </w:pPr>
      <w:r w:rsidRPr="006418A2">
        <w:rPr>
          <w:rFonts w:ascii="Arial Narrow" w:eastAsia="Arial" w:hAnsi="Arial Narrow" w:cs="Times New Roman"/>
        </w:rPr>
        <w:t>Objeto del Contrato (Si el objeto no se relaciona con lo aquí indicado, deberán describir los bienes y/o servicios entregados).</w:t>
      </w:r>
    </w:p>
    <w:p w14:paraId="1EA37E1F" w14:textId="77777777" w:rsidR="006418A2" w:rsidRPr="006418A2" w:rsidRDefault="006418A2" w:rsidP="006418A2">
      <w:pPr>
        <w:numPr>
          <w:ilvl w:val="0"/>
          <w:numId w:val="35"/>
        </w:numPr>
        <w:suppressAutoHyphens w:val="0"/>
        <w:spacing w:after="0" w:line="240" w:lineRule="auto"/>
        <w:ind w:leftChars="0" w:left="0" w:firstLineChars="0" w:hanging="2"/>
        <w:jc w:val="both"/>
        <w:textDirection w:val="lrTb"/>
        <w:textAlignment w:val="auto"/>
        <w:outlineLvl w:val="9"/>
        <w:rPr>
          <w:rFonts w:ascii="Arial Narrow" w:eastAsia="Arial" w:hAnsi="Arial Narrow" w:cs="Times New Roman"/>
        </w:rPr>
      </w:pPr>
      <w:r w:rsidRPr="006418A2">
        <w:rPr>
          <w:rFonts w:ascii="Arial Narrow" w:eastAsia="Arial" w:hAnsi="Arial Narrow" w:cs="Times New Roman"/>
        </w:rPr>
        <w:t xml:space="preserve">Valor del contrato. </w:t>
      </w:r>
    </w:p>
    <w:p w14:paraId="012A2303" w14:textId="77777777" w:rsidR="006418A2" w:rsidRPr="006418A2" w:rsidRDefault="006418A2" w:rsidP="006418A2">
      <w:pPr>
        <w:numPr>
          <w:ilvl w:val="0"/>
          <w:numId w:val="35"/>
        </w:numPr>
        <w:suppressAutoHyphens w:val="0"/>
        <w:spacing w:after="0" w:line="240" w:lineRule="auto"/>
        <w:ind w:leftChars="0" w:left="0" w:firstLineChars="0" w:hanging="2"/>
        <w:jc w:val="both"/>
        <w:textDirection w:val="lrTb"/>
        <w:textAlignment w:val="auto"/>
        <w:outlineLvl w:val="9"/>
        <w:rPr>
          <w:rFonts w:ascii="Arial Narrow" w:eastAsia="Arial" w:hAnsi="Arial Narrow" w:cs="Times New Roman"/>
        </w:rPr>
      </w:pPr>
      <w:r w:rsidRPr="006418A2">
        <w:rPr>
          <w:rFonts w:ascii="Arial Narrow" w:eastAsia="Arial" w:hAnsi="Arial Narrow" w:cs="Times New Roman"/>
        </w:rPr>
        <w:t xml:space="preserve">Tiempo de ejecución del contrato. </w:t>
      </w:r>
    </w:p>
    <w:p w14:paraId="488DE2F6" w14:textId="77777777" w:rsidR="006418A2" w:rsidRPr="006418A2" w:rsidRDefault="006418A2" w:rsidP="006418A2">
      <w:pPr>
        <w:numPr>
          <w:ilvl w:val="0"/>
          <w:numId w:val="35"/>
        </w:numPr>
        <w:suppressAutoHyphens w:val="0"/>
        <w:spacing w:after="0" w:line="240" w:lineRule="auto"/>
        <w:ind w:leftChars="0" w:left="0" w:firstLineChars="0" w:hanging="2"/>
        <w:jc w:val="both"/>
        <w:textDirection w:val="lrTb"/>
        <w:textAlignment w:val="auto"/>
        <w:outlineLvl w:val="9"/>
        <w:rPr>
          <w:rFonts w:ascii="Arial Narrow" w:eastAsia="Arial" w:hAnsi="Arial Narrow" w:cs="Times New Roman"/>
        </w:rPr>
      </w:pPr>
      <w:r w:rsidRPr="006418A2">
        <w:rPr>
          <w:rFonts w:ascii="Arial Narrow" w:eastAsia="Arial" w:hAnsi="Arial Narrow" w:cs="Times New Roman"/>
        </w:rPr>
        <w:t>Fecha del contrato.</w:t>
      </w:r>
    </w:p>
    <w:p w14:paraId="0648CC0B" w14:textId="77777777" w:rsidR="006418A2" w:rsidRPr="006418A2" w:rsidRDefault="006418A2" w:rsidP="006418A2">
      <w:pPr>
        <w:numPr>
          <w:ilvl w:val="0"/>
          <w:numId w:val="35"/>
        </w:numPr>
        <w:suppressAutoHyphens w:val="0"/>
        <w:spacing w:after="0" w:line="240" w:lineRule="auto"/>
        <w:ind w:leftChars="0" w:left="0" w:firstLineChars="0" w:hanging="2"/>
        <w:jc w:val="both"/>
        <w:textDirection w:val="lrTb"/>
        <w:textAlignment w:val="auto"/>
        <w:outlineLvl w:val="9"/>
        <w:rPr>
          <w:rFonts w:ascii="Arial Narrow" w:eastAsia="Arial" w:hAnsi="Arial Narrow" w:cs="Times New Roman"/>
        </w:rPr>
      </w:pPr>
      <w:r w:rsidRPr="006418A2">
        <w:rPr>
          <w:rFonts w:ascii="Arial Narrow" w:eastAsia="Arial" w:hAnsi="Arial Narrow" w:cs="Times New Roman"/>
        </w:rPr>
        <w:t>Dirección y teléfono de quién expide la certificación.</w:t>
      </w:r>
    </w:p>
    <w:p w14:paraId="31C86450" w14:textId="77777777" w:rsidR="006418A2" w:rsidRPr="006418A2" w:rsidRDefault="006418A2" w:rsidP="006418A2">
      <w:pPr>
        <w:ind w:left="0" w:hanging="2"/>
        <w:jc w:val="both"/>
        <w:rPr>
          <w:rFonts w:ascii="Arial Narrow" w:eastAsia="Arial" w:hAnsi="Arial Narrow" w:cs="Times New Roman"/>
        </w:rPr>
      </w:pPr>
    </w:p>
    <w:p w14:paraId="6FBD323E" w14:textId="77777777" w:rsidR="006418A2" w:rsidRPr="006418A2" w:rsidRDefault="006418A2" w:rsidP="006418A2">
      <w:pPr>
        <w:ind w:left="0" w:hanging="2"/>
        <w:jc w:val="both"/>
        <w:rPr>
          <w:rFonts w:ascii="Arial Narrow" w:eastAsia="Arial" w:hAnsi="Arial Narrow" w:cs="Times New Roman"/>
        </w:rPr>
      </w:pPr>
      <w:r w:rsidRPr="006418A2">
        <w:rPr>
          <w:rFonts w:ascii="Arial Narrow" w:eastAsia="Arial" w:hAnsi="Arial Narrow" w:cs="Times New Roman"/>
          <w:b/>
        </w:rPr>
        <w:t>Nota 3:</w:t>
      </w:r>
      <w:r w:rsidRPr="006418A2">
        <w:rPr>
          <w:rFonts w:ascii="Arial Narrow" w:eastAsia="Arial" w:hAnsi="Arial Narrow" w:cs="Times New Roman"/>
        </w:rPr>
        <w:t xml:space="preserve"> La experiencia del oferente plural (unión temporal, consorcio y promesa de sociedad futura) podrá ser acreditada por uno de los integrantes del proponente plural.</w:t>
      </w:r>
    </w:p>
    <w:p w14:paraId="483D64EA" w14:textId="77777777" w:rsidR="006418A2" w:rsidRPr="006418A2" w:rsidRDefault="006418A2" w:rsidP="006418A2">
      <w:pPr>
        <w:ind w:left="0" w:hanging="2"/>
        <w:jc w:val="both"/>
        <w:rPr>
          <w:rFonts w:ascii="Arial Narrow" w:eastAsia="Arial" w:hAnsi="Arial Narrow" w:cs="Times New Roman"/>
        </w:rPr>
      </w:pPr>
      <w:r w:rsidRPr="006418A2">
        <w:rPr>
          <w:rFonts w:ascii="Arial Narrow" w:eastAsia="Arial" w:hAnsi="Arial Narrow" w:cs="Times New Roman"/>
        </w:rPr>
        <w:t>Cuando un proponente adquiere experiencia en un contrato como integrante de un contratista plural, la experiencia derivada de ese contrato corresponde a la ponderación del valor del contrato por el porcentaje de participación.</w:t>
      </w:r>
    </w:p>
    <w:p w14:paraId="41FF3DFC" w14:textId="77777777" w:rsidR="006418A2" w:rsidRPr="006418A2" w:rsidRDefault="006418A2" w:rsidP="006418A2">
      <w:pPr>
        <w:ind w:left="0" w:hanging="2"/>
        <w:jc w:val="both"/>
        <w:rPr>
          <w:rFonts w:ascii="Arial Narrow" w:hAnsi="Arial Narrow" w:cs="Times New Roman"/>
        </w:rPr>
      </w:pPr>
      <w:r w:rsidRPr="006418A2">
        <w:rPr>
          <w:rFonts w:ascii="Arial Narrow" w:eastAsia="Arial" w:hAnsi="Arial Narrow" w:cs="Times New Roman"/>
          <w:b/>
          <w:bCs/>
        </w:rPr>
        <w:t>Nota 4:</w:t>
      </w:r>
      <w:r w:rsidRPr="006418A2">
        <w:rPr>
          <w:rFonts w:ascii="Arial Narrow" w:eastAsia="Arial" w:hAnsi="Arial Narrow" w:cs="Times New Roman"/>
        </w:rPr>
        <w:t xml:space="preserve"> En caso de que se alleguen documentos del contrato cuyo objeto relacione otros bienes o servicios, se deberá especificar claramente el valor ejecutado de los bienes o servicios que estén relacionados con la experiencia exigida para el presente proceso.</w:t>
      </w:r>
    </w:p>
    <w:p w14:paraId="1CE66F0E" w14:textId="77777777" w:rsidR="006418A2" w:rsidRPr="0004446C" w:rsidRDefault="006418A2" w:rsidP="006418A2">
      <w:pPr>
        <w:widowControl w:val="0"/>
        <w:pBdr>
          <w:top w:val="nil"/>
          <w:left w:val="nil"/>
          <w:bottom w:val="nil"/>
          <w:right w:val="nil"/>
          <w:between w:val="nil"/>
        </w:pBdr>
        <w:spacing w:after="0" w:line="240" w:lineRule="auto"/>
        <w:ind w:left="0" w:hanging="2"/>
        <w:jc w:val="both"/>
        <w:rPr>
          <w:rFonts w:ascii="Arial Narrow" w:eastAsia="Arial" w:hAnsi="Arial Narrow" w:cs="Times New Roman"/>
        </w:rPr>
      </w:pPr>
      <w:bookmarkStart w:id="64" w:name="_heading=h.30j0zll" w:colFirst="0" w:colLast="0"/>
      <w:bookmarkEnd w:id="64"/>
      <w:r w:rsidRPr="006418A2">
        <w:rPr>
          <w:rFonts w:ascii="Arial Narrow" w:eastAsia="Arial" w:hAnsi="Arial Narrow" w:cs="Times New Roman"/>
          <w:b/>
          <w:bCs/>
        </w:rPr>
        <w:t>Nota 5:</w:t>
      </w:r>
      <w:r w:rsidRPr="006418A2">
        <w:rPr>
          <w:rFonts w:ascii="Arial Narrow" w:eastAsia="Arial" w:hAnsi="Arial Narrow" w:cs="Times New Roman"/>
        </w:rPr>
        <w:t xml:space="preserve"> Conforme a lo dispuesto en el artículo 2.2.1.1.1.5.2 del Decreto 1082 de 2015, una sociedad con menos de tres años de constituida puede aportar la experiencia de sus accionistas, socios o constituyentes. Si la persona jurídica con menos de tres años de </w:t>
      </w:r>
      <w:r w:rsidRPr="0004446C">
        <w:rPr>
          <w:rFonts w:ascii="Arial Narrow" w:eastAsia="Arial" w:hAnsi="Arial Narrow" w:cs="Times New Roman"/>
        </w:rPr>
        <w:t>constituida registra la experiencia de sus socios en el RUP, y éste es renovado ininterrumpidamente, puede continuar utilizando la experiencia inscrita mientras no cesen los efectos del RUP, incluso después de transcurridos los tres años. Lo anterior, de acuerdo con lo establecido por Colombia Compra Eficiente en oficio Rad 4201913000006 de 2019.</w:t>
      </w:r>
    </w:p>
    <w:p w14:paraId="44B8DCD4" w14:textId="77777777" w:rsidR="006418A2" w:rsidRPr="0004446C" w:rsidRDefault="006418A2" w:rsidP="006418A2">
      <w:pPr>
        <w:widowControl w:val="0"/>
        <w:pBdr>
          <w:top w:val="nil"/>
          <w:left w:val="nil"/>
          <w:bottom w:val="nil"/>
          <w:right w:val="nil"/>
          <w:between w:val="nil"/>
        </w:pBdr>
        <w:spacing w:after="0" w:line="240" w:lineRule="auto"/>
        <w:ind w:left="0" w:hanging="2"/>
        <w:jc w:val="both"/>
        <w:rPr>
          <w:rFonts w:ascii="Arial Narrow" w:eastAsia="Arial" w:hAnsi="Arial Narrow" w:cs="Times New Roman"/>
        </w:rPr>
      </w:pPr>
    </w:p>
    <w:p w14:paraId="184C0609" w14:textId="4F3F269B" w:rsidR="008745D1" w:rsidRPr="0004446C" w:rsidRDefault="00062AC1" w:rsidP="006418A2">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04446C">
        <w:rPr>
          <w:rFonts w:ascii="Arial Narrow" w:eastAsia="Arial Narrow" w:hAnsi="Arial Narrow" w:cs="Arial Narrow"/>
          <w:b/>
          <w:sz w:val="23"/>
          <w:szCs w:val="23"/>
        </w:rPr>
        <w:t>5.3.2 REQUISITO TÉCNICO HABILITANTE ADICIONAL</w:t>
      </w:r>
      <w:r w:rsidRPr="0004446C">
        <w:rPr>
          <w:rFonts w:ascii="Arial Narrow" w:eastAsia="Arial Narrow" w:hAnsi="Arial Narrow" w:cs="Arial Narrow"/>
          <w:b/>
          <w:color w:val="000000"/>
          <w:sz w:val="23"/>
          <w:szCs w:val="23"/>
        </w:rPr>
        <w:t xml:space="preserve"> </w:t>
      </w:r>
    </w:p>
    <w:p w14:paraId="0BD76065" w14:textId="77777777" w:rsidR="00D34EE1" w:rsidRPr="0004446C" w:rsidRDefault="00D34EE1" w:rsidP="00425498">
      <w:pPr>
        <w:widowControl w:val="0"/>
        <w:pBdr>
          <w:top w:val="nil"/>
          <w:left w:val="nil"/>
          <w:bottom w:val="nil"/>
          <w:right w:val="nil"/>
          <w:between w:val="nil"/>
        </w:pBdr>
        <w:spacing w:after="0" w:line="240" w:lineRule="auto"/>
        <w:ind w:left="0" w:hanging="2"/>
        <w:jc w:val="both"/>
        <w:rPr>
          <w:rFonts w:ascii="Arial Narrow" w:eastAsia="Arial" w:hAnsi="Arial Narrow" w:cs="Arial"/>
          <w:position w:val="0"/>
          <w:lang w:val="es-ES_tradnl" w:eastAsia="es-ES"/>
        </w:rPr>
      </w:pPr>
      <w:bookmarkStart w:id="65" w:name="_heading=h.4k668n3" w:colFirst="0" w:colLast="0"/>
      <w:bookmarkEnd w:id="65"/>
    </w:p>
    <w:p w14:paraId="7905D97A" w14:textId="7B9D7C1B" w:rsidR="004C3D95" w:rsidRPr="0004446C" w:rsidRDefault="004C3D95" w:rsidP="00425498">
      <w:pPr>
        <w:widowControl w:val="0"/>
        <w:pBdr>
          <w:top w:val="nil"/>
          <w:left w:val="nil"/>
          <w:bottom w:val="nil"/>
          <w:right w:val="nil"/>
          <w:between w:val="nil"/>
        </w:pBdr>
        <w:spacing w:after="0" w:line="240" w:lineRule="auto"/>
        <w:ind w:left="0" w:hanging="2"/>
        <w:jc w:val="both"/>
        <w:rPr>
          <w:rFonts w:ascii="Arial Narrow" w:eastAsia="Arial" w:hAnsi="Arial Narrow" w:cs="Times New Roman"/>
          <w:lang w:val="es-ES"/>
        </w:rPr>
      </w:pPr>
      <w:r w:rsidRPr="0004446C">
        <w:rPr>
          <w:rFonts w:ascii="Arial Narrow" w:eastAsia="Arial" w:hAnsi="Arial Narrow" w:cs="Times New Roman"/>
          <w:lang w:val="es-ES"/>
        </w:rPr>
        <w:t>El oferente deberá acreditar que la herramienta ITSM propuesta cuenta con reconocimiento y respaldo del fabricante, para lo cual deberá aportar certificación vigente de la solución expedida por una entidad de evaluación de herramientas ITSM reconocida en el mercado, tales como PinkVERIFY, SERVIEW</w:t>
      </w:r>
      <w:r w:rsidRPr="0004446C">
        <w:rPr>
          <w:rFonts w:ascii="Arial Narrow" w:eastAsia="Arial" w:hAnsi="Arial Narrow" w:cs="Times New Roman"/>
          <w:lang w:val="es-ES"/>
        </w:rPr>
        <w:t xml:space="preserve"> </w:t>
      </w:r>
      <w:r w:rsidRPr="0004446C">
        <w:rPr>
          <w:rFonts w:ascii="Arial Narrow" w:eastAsia="Arial" w:hAnsi="Arial Narrow" w:cs="Times New Roman"/>
          <w:lang w:val="es-ES"/>
        </w:rPr>
        <w:t>Certified Tool, GlenfisPassed o equivalente, adjuntando el respectivo certificado oficial y evidencia de su vigencia.</w:t>
      </w:r>
    </w:p>
    <w:p w14:paraId="5588E5AA" w14:textId="77777777" w:rsidR="004C3D95" w:rsidRPr="0004446C" w:rsidRDefault="004C3D95" w:rsidP="004C3D95">
      <w:pPr>
        <w:ind w:left="0" w:hanging="2"/>
        <w:jc w:val="both"/>
        <w:rPr>
          <w:rFonts w:ascii="Arial Narrow" w:eastAsia="Arial" w:hAnsi="Arial Narrow" w:cs="Times New Roman"/>
          <w:lang w:val="es-ES"/>
        </w:rPr>
      </w:pPr>
    </w:p>
    <w:p w14:paraId="7FDF82F2" w14:textId="77777777" w:rsidR="004C3D95" w:rsidRPr="0004446C" w:rsidRDefault="004C3D95" w:rsidP="004C3D95">
      <w:pPr>
        <w:pStyle w:val="Prrafodelista"/>
        <w:suppressAutoHyphens w:val="0"/>
        <w:spacing w:after="200" w:line="276" w:lineRule="auto"/>
        <w:ind w:leftChars="0" w:left="0" w:firstLineChars="0" w:firstLine="0"/>
        <w:jc w:val="both"/>
        <w:textDirection w:val="lrTb"/>
        <w:textAlignment w:val="auto"/>
        <w:outlineLvl w:val="9"/>
        <w:rPr>
          <w:rFonts w:ascii="Arial Narrow" w:eastAsia="Arial" w:hAnsi="Arial Narrow" w:cs="Times New Roman"/>
          <w:lang w:val="es-ES"/>
        </w:rPr>
      </w:pPr>
      <w:r w:rsidRPr="0004446C">
        <w:rPr>
          <w:rFonts w:ascii="Arial Narrow" w:eastAsia="Arial" w:hAnsi="Arial Narrow" w:cs="Times New Roman"/>
          <w:lang w:val="es-ES"/>
        </w:rPr>
        <w:t xml:space="preserve">Así mismo, deberá presentar carta del fabricante de la herramienta, expedida con una antelación no mayor a sesenta (60) días calendario respecto de la fecha de cierre del proceso, mediante la cual se certifique que el oferente se encuentra autorizado para implementar, administrar y soportar la solución, que cuenta con escalamiento directo a fábrica y con el respaldo técnico del fabricante para la atención de incidentes críticos durante todo el período de licenciamiento y ejecución contractual. </w:t>
      </w:r>
    </w:p>
    <w:p w14:paraId="4CE5F788" w14:textId="77777777" w:rsidR="004C3D95" w:rsidRDefault="004C3D95" w:rsidP="004C3D95">
      <w:pPr>
        <w:pStyle w:val="Prrafodelista"/>
        <w:suppressAutoHyphens w:val="0"/>
        <w:spacing w:after="200" w:line="276" w:lineRule="auto"/>
        <w:ind w:leftChars="0" w:left="0" w:firstLineChars="0" w:firstLine="0"/>
        <w:jc w:val="both"/>
        <w:textDirection w:val="lrTb"/>
        <w:textAlignment w:val="auto"/>
        <w:outlineLvl w:val="9"/>
        <w:rPr>
          <w:rFonts w:ascii="Times New Roman" w:eastAsia="Arial" w:hAnsi="Times New Roman" w:cs="Times New Roman"/>
          <w:lang w:val="es-ES"/>
        </w:rPr>
      </w:pPr>
    </w:p>
    <w:p w14:paraId="571F31AF" w14:textId="77777777" w:rsidR="004C3D95" w:rsidRDefault="004C3D95" w:rsidP="004C3D95">
      <w:pPr>
        <w:pStyle w:val="Prrafodelista"/>
        <w:suppressAutoHyphens w:val="0"/>
        <w:spacing w:after="200" w:line="276" w:lineRule="auto"/>
        <w:ind w:leftChars="0" w:left="0" w:firstLineChars="0" w:firstLine="0"/>
        <w:jc w:val="both"/>
        <w:textDirection w:val="lrTb"/>
        <w:textAlignment w:val="auto"/>
        <w:outlineLvl w:val="9"/>
        <w:rPr>
          <w:rFonts w:ascii="Times New Roman" w:eastAsia="Arial" w:hAnsi="Times New Roman" w:cs="Times New Roman"/>
          <w:lang w:val="es-ES"/>
        </w:rPr>
      </w:pPr>
    </w:p>
    <w:p w14:paraId="46714A26" w14:textId="77777777" w:rsidR="004C3D95" w:rsidRDefault="004C3D95" w:rsidP="004C3D95">
      <w:pPr>
        <w:pStyle w:val="Prrafodelista"/>
        <w:suppressAutoHyphens w:val="0"/>
        <w:spacing w:after="200" w:line="276" w:lineRule="auto"/>
        <w:ind w:leftChars="0" w:left="0" w:firstLineChars="0" w:firstLine="0"/>
        <w:jc w:val="both"/>
        <w:textDirection w:val="lrTb"/>
        <w:textAlignment w:val="auto"/>
        <w:outlineLvl w:val="9"/>
        <w:rPr>
          <w:rFonts w:ascii="Times New Roman" w:eastAsia="Arial" w:hAnsi="Times New Roman" w:cs="Times New Roman"/>
          <w:lang w:val="es-ES"/>
        </w:rPr>
      </w:pPr>
    </w:p>
    <w:p w14:paraId="5A893F91" w14:textId="77777777" w:rsidR="004C3D95" w:rsidRPr="00CE16F1" w:rsidRDefault="004C3D95" w:rsidP="004C3D95">
      <w:pPr>
        <w:pStyle w:val="Prrafodelista"/>
        <w:suppressAutoHyphens w:val="0"/>
        <w:spacing w:after="200" w:line="276" w:lineRule="auto"/>
        <w:ind w:leftChars="0" w:left="0" w:firstLineChars="0" w:firstLine="0"/>
        <w:jc w:val="both"/>
        <w:textDirection w:val="lrTb"/>
        <w:textAlignment w:val="auto"/>
        <w:outlineLvl w:val="9"/>
        <w:rPr>
          <w:rFonts w:ascii="Times New Roman" w:eastAsia="Arial" w:hAnsi="Times New Roman" w:cs="Times New Roman"/>
          <w:lang w:val="es-ES"/>
        </w:rPr>
      </w:pPr>
    </w:p>
    <w:p w14:paraId="7B5B2B18" w14:textId="77777777" w:rsidR="008745D1" w:rsidRDefault="00062AC1" w:rsidP="00425498">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sz w:val="23"/>
          <w:szCs w:val="23"/>
        </w:rPr>
        <w:lastRenderedPageBreak/>
        <w:t xml:space="preserve">5.3.3. Especificaciones técnicas </w:t>
      </w:r>
    </w:p>
    <w:p w14:paraId="73912CD4"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2371BDA0" w14:textId="77777777" w:rsidR="008745D1" w:rsidRDefault="00062AC1">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color w:val="000000"/>
          <w:sz w:val="23"/>
          <w:szCs w:val="23"/>
        </w:rPr>
        <w:t>Las especificaciones técnicas se encuentran descritas en el formato “</w:t>
      </w:r>
      <w:r>
        <w:rPr>
          <w:rFonts w:ascii="Arial Narrow" w:eastAsia="Arial Narrow" w:hAnsi="Arial Narrow" w:cs="Arial Narrow"/>
          <w:i/>
          <w:color w:val="000000"/>
          <w:sz w:val="23"/>
          <w:szCs w:val="23"/>
          <w:u w:val="single"/>
        </w:rPr>
        <w:t>Ficha técnica de bienes y servicios de características técnicas uniformes y de común utilizació</w:t>
      </w:r>
      <w:r>
        <w:rPr>
          <w:rFonts w:ascii="Arial Narrow" w:eastAsia="Arial Narrow" w:hAnsi="Arial Narrow" w:cs="Arial Narrow"/>
          <w:i/>
          <w:color w:val="000000"/>
          <w:sz w:val="23"/>
          <w:szCs w:val="23"/>
        </w:rPr>
        <w:t>n”, de</w:t>
      </w:r>
      <w:r>
        <w:rPr>
          <w:rFonts w:ascii="Arial Narrow" w:eastAsia="Arial Narrow" w:hAnsi="Arial Narrow" w:cs="Arial Narrow"/>
          <w:color w:val="000000"/>
          <w:sz w:val="23"/>
          <w:szCs w:val="23"/>
        </w:rPr>
        <w:t xml:space="preserve"> conformidad con lo dispuesto en el numeral 1 del artículo 2.2.1.2.1.2.1, numeral 1 del Decreto 1082 de 2015.</w:t>
      </w:r>
    </w:p>
    <w:p w14:paraId="5D84594C" w14:textId="77777777" w:rsidR="008745D1" w:rsidRDefault="008745D1">
      <w:pPr>
        <w:spacing w:after="0" w:line="240" w:lineRule="auto"/>
        <w:ind w:left="0" w:hanging="2"/>
        <w:jc w:val="both"/>
        <w:rPr>
          <w:rFonts w:ascii="Arial Narrow" w:eastAsia="Arial Narrow" w:hAnsi="Arial Narrow" w:cs="Arial Narrow"/>
          <w:sz w:val="23"/>
          <w:szCs w:val="23"/>
        </w:rPr>
      </w:pPr>
    </w:p>
    <w:p w14:paraId="39629EF6" w14:textId="77777777" w:rsidR="008745D1" w:rsidRDefault="00062AC1">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proponente adjudicatario deberá cumplir con las especificaciones técnicas mínimas</w:t>
      </w:r>
      <w:r w:rsidR="00035EB7">
        <w:rPr>
          <w:rFonts w:ascii="Arial Narrow" w:eastAsia="Arial Narrow" w:hAnsi="Arial Narrow" w:cs="Arial Narrow"/>
          <w:sz w:val="23"/>
          <w:szCs w:val="23"/>
        </w:rPr>
        <w:t xml:space="preserve"> e incluir la información solicitada</w:t>
      </w:r>
      <w:r>
        <w:rPr>
          <w:rFonts w:ascii="Arial Narrow" w:eastAsia="Arial Narrow" w:hAnsi="Arial Narrow" w:cs="Arial Narrow"/>
          <w:sz w:val="23"/>
          <w:szCs w:val="23"/>
        </w:rPr>
        <w:t xml:space="preserve">, de conformidad con las fichas técnicas uniformes y de común utilización publicadas en el SECOP. </w:t>
      </w:r>
    </w:p>
    <w:p w14:paraId="177921DB" w14:textId="77777777" w:rsidR="008745D1" w:rsidRDefault="008745D1">
      <w:pPr>
        <w:spacing w:after="0" w:line="240" w:lineRule="auto"/>
        <w:ind w:left="0" w:hanging="2"/>
        <w:jc w:val="both"/>
        <w:rPr>
          <w:rFonts w:ascii="Arial Narrow" w:eastAsia="Arial Narrow" w:hAnsi="Arial Narrow" w:cs="Arial Narrow"/>
          <w:sz w:val="23"/>
          <w:szCs w:val="23"/>
        </w:rPr>
      </w:pPr>
    </w:p>
    <w:tbl>
      <w:tblPr>
        <w:tblStyle w:val="afff5"/>
        <w:tblW w:w="966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63"/>
      </w:tblGrid>
      <w:tr w:rsidR="008745D1" w14:paraId="371541B6" w14:textId="77777777">
        <w:trPr>
          <w:jc w:val="center"/>
        </w:trPr>
        <w:tc>
          <w:tcPr>
            <w:tcW w:w="9663" w:type="dxa"/>
            <w:shd w:val="clear" w:color="auto" w:fill="CCCCCC"/>
          </w:tcPr>
          <w:p w14:paraId="1D1483E9"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sz w:val="23"/>
                <w:szCs w:val="23"/>
              </w:rPr>
              <w:t xml:space="preserve">VI. EVALUACIÓN DE LA OFERTA  </w:t>
            </w:r>
          </w:p>
        </w:tc>
      </w:tr>
    </w:tbl>
    <w:p w14:paraId="4586A235" w14:textId="77777777" w:rsidR="008745D1" w:rsidRDefault="008745D1">
      <w:pPr>
        <w:tabs>
          <w:tab w:val="left" w:pos="0"/>
        </w:tabs>
        <w:spacing w:after="0" w:line="240" w:lineRule="auto"/>
        <w:ind w:left="0" w:hanging="2"/>
        <w:jc w:val="both"/>
        <w:rPr>
          <w:rFonts w:ascii="Arial Narrow" w:eastAsia="Arial Narrow" w:hAnsi="Arial Narrow" w:cs="Arial Narrow"/>
          <w:sz w:val="23"/>
          <w:szCs w:val="23"/>
        </w:rPr>
      </w:pPr>
    </w:p>
    <w:p w14:paraId="5909A2D8" w14:textId="77777777" w:rsidR="008745D1" w:rsidRDefault="00062AC1">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La adjudicación del presente proceso de selección se hará por el valor total de la oferta más económica al finalizar la subasta. En consecuencia, los proponentes deberán presentar su oferta dando cabal cumplimiento de los requisitos mínimos exigidos y cotizar la totalidad de los </w:t>
      </w:r>
      <w:r>
        <w:rPr>
          <w:rFonts w:ascii="Arial Narrow" w:eastAsia="Arial Narrow" w:hAnsi="Arial Narrow" w:cs="Arial Narrow"/>
          <w:b/>
          <w:sz w:val="23"/>
          <w:szCs w:val="23"/>
        </w:rPr>
        <w:t>ítems</w:t>
      </w:r>
      <w:r>
        <w:rPr>
          <w:rFonts w:ascii="Arial Narrow" w:eastAsia="Arial Narrow" w:hAnsi="Arial Narrow" w:cs="Arial Narrow"/>
          <w:sz w:val="23"/>
          <w:szCs w:val="23"/>
        </w:rPr>
        <w:t xml:space="preserve"> que lo componen en el formato diseñado por la entidad.</w:t>
      </w:r>
    </w:p>
    <w:p w14:paraId="0AF266CA" w14:textId="77777777" w:rsidR="00FD49EE" w:rsidRDefault="00E01EC2">
      <w:pPr>
        <w:spacing w:line="240" w:lineRule="auto"/>
        <w:ind w:left="0" w:hanging="2"/>
        <w:jc w:val="both"/>
        <w:rPr>
          <w:rFonts w:ascii="Arial Narrow" w:eastAsia="Arial Narrow" w:hAnsi="Arial Narrow" w:cs="Arial Narrow"/>
          <w:sz w:val="23"/>
          <w:szCs w:val="23"/>
        </w:rPr>
      </w:pPr>
      <w:r w:rsidRPr="00E01EC2">
        <w:rPr>
          <w:rFonts w:ascii="Arial Narrow" w:eastAsia="Arial Narrow" w:hAnsi="Arial Narrow" w:cs="Arial Narrow"/>
          <w:sz w:val="23"/>
          <w:szCs w:val="23"/>
        </w:rPr>
        <w:t xml:space="preserve">El valor total de la oferta estará conformado por los siguientes tres (3) macro ítems: </w:t>
      </w:r>
    </w:p>
    <w:p w14:paraId="02DAF05B" w14:textId="77777777" w:rsidR="00FD49EE" w:rsidRDefault="00E01EC2">
      <w:pPr>
        <w:spacing w:line="240" w:lineRule="auto"/>
        <w:ind w:left="0" w:hanging="2"/>
        <w:jc w:val="both"/>
        <w:rPr>
          <w:rFonts w:ascii="Arial Narrow" w:eastAsia="Arial Narrow" w:hAnsi="Arial Narrow" w:cs="Arial Narrow"/>
          <w:sz w:val="23"/>
          <w:szCs w:val="23"/>
        </w:rPr>
      </w:pPr>
      <w:r w:rsidRPr="00E01EC2">
        <w:rPr>
          <w:rFonts w:ascii="Arial Narrow" w:eastAsia="Arial Narrow" w:hAnsi="Arial Narrow" w:cs="Arial Narrow"/>
          <w:sz w:val="23"/>
          <w:szCs w:val="23"/>
        </w:rPr>
        <w:t xml:space="preserve">1. Servicio Integral de Mesa de Servicios, integrado por los numerales 1.1 al 1.13. </w:t>
      </w:r>
    </w:p>
    <w:p w14:paraId="4D64C941" w14:textId="77777777" w:rsidR="00FD49EE" w:rsidRDefault="00E01EC2">
      <w:pPr>
        <w:spacing w:line="240" w:lineRule="auto"/>
        <w:ind w:left="0" w:hanging="2"/>
        <w:jc w:val="both"/>
        <w:rPr>
          <w:rFonts w:ascii="Arial Narrow" w:eastAsia="Arial Narrow" w:hAnsi="Arial Narrow" w:cs="Arial Narrow"/>
          <w:sz w:val="23"/>
          <w:szCs w:val="23"/>
        </w:rPr>
      </w:pPr>
      <w:r w:rsidRPr="00E01EC2">
        <w:rPr>
          <w:rFonts w:ascii="Arial Narrow" w:eastAsia="Arial Narrow" w:hAnsi="Arial Narrow" w:cs="Arial Narrow"/>
          <w:sz w:val="23"/>
          <w:szCs w:val="23"/>
        </w:rPr>
        <w:t xml:space="preserve">2. Implementación, Licenciamiento, Soporte y Administración de la Herramienta de Gestión ITSM, correspondiente al ítem 2. </w:t>
      </w:r>
    </w:p>
    <w:p w14:paraId="732F2DFA" w14:textId="2443857D" w:rsidR="00E01EC2" w:rsidRPr="00E01EC2" w:rsidRDefault="00E01EC2">
      <w:pPr>
        <w:spacing w:line="240" w:lineRule="auto"/>
        <w:ind w:left="0" w:hanging="2"/>
        <w:jc w:val="both"/>
        <w:rPr>
          <w:rFonts w:ascii="Arial Narrow" w:eastAsia="Arial Narrow" w:hAnsi="Arial Narrow" w:cs="Arial Narrow"/>
          <w:sz w:val="23"/>
          <w:szCs w:val="23"/>
        </w:rPr>
      </w:pPr>
      <w:r w:rsidRPr="00E01EC2">
        <w:rPr>
          <w:rFonts w:ascii="Arial Narrow" w:eastAsia="Arial Narrow" w:hAnsi="Arial Narrow" w:cs="Arial Narrow"/>
          <w:sz w:val="23"/>
          <w:szCs w:val="23"/>
        </w:rPr>
        <w:t>3. Bolsa de Repuestos, correspondiente al ítem 3.</w:t>
      </w:r>
    </w:p>
    <w:p w14:paraId="70CAF9BB" w14:textId="77777777" w:rsidR="00FD49EE" w:rsidRDefault="00E01EC2">
      <w:pPr>
        <w:spacing w:line="240" w:lineRule="auto"/>
        <w:ind w:left="0" w:hanging="2"/>
        <w:jc w:val="both"/>
        <w:rPr>
          <w:rFonts w:ascii="Arial Narrow" w:eastAsia="Arial Narrow" w:hAnsi="Arial Narrow" w:cs="Arial Narrow"/>
          <w:sz w:val="23"/>
          <w:szCs w:val="23"/>
        </w:rPr>
      </w:pPr>
      <w:r w:rsidRPr="00E01EC2">
        <w:rPr>
          <w:rFonts w:ascii="Arial Narrow" w:eastAsia="Arial Narrow" w:hAnsi="Arial Narrow" w:cs="Arial Narrow"/>
          <w:sz w:val="23"/>
          <w:szCs w:val="23"/>
        </w:rPr>
        <w:t>Para efectos de la presentación de la oferta económica, los proponentes deberán diligenciar la totalidad de los valores requeridos para los ítems 1 y 2, incluyendo todos sus componentes y numerales, según corresponda.</w:t>
      </w:r>
    </w:p>
    <w:p w14:paraId="5CA73FBE" w14:textId="77777777" w:rsidR="00FD49EE" w:rsidRDefault="00E01EC2">
      <w:pPr>
        <w:spacing w:line="240" w:lineRule="auto"/>
        <w:ind w:left="0" w:hanging="2"/>
        <w:jc w:val="both"/>
        <w:rPr>
          <w:rFonts w:ascii="Arial Narrow" w:eastAsia="Arial Narrow" w:hAnsi="Arial Narrow" w:cs="Arial Narrow"/>
          <w:sz w:val="23"/>
          <w:szCs w:val="23"/>
        </w:rPr>
      </w:pPr>
      <w:r w:rsidRPr="00E01EC2">
        <w:rPr>
          <w:rFonts w:ascii="Arial Narrow" w:eastAsia="Arial Narrow" w:hAnsi="Arial Narrow" w:cs="Arial Narrow"/>
          <w:sz w:val="23"/>
          <w:szCs w:val="23"/>
        </w:rPr>
        <w:t xml:space="preserve">Respecto del ítem 3 Bolsa de Repuestos, los proponentes no deberán ofertar ni modificar el valor establecido por la Entidad, toda vez que corresponde a un valor fijo determinado por la Fiscalía General de la Nación para la ejecución del contrato. </w:t>
      </w:r>
    </w:p>
    <w:p w14:paraId="519BCAAD" w14:textId="77777777" w:rsidR="00275983" w:rsidRDefault="00E01EC2">
      <w:pPr>
        <w:spacing w:line="240" w:lineRule="auto"/>
        <w:ind w:left="0" w:hanging="2"/>
        <w:jc w:val="both"/>
        <w:rPr>
          <w:rFonts w:ascii="Arial Narrow" w:eastAsia="Arial Narrow" w:hAnsi="Arial Narrow" w:cs="Arial Narrow"/>
          <w:sz w:val="23"/>
          <w:szCs w:val="23"/>
        </w:rPr>
      </w:pPr>
      <w:r w:rsidRPr="00E01EC2">
        <w:rPr>
          <w:rFonts w:ascii="Arial Narrow" w:eastAsia="Arial Narrow" w:hAnsi="Arial Narrow" w:cs="Arial Narrow"/>
          <w:sz w:val="23"/>
          <w:szCs w:val="23"/>
        </w:rPr>
        <w:t xml:space="preserve">En consecuencia, dicho valor deberá mantenerse inalterable dentro de la oferta económica y no será objeto de evaluación económica ni de puja. </w:t>
      </w:r>
    </w:p>
    <w:p w14:paraId="5774D6D5" w14:textId="60BB3DBD" w:rsidR="00FD49EE" w:rsidRDefault="00E01EC2">
      <w:pPr>
        <w:spacing w:line="240" w:lineRule="auto"/>
        <w:ind w:left="0" w:hanging="2"/>
        <w:jc w:val="both"/>
        <w:rPr>
          <w:rFonts w:ascii="Arial Narrow" w:eastAsia="Arial Narrow" w:hAnsi="Arial Narrow" w:cs="Arial Narrow"/>
          <w:sz w:val="23"/>
          <w:szCs w:val="23"/>
        </w:rPr>
      </w:pPr>
      <w:r w:rsidRPr="00E01EC2">
        <w:rPr>
          <w:rFonts w:ascii="Arial Narrow" w:eastAsia="Arial Narrow" w:hAnsi="Arial Narrow" w:cs="Arial Narrow"/>
          <w:sz w:val="23"/>
          <w:szCs w:val="23"/>
        </w:rPr>
        <w:t xml:space="preserve">Regla de la puja Para el procedimiento de subasta inversa, la puja económica recaerá únicamente sobre los siguientes conceptos: </w:t>
      </w:r>
    </w:p>
    <w:p w14:paraId="4F33E03D" w14:textId="2B5EE19F" w:rsidR="00E01EC2" w:rsidRPr="00E01EC2" w:rsidRDefault="00E01EC2">
      <w:pPr>
        <w:spacing w:line="240" w:lineRule="auto"/>
        <w:ind w:left="0" w:hanging="2"/>
        <w:jc w:val="both"/>
        <w:rPr>
          <w:rFonts w:ascii="Arial Narrow" w:eastAsia="Arial Narrow" w:hAnsi="Arial Narrow" w:cs="Arial Narrow"/>
          <w:sz w:val="23"/>
          <w:szCs w:val="23"/>
        </w:rPr>
      </w:pPr>
      <w:r w:rsidRPr="00E01EC2">
        <w:rPr>
          <w:rFonts w:ascii="Arial Narrow" w:eastAsia="Arial Narrow" w:hAnsi="Arial Narrow" w:cs="Arial Narrow"/>
          <w:sz w:val="23"/>
          <w:szCs w:val="23"/>
        </w:rPr>
        <w:t xml:space="preserve">• Numeral 1.13: Componentes de la Mesa Integral de Servicios. • Ítem 2: Implementación, Licenciamiento, Soporte y Administración de la Herramienta de Gestión ITSM. En consecuencia: • Los numerales 1.1 al 1.12 deberán ser ofertados por los proponentes de conformidad con el formato económico, pero sus valores permanecerán fijos durante la subasta y no serán susceptibles de mejora o reducción mediante lances. • El ítem 3 Bolsa de Repuestos tendrá el valor fijo definido por la Entidad y no hará parte de la puja. • Los lances válidos deberán reflejar exclusivamente una disminución en los valores ofertados para el numeral 1.13 y el ítem 2, de acuerdo con las reglas de la subasta establecidas por la Entidad. </w:t>
      </w:r>
      <w:r w:rsidRPr="00E01EC2">
        <w:rPr>
          <w:rFonts w:ascii="Segoe UI Symbol" w:eastAsia="Arial Narrow" w:hAnsi="Segoe UI Symbol" w:cs="Segoe UI Symbol"/>
          <w:sz w:val="23"/>
          <w:szCs w:val="23"/>
        </w:rPr>
        <w:t>✓</w:t>
      </w:r>
      <w:r w:rsidRPr="00E01EC2">
        <w:rPr>
          <w:rFonts w:ascii="Arial Narrow" w:eastAsia="Arial Narrow" w:hAnsi="Arial Narrow" w:cs="Arial Narrow"/>
          <w:sz w:val="23"/>
          <w:szCs w:val="23"/>
        </w:rPr>
        <w:t xml:space="preserve"> Nota: El valor total evaluado y adjudicado corresponderá a la sumatoria de los tres (3) macro ítems, teniendo en cuenta que el valor del ítem 3 Bolsa de Repuestos será el establecido por la Entidad y los valores definitivos de los numerales 1.13 e ítem 2 serán los resultantes de la subasta inversa electrónica. </w:t>
      </w:r>
    </w:p>
    <w:p w14:paraId="61B91F45" w14:textId="77777777" w:rsidR="008745D1" w:rsidRDefault="00062AC1">
      <w:pPr>
        <w:tabs>
          <w:tab w:val="left" w:pos="567"/>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Para la presentación de la propuesta económica se deberá diligenciar el ANEXO 4 - anexo económico EN FORMATO EXCEL.</w:t>
      </w:r>
    </w:p>
    <w:p w14:paraId="15F17C00" w14:textId="77777777" w:rsidR="008745D1" w:rsidRDefault="008745D1">
      <w:pPr>
        <w:tabs>
          <w:tab w:val="left" w:pos="567"/>
        </w:tabs>
        <w:spacing w:after="0" w:line="240" w:lineRule="auto"/>
        <w:ind w:left="0" w:hanging="2"/>
        <w:jc w:val="both"/>
        <w:rPr>
          <w:rFonts w:ascii="Arial Narrow" w:eastAsia="Arial Narrow" w:hAnsi="Arial Narrow" w:cs="Arial Narrow"/>
          <w:color w:val="000000"/>
          <w:sz w:val="23"/>
          <w:szCs w:val="23"/>
        </w:rPr>
      </w:pPr>
    </w:p>
    <w:p w14:paraId="6C2ECEFC" w14:textId="77777777" w:rsidR="008745D1" w:rsidRDefault="00062AC1">
      <w:pPr>
        <w:spacing w:after="0" w:line="240" w:lineRule="auto"/>
        <w:ind w:left="0" w:hanging="2"/>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(VER LA </w:t>
      </w:r>
      <w:r>
        <w:rPr>
          <w:rFonts w:ascii="Arial Narrow" w:eastAsia="Arial Narrow" w:hAnsi="Arial Narrow" w:cs="Arial Narrow"/>
          <w:b/>
          <w:sz w:val="23"/>
          <w:szCs w:val="23"/>
        </w:rPr>
        <w:t>INFORMACIÓN</w:t>
      </w:r>
      <w:r>
        <w:rPr>
          <w:rFonts w:ascii="Arial Narrow" w:eastAsia="Arial Narrow" w:hAnsi="Arial Narrow" w:cs="Arial Narrow"/>
          <w:b/>
          <w:color w:val="000000"/>
          <w:sz w:val="23"/>
          <w:szCs w:val="23"/>
        </w:rPr>
        <w:t xml:space="preserve"> PUBLICADA EN EL SECOP II EN FORMATO EXCEL)</w:t>
      </w:r>
    </w:p>
    <w:p w14:paraId="5AC78238" w14:textId="77777777" w:rsidR="008745D1" w:rsidRDefault="008745D1">
      <w:pPr>
        <w:tabs>
          <w:tab w:val="left" w:pos="0"/>
        </w:tabs>
        <w:spacing w:after="0" w:line="240" w:lineRule="auto"/>
        <w:ind w:left="0" w:hanging="2"/>
        <w:jc w:val="center"/>
        <w:rPr>
          <w:rFonts w:ascii="Arial Narrow" w:eastAsia="Arial Narrow" w:hAnsi="Arial Narrow" w:cs="Arial Narrow"/>
          <w:color w:val="000000"/>
          <w:sz w:val="23"/>
          <w:szCs w:val="23"/>
        </w:rPr>
      </w:pPr>
    </w:p>
    <w:p w14:paraId="32DB951B" w14:textId="63BC0767" w:rsidR="008745D1" w:rsidRDefault="00062AC1">
      <w:pPr>
        <w:tabs>
          <w:tab w:val="left" w:pos="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El margen mínimo de mejora será </w:t>
      </w:r>
      <w:r w:rsidR="00035EB7">
        <w:rPr>
          <w:rFonts w:ascii="Arial Narrow" w:eastAsia="Arial Narrow" w:hAnsi="Arial Narrow" w:cs="Arial Narrow"/>
          <w:b/>
          <w:sz w:val="23"/>
          <w:szCs w:val="23"/>
        </w:rPr>
        <w:t xml:space="preserve">del </w:t>
      </w:r>
      <w:r w:rsidR="00E90506">
        <w:rPr>
          <w:rFonts w:ascii="Arial Narrow" w:eastAsia="Arial Narrow" w:hAnsi="Arial Narrow" w:cs="Arial Narrow"/>
          <w:b/>
          <w:sz w:val="23"/>
          <w:szCs w:val="23"/>
        </w:rPr>
        <w:t>1</w:t>
      </w:r>
      <w:r>
        <w:rPr>
          <w:rFonts w:ascii="Arial Narrow" w:eastAsia="Arial Narrow" w:hAnsi="Arial Narrow" w:cs="Arial Narrow"/>
          <w:b/>
          <w:sz w:val="23"/>
          <w:szCs w:val="23"/>
        </w:rPr>
        <w:t>%</w:t>
      </w:r>
      <w:r>
        <w:rPr>
          <w:rFonts w:ascii="Arial Narrow" w:eastAsia="Arial Narrow" w:hAnsi="Arial Narrow" w:cs="Arial Narrow"/>
          <w:b/>
          <w:color w:val="000000"/>
          <w:sz w:val="23"/>
          <w:szCs w:val="23"/>
        </w:rPr>
        <w:t xml:space="preserve"> del valor total de la oferta.</w:t>
      </w:r>
    </w:p>
    <w:p w14:paraId="2CF402D4" w14:textId="77777777" w:rsidR="008745D1" w:rsidRDefault="008745D1">
      <w:pPr>
        <w:tabs>
          <w:tab w:val="left" w:pos="0"/>
        </w:tabs>
        <w:spacing w:after="0" w:line="240" w:lineRule="auto"/>
        <w:ind w:left="0" w:hanging="2"/>
        <w:jc w:val="both"/>
        <w:rPr>
          <w:rFonts w:ascii="Arial Narrow" w:eastAsia="Arial Narrow" w:hAnsi="Arial Narrow" w:cs="Arial Narrow"/>
          <w:color w:val="000000"/>
          <w:sz w:val="23"/>
          <w:szCs w:val="23"/>
        </w:rPr>
      </w:pPr>
    </w:p>
    <w:p w14:paraId="281D4693"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porcentaje de descuento se calculará haciendo uso de la siguiente fórmula:</w:t>
      </w:r>
    </w:p>
    <w:p w14:paraId="06293ACA" w14:textId="77777777" w:rsidR="008745D1" w:rsidRDefault="00062AC1">
      <w:pPr>
        <w:spacing w:line="240" w:lineRule="auto"/>
        <w:ind w:left="0" w:hanging="2"/>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Precio Inicial – Precio Final = Z</w:t>
      </w:r>
    </w:p>
    <w:p w14:paraId="76C11280" w14:textId="77777777" w:rsidR="008745D1" w:rsidRDefault="00062AC1">
      <w:pPr>
        <w:spacing w:line="240" w:lineRule="auto"/>
        <w:ind w:left="0" w:hanging="2"/>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lastRenderedPageBreak/>
        <w:t>Z x 100/Precio Inicial = Porcentaje de descuento</w:t>
      </w:r>
    </w:p>
    <w:p w14:paraId="67EF9E66" w14:textId="77777777" w:rsidR="008745D1" w:rsidRDefault="00062AC1">
      <w:pPr>
        <w:spacing w:line="240" w:lineRule="auto"/>
        <w:ind w:left="0" w:hanging="2"/>
        <w:jc w:val="both"/>
        <w:rPr>
          <w:rFonts w:ascii="Arial Narrow" w:eastAsia="Arial Narrow" w:hAnsi="Arial Narrow" w:cs="Arial Narrow"/>
          <w:sz w:val="23"/>
          <w:szCs w:val="23"/>
          <w:u w:val="single"/>
        </w:rPr>
      </w:pPr>
      <w:r>
        <w:rPr>
          <w:rFonts w:ascii="Arial Narrow" w:eastAsia="Arial Narrow" w:hAnsi="Arial Narrow" w:cs="Arial Narrow"/>
          <w:sz w:val="23"/>
          <w:szCs w:val="23"/>
        </w:rPr>
        <w:t>Una vez finalizado el evento de la subasta inversa, se aplicará el porcentaje de descuento obtenido a la totalidad de ítems (a cada uno) requeridos en el presente proceso, para efectos de establecer el valor unitario de cada uno de los ítems.</w:t>
      </w:r>
    </w:p>
    <w:p w14:paraId="6E9CB074" w14:textId="0B19D4E9" w:rsidR="008745D1" w:rsidRDefault="00062AC1">
      <w:pPr>
        <w:tabs>
          <w:tab w:val="left" w:pos="0"/>
        </w:tabs>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Nota 1</w:t>
      </w:r>
      <w:r>
        <w:rPr>
          <w:rFonts w:ascii="Arial Narrow" w:eastAsia="Arial Narrow" w:hAnsi="Arial Narrow" w:cs="Arial Narrow"/>
          <w:sz w:val="23"/>
          <w:szCs w:val="23"/>
        </w:rPr>
        <w:t xml:space="preserve">: Los precios de las propuestas deberán darse en pesos colombianos discriminando </w:t>
      </w:r>
      <w:commentRangeStart w:id="66"/>
      <w:r>
        <w:rPr>
          <w:rFonts w:ascii="Arial Narrow" w:eastAsia="Arial Narrow" w:hAnsi="Arial Narrow" w:cs="Arial Narrow"/>
          <w:sz w:val="23"/>
          <w:szCs w:val="23"/>
        </w:rPr>
        <w:t>el IVA</w:t>
      </w:r>
      <w:r w:rsidR="00035EB7">
        <w:rPr>
          <w:rFonts w:ascii="Arial Narrow" w:eastAsia="Arial Narrow" w:hAnsi="Arial Narrow" w:cs="Arial Narrow"/>
          <w:sz w:val="23"/>
          <w:szCs w:val="23"/>
        </w:rPr>
        <w:t xml:space="preserve"> </w:t>
      </w:r>
      <w:r>
        <w:rPr>
          <w:rFonts w:ascii="Arial Narrow" w:eastAsia="Arial Narrow" w:hAnsi="Arial Narrow" w:cs="Arial Narrow"/>
          <w:sz w:val="23"/>
          <w:szCs w:val="23"/>
        </w:rPr>
        <w:t>(SI APLICA)</w:t>
      </w:r>
      <w:commentRangeEnd w:id="66"/>
      <w:r w:rsidR="00652C65">
        <w:rPr>
          <w:rStyle w:val="Refdecomentario"/>
          <w:rFonts w:ascii="Arial Narrow" w:eastAsia="Arial Narrow" w:hAnsi="Arial Narrow" w:cs="Arial Narrow"/>
          <w:sz w:val="23"/>
          <w:szCs w:val="23"/>
        </w:rPr>
        <w:commentReference w:id="66"/>
      </w:r>
    </w:p>
    <w:p w14:paraId="0C2A4695" w14:textId="77777777" w:rsidR="008745D1" w:rsidRDefault="008745D1">
      <w:pPr>
        <w:tabs>
          <w:tab w:val="left" w:pos="567"/>
        </w:tabs>
        <w:spacing w:after="0" w:line="240" w:lineRule="auto"/>
        <w:ind w:left="0" w:hanging="2"/>
        <w:jc w:val="both"/>
        <w:rPr>
          <w:rFonts w:ascii="Arial Narrow" w:eastAsia="Arial Narrow" w:hAnsi="Arial Narrow" w:cs="Arial Narrow"/>
          <w:sz w:val="23"/>
          <w:szCs w:val="23"/>
        </w:rPr>
      </w:pPr>
    </w:p>
    <w:p w14:paraId="4CE28018" w14:textId="77777777" w:rsidR="008745D1" w:rsidRDefault="00062AC1">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NOTA 2</w:t>
      </w:r>
      <w:r>
        <w:rPr>
          <w:rFonts w:ascii="Arial Narrow" w:eastAsia="Arial Narrow" w:hAnsi="Arial Narrow" w:cs="Arial Narrow"/>
          <w:sz w:val="23"/>
          <w:szCs w:val="23"/>
        </w:rPr>
        <w:t xml:space="preserve">: Para efectos de determinar el precio ofrecido, el proponente deberá tener en cuenta todos los costos, gastos, impuestos, seguros, pago de salarios, prestaciones sociales y demás emolumentos que considere pertinentes para la fijación de la propuesta económica. </w:t>
      </w:r>
    </w:p>
    <w:p w14:paraId="2858FAE0" w14:textId="77777777" w:rsidR="008745D1" w:rsidRDefault="008745D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sz w:val="23"/>
          <w:szCs w:val="23"/>
        </w:rPr>
      </w:pPr>
    </w:p>
    <w:p w14:paraId="789D3B43" w14:textId="00A95206" w:rsidR="008745D1" w:rsidRDefault="00062AC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NOTA 3:</w:t>
      </w:r>
      <w:r>
        <w:rPr>
          <w:rFonts w:ascii="Arial Narrow" w:eastAsia="Arial Narrow" w:hAnsi="Arial Narrow" w:cs="Arial Narrow"/>
          <w:sz w:val="23"/>
          <w:szCs w:val="23"/>
        </w:rPr>
        <w:t xml:space="preserve"> El proponente, en la estructuración de su oferta económica, deberá presentar máximo dos </w:t>
      </w:r>
      <w:r w:rsidR="00E90506">
        <w:rPr>
          <w:rFonts w:ascii="Arial Narrow" w:eastAsia="Arial Narrow" w:hAnsi="Arial Narrow" w:cs="Arial Narrow"/>
          <w:sz w:val="23"/>
          <w:szCs w:val="23"/>
        </w:rPr>
        <w:t>decimales, con</w:t>
      </w:r>
      <w:r>
        <w:rPr>
          <w:rFonts w:ascii="Arial Narrow" w:eastAsia="Arial Narrow" w:hAnsi="Arial Narrow" w:cs="Arial Narrow"/>
          <w:sz w:val="23"/>
          <w:szCs w:val="23"/>
        </w:rPr>
        <w:t xml:space="preserve"> el fin de no afectar el cálculo de</w:t>
      </w:r>
      <w:r w:rsidR="00345EF4">
        <w:rPr>
          <w:rFonts w:ascii="Arial Narrow" w:eastAsia="Arial Narrow" w:hAnsi="Arial Narrow" w:cs="Arial Narrow"/>
          <w:sz w:val="23"/>
          <w:szCs w:val="23"/>
        </w:rPr>
        <w:t xml:space="preserve"> variables como IVA</w:t>
      </w:r>
      <w:r w:rsidR="00425498">
        <w:rPr>
          <w:rFonts w:ascii="Arial Narrow" w:eastAsia="Arial Narrow" w:hAnsi="Arial Narrow" w:cs="Arial Narrow"/>
          <w:sz w:val="23"/>
          <w:szCs w:val="23"/>
        </w:rPr>
        <w:t>.</w:t>
      </w:r>
    </w:p>
    <w:p w14:paraId="42F77C04" w14:textId="77777777" w:rsidR="008745D1" w:rsidRDefault="008745D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sz w:val="23"/>
          <w:szCs w:val="23"/>
        </w:rPr>
      </w:pPr>
    </w:p>
    <w:p w14:paraId="2B5D76E7" w14:textId="77777777" w:rsidR="008745D1" w:rsidRDefault="00062AC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En el caso que se presenten más de dos decimales, se recomienda utilizar el método de redondeo estándar, esto es, si el tercer decimal es menor que 5, el segundo decimal se mantiene; si el tercer decimal es igual o mayor que 5, el segundo decimal se incrementa en uno.</w:t>
      </w:r>
    </w:p>
    <w:p w14:paraId="3BA74067" w14:textId="77777777" w:rsidR="008745D1" w:rsidRDefault="008745D1" w:rsidP="00C37012">
      <w:pPr>
        <w:tabs>
          <w:tab w:val="left" w:pos="0"/>
        </w:tabs>
        <w:spacing w:after="0" w:line="240" w:lineRule="auto"/>
        <w:ind w:leftChars="0" w:left="0" w:firstLineChars="0" w:firstLine="0"/>
        <w:jc w:val="both"/>
        <w:rPr>
          <w:rFonts w:ascii="Arial Narrow" w:eastAsia="Arial Narrow" w:hAnsi="Arial Narrow" w:cs="Arial Narrow"/>
          <w:sz w:val="23"/>
          <w:szCs w:val="23"/>
        </w:rPr>
      </w:pPr>
    </w:p>
    <w:p w14:paraId="1A5E8A02"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67" w:name="_heading=h.1egqt2p" w:colFirst="0" w:colLast="0"/>
      <w:bookmarkEnd w:id="67"/>
      <w:r>
        <w:rPr>
          <w:rFonts w:ascii="Arial Narrow" w:eastAsia="Arial Narrow" w:hAnsi="Arial Narrow" w:cs="Arial Narrow"/>
          <w:b/>
          <w:color w:val="000000"/>
          <w:sz w:val="23"/>
          <w:szCs w:val="23"/>
        </w:rPr>
        <w:t> 6.1 Errores aritméticos</w:t>
      </w:r>
    </w:p>
    <w:p w14:paraId="37E1395B" w14:textId="77777777" w:rsidR="008745D1"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56622E9A"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Siempre y cuando la oferta se ajuste sustancialmente a lo requerido en el presente proceso de selección, la Entidad podrá de oficio, corregir errores aritméticos de la siguiente manera: </w:t>
      </w:r>
    </w:p>
    <w:p w14:paraId="0FA29BEC"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a.   Si existiese un error en un precio total como consecuencia de la suma o resta de subtotales, prevalecerán los subtotales y el precio total será corregido.</w:t>
      </w:r>
    </w:p>
    <w:p w14:paraId="6C445545"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b.   Si existiese discrepancia entre palabras y cifras, prevalecerá el monto expresado en palabras.</w:t>
      </w:r>
    </w:p>
    <w:p w14:paraId="14881C2C"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c.   Si existe error al calcular un impuesto, así como en su suma, la Entidad podrá corregirlo siempre que la base gravable, la tarifa y los demás elementos del tributo se encuentren expresamente señalados.</w:t>
      </w:r>
    </w:p>
    <w:p w14:paraId="44AD913C"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Para lo antes señalado, el Comité Técnico evaluador con apoyo del Grupo de Análisis del Sector y de los Oferentes procederá a revisar la propuesta económica, para efectos de dar aplicación a lo antes señalado.</w:t>
      </w:r>
    </w:p>
    <w:p w14:paraId="51A98F0D"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En todo caso la entidad, ante los posibles errores aritméticos definidos en el presente numeral, procederá a aplicar el procedimiento de aproximación generalmente aceptado por las reglas matemáticas denominado redondeo, esto es, si el tercer decimal es menor que 5, el segundo decimal se mantiene; si el tercer decimal es igual o mayor que 5, el segundo decimal se incrementa en uno.</w:t>
      </w:r>
    </w:p>
    <w:p w14:paraId="70E1C0E8"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Nota:</w:t>
      </w:r>
      <w:r>
        <w:rPr>
          <w:rFonts w:ascii="Arial Narrow" w:eastAsia="Arial Narrow" w:hAnsi="Arial Narrow" w:cs="Arial Narrow"/>
          <w:color w:val="000000"/>
          <w:sz w:val="23"/>
          <w:szCs w:val="23"/>
        </w:rPr>
        <w:t xml:space="preserve"> Señor proponente, por favor tener en cuenta lo dispuesto por Colombia Comprar Eficiente, respecto del uso de la plataforma SECOP II para la subasta inversa: </w:t>
      </w:r>
      <w:r>
        <w:rPr>
          <w:rFonts w:ascii="Arial Narrow" w:eastAsia="Arial Narrow" w:hAnsi="Arial Narrow" w:cs="Arial Narrow"/>
          <w:i/>
          <w:color w:val="000000"/>
          <w:sz w:val="23"/>
          <w:szCs w:val="23"/>
        </w:rPr>
        <w:t>“(…) En caso de que exista alguna diferencia entre los documentos de la oferta y el valor indicado en los formularios del SECOP II, la Entidad Estatal debe tener en cuenta el valor indicado en la plataforma y no en el documento adjunto. (…)”</w:t>
      </w:r>
    </w:p>
    <w:p w14:paraId="1FB286A9"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Lo anterior, debido a que la plataforma no permite ser editada y el menor valor reportado por los proponentes habilitados será el valor de partida.</w:t>
      </w:r>
    </w:p>
    <w:p w14:paraId="1EE4B6F8"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474C1D10"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i/>
          <w:color w:val="000000"/>
          <w:sz w:val="23"/>
          <w:szCs w:val="23"/>
        </w:rPr>
        <w:t>Por lo tanto, se reitera que: “Diligencie en el campo "Precio unitario" del sobre económico del SECOP II el valor total de su oferta económica (INDICAR DE ACUERDO CON EL ESTUDIO DEL SECTOR SI APLICA O NO IVA / así mismo, diligencie y adjunte el anexo 4 "oferta económica" con los valores desagregados.</w:t>
      </w:r>
    </w:p>
    <w:p w14:paraId="4E03C7E7" w14:textId="77777777" w:rsidR="008745D1" w:rsidRDefault="00062AC1">
      <w:pPr>
        <w:spacing w:line="240" w:lineRule="auto"/>
        <w:ind w:left="0" w:hanging="2"/>
        <w:jc w:val="both"/>
        <w:rPr>
          <w:rFonts w:ascii="Arial Narrow" w:eastAsia="Arial Narrow" w:hAnsi="Arial Narrow" w:cs="Arial Narrow"/>
          <w:i/>
          <w:color w:val="000000"/>
          <w:sz w:val="23"/>
          <w:szCs w:val="23"/>
        </w:rPr>
      </w:pPr>
      <w:bookmarkStart w:id="68" w:name="_heading=h.3ygebqi" w:colFirst="0" w:colLast="0"/>
      <w:bookmarkEnd w:id="68"/>
      <w:r>
        <w:rPr>
          <w:rFonts w:ascii="Arial Narrow" w:eastAsia="Arial Narrow" w:hAnsi="Arial Narrow" w:cs="Arial Narrow"/>
          <w:b/>
          <w:i/>
          <w:color w:val="000000"/>
          <w:sz w:val="23"/>
          <w:szCs w:val="23"/>
        </w:rPr>
        <w:t>IMPORTANTE:</w:t>
      </w:r>
      <w:r>
        <w:rPr>
          <w:rFonts w:ascii="Arial Narrow" w:eastAsia="Arial Narrow" w:hAnsi="Arial Narrow" w:cs="Arial Narrow"/>
          <w:i/>
          <w:color w:val="000000"/>
          <w:sz w:val="23"/>
          <w:szCs w:val="23"/>
        </w:rPr>
        <w:t xml:space="preserv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color w:val="000000"/>
          <w:sz w:val="23"/>
          <w:szCs w:val="23"/>
          <w:u w:val="single"/>
        </w:rPr>
        <w:t>EN CASO DE NO COINCIDIR SU OFERTA SERÁ OBJETO DE OBSERVACION</w:t>
      </w:r>
      <w:r>
        <w:rPr>
          <w:rFonts w:ascii="Arial Narrow" w:eastAsia="Arial Narrow" w:hAnsi="Arial Narrow" w:cs="Arial Narrow"/>
          <w:i/>
          <w:color w:val="000000"/>
          <w:sz w:val="23"/>
          <w:szCs w:val="23"/>
        </w:rPr>
        <w:t xml:space="preserve">, lo anterior, debido a que desde la configuración del SECOP II, el precio de arranque de la subasta inversa electrónica será el menor valor digitado en el sobre 2 </w:t>
      </w:r>
      <w:r>
        <w:rPr>
          <w:rFonts w:ascii="Arial Narrow" w:eastAsia="Arial Narrow" w:hAnsi="Arial Narrow" w:cs="Arial Narrow"/>
          <w:i/>
          <w:color w:val="000000"/>
          <w:sz w:val="23"/>
          <w:szCs w:val="23"/>
        </w:rPr>
        <w:lastRenderedPageBreak/>
        <w:t>“Económico – pregunta lista de precios”, por los proponentes que resulten habilitados en la fase de evaluación de las ofertas económicas.”</w:t>
      </w:r>
    </w:p>
    <w:p w14:paraId="0218C1A3" w14:textId="77777777" w:rsidR="008745D1" w:rsidRDefault="00062AC1">
      <w:pPr>
        <w:widowControl w:val="0"/>
        <w:shd w:val="clear" w:color="auto" w:fill="FFFFFF"/>
        <w:tabs>
          <w:tab w:val="left" w:pos="284"/>
        </w:tabs>
        <w:spacing w:before="200" w:after="200" w:line="240" w:lineRule="auto"/>
        <w:ind w:left="0" w:hanging="2"/>
        <w:rPr>
          <w:rFonts w:ascii="Arial Narrow" w:eastAsia="Arial Narrow" w:hAnsi="Arial Narrow" w:cs="Arial Narrow"/>
          <w:i/>
          <w:sz w:val="23"/>
          <w:szCs w:val="23"/>
        </w:rPr>
      </w:pPr>
      <w:r>
        <w:rPr>
          <w:rFonts w:ascii="Arial Narrow" w:eastAsia="Arial Narrow" w:hAnsi="Arial Narrow" w:cs="Arial Narrow"/>
          <w:color w:val="222222"/>
          <w:sz w:val="24"/>
          <w:szCs w:val="24"/>
        </w:rPr>
        <w:t xml:space="preserve">Si dentro del desarrollo del evento de subasta se presentan hechos o circunstancias que afecten su normal desarrollo y eficacia, la entidad podrá repetirlo, a fin de garantizar los principios de la contratación estatal, y la libre competencia. </w:t>
      </w:r>
    </w:p>
    <w:p w14:paraId="0AC94018" w14:textId="77777777" w:rsidR="008745D1" w:rsidRDefault="00062AC1">
      <w:pPr>
        <w:widowControl w:val="0"/>
        <w:numPr>
          <w:ilvl w:val="1"/>
          <w:numId w:val="19"/>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Método en caso de empate</w:t>
      </w:r>
    </w:p>
    <w:p w14:paraId="65AC7CD6" w14:textId="77777777" w:rsidR="008745D1" w:rsidRDefault="00062AC1">
      <w:pPr>
        <w:numPr>
          <w:ilvl w:val="0"/>
          <w:numId w:val="2"/>
        </w:numPr>
        <w:shd w:val="clear" w:color="auto" w:fill="FFFFFF"/>
        <w:spacing w:before="280" w:after="28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SI hay lugar al evento de subasta y no se presentan lances</w:t>
      </w:r>
    </w:p>
    <w:p w14:paraId="253DFD58" w14:textId="77777777" w:rsidR="008745D1" w:rsidRDefault="00062AC1">
      <w:pPr>
        <w:spacing w:line="240" w:lineRule="auto"/>
        <w:ind w:left="0" w:hanging="2"/>
        <w:jc w:val="both"/>
        <w:rPr>
          <w:rFonts w:ascii="Arial Narrow" w:eastAsia="Arial Narrow" w:hAnsi="Arial Narrow" w:cs="Arial Narrow"/>
          <w:color w:val="000000"/>
          <w:sz w:val="23"/>
          <w:szCs w:val="23"/>
        </w:rPr>
      </w:pPr>
      <w:bookmarkStart w:id="69" w:name="_heading=h.2dlolyb" w:colFirst="0" w:colLast="0"/>
      <w:bookmarkEnd w:id="69"/>
      <w:r>
        <w:rPr>
          <w:rFonts w:ascii="Arial Narrow" w:eastAsia="Arial Narrow" w:hAnsi="Arial Narrow" w:cs="Arial Narrow"/>
          <w:color w:val="000000"/>
          <w:sz w:val="23"/>
          <w:szCs w:val="23"/>
        </w:rPr>
        <w:t>Si no presentan lances, se procede a la verificación de las propuestas económicas iniciales, y se procederá a adjudicar el proceso al proponente que haya presentado el precio inicial más bajo.</w:t>
      </w:r>
    </w:p>
    <w:p w14:paraId="562CDAD4" w14:textId="2F9CCDE2" w:rsidR="008745D1" w:rsidRDefault="00062AC1">
      <w:pPr>
        <w:numPr>
          <w:ilvl w:val="0"/>
          <w:numId w:val="2"/>
        </w:numPr>
        <w:shd w:val="clear" w:color="auto" w:fill="FFFFFF"/>
        <w:spacing w:before="280" w:after="28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SI hay lugar al evento de subasta y en su desarrollo se presentan lances que generen empate</w:t>
      </w:r>
    </w:p>
    <w:p w14:paraId="11D3EA42"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Si en la presentación de lances se presenta empate, se procederá a aplicar las reglas previstas en el artículo 2.2.1.2.4.2.17 del Decreto 1082 de 2015, adicionado por el artículo 3° del Decreto 1860 del 2022.</w:t>
      </w:r>
    </w:p>
    <w:p w14:paraId="09CEA765" w14:textId="77777777" w:rsidR="008745D1" w:rsidRDefault="00062AC1" w:rsidP="0010040B">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En caso de aplicar las reglas allí establecidas de forma sucesiva y excluyente y de persistir el empate, dando lugar a la aplicación del método aleatorio señalado en el numeral 12, se seguirá el siguiente procedimiento: </w:t>
      </w:r>
    </w:p>
    <w:p w14:paraId="57F870C2"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Método Aleatorio:</w:t>
      </w:r>
    </w:p>
    <w:p w14:paraId="710A9C9D"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Se procederá a elegir el ganador mediante sorteo por balotas, para lo cual se citará por TEAMS a los Representantes Legales (o delegados) de las propuestas empatadas para que VERIFIQUEN el procedimiento:</w:t>
      </w:r>
    </w:p>
    <w:p w14:paraId="3F272095"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Se dispondrán balotas numeradas de acuerdo con el número de proponentes habilitados. Un funcionario de la Subdirección de Gestión Contractual sacará una balota de acuerdo con el orden de presentación de las propuestas. </w:t>
      </w:r>
    </w:p>
    <w:p w14:paraId="5B19BD2F" w14:textId="77777777" w:rsidR="008745D1" w:rsidRDefault="00062AC1">
      <w:pPr>
        <w:spacing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Seguidamente, se procederán a sacar la balota en el orden que se haya determinado por proponente y se adjudicará el proceso de selección a quien saque la balota con el número mayor y cuyo resultado debe ser aceptado de antemano por los proponentes involucrados en el empate sin lugar a reclamación alguno.</w:t>
      </w:r>
    </w:p>
    <w:p w14:paraId="7092B515" w14:textId="77777777" w:rsidR="008745D1" w:rsidRDefault="00062AC1">
      <w:pPr>
        <w:spacing w:line="240" w:lineRule="auto"/>
        <w:ind w:left="0" w:hanging="2"/>
        <w:jc w:val="both"/>
        <w:rPr>
          <w:rFonts w:ascii="Arial Narrow" w:eastAsia="Arial Narrow" w:hAnsi="Arial Narrow" w:cs="Arial Narrow"/>
          <w:color w:val="000000"/>
          <w:sz w:val="23"/>
          <w:szCs w:val="23"/>
          <w:u w:val="single"/>
        </w:rPr>
      </w:pPr>
      <w:r>
        <w:rPr>
          <w:rFonts w:ascii="Arial Narrow" w:eastAsia="Arial Narrow" w:hAnsi="Arial Narrow" w:cs="Arial Narrow"/>
          <w:color w:val="000000"/>
          <w:sz w:val="23"/>
          <w:szCs w:val="23"/>
          <w:u w:val="single"/>
        </w:rPr>
        <w:t>Para el caso de la aplicación de factor de desempate, respecto de apoyo a la industria nacional se tendrá en cuenta lo siguiente:</w:t>
      </w:r>
    </w:p>
    <w:p w14:paraId="4739D406" w14:textId="77777777" w:rsidR="008745D1" w:rsidRDefault="00062AC1">
      <w:pPr>
        <w:spacing w:line="240" w:lineRule="auto"/>
        <w:ind w:left="0" w:hanging="2"/>
        <w:rPr>
          <w:rFonts w:ascii="Arial Narrow" w:eastAsia="Arial Narrow" w:hAnsi="Arial Narrow" w:cs="Arial Narrow"/>
          <w:sz w:val="23"/>
          <w:szCs w:val="23"/>
        </w:rPr>
      </w:pPr>
      <w:r>
        <w:rPr>
          <w:rFonts w:ascii="Arial Narrow" w:eastAsia="Arial Narrow" w:hAnsi="Arial Narrow" w:cs="Arial Narrow"/>
          <w:b/>
          <w:sz w:val="23"/>
          <w:szCs w:val="23"/>
        </w:rPr>
        <w:t xml:space="preserve">ACREDITACIÓN – Anexo No. 013 </w:t>
      </w:r>
      <w:r>
        <w:rPr>
          <w:rFonts w:ascii="Arial Narrow" w:eastAsia="Arial Narrow" w:hAnsi="Arial Narrow" w:cs="Arial Narrow"/>
          <w:sz w:val="23"/>
          <w:szCs w:val="23"/>
        </w:rPr>
        <w:t>Apoyo a la Industria Nacional</w:t>
      </w:r>
    </w:p>
    <w:p w14:paraId="37C1BAB4" w14:textId="77777777" w:rsidR="00B128AA" w:rsidRPr="00275983" w:rsidRDefault="00B128AA" w:rsidP="00B128AA">
      <w:pPr>
        <w:numPr>
          <w:ilvl w:val="0"/>
          <w:numId w:val="30"/>
        </w:numPr>
        <w:suppressAutoHyphens w:val="0"/>
        <w:autoSpaceDE w:val="0"/>
        <w:autoSpaceDN w:val="0"/>
        <w:ind w:leftChars="0" w:left="0" w:firstLineChars="0" w:hanging="2"/>
        <w:jc w:val="both"/>
        <w:textDirection w:val="lrTb"/>
        <w:textAlignment w:val="auto"/>
        <w:outlineLvl w:val="9"/>
        <w:rPr>
          <w:rFonts w:ascii="Arial Narrow" w:hAnsi="Arial Narrow"/>
        </w:rPr>
      </w:pPr>
      <w:r w:rsidRPr="00275983">
        <w:rPr>
          <w:rFonts w:ascii="Arial Narrow" w:hAnsi="Arial Narrow"/>
        </w:rPr>
        <w:t>Apoyo a la Industria Nacional (numeral 1)</w:t>
      </w:r>
    </w:p>
    <w:p w14:paraId="1E246BC0" w14:textId="77777777" w:rsidR="00B128AA" w:rsidRPr="00275983" w:rsidRDefault="00B128AA" w:rsidP="002F175B">
      <w:pPr>
        <w:autoSpaceDE w:val="0"/>
        <w:autoSpaceDN w:val="0"/>
        <w:ind w:left="0" w:hanging="2"/>
        <w:jc w:val="both"/>
        <w:rPr>
          <w:rFonts w:ascii="Arial Narrow" w:hAnsi="Arial Narrow"/>
        </w:rPr>
      </w:pPr>
      <w:r w:rsidRPr="00275983">
        <w:rPr>
          <w:rFonts w:ascii="Arial Narrow" w:hAnsi="Arial Narrow"/>
        </w:rPr>
        <w:t>En caso de bienes:</w:t>
      </w:r>
    </w:p>
    <w:p w14:paraId="76466EDA" w14:textId="77777777" w:rsidR="00B128AA" w:rsidRPr="00275983" w:rsidRDefault="00B128AA" w:rsidP="002F175B">
      <w:pPr>
        <w:autoSpaceDE w:val="0"/>
        <w:autoSpaceDN w:val="0"/>
        <w:ind w:left="0" w:hanging="2"/>
        <w:jc w:val="both"/>
        <w:rPr>
          <w:rFonts w:ascii="Arial Narrow" w:hAnsi="Arial Narrow"/>
        </w:rPr>
      </w:pPr>
      <w:r w:rsidRPr="00275983">
        <w:rPr>
          <w:rFonts w:ascii="Arial Narrow" w:hAnsi="Arial Narrow"/>
        </w:rPr>
        <w:t>Se aplicará la noción de bienes del artículo 1 del Decreto 2680 de 2009, siempre y cuanto se encuentren en el Registro de Productores de Bienes Nacionales.</w:t>
      </w:r>
    </w:p>
    <w:p w14:paraId="071793B1" w14:textId="77777777" w:rsidR="00B128AA" w:rsidRPr="00275983" w:rsidRDefault="00B128AA" w:rsidP="002F175B">
      <w:pPr>
        <w:autoSpaceDE w:val="0"/>
        <w:autoSpaceDN w:val="0"/>
        <w:ind w:left="0" w:hanging="2"/>
        <w:jc w:val="both"/>
        <w:rPr>
          <w:rFonts w:ascii="Arial Narrow" w:hAnsi="Arial Narrow"/>
        </w:rPr>
      </w:pPr>
      <w:r w:rsidRPr="00275983">
        <w:rPr>
          <w:rFonts w:ascii="Arial Narrow" w:hAnsi="Arial Narrow"/>
        </w:rPr>
        <w:t>En caso de servicios:</w:t>
      </w:r>
    </w:p>
    <w:p w14:paraId="2E898F65" w14:textId="77777777" w:rsidR="00B128AA" w:rsidRPr="00275983" w:rsidRDefault="00B128AA" w:rsidP="00B128AA">
      <w:pPr>
        <w:pStyle w:val="Default"/>
        <w:numPr>
          <w:ilvl w:val="1"/>
          <w:numId w:val="31"/>
        </w:numPr>
        <w:suppressAutoHyphens w:val="0"/>
        <w:adjustRightInd/>
        <w:spacing w:after="0" w:line="240" w:lineRule="auto"/>
        <w:ind w:leftChars="0" w:left="0" w:firstLineChars="0" w:hanging="2"/>
        <w:jc w:val="both"/>
        <w:textDirection w:val="lrTb"/>
        <w:textAlignment w:val="auto"/>
        <w:outlineLvl w:val="9"/>
        <w:rPr>
          <w:rFonts w:ascii="Arial Narrow" w:eastAsia="Calibri" w:hAnsi="Arial Narrow" w:cs="Times New Roman"/>
          <w:color w:val="auto"/>
          <w:sz w:val="22"/>
          <w:szCs w:val="22"/>
          <w:lang w:eastAsia="en-US"/>
        </w:rPr>
      </w:pPr>
      <w:r w:rsidRPr="00275983">
        <w:rPr>
          <w:rFonts w:ascii="Arial Narrow" w:eastAsia="Calibri" w:hAnsi="Arial Narrow" w:cs="Times New Roman"/>
          <w:color w:val="auto"/>
          <w:sz w:val="22"/>
          <w:szCs w:val="22"/>
          <w:lang w:eastAsia="en-US"/>
        </w:rPr>
        <w:t>Oferentes de Servicios de origen nacional</w:t>
      </w:r>
    </w:p>
    <w:p w14:paraId="633FBD7C" w14:textId="77777777" w:rsidR="00B128AA" w:rsidRPr="00275983" w:rsidRDefault="00B128AA" w:rsidP="002F175B">
      <w:pPr>
        <w:ind w:left="0" w:hanging="2"/>
        <w:jc w:val="both"/>
        <w:rPr>
          <w:rFonts w:ascii="Arial Narrow" w:hAnsi="Arial Narrow"/>
        </w:rPr>
      </w:pPr>
      <w:r w:rsidRPr="00275983">
        <w:rPr>
          <w:rFonts w:ascii="Arial Narrow" w:hAnsi="Arial Narrow"/>
        </w:rPr>
        <w:t xml:space="preserve">De conformidad con la Ley 80 de 1993, la Ley 816 de 2003 y el artículo 2.2.1.2.4.1.3. y el artículo </w:t>
      </w:r>
      <w:r w:rsidRPr="00275983">
        <w:rPr>
          <w:rFonts w:ascii="Arial Narrow" w:hAnsi="Arial Narrow"/>
          <w:i/>
          <w:iCs/>
        </w:rPr>
        <w:t xml:space="preserve">2.2.1.2.4.2.9. </w:t>
      </w:r>
      <w:r w:rsidRPr="00275983">
        <w:rPr>
          <w:rFonts w:ascii="Arial Narrow" w:hAnsi="Arial Narrow"/>
        </w:rPr>
        <w:t>del Decreto 1082 de 2015, adicionado por el Decreto 680 de 2021, se consideran servicios nacionales, aquellos prestados por personas naturales colombianas o residentes en Colombia o por personas jurídicas constituidas de conformidad con la legislación colombiana.</w:t>
      </w:r>
    </w:p>
    <w:p w14:paraId="1F552886" w14:textId="77777777" w:rsidR="00B128AA" w:rsidRPr="00275983" w:rsidRDefault="00B128AA" w:rsidP="002F175B">
      <w:pPr>
        <w:ind w:left="0" w:hanging="2"/>
        <w:jc w:val="both"/>
        <w:rPr>
          <w:rFonts w:ascii="Arial Narrow" w:hAnsi="Arial Narrow"/>
        </w:rPr>
      </w:pPr>
      <w:r w:rsidRPr="00275983">
        <w:rPr>
          <w:rFonts w:ascii="Arial Narrow" w:hAnsi="Arial Narrow"/>
        </w:rPr>
        <w:t xml:space="preserve">Igualmente, en cumplimiento del principio de reciprocidad, la FGN concederá Trato Nacional a (i) los Oferentes que provengan de países con los cuales Colombia tenga acuerdos comerciales vigentes, y en los términos de tales acuerdos comerciales; o (ii) los Oferentes que provengan de países con los cuales, aunque no exista un acuerdo comercial, el Ministerio de Relaciones Exteriores certifique que los oferentes de bienes y/o servicios colombianos reciben Trato Nacional </w:t>
      </w:r>
      <w:r w:rsidRPr="00275983">
        <w:rPr>
          <w:rFonts w:ascii="Arial Narrow" w:hAnsi="Arial Narrow"/>
        </w:rPr>
        <w:lastRenderedPageBreak/>
        <w:t xml:space="preserve">en tales países; o (iii) los Oferentes miembros de la Comunidad Andina de Naciones, teniendo en cuenta la regulación andina aplicable a la materia. </w:t>
      </w:r>
    </w:p>
    <w:p w14:paraId="2100546E" w14:textId="77777777" w:rsidR="00B128AA" w:rsidRPr="00275983" w:rsidRDefault="00B128AA" w:rsidP="002F175B">
      <w:pPr>
        <w:ind w:left="0" w:hanging="2"/>
        <w:jc w:val="both"/>
        <w:rPr>
          <w:rFonts w:ascii="Arial Narrow" w:hAnsi="Arial Narrow"/>
        </w:rPr>
      </w:pPr>
      <w:r w:rsidRPr="00275983">
        <w:rPr>
          <w:rFonts w:ascii="Arial Narrow" w:hAnsi="Arial Narrow"/>
        </w:rPr>
        <w:t xml:space="preserve">El Oferente que provenga de países con los cuales Colombia no tenga tratados o acuerdos vigentes en materia de compras, deberá allegar la respectiva certificación del Ministerio de Relaciones Exteriores con la Oferta para demostrar que tiene derecho a recibir Trato Nacional. </w:t>
      </w:r>
    </w:p>
    <w:p w14:paraId="1DC6980D" w14:textId="77777777" w:rsidR="00B128AA" w:rsidRPr="00275983" w:rsidRDefault="00B128AA" w:rsidP="00B128AA">
      <w:pPr>
        <w:pStyle w:val="Default"/>
        <w:numPr>
          <w:ilvl w:val="1"/>
          <w:numId w:val="31"/>
        </w:numPr>
        <w:suppressAutoHyphens w:val="0"/>
        <w:adjustRightInd/>
        <w:spacing w:after="0" w:line="240" w:lineRule="auto"/>
        <w:ind w:leftChars="0" w:left="0" w:firstLineChars="0" w:hanging="2"/>
        <w:jc w:val="both"/>
        <w:textDirection w:val="lrTb"/>
        <w:textAlignment w:val="auto"/>
        <w:outlineLvl w:val="9"/>
        <w:rPr>
          <w:rFonts w:ascii="Arial Narrow" w:eastAsia="Calibri" w:hAnsi="Arial Narrow" w:cs="Times New Roman"/>
          <w:color w:val="auto"/>
          <w:sz w:val="22"/>
          <w:szCs w:val="22"/>
          <w:lang w:eastAsia="en-US"/>
        </w:rPr>
      </w:pPr>
      <w:r w:rsidRPr="00275983">
        <w:rPr>
          <w:rFonts w:ascii="Arial Narrow" w:eastAsia="Calibri" w:hAnsi="Arial Narrow" w:cs="Times New Roman"/>
          <w:color w:val="auto"/>
          <w:sz w:val="22"/>
          <w:szCs w:val="22"/>
          <w:lang w:eastAsia="en-US"/>
        </w:rPr>
        <w:t xml:space="preserve">Oferentes que incorporen Servicios nacionales al Proyecto </w:t>
      </w:r>
    </w:p>
    <w:p w14:paraId="04A5CB64" w14:textId="77777777" w:rsidR="00B128AA" w:rsidRPr="00275983" w:rsidRDefault="00B128AA" w:rsidP="002F175B">
      <w:pPr>
        <w:ind w:left="0" w:hanging="2"/>
        <w:jc w:val="both"/>
        <w:rPr>
          <w:rFonts w:ascii="Arial Narrow" w:hAnsi="Arial Narrow"/>
        </w:rPr>
      </w:pPr>
      <w:r w:rsidRPr="00275983">
        <w:rPr>
          <w:rFonts w:ascii="Arial Narrow" w:hAnsi="Arial Narrow"/>
        </w:rPr>
        <w:t xml:space="preserve">Los Oferentes de origen extranjero o aquellos en que la totalidad de la Figura Asociativa no sea nacional o quienes no acrediten Trato Nacional, podrán ser tenido en cuenta como factor de desempate, si ofrecen la incorporación de servicios nacionales para la ejecución del contrato. Por servicios nacionales se tendrá lo dispuesto en el artículo 2.2.1.1.1.3.1. del Decreto 1082 de 2015. </w:t>
      </w:r>
    </w:p>
    <w:p w14:paraId="67786FB3" w14:textId="77777777" w:rsidR="00B128AA" w:rsidRPr="00275983" w:rsidRDefault="00B128AA" w:rsidP="002F175B">
      <w:pPr>
        <w:ind w:left="0" w:hanging="2"/>
        <w:jc w:val="both"/>
        <w:rPr>
          <w:rFonts w:ascii="Arial Narrow" w:hAnsi="Arial Narrow"/>
        </w:rPr>
      </w:pPr>
      <w:r w:rsidRPr="00275983">
        <w:rPr>
          <w:rFonts w:ascii="Arial Narrow" w:hAnsi="Arial Narrow"/>
        </w:rPr>
        <w:t>Para efectos de lo anterior, los Oferentes deberán señalar el porcentaje ofrecido de personal colombiano que se incorporará a la ejecución contractual en el caso de resultar adjudicatario, de acuerdo al formato dispuesto para ello.</w:t>
      </w:r>
    </w:p>
    <w:p w14:paraId="126224F5" w14:textId="77777777" w:rsidR="00B128AA" w:rsidRPr="00275983" w:rsidRDefault="00B128AA" w:rsidP="00B128AA">
      <w:pPr>
        <w:ind w:left="0" w:hanging="2"/>
        <w:jc w:val="both"/>
        <w:rPr>
          <w:rFonts w:ascii="Arial Narrow" w:hAnsi="Arial Narrow"/>
        </w:rPr>
      </w:pPr>
      <w:r w:rsidRPr="00275983">
        <w:rPr>
          <w:rFonts w:ascii="Arial Narrow" w:hAnsi="Arial Narrow"/>
        </w:rPr>
        <w:t>Dado que el Apoyo a la Industria Nacional es factor de desempate, el Oferente no podrá modificar los porcentajes totales de componente de servicios nacionales ofrecidos en la ejecución del Contrato.</w:t>
      </w:r>
    </w:p>
    <w:tbl>
      <w:tblPr>
        <w:tblStyle w:val="afff6"/>
        <w:tblW w:w="99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4"/>
      </w:tblGrid>
      <w:tr w:rsidR="008745D1" w14:paraId="4FE64BF9" w14:textId="77777777">
        <w:trPr>
          <w:jc w:val="center"/>
        </w:trPr>
        <w:tc>
          <w:tcPr>
            <w:tcW w:w="9904" w:type="dxa"/>
            <w:shd w:val="clear" w:color="auto" w:fill="CCCCCC"/>
          </w:tcPr>
          <w:p w14:paraId="786182DD" w14:textId="77777777" w:rsidR="008745D1" w:rsidRDefault="00062AC1">
            <w:pPr>
              <w:pBdr>
                <w:top w:val="nil"/>
                <w:left w:val="nil"/>
                <w:bottom w:val="nil"/>
                <w:right w:val="nil"/>
                <w:between w:val="nil"/>
              </w:pBdr>
              <w:tabs>
                <w:tab w:val="left" w:pos="54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sz w:val="23"/>
                <w:szCs w:val="23"/>
              </w:rPr>
              <w:t xml:space="preserve">VII ACUERDOS INTERNACIONALES O TRATADOS DE LIBRE COMERCIO VIGENTE </w:t>
            </w:r>
          </w:p>
        </w:tc>
      </w:tr>
    </w:tbl>
    <w:p w14:paraId="50FD7AAE" w14:textId="77777777" w:rsidR="008745D1" w:rsidRDefault="008745D1">
      <w:pPr>
        <w:spacing w:after="0" w:line="240" w:lineRule="auto"/>
        <w:ind w:left="0" w:hanging="2"/>
        <w:rPr>
          <w:rFonts w:ascii="Arial Narrow" w:eastAsia="Arial Narrow" w:hAnsi="Arial Narrow" w:cs="Arial Narrow"/>
          <w:color w:val="000000"/>
          <w:sz w:val="23"/>
          <w:szCs w:val="23"/>
        </w:rPr>
      </w:pPr>
    </w:p>
    <w:p w14:paraId="27583C48" w14:textId="77777777" w:rsidR="008745D1" w:rsidRDefault="00062AC1">
      <w:pPr>
        <w:tabs>
          <w:tab w:val="left" w:pos="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De conformidad con lo previsto en el literal a) del artículo 2.2.1.2.4.1.3 del Decreto 1082 de 2015, el proceso de contratación está sujeto a los siguientes Acuerdos Comerciales. En consecuencia, las ofertas de bienes y servicios de países con los cuales Colombia tiene Acuerdos Comerciales vigentes que cubren el presente proceso de contratación, serán tratados como ofertas de bienes y servicios colombianos y tendrán derecho al puntaje para estimular la industria nacional si aplica, y la Fiscalía General de la Nación elaborará el cronograma de acuerdo con los plazos previstos en dichos Acuerdos Comerciales.</w:t>
      </w:r>
    </w:p>
    <w:p w14:paraId="7F0D4C2D" w14:textId="77777777" w:rsidR="008745D1" w:rsidRDefault="008745D1">
      <w:pPr>
        <w:tabs>
          <w:tab w:val="left" w:pos="0"/>
        </w:tabs>
        <w:spacing w:after="0" w:line="240" w:lineRule="auto"/>
        <w:ind w:left="0" w:hanging="2"/>
        <w:jc w:val="both"/>
        <w:rPr>
          <w:rFonts w:ascii="Arial Narrow" w:eastAsia="Arial Narrow" w:hAnsi="Arial Narrow" w:cs="Arial Narrow"/>
          <w:color w:val="000000"/>
          <w:sz w:val="23"/>
          <w:szCs w:val="23"/>
        </w:rPr>
      </w:pP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6"/>
        <w:gridCol w:w="116"/>
        <w:gridCol w:w="962"/>
        <w:gridCol w:w="1897"/>
        <w:gridCol w:w="1903"/>
        <w:gridCol w:w="1903"/>
        <w:gridCol w:w="2196"/>
      </w:tblGrid>
      <w:tr w:rsidR="0084590F" w:rsidRPr="00CE16F1" w14:paraId="1D04F235" w14:textId="77777777" w:rsidTr="00D75F8C">
        <w:trPr>
          <w:trHeight w:val="285"/>
        </w:trPr>
        <w:tc>
          <w:tcPr>
            <w:tcW w:w="2024" w:type="dxa"/>
            <w:gridSpan w:val="3"/>
            <w:shd w:val="clear" w:color="auto" w:fill="F2F2F2" w:themeFill="background1" w:themeFillShade="F2"/>
            <w:vAlign w:val="center"/>
          </w:tcPr>
          <w:p w14:paraId="6EF8C9F3" w14:textId="77777777" w:rsidR="0084590F" w:rsidRPr="00CE16F1" w:rsidRDefault="0084590F" w:rsidP="00D75F8C">
            <w:pPr>
              <w:tabs>
                <w:tab w:val="left" w:pos="0"/>
              </w:tabs>
              <w:ind w:left="0" w:hanging="2"/>
              <w:jc w:val="center"/>
              <w:rPr>
                <w:rFonts w:ascii="Times New Roman" w:eastAsia="Arial" w:hAnsi="Times New Roman" w:cs="Times New Roman"/>
                <w:b/>
                <w:sz w:val="18"/>
                <w:szCs w:val="18"/>
              </w:rPr>
            </w:pPr>
            <w:r w:rsidRPr="00CE16F1">
              <w:rPr>
                <w:rFonts w:ascii="Times New Roman" w:eastAsia="Arial" w:hAnsi="Times New Roman" w:cs="Times New Roman"/>
                <w:b/>
                <w:sz w:val="18"/>
                <w:szCs w:val="18"/>
              </w:rPr>
              <w:t>Tratados Comerciales</w:t>
            </w:r>
          </w:p>
        </w:tc>
        <w:tc>
          <w:tcPr>
            <w:tcW w:w="1897" w:type="dxa"/>
            <w:shd w:val="clear" w:color="auto" w:fill="F2F2F2" w:themeFill="background1" w:themeFillShade="F2"/>
            <w:vAlign w:val="center"/>
          </w:tcPr>
          <w:p w14:paraId="59686789" w14:textId="77777777" w:rsidR="0084590F" w:rsidRPr="00CE16F1" w:rsidRDefault="0084590F" w:rsidP="00D75F8C">
            <w:pPr>
              <w:tabs>
                <w:tab w:val="left" w:pos="0"/>
              </w:tabs>
              <w:ind w:left="0" w:hanging="2"/>
              <w:jc w:val="center"/>
              <w:rPr>
                <w:rFonts w:ascii="Times New Roman" w:eastAsia="Arial" w:hAnsi="Times New Roman" w:cs="Times New Roman"/>
                <w:b/>
                <w:sz w:val="18"/>
                <w:szCs w:val="18"/>
              </w:rPr>
            </w:pPr>
            <w:r w:rsidRPr="00CE16F1">
              <w:rPr>
                <w:rFonts w:ascii="Times New Roman" w:eastAsia="Arial" w:hAnsi="Times New Roman" w:cs="Times New Roman"/>
                <w:b/>
                <w:sz w:val="16"/>
                <w:szCs w:val="16"/>
              </w:rPr>
              <w:t>La Fiscalía se Encuentra Incluida en la Cobertura de Capítulo de Compras Públicas</w:t>
            </w:r>
          </w:p>
        </w:tc>
        <w:tc>
          <w:tcPr>
            <w:tcW w:w="1903" w:type="dxa"/>
            <w:shd w:val="clear" w:color="auto" w:fill="F2F2F2" w:themeFill="background1" w:themeFillShade="F2"/>
            <w:vAlign w:val="center"/>
          </w:tcPr>
          <w:p w14:paraId="1558E124" w14:textId="77777777" w:rsidR="0084590F" w:rsidRPr="00CE16F1" w:rsidRDefault="0084590F" w:rsidP="00D75F8C">
            <w:pPr>
              <w:tabs>
                <w:tab w:val="left" w:pos="0"/>
              </w:tabs>
              <w:ind w:left="0" w:hanging="2"/>
              <w:jc w:val="center"/>
              <w:rPr>
                <w:rFonts w:ascii="Times New Roman" w:eastAsia="Arial" w:hAnsi="Times New Roman" w:cs="Times New Roman"/>
                <w:b/>
                <w:sz w:val="18"/>
                <w:szCs w:val="18"/>
              </w:rPr>
            </w:pPr>
            <w:r w:rsidRPr="00CE16F1">
              <w:rPr>
                <w:rFonts w:ascii="Times New Roman" w:eastAsia="Arial" w:hAnsi="Times New Roman" w:cs="Times New Roman"/>
                <w:b/>
                <w:sz w:val="16"/>
                <w:szCs w:val="16"/>
              </w:rPr>
              <w:t>Presupuesto del Proceso de Contratación Superior al Valor del Acuerdo Comercial*</w:t>
            </w:r>
          </w:p>
        </w:tc>
        <w:tc>
          <w:tcPr>
            <w:tcW w:w="1903" w:type="dxa"/>
            <w:shd w:val="clear" w:color="auto" w:fill="F2F2F2" w:themeFill="background1" w:themeFillShade="F2"/>
            <w:vAlign w:val="center"/>
          </w:tcPr>
          <w:p w14:paraId="0DC1EAE9" w14:textId="77777777" w:rsidR="0084590F" w:rsidRPr="00CE16F1" w:rsidRDefault="0084590F" w:rsidP="00D75F8C">
            <w:pPr>
              <w:tabs>
                <w:tab w:val="left" w:pos="0"/>
              </w:tabs>
              <w:ind w:left="0" w:hanging="2"/>
              <w:jc w:val="center"/>
              <w:rPr>
                <w:rFonts w:ascii="Times New Roman" w:eastAsia="Arial" w:hAnsi="Times New Roman" w:cs="Times New Roman"/>
                <w:b/>
                <w:sz w:val="18"/>
                <w:szCs w:val="18"/>
              </w:rPr>
            </w:pPr>
            <w:r w:rsidRPr="00CE16F1">
              <w:rPr>
                <w:rFonts w:ascii="Times New Roman" w:eastAsia="Arial" w:hAnsi="Times New Roman" w:cs="Times New Roman"/>
                <w:b/>
                <w:sz w:val="16"/>
                <w:szCs w:val="16"/>
              </w:rPr>
              <w:t>Excepción Aplicable al Proceso de Contratación</w:t>
            </w:r>
          </w:p>
        </w:tc>
        <w:tc>
          <w:tcPr>
            <w:tcW w:w="2196" w:type="dxa"/>
            <w:shd w:val="clear" w:color="auto" w:fill="F2F2F2" w:themeFill="background1" w:themeFillShade="F2"/>
            <w:vAlign w:val="center"/>
          </w:tcPr>
          <w:p w14:paraId="635DB566" w14:textId="77777777" w:rsidR="0084590F" w:rsidRPr="00CE16F1" w:rsidRDefault="0084590F" w:rsidP="00D75F8C">
            <w:pPr>
              <w:tabs>
                <w:tab w:val="left" w:pos="0"/>
              </w:tabs>
              <w:ind w:left="0" w:hanging="2"/>
              <w:jc w:val="center"/>
              <w:rPr>
                <w:rFonts w:ascii="Times New Roman" w:eastAsia="Arial" w:hAnsi="Times New Roman" w:cs="Times New Roman"/>
                <w:b/>
                <w:sz w:val="18"/>
                <w:szCs w:val="18"/>
              </w:rPr>
            </w:pPr>
            <w:r w:rsidRPr="00CE16F1">
              <w:rPr>
                <w:rFonts w:ascii="Times New Roman" w:eastAsia="Arial" w:hAnsi="Times New Roman" w:cs="Times New Roman"/>
                <w:b/>
                <w:sz w:val="16"/>
                <w:szCs w:val="16"/>
              </w:rPr>
              <w:t>Proceso de Contratación Cubierto por el Acuerdo Comercial</w:t>
            </w:r>
          </w:p>
        </w:tc>
      </w:tr>
      <w:tr w:rsidR="0084590F" w:rsidRPr="00CE16F1" w14:paraId="1C4D8AF1" w14:textId="77777777" w:rsidTr="00D75F8C">
        <w:trPr>
          <w:trHeight w:val="154"/>
        </w:trPr>
        <w:tc>
          <w:tcPr>
            <w:tcW w:w="1062" w:type="dxa"/>
            <w:gridSpan w:val="2"/>
            <w:vMerge w:val="restart"/>
            <w:vAlign w:val="center"/>
          </w:tcPr>
          <w:p w14:paraId="61CCA129" w14:textId="77777777" w:rsidR="0084590F" w:rsidRPr="00CE16F1" w:rsidRDefault="0084590F" w:rsidP="00D75F8C">
            <w:pPr>
              <w:tabs>
                <w:tab w:val="left" w:pos="0"/>
              </w:tabs>
              <w:ind w:left="0" w:hanging="2"/>
              <w:jc w:val="center"/>
              <w:rPr>
                <w:rFonts w:ascii="Times New Roman" w:eastAsia="Arial" w:hAnsi="Times New Roman" w:cs="Times New Roman"/>
                <w:b/>
                <w:sz w:val="18"/>
                <w:szCs w:val="18"/>
              </w:rPr>
            </w:pPr>
            <w:r w:rsidRPr="00CE16F1">
              <w:rPr>
                <w:rFonts w:ascii="Times New Roman" w:eastAsia="Arial" w:hAnsi="Times New Roman" w:cs="Times New Roman"/>
                <w:b/>
                <w:sz w:val="16"/>
                <w:szCs w:val="16"/>
              </w:rPr>
              <w:t>Alianza Pacífico</w:t>
            </w:r>
          </w:p>
        </w:tc>
        <w:tc>
          <w:tcPr>
            <w:tcW w:w="962" w:type="dxa"/>
            <w:vAlign w:val="center"/>
          </w:tcPr>
          <w:p w14:paraId="024F8DCC"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Chile</w:t>
            </w:r>
          </w:p>
        </w:tc>
        <w:tc>
          <w:tcPr>
            <w:tcW w:w="1897" w:type="dxa"/>
            <w:vAlign w:val="center"/>
          </w:tcPr>
          <w:p w14:paraId="40FF6DCD"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22242F23"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SI</w:t>
            </w:r>
          </w:p>
        </w:tc>
        <w:tc>
          <w:tcPr>
            <w:tcW w:w="1903" w:type="dxa"/>
            <w:vAlign w:val="center"/>
          </w:tcPr>
          <w:p w14:paraId="61311E24"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SI</w:t>
            </w:r>
          </w:p>
        </w:tc>
        <w:tc>
          <w:tcPr>
            <w:tcW w:w="2196" w:type="dxa"/>
            <w:vAlign w:val="center"/>
          </w:tcPr>
          <w:p w14:paraId="345E2F68"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NO</w:t>
            </w:r>
          </w:p>
        </w:tc>
      </w:tr>
      <w:tr w:rsidR="0084590F" w:rsidRPr="00CE16F1" w14:paraId="4673C3B2" w14:textId="77777777" w:rsidTr="00D75F8C">
        <w:trPr>
          <w:trHeight w:val="140"/>
        </w:trPr>
        <w:tc>
          <w:tcPr>
            <w:tcW w:w="1062" w:type="dxa"/>
            <w:gridSpan w:val="2"/>
            <w:vMerge/>
            <w:vAlign w:val="center"/>
          </w:tcPr>
          <w:p w14:paraId="65D7F114" w14:textId="77777777" w:rsidR="0084590F" w:rsidRPr="00CE16F1" w:rsidRDefault="0084590F" w:rsidP="00D75F8C">
            <w:pPr>
              <w:widowControl w:val="0"/>
              <w:pBdr>
                <w:top w:val="nil"/>
                <w:left w:val="nil"/>
                <w:bottom w:val="nil"/>
                <w:right w:val="nil"/>
                <w:between w:val="nil"/>
              </w:pBdr>
              <w:spacing w:line="276" w:lineRule="auto"/>
              <w:ind w:left="0" w:hanging="2"/>
              <w:rPr>
                <w:rFonts w:ascii="Times New Roman" w:eastAsia="Arial" w:hAnsi="Times New Roman" w:cs="Times New Roman"/>
                <w:b/>
                <w:sz w:val="16"/>
                <w:szCs w:val="16"/>
              </w:rPr>
            </w:pPr>
          </w:p>
        </w:tc>
        <w:tc>
          <w:tcPr>
            <w:tcW w:w="962" w:type="dxa"/>
            <w:vAlign w:val="center"/>
          </w:tcPr>
          <w:p w14:paraId="28486894"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México</w:t>
            </w:r>
          </w:p>
        </w:tc>
        <w:tc>
          <w:tcPr>
            <w:tcW w:w="1897" w:type="dxa"/>
            <w:vAlign w:val="center"/>
          </w:tcPr>
          <w:p w14:paraId="7CE0C736"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NO</w:t>
            </w:r>
          </w:p>
        </w:tc>
        <w:tc>
          <w:tcPr>
            <w:tcW w:w="1903" w:type="dxa"/>
            <w:vAlign w:val="center"/>
          </w:tcPr>
          <w:p w14:paraId="56474D77"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N/A</w:t>
            </w:r>
          </w:p>
        </w:tc>
        <w:tc>
          <w:tcPr>
            <w:tcW w:w="1903" w:type="dxa"/>
            <w:vAlign w:val="center"/>
          </w:tcPr>
          <w:p w14:paraId="0873A8F9"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N/A</w:t>
            </w:r>
          </w:p>
        </w:tc>
        <w:tc>
          <w:tcPr>
            <w:tcW w:w="2196" w:type="dxa"/>
            <w:vAlign w:val="center"/>
          </w:tcPr>
          <w:p w14:paraId="58260AA8"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N/A</w:t>
            </w:r>
          </w:p>
        </w:tc>
      </w:tr>
      <w:tr w:rsidR="0084590F" w:rsidRPr="00CE16F1" w14:paraId="70F5AB2B" w14:textId="77777777" w:rsidTr="00D75F8C">
        <w:trPr>
          <w:trHeight w:val="139"/>
        </w:trPr>
        <w:tc>
          <w:tcPr>
            <w:tcW w:w="1062" w:type="dxa"/>
            <w:gridSpan w:val="2"/>
            <w:vMerge/>
            <w:vAlign w:val="center"/>
          </w:tcPr>
          <w:p w14:paraId="62275662" w14:textId="77777777" w:rsidR="0084590F" w:rsidRPr="00CE16F1" w:rsidRDefault="0084590F" w:rsidP="00D75F8C">
            <w:pPr>
              <w:widowControl w:val="0"/>
              <w:pBdr>
                <w:top w:val="nil"/>
                <w:left w:val="nil"/>
                <w:bottom w:val="nil"/>
                <w:right w:val="nil"/>
                <w:between w:val="nil"/>
              </w:pBdr>
              <w:spacing w:line="276" w:lineRule="auto"/>
              <w:ind w:left="0" w:hanging="2"/>
              <w:rPr>
                <w:rFonts w:ascii="Times New Roman" w:eastAsia="Arial" w:hAnsi="Times New Roman" w:cs="Times New Roman"/>
                <w:sz w:val="16"/>
                <w:szCs w:val="16"/>
              </w:rPr>
            </w:pPr>
          </w:p>
        </w:tc>
        <w:tc>
          <w:tcPr>
            <w:tcW w:w="962" w:type="dxa"/>
            <w:vAlign w:val="center"/>
          </w:tcPr>
          <w:p w14:paraId="1A29DBD3"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Perú</w:t>
            </w:r>
          </w:p>
        </w:tc>
        <w:tc>
          <w:tcPr>
            <w:tcW w:w="1897" w:type="dxa"/>
            <w:vAlign w:val="center"/>
          </w:tcPr>
          <w:p w14:paraId="52E2E88C"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660013DB"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2C069FF6"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 xml:space="preserve">NO </w:t>
            </w:r>
          </w:p>
        </w:tc>
        <w:tc>
          <w:tcPr>
            <w:tcW w:w="2196" w:type="dxa"/>
            <w:vAlign w:val="center"/>
          </w:tcPr>
          <w:p w14:paraId="15336D52"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r>
      <w:tr w:rsidR="0084590F" w:rsidRPr="00CE16F1" w14:paraId="2978375A" w14:textId="77777777" w:rsidTr="00D75F8C">
        <w:trPr>
          <w:trHeight w:val="140"/>
        </w:trPr>
        <w:tc>
          <w:tcPr>
            <w:tcW w:w="2024" w:type="dxa"/>
            <w:gridSpan w:val="3"/>
            <w:vAlign w:val="center"/>
          </w:tcPr>
          <w:p w14:paraId="1BB47C4C" w14:textId="77777777" w:rsidR="0084590F" w:rsidRPr="00CE16F1" w:rsidRDefault="0084590F" w:rsidP="00D75F8C">
            <w:pPr>
              <w:tabs>
                <w:tab w:val="left" w:pos="0"/>
              </w:tabs>
              <w:ind w:left="0" w:hanging="2"/>
              <w:jc w:val="center"/>
              <w:rPr>
                <w:rFonts w:ascii="Times New Roman" w:eastAsia="Arial" w:hAnsi="Times New Roman" w:cs="Times New Roman"/>
                <w:b/>
                <w:sz w:val="18"/>
                <w:szCs w:val="18"/>
              </w:rPr>
            </w:pPr>
            <w:r w:rsidRPr="00CE16F1">
              <w:rPr>
                <w:rFonts w:ascii="Times New Roman" w:eastAsia="Arial" w:hAnsi="Times New Roman" w:cs="Times New Roman"/>
                <w:b/>
                <w:sz w:val="16"/>
                <w:szCs w:val="16"/>
              </w:rPr>
              <w:t>Canadá</w:t>
            </w:r>
          </w:p>
        </w:tc>
        <w:tc>
          <w:tcPr>
            <w:tcW w:w="1897" w:type="dxa"/>
            <w:vAlign w:val="center"/>
          </w:tcPr>
          <w:p w14:paraId="761123D5"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0A989360"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1A5A7A0E"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NO</w:t>
            </w:r>
          </w:p>
        </w:tc>
        <w:tc>
          <w:tcPr>
            <w:tcW w:w="2196" w:type="dxa"/>
            <w:vAlign w:val="center"/>
          </w:tcPr>
          <w:p w14:paraId="1C093D0F"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r>
      <w:tr w:rsidR="0084590F" w:rsidRPr="00CE16F1" w14:paraId="250A0AEC" w14:textId="77777777" w:rsidTr="00D75F8C">
        <w:trPr>
          <w:trHeight w:val="140"/>
        </w:trPr>
        <w:tc>
          <w:tcPr>
            <w:tcW w:w="2024" w:type="dxa"/>
            <w:gridSpan w:val="3"/>
            <w:vAlign w:val="center"/>
          </w:tcPr>
          <w:p w14:paraId="03F03571"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Chile</w:t>
            </w:r>
          </w:p>
        </w:tc>
        <w:tc>
          <w:tcPr>
            <w:tcW w:w="1897" w:type="dxa"/>
            <w:vAlign w:val="center"/>
          </w:tcPr>
          <w:p w14:paraId="313ED6F1"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52C89971"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74B35F3C"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NO</w:t>
            </w:r>
          </w:p>
        </w:tc>
        <w:tc>
          <w:tcPr>
            <w:tcW w:w="2196" w:type="dxa"/>
            <w:vAlign w:val="center"/>
          </w:tcPr>
          <w:p w14:paraId="2059832D"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r>
      <w:tr w:rsidR="0084590F" w:rsidRPr="00CE16F1" w14:paraId="20E03920" w14:textId="77777777" w:rsidTr="00D75F8C">
        <w:trPr>
          <w:trHeight w:val="125"/>
        </w:trPr>
        <w:tc>
          <w:tcPr>
            <w:tcW w:w="2024" w:type="dxa"/>
            <w:gridSpan w:val="3"/>
            <w:vAlign w:val="center"/>
          </w:tcPr>
          <w:p w14:paraId="0D51D4B5"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Corea</w:t>
            </w:r>
          </w:p>
        </w:tc>
        <w:tc>
          <w:tcPr>
            <w:tcW w:w="1897" w:type="dxa"/>
            <w:vAlign w:val="center"/>
          </w:tcPr>
          <w:p w14:paraId="1759D67C"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NO</w:t>
            </w:r>
          </w:p>
        </w:tc>
        <w:tc>
          <w:tcPr>
            <w:tcW w:w="1903" w:type="dxa"/>
            <w:vAlign w:val="center"/>
          </w:tcPr>
          <w:p w14:paraId="6C860565"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N/A</w:t>
            </w:r>
          </w:p>
        </w:tc>
        <w:tc>
          <w:tcPr>
            <w:tcW w:w="1903" w:type="dxa"/>
            <w:vAlign w:val="center"/>
          </w:tcPr>
          <w:p w14:paraId="6C89F64A"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N/A</w:t>
            </w:r>
          </w:p>
        </w:tc>
        <w:tc>
          <w:tcPr>
            <w:tcW w:w="2196" w:type="dxa"/>
            <w:vAlign w:val="center"/>
          </w:tcPr>
          <w:p w14:paraId="03BA65CE"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N/A</w:t>
            </w:r>
          </w:p>
        </w:tc>
      </w:tr>
      <w:tr w:rsidR="0084590F" w:rsidRPr="00CE16F1" w14:paraId="6DF4860D" w14:textId="77777777" w:rsidTr="00D75F8C">
        <w:trPr>
          <w:trHeight w:val="42"/>
        </w:trPr>
        <w:tc>
          <w:tcPr>
            <w:tcW w:w="2024" w:type="dxa"/>
            <w:gridSpan w:val="3"/>
            <w:vAlign w:val="center"/>
          </w:tcPr>
          <w:p w14:paraId="54FC3752"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Costa Rica</w:t>
            </w:r>
          </w:p>
        </w:tc>
        <w:tc>
          <w:tcPr>
            <w:tcW w:w="1897" w:type="dxa"/>
            <w:vAlign w:val="center"/>
          </w:tcPr>
          <w:p w14:paraId="6AE3358E"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298A7097"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3F0E08D4"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NO</w:t>
            </w:r>
          </w:p>
        </w:tc>
        <w:tc>
          <w:tcPr>
            <w:tcW w:w="2196" w:type="dxa"/>
            <w:vAlign w:val="center"/>
          </w:tcPr>
          <w:p w14:paraId="18757ACB"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r>
      <w:tr w:rsidR="0084590F" w:rsidRPr="00CE16F1" w14:paraId="4862E588" w14:textId="77777777" w:rsidTr="00D75F8C">
        <w:trPr>
          <w:trHeight w:val="126"/>
        </w:trPr>
        <w:tc>
          <w:tcPr>
            <w:tcW w:w="2024" w:type="dxa"/>
            <w:gridSpan w:val="3"/>
            <w:vAlign w:val="center"/>
          </w:tcPr>
          <w:p w14:paraId="58C7856D"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Estados AELC</w:t>
            </w:r>
          </w:p>
        </w:tc>
        <w:tc>
          <w:tcPr>
            <w:tcW w:w="1897" w:type="dxa"/>
            <w:vAlign w:val="center"/>
          </w:tcPr>
          <w:p w14:paraId="7956853B"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07421216"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0CBC8DF8"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 xml:space="preserve">NO </w:t>
            </w:r>
          </w:p>
        </w:tc>
        <w:tc>
          <w:tcPr>
            <w:tcW w:w="2196" w:type="dxa"/>
            <w:vAlign w:val="center"/>
          </w:tcPr>
          <w:p w14:paraId="389F0A82"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r>
      <w:tr w:rsidR="0084590F" w:rsidRPr="00CE16F1" w14:paraId="0D1B34B6" w14:textId="77777777" w:rsidTr="00D75F8C">
        <w:trPr>
          <w:trHeight w:val="285"/>
        </w:trPr>
        <w:tc>
          <w:tcPr>
            <w:tcW w:w="2024" w:type="dxa"/>
            <w:gridSpan w:val="3"/>
            <w:vAlign w:val="center"/>
          </w:tcPr>
          <w:p w14:paraId="150C771D"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Estados Unidos</w:t>
            </w:r>
          </w:p>
        </w:tc>
        <w:tc>
          <w:tcPr>
            <w:tcW w:w="1897" w:type="dxa"/>
            <w:vAlign w:val="center"/>
          </w:tcPr>
          <w:p w14:paraId="1A424BCF"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7C63077B"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7E22FE3A"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 xml:space="preserve">NO </w:t>
            </w:r>
          </w:p>
        </w:tc>
        <w:tc>
          <w:tcPr>
            <w:tcW w:w="2196" w:type="dxa"/>
            <w:vAlign w:val="center"/>
          </w:tcPr>
          <w:p w14:paraId="1F8003B7"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r>
      <w:tr w:rsidR="0084590F" w:rsidRPr="00CE16F1" w14:paraId="6CFCF189" w14:textId="77777777" w:rsidTr="00D75F8C">
        <w:trPr>
          <w:trHeight w:val="57"/>
        </w:trPr>
        <w:tc>
          <w:tcPr>
            <w:tcW w:w="2024" w:type="dxa"/>
            <w:gridSpan w:val="3"/>
            <w:vAlign w:val="center"/>
          </w:tcPr>
          <w:p w14:paraId="67C1EA8E"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México</w:t>
            </w:r>
          </w:p>
        </w:tc>
        <w:tc>
          <w:tcPr>
            <w:tcW w:w="1897" w:type="dxa"/>
            <w:vAlign w:val="center"/>
          </w:tcPr>
          <w:p w14:paraId="15502B85"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NO</w:t>
            </w:r>
          </w:p>
        </w:tc>
        <w:tc>
          <w:tcPr>
            <w:tcW w:w="1903" w:type="dxa"/>
            <w:vAlign w:val="center"/>
          </w:tcPr>
          <w:p w14:paraId="3FA2504D"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N/A</w:t>
            </w:r>
          </w:p>
        </w:tc>
        <w:tc>
          <w:tcPr>
            <w:tcW w:w="1903" w:type="dxa"/>
            <w:vAlign w:val="center"/>
          </w:tcPr>
          <w:p w14:paraId="50EF82A6"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N/A</w:t>
            </w:r>
          </w:p>
        </w:tc>
        <w:tc>
          <w:tcPr>
            <w:tcW w:w="2196" w:type="dxa"/>
            <w:vAlign w:val="center"/>
          </w:tcPr>
          <w:p w14:paraId="0F73EAA2"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N/A</w:t>
            </w:r>
          </w:p>
        </w:tc>
      </w:tr>
      <w:tr w:rsidR="0084590F" w:rsidRPr="00CE16F1" w14:paraId="528A0D2F" w14:textId="77777777" w:rsidTr="00D75F8C">
        <w:trPr>
          <w:trHeight w:val="141"/>
        </w:trPr>
        <w:tc>
          <w:tcPr>
            <w:tcW w:w="946" w:type="dxa"/>
            <w:vMerge w:val="restart"/>
            <w:vAlign w:val="center"/>
          </w:tcPr>
          <w:p w14:paraId="3ECB06D0"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Triángulo Norte</w:t>
            </w:r>
          </w:p>
        </w:tc>
        <w:tc>
          <w:tcPr>
            <w:tcW w:w="1078" w:type="dxa"/>
            <w:gridSpan w:val="2"/>
            <w:vAlign w:val="center"/>
          </w:tcPr>
          <w:p w14:paraId="0DD11EBA"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El Salvador</w:t>
            </w:r>
          </w:p>
        </w:tc>
        <w:tc>
          <w:tcPr>
            <w:tcW w:w="1897" w:type="dxa"/>
            <w:vAlign w:val="center"/>
          </w:tcPr>
          <w:p w14:paraId="2A946BC9"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NO</w:t>
            </w:r>
          </w:p>
        </w:tc>
        <w:tc>
          <w:tcPr>
            <w:tcW w:w="1903" w:type="dxa"/>
            <w:vAlign w:val="center"/>
          </w:tcPr>
          <w:p w14:paraId="1AF7C9ED"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N/A</w:t>
            </w:r>
          </w:p>
        </w:tc>
        <w:tc>
          <w:tcPr>
            <w:tcW w:w="1903" w:type="dxa"/>
            <w:vAlign w:val="center"/>
          </w:tcPr>
          <w:p w14:paraId="2F0A3CA6"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N/A</w:t>
            </w:r>
          </w:p>
        </w:tc>
        <w:tc>
          <w:tcPr>
            <w:tcW w:w="2196" w:type="dxa"/>
            <w:vAlign w:val="center"/>
          </w:tcPr>
          <w:p w14:paraId="36C584F2"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N/A</w:t>
            </w:r>
          </w:p>
        </w:tc>
      </w:tr>
      <w:tr w:rsidR="0084590F" w:rsidRPr="00CE16F1" w14:paraId="2181FCEE" w14:textId="77777777" w:rsidTr="00D75F8C">
        <w:trPr>
          <w:trHeight w:val="99"/>
        </w:trPr>
        <w:tc>
          <w:tcPr>
            <w:tcW w:w="946" w:type="dxa"/>
            <w:vMerge/>
            <w:vAlign w:val="center"/>
          </w:tcPr>
          <w:p w14:paraId="152892AD" w14:textId="77777777" w:rsidR="0084590F" w:rsidRPr="00CE16F1" w:rsidRDefault="0084590F" w:rsidP="00D75F8C">
            <w:pPr>
              <w:widowControl w:val="0"/>
              <w:pBdr>
                <w:top w:val="nil"/>
                <w:left w:val="nil"/>
                <w:bottom w:val="nil"/>
                <w:right w:val="nil"/>
                <w:between w:val="nil"/>
              </w:pBdr>
              <w:spacing w:line="276" w:lineRule="auto"/>
              <w:ind w:left="0" w:hanging="2"/>
              <w:rPr>
                <w:rFonts w:ascii="Times New Roman" w:eastAsia="Arial" w:hAnsi="Times New Roman" w:cs="Times New Roman"/>
                <w:sz w:val="16"/>
                <w:szCs w:val="16"/>
              </w:rPr>
            </w:pPr>
          </w:p>
        </w:tc>
        <w:tc>
          <w:tcPr>
            <w:tcW w:w="1078" w:type="dxa"/>
            <w:gridSpan w:val="2"/>
            <w:vAlign w:val="center"/>
          </w:tcPr>
          <w:p w14:paraId="508FBF14"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Guatemala</w:t>
            </w:r>
          </w:p>
        </w:tc>
        <w:tc>
          <w:tcPr>
            <w:tcW w:w="1897" w:type="dxa"/>
            <w:vAlign w:val="center"/>
          </w:tcPr>
          <w:p w14:paraId="35A24000"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2C7E22C2"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7E082F62"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NO</w:t>
            </w:r>
          </w:p>
        </w:tc>
        <w:tc>
          <w:tcPr>
            <w:tcW w:w="2196" w:type="dxa"/>
            <w:vAlign w:val="center"/>
          </w:tcPr>
          <w:p w14:paraId="1B0ECAAD"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r>
      <w:tr w:rsidR="0084590F" w:rsidRPr="00CE16F1" w14:paraId="7EAFC2A3" w14:textId="77777777" w:rsidTr="00D75F8C">
        <w:trPr>
          <w:trHeight w:val="141"/>
        </w:trPr>
        <w:tc>
          <w:tcPr>
            <w:tcW w:w="946" w:type="dxa"/>
            <w:vMerge/>
            <w:vAlign w:val="center"/>
          </w:tcPr>
          <w:p w14:paraId="12D10524" w14:textId="77777777" w:rsidR="0084590F" w:rsidRPr="00CE16F1" w:rsidRDefault="0084590F" w:rsidP="00D75F8C">
            <w:pPr>
              <w:widowControl w:val="0"/>
              <w:pBdr>
                <w:top w:val="nil"/>
                <w:left w:val="nil"/>
                <w:bottom w:val="nil"/>
                <w:right w:val="nil"/>
                <w:between w:val="nil"/>
              </w:pBdr>
              <w:spacing w:line="276" w:lineRule="auto"/>
              <w:ind w:left="0" w:hanging="2"/>
              <w:rPr>
                <w:rFonts w:ascii="Times New Roman" w:eastAsia="Arial" w:hAnsi="Times New Roman" w:cs="Times New Roman"/>
                <w:sz w:val="16"/>
                <w:szCs w:val="16"/>
              </w:rPr>
            </w:pPr>
          </w:p>
        </w:tc>
        <w:tc>
          <w:tcPr>
            <w:tcW w:w="1078" w:type="dxa"/>
            <w:gridSpan w:val="2"/>
            <w:vAlign w:val="center"/>
          </w:tcPr>
          <w:p w14:paraId="77BEDEE9"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Honduras</w:t>
            </w:r>
          </w:p>
        </w:tc>
        <w:tc>
          <w:tcPr>
            <w:tcW w:w="1897" w:type="dxa"/>
            <w:vAlign w:val="center"/>
          </w:tcPr>
          <w:p w14:paraId="707A909F"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NO</w:t>
            </w:r>
          </w:p>
        </w:tc>
        <w:tc>
          <w:tcPr>
            <w:tcW w:w="1903" w:type="dxa"/>
            <w:vAlign w:val="center"/>
          </w:tcPr>
          <w:p w14:paraId="290B06E5"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N/A</w:t>
            </w:r>
          </w:p>
        </w:tc>
        <w:tc>
          <w:tcPr>
            <w:tcW w:w="1903" w:type="dxa"/>
            <w:vAlign w:val="center"/>
          </w:tcPr>
          <w:p w14:paraId="27143EA8"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N/A</w:t>
            </w:r>
          </w:p>
        </w:tc>
        <w:tc>
          <w:tcPr>
            <w:tcW w:w="2196" w:type="dxa"/>
            <w:vAlign w:val="center"/>
          </w:tcPr>
          <w:p w14:paraId="4EB4871A"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N/A</w:t>
            </w:r>
          </w:p>
        </w:tc>
      </w:tr>
      <w:tr w:rsidR="0084590F" w:rsidRPr="00CE16F1" w14:paraId="75913D45" w14:textId="77777777" w:rsidTr="00D75F8C">
        <w:trPr>
          <w:trHeight w:val="155"/>
        </w:trPr>
        <w:tc>
          <w:tcPr>
            <w:tcW w:w="2024" w:type="dxa"/>
            <w:gridSpan w:val="3"/>
            <w:vAlign w:val="center"/>
          </w:tcPr>
          <w:p w14:paraId="37CAF162"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Unión Europea</w:t>
            </w:r>
          </w:p>
        </w:tc>
        <w:tc>
          <w:tcPr>
            <w:tcW w:w="1897" w:type="dxa"/>
            <w:vAlign w:val="center"/>
          </w:tcPr>
          <w:p w14:paraId="7F9B1457"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7B684257"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69C603CE"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 xml:space="preserve">NO </w:t>
            </w:r>
          </w:p>
        </w:tc>
        <w:tc>
          <w:tcPr>
            <w:tcW w:w="2196" w:type="dxa"/>
            <w:vAlign w:val="center"/>
          </w:tcPr>
          <w:p w14:paraId="6C8CEDF2"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r>
      <w:tr w:rsidR="0084590F" w:rsidRPr="00CE16F1" w14:paraId="29CAAF7F" w14:textId="77777777" w:rsidTr="00D75F8C">
        <w:trPr>
          <w:trHeight w:val="285"/>
        </w:trPr>
        <w:tc>
          <w:tcPr>
            <w:tcW w:w="2024" w:type="dxa"/>
            <w:gridSpan w:val="3"/>
            <w:vAlign w:val="center"/>
          </w:tcPr>
          <w:p w14:paraId="5FE870AF" w14:textId="77777777" w:rsidR="0084590F" w:rsidRPr="00CE16F1" w:rsidRDefault="0084590F" w:rsidP="00D75F8C">
            <w:pPr>
              <w:tabs>
                <w:tab w:val="left" w:pos="0"/>
              </w:tabs>
              <w:ind w:left="0" w:hanging="2"/>
              <w:jc w:val="center"/>
              <w:rPr>
                <w:rFonts w:ascii="Times New Roman" w:eastAsia="Arial" w:hAnsi="Times New Roman" w:cs="Times New Roman"/>
                <w:b/>
                <w:sz w:val="16"/>
                <w:szCs w:val="16"/>
              </w:rPr>
            </w:pPr>
            <w:r w:rsidRPr="00CE16F1">
              <w:rPr>
                <w:rFonts w:ascii="Times New Roman" w:eastAsia="Arial" w:hAnsi="Times New Roman" w:cs="Times New Roman"/>
                <w:b/>
                <w:sz w:val="16"/>
                <w:szCs w:val="16"/>
              </w:rPr>
              <w:t xml:space="preserve">Servicios prestados por oferentes de la </w:t>
            </w:r>
            <w:r w:rsidRPr="00CE16F1">
              <w:rPr>
                <w:rFonts w:ascii="Times New Roman" w:eastAsia="Arial" w:hAnsi="Times New Roman" w:cs="Times New Roman"/>
                <w:b/>
                <w:sz w:val="16"/>
                <w:szCs w:val="16"/>
              </w:rPr>
              <w:lastRenderedPageBreak/>
              <w:t>Comunidad Andina de Naciones</w:t>
            </w:r>
          </w:p>
        </w:tc>
        <w:tc>
          <w:tcPr>
            <w:tcW w:w="1897" w:type="dxa"/>
            <w:vAlign w:val="center"/>
          </w:tcPr>
          <w:p w14:paraId="7337C3B6"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lastRenderedPageBreak/>
              <w:t>SI</w:t>
            </w:r>
          </w:p>
        </w:tc>
        <w:tc>
          <w:tcPr>
            <w:tcW w:w="1903" w:type="dxa"/>
            <w:vAlign w:val="center"/>
          </w:tcPr>
          <w:p w14:paraId="3D5C0AAA"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c>
          <w:tcPr>
            <w:tcW w:w="1903" w:type="dxa"/>
            <w:vAlign w:val="center"/>
          </w:tcPr>
          <w:p w14:paraId="0F11E4D1"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NO</w:t>
            </w:r>
          </w:p>
        </w:tc>
        <w:tc>
          <w:tcPr>
            <w:tcW w:w="2196" w:type="dxa"/>
            <w:vAlign w:val="center"/>
          </w:tcPr>
          <w:p w14:paraId="3C83DD39" w14:textId="77777777" w:rsidR="0084590F" w:rsidRPr="00CE16F1" w:rsidRDefault="0084590F" w:rsidP="00D75F8C">
            <w:pPr>
              <w:tabs>
                <w:tab w:val="left" w:pos="0"/>
              </w:tabs>
              <w:ind w:left="0" w:hanging="2"/>
              <w:jc w:val="center"/>
              <w:rPr>
                <w:rFonts w:ascii="Times New Roman" w:eastAsia="Arial" w:hAnsi="Times New Roman" w:cs="Times New Roman"/>
                <w:sz w:val="16"/>
                <w:szCs w:val="16"/>
              </w:rPr>
            </w:pPr>
            <w:r w:rsidRPr="00CE16F1">
              <w:rPr>
                <w:rFonts w:ascii="Times New Roman" w:eastAsia="Arial" w:hAnsi="Times New Roman" w:cs="Times New Roman"/>
                <w:sz w:val="16"/>
                <w:szCs w:val="16"/>
              </w:rPr>
              <w:t>SI</w:t>
            </w:r>
          </w:p>
        </w:tc>
      </w:tr>
    </w:tbl>
    <w:p w14:paraId="3C305920" w14:textId="77777777" w:rsidR="00E844BB" w:rsidRDefault="00E844BB" w:rsidP="0009051F">
      <w:pPr>
        <w:tabs>
          <w:tab w:val="left" w:pos="426"/>
        </w:tabs>
        <w:spacing w:after="0" w:line="240" w:lineRule="auto"/>
        <w:ind w:leftChars="128" w:left="284" w:hanging="2"/>
        <w:jc w:val="both"/>
        <w:rPr>
          <w:rFonts w:ascii="Arial Narrow" w:eastAsia="Arial Narrow" w:hAnsi="Arial Narrow" w:cs="Arial Narrow"/>
          <w:color w:val="000000"/>
          <w:sz w:val="23"/>
          <w:szCs w:val="23"/>
        </w:rPr>
      </w:pPr>
    </w:p>
    <w:p w14:paraId="142D84CA" w14:textId="77777777" w:rsidR="008745D1" w:rsidRDefault="00062AC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sz w:val="23"/>
          <w:szCs w:val="23"/>
        </w:rPr>
        <w:t>VIII ORDEN DE ELEGIBILIDAD Y ADJUDICACIÓN</w:t>
      </w:r>
    </w:p>
    <w:p w14:paraId="314BE943" w14:textId="77777777" w:rsidR="008745D1"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48408BCD" w14:textId="6ABDE1FC"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orden de </w:t>
      </w:r>
      <w:r w:rsidR="00652C65">
        <w:rPr>
          <w:rFonts w:ascii="Arial Narrow" w:eastAsia="Arial Narrow" w:hAnsi="Arial Narrow" w:cs="Arial Narrow"/>
          <w:color w:val="000000"/>
          <w:sz w:val="23"/>
          <w:szCs w:val="23"/>
        </w:rPr>
        <w:t>elegibilidad</w:t>
      </w:r>
      <w:r>
        <w:rPr>
          <w:rFonts w:ascii="Arial Narrow" w:eastAsia="Arial Narrow" w:hAnsi="Arial Narrow" w:cs="Arial Narrow"/>
          <w:color w:val="000000"/>
          <w:sz w:val="23"/>
          <w:szCs w:val="23"/>
        </w:rPr>
        <w:t xml:space="preserve"> será conforme al reporte de la Subasta que genera el SECOP II respecto de la primera posición. La adjudicación del presente proceso de selección se hará por el va</w:t>
      </w:r>
      <w:r>
        <w:rPr>
          <w:rFonts w:ascii="Arial Narrow" w:eastAsia="Arial Narrow" w:hAnsi="Arial Narrow" w:cs="Arial Narrow"/>
          <w:sz w:val="23"/>
          <w:szCs w:val="23"/>
        </w:rPr>
        <w:t>lor de la oferta económica</w:t>
      </w:r>
      <w:r w:rsidR="00275983">
        <w:rPr>
          <w:rFonts w:ascii="Arial Narrow" w:eastAsia="Arial Narrow" w:hAnsi="Arial Narrow" w:cs="Arial Narrow"/>
          <w:sz w:val="23"/>
          <w:szCs w:val="23"/>
        </w:rPr>
        <w:t>.</w:t>
      </w:r>
    </w:p>
    <w:p w14:paraId="6F4016DB" w14:textId="77777777" w:rsidR="008745D1"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70" w:name="_heading=h.sqyw64" w:colFirst="0" w:colLast="0"/>
      <w:bookmarkEnd w:id="70"/>
    </w:p>
    <w:tbl>
      <w:tblPr>
        <w:tblStyle w:val="afff8"/>
        <w:tblW w:w="99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4"/>
      </w:tblGrid>
      <w:tr w:rsidR="008745D1" w14:paraId="56F4D098" w14:textId="77777777">
        <w:trPr>
          <w:trHeight w:val="227"/>
          <w:jc w:val="center"/>
        </w:trPr>
        <w:tc>
          <w:tcPr>
            <w:tcW w:w="9904" w:type="dxa"/>
            <w:shd w:val="clear" w:color="auto" w:fill="CCCCCC"/>
          </w:tcPr>
          <w:p w14:paraId="08B9B22B" w14:textId="77777777" w:rsidR="008745D1" w:rsidRDefault="00062AC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sz w:val="23"/>
                <w:szCs w:val="23"/>
              </w:rPr>
              <w:t>IX REQUISITOS DEL ADJUDICATARIO</w:t>
            </w:r>
            <w:r>
              <w:rPr>
                <w:rFonts w:ascii="Arial Narrow" w:eastAsia="Arial Narrow" w:hAnsi="Arial Narrow" w:cs="Arial Narrow"/>
                <w:b/>
                <w:color w:val="000000"/>
                <w:sz w:val="23"/>
                <w:szCs w:val="23"/>
              </w:rPr>
              <w:t xml:space="preserve">  </w:t>
            </w:r>
          </w:p>
        </w:tc>
      </w:tr>
    </w:tbl>
    <w:p w14:paraId="08F3412C"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7717E250" w14:textId="77777777" w:rsidR="008745D1" w:rsidRDefault="00062AC1">
      <w:pPr>
        <w:numPr>
          <w:ilvl w:val="0"/>
          <w:numId w:val="8"/>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Informar por escrito el número de la cuenta bancaria en la que se efectuará el pago y anexar una certificación bancaria en la que se indique el nombre de la entidad financiera y el número de la cuenta bancaria de la cual sea titular, para efecto de los pagos del contrato por parte de la Fiscalía General de la Nación, y aportar fotocopia del Registro Único Tributario (RUT) y del Registro de Información Tributaria (RIT) de la empresa. </w:t>
      </w:r>
    </w:p>
    <w:p w14:paraId="6A521324" w14:textId="77777777" w:rsidR="008745D1" w:rsidRDefault="008745D1">
      <w:pPr>
        <w:spacing w:after="0" w:line="240" w:lineRule="auto"/>
        <w:ind w:left="0" w:hanging="2"/>
        <w:jc w:val="both"/>
        <w:rPr>
          <w:rFonts w:ascii="Arial Narrow" w:eastAsia="Arial Narrow" w:hAnsi="Arial Narrow" w:cs="Arial Narrow"/>
          <w:color w:val="000000"/>
          <w:sz w:val="23"/>
          <w:szCs w:val="23"/>
        </w:rPr>
      </w:pPr>
    </w:p>
    <w:p w14:paraId="69B5447C" w14:textId="77777777" w:rsidR="008745D1" w:rsidRDefault="00062AC1">
      <w:pPr>
        <w:numPr>
          <w:ilvl w:val="0"/>
          <w:numId w:val="8"/>
        </w:num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En caso de que el adjudicatario sea un consorcio o unión temporal, deberá acreditar una cuenta bancaria </w:t>
      </w:r>
      <w:r w:rsidRPr="00773FE9">
        <w:rPr>
          <w:rFonts w:ascii="Arial Narrow" w:eastAsia="Arial Narrow" w:hAnsi="Arial Narrow" w:cs="Arial Narrow"/>
          <w:color w:val="000000"/>
          <w:sz w:val="23"/>
          <w:szCs w:val="23"/>
        </w:rPr>
        <w:t>Determinando quien o quienes están facultados para recibir y cobrar el respectivo título valor</w:t>
      </w:r>
      <w:r>
        <w:rPr>
          <w:rFonts w:ascii="Arial Narrow" w:eastAsia="Arial Narrow" w:hAnsi="Arial Narrow" w:cs="Arial Narrow"/>
          <w:color w:val="000000"/>
          <w:sz w:val="23"/>
          <w:szCs w:val="23"/>
        </w:rPr>
        <w:t xml:space="preserve"> Así mismo, deberá allegar fotocopia del Número de Identificación Tributaria (NIT) y del Registro Único Tributario (RUT) y del Registro de Información Tributaria (RIT).</w:t>
      </w:r>
    </w:p>
    <w:p w14:paraId="6A114547" w14:textId="77777777" w:rsidR="008745D1" w:rsidRPr="00773FE9" w:rsidRDefault="008745D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339B94C7" w14:textId="77777777" w:rsidR="008745D1" w:rsidRDefault="00062AC1">
      <w:pPr>
        <w:numPr>
          <w:ilvl w:val="0"/>
          <w:numId w:val="20"/>
        </w:num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sz w:val="23"/>
          <w:szCs w:val="23"/>
        </w:rPr>
      </w:pPr>
      <w:r w:rsidRPr="00773FE9">
        <w:rPr>
          <w:rFonts w:ascii="Arial Narrow" w:eastAsia="Arial Narrow" w:hAnsi="Arial Narrow" w:cs="Arial Narrow"/>
          <w:color w:val="000000"/>
          <w:sz w:val="23"/>
          <w:szCs w:val="23"/>
        </w:rPr>
        <w:t xml:space="preserve">CUMPLIMIENTO A LA LEY 2013 DE 2019, RELACIONADA CON GARANTIZAR EL CUMPLIMIENTO DE LOS PRINCIPIOS DE TRANSPARENCIA Y PUBLICIDAD MEDIANTE LA PUBLICACIÓN DE LAS DECLARACIONES DE BIENES, RENTA Y EL REGISTRO DE LOS CONFLICTOS DE INTERESES. </w:t>
      </w:r>
    </w:p>
    <w:p w14:paraId="72A763EA" w14:textId="77777777" w:rsidR="008745D1" w:rsidRDefault="00062AC1">
      <w:pPr>
        <w:pBdr>
          <w:top w:val="nil"/>
          <w:left w:val="nil"/>
          <w:bottom w:val="nil"/>
          <w:right w:val="nil"/>
          <w:between w:val="nil"/>
        </w:pBdr>
        <w:shd w:val="clear" w:color="auto" w:fill="FFFFFF"/>
        <w:spacing w:before="280" w:after="28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De acuerdo con lo definido por la ley 2013 de 2019, las personas naturales y jurídicas, públicas o privadas que administren, celebren contratos y ejecuten bienes o recursos públicos deberán publicar en el aplicativo dispuesto por el Departamento Administrativo de la Función Pública: </w:t>
      </w:r>
    </w:p>
    <w:p w14:paraId="1AB10F1B" w14:textId="77777777" w:rsidR="008745D1" w:rsidRDefault="00062AC1">
      <w:pPr>
        <w:numPr>
          <w:ilvl w:val="0"/>
          <w:numId w:val="21"/>
        </w:num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reporte </w:t>
      </w:r>
      <w:sdt>
        <w:sdtPr>
          <w:rPr>
            <w:rFonts w:ascii="Arial Narrow" w:eastAsia="Arial Narrow" w:hAnsi="Arial Narrow" w:cs="Arial Narrow"/>
            <w:color w:val="000000"/>
            <w:sz w:val="23"/>
            <w:szCs w:val="23"/>
          </w:rPr>
          <w:tag w:val="goog_rdk_0"/>
          <w:id w:val="828094507"/>
        </w:sdtPr>
        <w:sdtContent>
          <w:r w:rsidRPr="00773FE9">
            <w:rPr>
              <w:rFonts w:ascii="Arial Narrow" w:eastAsia="Arial Narrow" w:hAnsi="Arial Narrow" w:cs="Arial Narrow"/>
              <w:b/>
              <w:color w:val="000000"/>
              <w:sz w:val="23"/>
              <w:szCs w:val="23"/>
            </w:rPr>
            <w:t>PUBLICACIÓN PROACTIVA DECLARACIÓN DE BIENES Y RENTAS Y REGISTRO DE CONFLICTOS DE INTERÉS</w:t>
          </w:r>
        </w:sdtContent>
      </w:sdt>
      <w:r>
        <w:rPr>
          <w:rFonts w:ascii="Arial Narrow" w:eastAsia="Arial Narrow" w:hAnsi="Arial Narrow" w:cs="Arial Narrow"/>
          <w:color w:val="000000"/>
          <w:sz w:val="23"/>
          <w:szCs w:val="23"/>
        </w:rPr>
        <w:t xml:space="preserve"> y </w:t>
      </w:r>
    </w:p>
    <w:p w14:paraId="159D4578" w14:textId="77777777" w:rsidR="008745D1" w:rsidRDefault="008745D1">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sz w:val="23"/>
          <w:szCs w:val="23"/>
        </w:rPr>
      </w:pPr>
    </w:p>
    <w:p w14:paraId="4D7ECB15" w14:textId="77777777" w:rsidR="008745D1" w:rsidRDefault="00062AC1">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2) la declaración del impuesto sobre la renta y complementarios. </w:t>
      </w:r>
    </w:p>
    <w:p w14:paraId="1441D134" w14:textId="77777777" w:rsidR="008745D1" w:rsidRDefault="008745D1">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sz w:val="23"/>
          <w:szCs w:val="23"/>
        </w:rPr>
      </w:pPr>
    </w:p>
    <w:p w14:paraId="3C0372EF" w14:textId="77777777" w:rsidR="008745D1" w:rsidRDefault="00062AC1">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sz w:val="23"/>
          <w:szCs w:val="23"/>
        </w:rPr>
      </w:pPr>
      <w:r w:rsidRPr="00773FE9">
        <w:rPr>
          <w:rFonts w:ascii="Arial Narrow" w:eastAsia="Arial Narrow" w:hAnsi="Arial Narrow" w:cs="Arial Narrow"/>
          <w:color w:val="000000"/>
          <w:sz w:val="23"/>
          <w:szCs w:val="23"/>
        </w:rPr>
        <w:t>Nota:</w:t>
      </w:r>
      <w:r>
        <w:rPr>
          <w:rFonts w:ascii="Arial Narrow" w:eastAsia="Arial Narrow" w:hAnsi="Arial Narrow" w:cs="Arial Narrow"/>
          <w:color w:val="000000"/>
          <w:sz w:val="23"/>
          <w:szCs w:val="23"/>
        </w:rPr>
        <w:t xml:space="preserve"> Tenga en cuenta que el registro de esta información debe hacerse a nombre de quien será el futuro contratista, es decir, si es persona natural o persona jurídica, el registro de la información debe ser directamente proporcional a su naturaleza jurídica.  </w:t>
      </w:r>
    </w:p>
    <w:p w14:paraId="6B5D19C2" w14:textId="77777777" w:rsidR="008745D1" w:rsidRDefault="008745D1">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sz w:val="23"/>
          <w:szCs w:val="23"/>
        </w:rPr>
      </w:pPr>
    </w:p>
    <w:p w14:paraId="6DB206A2" w14:textId="77777777" w:rsidR="008745D1" w:rsidRDefault="00062AC1">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En aras de que pueda adelantar el registro de esta información (1) y (2), es necesario que:</w:t>
      </w:r>
    </w:p>
    <w:p w14:paraId="61B56910" w14:textId="77777777" w:rsidR="008745D1" w:rsidRDefault="008745D1">
      <w:pPr>
        <w:pBdr>
          <w:top w:val="nil"/>
          <w:left w:val="nil"/>
          <w:bottom w:val="nil"/>
          <w:right w:val="nil"/>
          <w:between w:val="nil"/>
        </w:pBdr>
        <w:shd w:val="clear" w:color="auto" w:fill="FFFFFF"/>
        <w:spacing w:after="0" w:line="240" w:lineRule="auto"/>
        <w:ind w:left="0" w:hanging="2"/>
        <w:rPr>
          <w:rFonts w:ascii="Arial Narrow" w:eastAsia="Arial Narrow" w:hAnsi="Arial Narrow" w:cs="Arial Narrow"/>
          <w:color w:val="000000"/>
          <w:sz w:val="23"/>
          <w:szCs w:val="23"/>
        </w:rPr>
      </w:pPr>
    </w:p>
    <w:p w14:paraId="078C8087" w14:textId="77777777" w:rsidR="008745D1" w:rsidRDefault="00062AC1">
      <w:pPr>
        <w:numPr>
          <w:ilvl w:val="0"/>
          <w:numId w:val="17"/>
        </w:numPr>
        <w:shd w:val="clear" w:color="auto" w:fill="FFFFFF"/>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Aliste en formato PDF copia de la declaración de renta y complementarios, en formato de la DIAN.</w:t>
      </w:r>
    </w:p>
    <w:p w14:paraId="342B7C3B" w14:textId="77777777" w:rsidR="008745D1" w:rsidRDefault="00062AC1">
      <w:pPr>
        <w:numPr>
          <w:ilvl w:val="0"/>
          <w:numId w:val="17"/>
        </w:numPr>
        <w:shd w:val="clear" w:color="auto" w:fill="FFFFFF"/>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Se registre como persona natural o persona jurídica en el Aplicativo de Ley 2013 de 2019 </w:t>
      </w:r>
      <w:hyperlink r:id="rId37">
        <w:r>
          <w:rPr>
            <w:rFonts w:ascii="Arial Narrow" w:eastAsia="Arial Narrow" w:hAnsi="Arial Narrow" w:cs="Arial Narrow"/>
            <w:color w:val="000000"/>
            <w:sz w:val="23"/>
            <w:szCs w:val="23"/>
          </w:rPr>
          <w:t>https://www.funcionpublica.gov.co/ley-transparencia-web/</w:t>
        </w:r>
      </w:hyperlink>
    </w:p>
    <w:p w14:paraId="0349BE53" w14:textId="77777777" w:rsidR="008745D1" w:rsidRDefault="00062AC1">
      <w:pPr>
        <w:numPr>
          <w:ilvl w:val="0"/>
          <w:numId w:val="17"/>
        </w:numPr>
        <w:shd w:val="clear" w:color="auto" w:fill="FFFFFF"/>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Una vez cree su registro en el Aplicativo de Ley 2013 de 2019, deberá diligenciar el formulario electrónico </w:t>
      </w:r>
      <w:sdt>
        <w:sdtPr>
          <w:rPr>
            <w:rFonts w:ascii="Arial Narrow" w:eastAsia="Arial Narrow" w:hAnsi="Arial Narrow" w:cs="Arial Narrow"/>
            <w:b/>
            <w:color w:val="000000"/>
            <w:sz w:val="23"/>
            <w:szCs w:val="23"/>
          </w:rPr>
          <w:tag w:val="goog_rdk_1"/>
          <w:id w:val="-1306456011"/>
        </w:sdtPr>
        <w:sdtEndPr>
          <w:rPr>
            <w:b w:val="0"/>
          </w:rPr>
        </w:sdtEndPr>
        <w:sdtContent>
          <w:r w:rsidRPr="00773FE9">
            <w:rPr>
              <w:rFonts w:ascii="Arial Narrow" w:eastAsia="Arial Narrow" w:hAnsi="Arial Narrow" w:cs="Arial Narrow"/>
              <w:b/>
              <w:color w:val="000000"/>
              <w:sz w:val="23"/>
              <w:szCs w:val="23"/>
            </w:rPr>
            <w:t>DECLARACIÓN DE BIENES Y RENTAS Y REGISTRO DE CONFLICTOS DE INTERÉS</w:t>
          </w:r>
        </w:sdtContent>
      </w:sdt>
      <w:r>
        <w:rPr>
          <w:rFonts w:ascii="Arial Narrow" w:eastAsia="Arial Narrow" w:hAnsi="Arial Narrow" w:cs="Arial Narrow"/>
          <w:color w:val="000000"/>
          <w:sz w:val="23"/>
          <w:szCs w:val="23"/>
        </w:rPr>
        <w:t> y adjuntar la copia de la declaración de renta de la DIAN, para esto, se recomienda tener en cuenta la guía rápida de ingreso al Aplicativo de Ley 2013 de 2019:</w:t>
      </w:r>
    </w:p>
    <w:p w14:paraId="3F17364B" w14:textId="77777777" w:rsidR="008745D1" w:rsidRDefault="008745D1">
      <w:pPr>
        <w:shd w:val="clear" w:color="auto" w:fill="FFFFFF"/>
        <w:spacing w:after="0" w:line="240" w:lineRule="auto"/>
        <w:ind w:left="0" w:hanging="2"/>
        <w:jc w:val="both"/>
        <w:rPr>
          <w:rFonts w:ascii="Arial Narrow" w:eastAsia="Arial Narrow" w:hAnsi="Arial Narrow" w:cs="Arial Narrow"/>
          <w:color w:val="000000"/>
          <w:sz w:val="23"/>
          <w:szCs w:val="23"/>
        </w:rPr>
      </w:pPr>
    </w:p>
    <w:p w14:paraId="788AA14E" w14:textId="77777777" w:rsidR="008745D1" w:rsidRDefault="00062AC1">
      <w:pPr>
        <w:numPr>
          <w:ilvl w:val="1"/>
          <w:numId w:val="18"/>
        </w:numPr>
        <w:shd w:val="clear" w:color="auto" w:fill="FFFFFF"/>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PERSONA NATURAL: </w:t>
      </w:r>
      <w:r>
        <w:rPr>
          <w:rFonts w:ascii="Arial Narrow" w:eastAsia="Arial Narrow" w:hAnsi="Arial Narrow" w:cs="Arial Narrow"/>
          <w:color w:val="000000"/>
          <w:sz w:val="23"/>
          <w:szCs w:val="23"/>
        </w:rPr>
        <w:t>Para realizar su reporte de información como Persona Natural regístrese en </w:t>
      </w:r>
      <w:hyperlink r:id="rId38">
        <w:r>
          <w:rPr>
            <w:rFonts w:ascii="Arial Narrow" w:eastAsia="Arial Narrow" w:hAnsi="Arial Narrow" w:cs="Arial Narrow"/>
            <w:color w:val="000000"/>
            <w:sz w:val="23"/>
            <w:szCs w:val="23"/>
          </w:rPr>
          <w:t>https://www.funcionpublica.gov.co/ley-transparencia-web/</w:t>
        </w:r>
      </w:hyperlink>
      <w:r>
        <w:rPr>
          <w:rFonts w:ascii="Arial Narrow" w:eastAsia="Arial Narrow" w:hAnsi="Arial Narrow" w:cs="Arial Narrow"/>
          <w:color w:val="000000"/>
          <w:sz w:val="23"/>
          <w:szCs w:val="23"/>
        </w:rPr>
        <w:t>, o si ya está registrado inicie sesión con su número de documento de identidad. El paso a paso con el instructivo lo encuentra en el siguiente enlace:</w:t>
      </w:r>
    </w:p>
    <w:p w14:paraId="795B17CE" w14:textId="77777777" w:rsidR="008745D1" w:rsidRDefault="00062AC1" w:rsidP="00773FE9">
      <w:pPr>
        <w:shd w:val="clear" w:color="auto" w:fill="FFFFFF"/>
        <w:spacing w:after="0" w:line="240" w:lineRule="auto"/>
        <w:ind w:leftChars="0" w:left="0" w:firstLineChars="0" w:firstLine="0"/>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br/>
      </w:r>
      <w:hyperlink r:id="rId39">
        <w:r>
          <w:rPr>
            <w:rFonts w:ascii="Arial Narrow" w:eastAsia="Arial Narrow" w:hAnsi="Arial Narrow" w:cs="Arial Narrow"/>
            <w:color w:val="000000"/>
            <w:sz w:val="23"/>
            <w:szCs w:val="23"/>
          </w:rPr>
          <w:t>https://www.funcionpublica.gov.co/documents/35162728/35691144/instructivo-aplicativo-ley-2013-persona-</w:t>
        </w:r>
        <w:r>
          <w:rPr>
            <w:rFonts w:ascii="Arial Narrow" w:eastAsia="Arial Narrow" w:hAnsi="Arial Narrow" w:cs="Arial Narrow"/>
            <w:color w:val="000000"/>
            <w:sz w:val="23"/>
            <w:szCs w:val="23"/>
          </w:rPr>
          <w:lastRenderedPageBreak/>
          <w:t>natural.pdf/130f2ec8-304b-a3e8-f3b1-893bed40b9e9?t=1609173505712</w:t>
        </w:r>
        <w:r>
          <w:rPr>
            <w:rFonts w:ascii="Arial Narrow" w:eastAsia="Arial Narrow" w:hAnsi="Arial Narrow" w:cs="Arial Narrow"/>
            <w:color w:val="000000"/>
            <w:sz w:val="23"/>
            <w:szCs w:val="23"/>
          </w:rPr>
          <w:br/>
        </w:r>
      </w:hyperlink>
    </w:p>
    <w:p w14:paraId="36AD3E63" w14:textId="77777777" w:rsidR="008745D1" w:rsidRDefault="00062AC1">
      <w:pPr>
        <w:numPr>
          <w:ilvl w:val="1"/>
          <w:numId w:val="18"/>
        </w:numPr>
        <w:shd w:val="clear" w:color="auto" w:fill="FFFFFF"/>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PERSONA JURÍDICA</w:t>
      </w:r>
      <w:r>
        <w:rPr>
          <w:rFonts w:ascii="Arial Narrow" w:eastAsia="Arial Narrow" w:hAnsi="Arial Narrow" w:cs="Arial Narrow"/>
          <w:color w:val="000000"/>
          <w:sz w:val="23"/>
          <w:szCs w:val="23"/>
        </w:rPr>
        <w:t>: Para reportar información de Persona Jurídica regístrese e inicie sesión en </w:t>
      </w:r>
      <w:hyperlink r:id="rId40">
        <w:r>
          <w:rPr>
            <w:rFonts w:ascii="Arial Narrow" w:eastAsia="Arial Narrow" w:hAnsi="Arial Narrow" w:cs="Arial Narrow"/>
            <w:color w:val="000000"/>
            <w:sz w:val="23"/>
            <w:szCs w:val="23"/>
          </w:rPr>
          <w:t>https://www.funcionpublica.gov.co/ley-transparencia-web/</w:t>
        </w:r>
      </w:hyperlink>
      <w:r>
        <w:rPr>
          <w:rFonts w:ascii="Arial Narrow" w:eastAsia="Arial Narrow" w:hAnsi="Arial Narrow" w:cs="Arial Narrow"/>
          <w:color w:val="000000"/>
          <w:sz w:val="23"/>
          <w:szCs w:val="23"/>
        </w:rPr>
        <w:t>, con el NIT correspondiente.</w:t>
      </w:r>
      <w:r>
        <w:rPr>
          <w:rFonts w:ascii="Arial Narrow" w:eastAsia="Arial Narrow" w:hAnsi="Arial Narrow" w:cs="Arial Narrow"/>
          <w:color w:val="000000"/>
          <w:sz w:val="23"/>
          <w:szCs w:val="23"/>
        </w:rPr>
        <w:br/>
        <w:t>El paso a paso con el instructivo lo encuentra en el siguiente enlace:</w:t>
      </w:r>
    </w:p>
    <w:p w14:paraId="2F3F1BE1" w14:textId="77777777" w:rsidR="008745D1" w:rsidRDefault="008745D1">
      <w:pPr>
        <w:shd w:val="clear" w:color="auto" w:fill="FFFFFF"/>
        <w:spacing w:after="0" w:line="240" w:lineRule="auto"/>
        <w:ind w:left="0" w:hanging="2"/>
        <w:jc w:val="both"/>
        <w:rPr>
          <w:rFonts w:ascii="Arial Narrow" w:eastAsia="Arial Narrow" w:hAnsi="Arial Narrow" w:cs="Arial Narrow"/>
          <w:color w:val="000000"/>
          <w:sz w:val="23"/>
          <w:szCs w:val="23"/>
        </w:rPr>
      </w:pPr>
    </w:p>
    <w:p w14:paraId="231D5E42" w14:textId="77777777" w:rsidR="008745D1" w:rsidRDefault="00062AC1">
      <w:pPr>
        <w:shd w:val="clear" w:color="auto" w:fill="FFFFFF"/>
        <w:spacing w:after="0" w:line="240" w:lineRule="auto"/>
        <w:ind w:left="0" w:hanging="2"/>
        <w:jc w:val="both"/>
        <w:rPr>
          <w:rFonts w:ascii="Arial Narrow" w:eastAsia="Arial Narrow" w:hAnsi="Arial Narrow" w:cs="Arial Narrow"/>
          <w:color w:val="000000"/>
          <w:sz w:val="23"/>
          <w:szCs w:val="23"/>
        </w:rPr>
      </w:pPr>
      <w:hyperlink r:id="rId41">
        <w:r>
          <w:rPr>
            <w:rFonts w:ascii="Arial Narrow" w:eastAsia="Arial Narrow" w:hAnsi="Arial Narrow" w:cs="Arial Narrow"/>
            <w:color w:val="000000"/>
            <w:sz w:val="23"/>
            <w:szCs w:val="23"/>
          </w:rPr>
          <w:t>https://www.funcionpublica.gov.co/documents/35162728/35691144/instructivo-aplicativo-ley-2013-persona-juridica.pdf/2b2383fa-fcef-1829-df32-a49c394b5d07?t=1609173436446</w:t>
        </w:r>
      </w:hyperlink>
    </w:p>
    <w:p w14:paraId="38B5C373" w14:textId="77777777" w:rsidR="008745D1" w:rsidRDefault="008745D1">
      <w:pPr>
        <w:shd w:val="clear" w:color="auto" w:fill="FFFFFF"/>
        <w:spacing w:after="0" w:line="240" w:lineRule="auto"/>
        <w:ind w:left="0" w:hanging="2"/>
        <w:rPr>
          <w:rFonts w:ascii="Arial Narrow" w:eastAsia="Arial Narrow" w:hAnsi="Arial Narrow" w:cs="Arial Narrow"/>
          <w:color w:val="000000"/>
          <w:sz w:val="23"/>
          <w:szCs w:val="23"/>
        </w:rPr>
      </w:pPr>
    </w:p>
    <w:p w14:paraId="3017D278" w14:textId="77777777" w:rsidR="008745D1" w:rsidRDefault="00062AC1">
      <w:pP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Por lo anterior, el proponente deberá diligenciar y publicar los formatos pertinentes de conformidad con el instructivo del DAFP y presentar la evidencia de su publicación al terminar la subasta electrónica, debido a que corresponde a un requisito para la suscripción del contrato.</w:t>
      </w:r>
    </w:p>
    <w:p w14:paraId="1CF20835" w14:textId="77777777" w:rsidR="008745D1" w:rsidRDefault="008745D1">
      <w:pPr>
        <w:spacing w:after="0" w:line="240" w:lineRule="auto"/>
        <w:ind w:left="0" w:hanging="2"/>
        <w:jc w:val="both"/>
        <w:rPr>
          <w:rFonts w:ascii="Arial Narrow" w:eastAsia="Arial Narrow" w:hAnsi="Arial Narrow" w:cs="Arial Narrow"/>
          <w:color w:val="000000"/>
          <w:sz w:val="23"/>
          <w:szCs w:val="23"/>
        </w:rPr>
      </w:pPr>
      <w:bookmarkStart w:id="71" w:name="_heading=h.3cqmetx" w:colFirst="0" w:colLast="0"/>
      <w:bookmarkEnd w:id="71"/>
    </w:p>
    <w:tbl>
      <w:tblPr>
        <w:tblStyle w:val="afff9"/>
        <w:tblW w:w="953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37"/>
      </w:tblGrid>
      <w:tr w:rsidR="008745D1" w14:paraId="66B0F3EB" w14:textId="77777777">
        <w:trPr>
          <w:trHeight w:val="263"/>
        </w:trPr>
        <w:tc>
          <w:tcPr>
            <w:tcW w:w="9537" w:type="dxa"/>
            <w:shd w:val="clear" w:color="auto" w:fill="CCCCCC"/>
          </w:tcPr>
          <w:p w14:paraId="0C319F17" w14:textId="77777777" w:rsidR="008745D1" w:rsidRDefault="00062AC1">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sz w:val="23"/>
                <w:szCs w:val="23"/>
              </w:rPr>
              <w:t>X ANEXOS</w:t>
            </w:r>
            <w:r>
              <w:rPr>
                <w:rFonts w:ascii="Arial Narrow" w:eastAsia="Arial Narrow" w:hAnsi="Arial Narrow" w:cs="Arial Narrow"/>
                <w:b/>
                <w:color w:val="000000"/>
                <w:sz w:val="23"/>
                <w:szCs w:val="23"/>
              </w:rPr>
              <w:t xml:space="preserve"> </w:t>
            </w:r>
          </w:p>
        </w:tc>
      </w:tr>
    </w:tbl>
    <w:p w14:paraId="2D8A71E9" w14:textId="77777777" w:rsidR="008745D1" w:rsidRDefault="008745D1" w:rsidP="00773FE9">
      <w:pPr>
        <w:widowControl w:val="0"/>
        <w:spacing w:after="0" w:line="240" w:lineRule="auto"/>
        <w:ind w:leftChars="0" w:left="0" w:firstLineChars="0" w:firstLine="0"/>
        <w:jc w:val="both"/>
        <w:rPr>
          <w:rFonts w:ascii="Arial Narrow" w:eastAsia="Arial Narrow" w:hAnsi="Arial Narrow" w:cs="Arial Narrow"/>
          <w:color w:val="000000"/>
          <w:sz w:val="23"/>
          <w:szCs w:val="23"/>
        </w:rPr>
      </w:pPr>
    </w:p>
    <w:p w14:paraId="3340D4EE" w14:textId="77777777" w:rsidR="008745D1" w:rsidRDefault="00062AC1">
      <w:pPr>
        <w:widowControl w:val="0"/>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Los anexos los encontrará adjuntos en el Pliego electrónico de condiciones del SECOP II.</w:t>
      </w:r>
    </w:p>
    <w:p w14:paraId="59358DC5" w14:textId="77777777" w:rsidR="008745D1" w:rsidRDefault="008745D1">
      <w:pPr>
        <w:widowControl w:val="0"/>
        <w:spacing w:after="0" w:line="240" w:lineRule="auto"/>
        <w:ind w:left="0" w:hanging="2"/>
        <w:jc w:val="both"/>
        <w:rPr>
          <w:rFonts w:ascii="Arial Narrow" w:eastAsia="Arial Narrow" w:hAnsi="Arial Narrow" w:cs="Arial Narrow"/>
          <w:color w:val="000000"/>
          <w:sz w:val="23"/>
          <w:szCs w:val="23"/>
        </w:rPr>
      </w:pPr>
      <w:bookmarkStart w:id="72" w:name="_heading=h.1rvwp1q" w:colFirst="0" w:colLast="0"/>
      <w:bookmarkEnd w:id="72"/>
    </w:p>
    <w:p w14:paraId="768C9A33"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73" w:name="_heading=h.4bvk7pj" w:colFirst="0" w:colLast="0"/>
      <w:bookmarkEnd w:id="73"/>
      <w:r>
        <w:rPr>
          <w:rFonts w:ascii="Arial Narrow" w:eastAsia="Arial Narrow" w:hAnsi="Arial Narrow" w:cs="Arial Narrow"/>
          <w:b/>
          <w:color w:val="000000"/>
          <w:sz w:val="23"/>
          <w:szCs w:val="23"/>
        </w:rPr>
        <w:t xml:space="preserve">ANEXO No. 1. </w:t>
      </w:r>
      <w:r>
        <w:rPr>
          <w:rFonts w:ascii="Arial Narrow" w:eastAsia="Arial Narrow" w:hAnsi="Arial Narrow" w:cs="Arial Narrow"/>
          <w:color w:val="000000"/>
          <w:sz w:val="23"/>
          <w:szCs w:val="23"/>
        </w:rPr>
        <w:t>FORMATO CARTA DE PRESENTACIÓN DE LA OFERTA</w:t>
      </w:r>
    </w:p>
    <w:p w14:paraId="0B049C5A"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ANEXO No. 2. </w:t>
      </w:r>
      <w:r>
        <w:rPr>
          <w:rFonts w:ascii="Arial Narrow" w:eastAsia="Arial Narrow" w:hAnsi="Arial Narrow" w:cs="Arial Narrow"/>
          <w:color w:val="000000"/>
          <w:sz w:val="23"/>
          <w:szCs w:val="23"/>
        </w:rPr>
        <w:t>COMPROMISO ANTICORRUPCIÓN</w:t>
      </w:r>
    </w:p>
    <w:p w14:paraId="4AEEEC0E" w14:textId="77777777" w:rsidR="008745D1" w:rsidRDefault="00062AC1">
      <w:pPr>
        <w:spacing w:after="0" w:line="240" w:lineRule="auto"/>
        <w:ind w:left="0" w:hanging="2"/>
        <w:jc w:val="both"/>
        <w:rPr>
          <w:rFonts w:ascii="Arial Narrow" w:eastAsia="Arial Narrow" w:hAnsi="Arial Narrow" w:cs="Arial Narrow"/>
          <w:color w:val="000000"/>
          <w:sz w:val="23"/>
          <w:szCs w:val="23"/>
        </w:rPr>
      </w:pPr>
      <w:bookmarkStart w:id="74" w:name="_heading=h.2r0uhxc" w:colFirst="0" w:colLast="0"/>
      <w:bookmarkEnd w:id="74"/>
      <w:r>
        <w:rPr>
          <w:rFonts w:ascii="Arial Narrow" w:eastAsia="Arial Narrow" w:hAnsi="Arial Narrow" w:cs="Arial Narrow"/>
          <w:color w:val="000000"/>
          <w:sz w:val="23"/>
          <w:szCs w:val="23"/>
        </w:rPr>
        <w:t>(En caso de uniones temporales o consorcios cada uno de sus integrantes lo debe presentar)</w:t>
      </w:r>
    </w:p>
    <w:p w14:paraId="4AE2BA3D"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75" w:name="_heading=h.1664s55" w:colFirst="0" w:colLast="0"/>
      <w:bookmarkEnd w:id="75"/>
      <w:r>
        <w:rPr>
          <w:rFonts w:ascii="Arial Narrow" w:eastAsia="Arial Narrow" w:hAnsi="Arial Narrow" w:cs="Arial Narrow"/>
          <w:b/>
          <w:color w:val="000000"/>
          <w:sz w:val="23"/>
          <w:szCs w:val="23"/>
        </w:rPr>
        <w:t xml:space="preserve">ANEXO No. 3. </w:t>
      </w:r>
      <w:r>
        <w:rPr>
          <w:rFonts w:ascii="Arial Narrow" w:eastAsia="Arial Narrow" w:hAnsi="Arial Narrow" w:cs="Arial Narrow"/>
          <w:color w:val="000000"/>
          <w:sz w:val="23"/>
          <w:szCs w:val="23"/>
        </w:rPr>
        <w:t>ESPECIFICACIONES TÉCNICAS -OFRECIMIENTO</w:t>
      </w:r>
    </w:p>
    <w:p w14:paraId="770F983D"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76" w:name="_heading=h.3q5sasy" w:colFirst="0" w:colLast="0"/>
      <w:bookmarkEnd w:id="76"/>
      <w:r>
        <w:rPr>
          <w:rFonts w:ascii="Arial Narrow" w:eastAsia="Arial Narrow" w:hAnsi="Arial Narrow" w:cs="Arial Narrow"/>
          <w:b/>
          <w:color w:val="000000"/>
          <w:sz w:val="23"/>
          <w:szCs w:val="23"/>
        </w:rPr>
        <w:t xml:space="preserve">ANEXO No. 4. </w:t>
      </w:r>
      <w:r>
        <w:rPr>
          <w:rFonts w:ascii="Arial Narrow" w:eastAsia="Arial Narrow" w:hAnsi="Arial Narrow" w:cs="Arial Narrow"/>
          <w:color w:val="000000"/>
          <w:sz w:val="23"/>
          <w:szCs w:val="23"/>
        </w:rPr>
        <w:t xml:space="preserve">FORMATO DE OFERTA ECONÓMICA </w:t>
      </w:r>
    </w:p>
    <w:p w14:paraId="2C505373"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77" w:name="_heading=h.25b2l0r" w:colFirst="0" w:colLast="0"/>
      <w:bookmarkEnd w:id="77"/>
      <w:r>
        <w:rPr>
          <w:rFonts w:ascii="Arial Narrow" w:eastAsia="Arial Narrow" w:hAnsi="Arial Narrow" w:cs="Arial Narrow"/>
          <w:b/>
          <w:color w:val="000000"/>
          <w:sz w:val="23"/>
          <w:szCs w:val="23"/>
        </w:rPr>
        <w:t xml:space="preserve">ANEXO No. 5. </w:t>
      </w:r>
      <w:r>
        <w:rPr>
          <w:rFonts w:ascii="Arial Narrow" w:eastAsia="Arial Narrow" w:hAnsi="Arial Narrow" w:cs="Arial Narrow"/>
          <w:color w:val="000000"/>
          <w:sz w:val="23"/>
          <w:szCs w:val="23"/>
        </w:rPr>
        <w:t>CERTIFICADO DE CAPACIDAD DE PROPONENTES SIN DOMICILIO NI SUCURSAL EN COLOMBIA – REQUISITOS HABILITANTES</w:t>
      </w:r>
    </w:p>
    <w:p w14:paraId="209E1CD9" w14:textId="77777777" w:rsidR="008745D1" w:rsidRPr="005D5D65"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lang w:val="pt-PT"/>
        </w:rPr>
      </w:pPr>
      <w:bookmarkStart w:id="78" w:name="_heading=h.kgcv8k" w:colFirst="0" w:colLast="0"/>
      <w:bookmarkEnd w:id="78"/>
      <w:r w:rsidRPr="005D5D65">
        <w:rPr>
          <w:rFonts w:ascii="Arial Narrow" w:eastAsia="Arial Narrow" w:hAnsi="Arial Narrow" w:cs="Arial Narrow"/>
          <w:b/>
          <w:color w:val="000000"/>
          <w:sz w:val="23"/>
          <w:szCs w:val="23"/>
          <w:lang w:val="pt-PT"/>
        </w:rPr>
        <w:t xml:space="preserve">ANEXO No. 6. </w:t>
      </w:r>
      <w:r w:rsidRPr="005D5D65">
        <w:rPr>
          <w:rFonts w:ascii="Arial Narrow" w:eastAsia="Arial Narrow" w:hAnsi="Arial Narrow" w:cs="Arial Narrow"/>
          <w:color w:val="000000"/>
          <w:sz w:val="23"/>
          <w:szCs w:val="23"/>
          <w:lang w:val="pt-PT"/>
        </w:rPr>
        <w:t>FORMATO UNIONES TEMPORALES O CONSORCIOS</w:t>
      </w:r>
    </w:p>
    <w:p w14:paraId="6CC581E7"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5D65">
        <w:rPr>
          <w:rFonts w:ascii="Arial Narrow" w:eastAsia="Arial Narrow" w:hAnsi="Arial Narrow" w:cs="Arial Narrow"/>
          <w:b/>
          <w:color w:val="000000"/>
          <w:sz w:val="23"/>
          <w:szCs w:val="23"/>
          <w:lang w:val="pt-PT"/>
        </w:rPr>
        <w:t xml:space="preserve">ANEXO No. 7. </w:t>
      </w:r>
      <w:r>
        <w:rPr>
          <w:rFonts w:ascii="Arial Narrow" w:eastAsia="Arial Narrow" w:hAnsi="Arial Narrow" w:cs="Arial Narrow"/>
          <w:color w:val="000000"/>
          <w:sz w:val="23"/>
          <w:szCs w:val="23"/>
        </w:rPr>
        <w:t>FORMATO CERTIFICACIÓN DE PAGOS DE SEGURIDAD SOCIAL Y APORTES PARAFISCALES - ARTÍCULO 50 LEY 789 DE 2002 (Persona Jurídica)</w:t>
      </w:r>
    </w:p>
    <w:p w14:paraId="70156949" w14:textId="77777777" w:rsidR="008745D1" w:rsidRDefault="00062AC1">
      <w:pPr>
        <w:spacing w:after="0" w:line="240" w:lineRule="auto"/>
        <w:ind w:left="0" w:hanging="2"/>
        <w:jc w:val="both"/>
        <w:rPr>
          <w:rFonts w:ascii="Arial Narrow" w:eastAsia="Arial Narrow" w:hAnsi="Arial Narrow" w:cs="Arial Narrow"/>
          <w:color w:val="000000"/>
          <w:sz w:val="23"/>
          <w:szCs w:val="23"/>
        </w:rPr>
      </w:pPr>
      <w:bookmarkStart w:id="79" w:name="_heading=h.34g0dwd" w:colFirst="0" w:colLast="0"/>
      <w:bookmarkEnd w:id="79"/>
      <w:r>
        <w:rPr>
          <w:rFonts w:ascii="Arial Narrow" w:eastAsia="Arial Narrow" w:hAnsi="Arial Narrow" w:cs="Arial Narrow"/>
          <w:color w:val="000000"/>
          <w:sz w:val="23"/>
          <w:szCs w:val="23"/>
        </w:rPr>
        <w:t>(En caso de uniones temporales o consorcios cada uno de sus integrantes lo debe presentar)</w:t>
      </w:r>
    </w:p>
    <w:p w14:paraId="007504CB"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80" w:name="_heading=h.1jlao46" w:colFirst="0" w:colLast="0"/>
      <w:bookmarkEnd w:id="80"/>
      <w:r>
        <w:rPr>
          <w:rFonts w:ascii="Arial Narrow" w:eastAsia="Arial Narrow" w:hAnsi="Arial Narrow" w:cs="Arial Narrow"/>
          <w:b/>
          <w:color w:val="000000"/>
          <w:sz w:val="23"/>
          <w:szCs w:val="23"/>
        </w:rPr>
        <w:t xml:space="preserve">ANEXO. No. 8 </w:t>
      </w:r>
      <w:r>
        <w:rPr>
          <w:rFonts w:ascii="Arial Narrow" w:eastAsia="Arial Narrow" w:hAnsi="Arial Narrow" w:cs="Arial Narrow"/>
          <w:color w:val="000000"/>
          <w:sz w:val="23"/>
          <w:szCs w:val="23"/>
        </w:rPr>
        <w:t>FORMATO CERTIFICACIÓN DE PAGOS DE SEGURIDAD SOCIAL Y APORTES PARAFISCALES - (Persona Natural sin personal a cargo) - (Persona Natural CON personal a cargo)</w:t>
      </w:r>
    </w:p>
    <w:p w14:paraId="2445892F" w14:textId="77777777" w:rsidR="008745D1" w:rsidRPr="005D5D65"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lang w:val="pt-PT"/>
        </w:rPr>
      </w:pPr>
      <w:bookmarkStart w:id="81" w:name="_heading=h.43ky6rz" w:colFirst="0" w:colLast="0"/>
      <w:bookmarkEnd w:id="81"/>
      <w:r w:rsidRPr="005D5D65">
        <w:rPr>
          <w:rFonts w:ascii="Arial Narrow" w:eastAsia="Arial Narrow" w:hAnsi="Arial Narrow" w:cs="Arial Narrow"/>
          <w:b/>
          <w:color w:val="000000"/>
          <w:sz w:val="23"/>
          <w:szCs w:val="23"/>
          <w:lang w:val="pt-PT"/>
        </w:rPr>
        <w:t xml:space="preserve">ANEXO No. 9. </w:t>
      </w:r>
      <w:r w:rsidRPr="005D5D65">
        <w:rPr>
          <w:rFonts w:ascii="Arial Narrow" w:eastAsia="Arial Narrow" w:hAnsi="Arial Narrow" w:cs="Arial Narrow"/>
          <w:color w:val="000000"/>
          <w:sz w:val="23"/>
          <w:szCs w:val="23"/>
          <w:lang w:val="pt-PT"/>
        </w:rPr>
        <w:t>EXPERIENCIA REQUERIDA</w:t>
      </w:r>
    </w:p>
    <w:p w14:paraId="1AAC94B6"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5D65">
        <w:rPr>
          <w:rFonts w:ascii="Arial Narrow" w:eastAsia="Arial Narrow" w:hAnsi="Arial Narrow" w:cs="Arial Narrow"/>
          <w:b/>
          <w:color w:val="000000"/>
          <w:sz w:val="23"/>
          <w:szCs w:val="23"/>
          <w:lang w:val="pt-PT"/>
        </w:rPr>
        <w:t xml:space="preserve">ANEXO No. 10. </w:t>
      </w:r>
      <w:r>
        <w:rPr>
          <w:rFonts w:ascii="Arial Narrow" w:eastAsia="Arial Narrow" w:hAnsi="Arial Narrow" w:cs="Arial Narrow"/>
          <w:color w:val="000000"/>
          <w:sz w:val="23"/>
          <w:szCs w:val="23"/>
        </w:rPr>
        <w:t>CERTIFICADO DE PARTICIPACIÓN INDEPENDIENTE DEL PROPONENTE</w:t>
      </w:r>
    </w:p>
    <w:p w14:paraId="69D1D7C7" w14:textId="77777777" w:rsidR="008745D1" w:rsidRDefault="00062AC1">
      <w:pPr>
        <w:spacing w:after="0" w:line="240" w:lineRule="auto"/>
        <w:ind w:left="0" w:hanging="2"/>
        <w:jc w:val="both"/>
        <w:rPr>
          <w:rFonts w:ascii="Arial Narrow" w:eastAsia="Arial Narrow" w:hAnsi="Arial Narrow" w:cs="Arial Narrow"/>
          <w:color w:val="000000"/>
          <w:sz w:val="23"/>
          <w:szCs w:val="23"/>
        </w:rPr>
      </w:pPr>
      <w:bookmarkStart w:id="82" w:name="_heading=h.2iq8gzs" w:colFirst="0" w:colLast="0"/>
      <w:bookmarkEnd w:id="82"/>
      <w:r>
        <w:rPr>
          <w:rFonts w:ascii="Arial Narrow" w:eastAsia="Arial Narrow" w:hAnsi="Arial Narrow" w:cs="Arial Narrow"/>
          <w:color w:val="000000"/>
          <w:sz w:val="23"/>
          <w:szCs w:val="23"/>
        </w:rPr>
        <w:t>(En caso de uniones temporales o consorcios cada uno de sus integrantes lo debe presentar)</w:t>
      </w:r>
    </w:p>
    <w:p w14:paraId="324FE4B1"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ANEXO No. 11. </w:t>
      </w:r>
      <w:r>
        <w:rPr>
          <w:rFonts w:ascii="Arial Narrow" w:eastAsia="Arial Narrow" w:hAnsi="Arial Narrow" w:cs="Arial Narrow"/>
          <w:color w:val="000000"/>
          <w:sz w:val="23"/>
          <w:szCs w:val="23"/>
        </w:rPr>
        <w:t>DECLARACIÓN ORIGEN DE FONDOS</w:t>
      </w:r>
    </w:p>
    <w:p w14:paraId="3E0531F8" w14:textId="77777777" w:rsidR="008745D1" w:rsidRDefault="00062AC1">
      <w:pPr>
        <w:spacing w:after="0" w:line="240" w:lineRule="auto"/>
        <w:ind w:left="0" w:hanging="2"/>
        <w:jc w:val="both"/>
        <w:rPr>
          <w:rFonts w:ascii="Arial Narrow" w:eastAsia="Arial Narrow" w:hAnsi="Arial Narrow" w:cs="Arial Narrow"/>
          <w:color w:val="000000"/>
          <w:sz w:val="23"/>
          <w:szCs w:val="23"/>
        </w:rPr>
      </w:pPr>
      <w:bookmarkStart w:id="83" w:name="_heading=h.xvir7l" w:colFirst="0" w:colLast="0"/>
      <w:bookmarkEnd w:id="83"/>
      <w:r>
        <w:rPr>
          <w:rFonts w:ascii="Arial Narrow" w:eastAsia="Arial Narrow" w:hAnsi="Arial Narrow" w:cs="Arial Narrow"/>
          <w:color w:val="000000"/>
          <w:sz w:val="23"/>
          <w:szCs w:val="23"/>
        </w:rPr>
        <w:t>(En caso de uniones temporales o consorcios cada uno de sus integrantes lo debe presentar)</w:t>
      </w:r>
    </w:p>
    <w:p w14:paraId="685ABE80"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ANEXO No. 12. </w:t>
      </w:r>
      <w:r>
        <w:rPr>
          <w:rFonts w:ascii="Arial Narrow" w:eastAsia="Arial Narrow" w:hAnsi="Arial Narrow" w:cs="Arial Narrow"/>
          <w:color w:val="000000"/>
          <w:sz w:val="23"/>
          <w:szCs w:val="23"/>
        </w:rPr>
        <w:t>SISTEMA DE GESTIÓN DE LA SEGURIDAD Y SALUD EN EL TRABAJO</w:t>
      </w:r>
    </w:p>
    <w:p w14:paraId="7C4B124F" w14:textId="77777777" w:rsidR="008745D1" w:rsidRDefault="00062AC1">
      <w:pPr>
        <w:spacing w:after="0" w:line="240" w:lineRule="auto"/>
        <w:ind w:left="0" w:hanging="2"/>
        <w:jc w:val="both"/>
        <w:rPr>
          <w:rFonts w:ascii="Arial Narrow" w:eastAsia="Arial Narrow" w:hAnsi="Arial Narrow" w:cs="Arial Narrow"/>
          <w:color w:val="000000"/>
          <w:sz w:val="23"/>
          <w:szCs w:val="23"/>
        </w:rPr>
      </w:pPr>
      <w:bookmarkStart w:id="84" w:name="_heading=h.3hv69ve" w:colFirst="0" w:colLast="0"/>
      <w:bookmarkEnd w:id="84"/>
      <w:r>
        <w:rPr>
          <w:rFonts w:ascii="Arial Narrow" w:eastAsia="Arial Narrow" w:hAnsi="Arial Narrow" w:cs="Arial Narrow"/>
          <w:color w:val="000000"/>
          <w:sz w:val="23"/>
          <w:szCs w:val="23"/>
        </w:rPr>
        <w:t>(En caso de uniones temporales o consorcios cada uno de sus integrantes lo debe presentar)</w:t>
      </w:r>
    </w:p>
    <w:p w14:paraId="670A4A6C"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85" w:name="_heading=h.1x0gk37" w:colFirst="0" w:colLast="0"/>
      <w:bookmarkEnd w:id="85"/>
      <w:r>
        <w:rPr>
          <w:rFonts w:ascii="Arial Narrow" w:eastAsia="Arial Narrow" w:hAnsi="Arial Narrow" w:cs="Arial Narrow"/>
          <w:b/>
          <w:color w:val="000000"/>
          <w:sz w:val="23"/>
          <w:szCs w:val="23"/>
        </w:rPr>
        <w:t xml:space="preserve">ANEXO No. 13. </w:t>
      </w:r>
      <w:r>
        <w:rPr>
          <w:rFonts w:ascii="Arial Narrow" w:eastAsia="Arial Narrow" w:hAnsi="Arial Narrow" w:cs="Arial Narrow"/>
          <w:color w:val="000000"/>
          <w:sz w:val="23"/>
          <w:szCs w:val="23"/>
        </w:rPr>
        <w:t>APOYO A LA INDUSTRIA</w:t>
      </w:r>
    </w:p>
    <w:p w14:paraId="10D5F677"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86" w:name="_heading=h.4h042r0" w:colFirst="0" w:colLast="0"/>
      <w:bookmarkEnd w:id="86"/>
      <w:r>
        <w:rPr>
          <w:rFonts w:ascii="Arial Narrow" w:eastAsia="Arial Narrow" w:hAnsi="Arial Narrow" w:cs="Arial Narrow"/>
          <w:b/>
          <w:color w:val="000000"/>
          <w:sz w:val="23"/>
          <w:szCs w:val="23"/>
        </w:rPr>
        <w:t xml:space="preserve">ANEXO No 14. </w:t>
      </w:r>
      <w:r>
        <w:rPr>
          <w:rFonts w:ascii="Arial Narrow" w:eastAsia="Arial Narrow" w:hAnsi="Arial Narrow" w:cs="Arial Narrow"/>
          <w:color w:val="000000"/>
          <w:sz w:val="23"/>
          <w:szCs w:val="23"/>
        </w:rPr>
        <w:t>FORMATO PARA ACREDITAR LOS REQUISITOS HABILITANTES DE LOS PROPONENTES EXTRANJEROS SIN DOMICILIO O SUCURSAL EN COLOMBIA</w:t>
      </w:r>
    </w:p>
    <w:p w14:paraId="7B5CF5EA"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87" w:name="_heading=h.2w5ecyt" w:colFirst="0" w:colLast="0"/>
      <w:bookmarkEnd w:id="87"/>
      <w:r>
        <w:rPr>
          <w:rFonts w:ascii="Arial Narrow" w:eastAsia="Arial Narrow" w:hAnsi="Arial Narrow" w:cs="Arial Narrow"/>
          <w:b/>
          <w:color w:val="000000"/>
          <w:sz w:val="23"/>
          <w:szCs w:val="23"/>
        </w:rPr>
        <w:t xml:space="preserve">ANEXO 15: </w:t>
      </w:r>
      <w:r>
        <w:rPr>
          <w:rFonts w:ascii="Arial Narrow" w:eastAsia="Arial Narrow" w:hAnsi="Arial Narrow" w:cs="Arial Narrow"/>
          <w:color w:val="000000"/>
          <w:sz w:val="23"/>
          <w:szCs w:val="23"/>
        </w:rPr>
        <w:t>PROCEDIMIENTO DE SUBASTA</w:t>
      </w:r>
    </w:p>
    <w:p w14:paraId="3853052C"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88" w:name="_heading=h.1baon6m" w:colFirst="0" w:colLast="0"/>
      <w:bookmarkEnd w:id="88"/>
      <w:r>
        <w:rPr>
          <w:rFonts w:ascii="Arial Narrow" w:eastAsia="Arial Narrow" w:hAnsi="Arial Narrow" w:cs="Arial Narrow"/>
          <w:b/>
          <w:color w:val="000000"/>
          <w:sz w:val="23"/>
          <w:szCs w:val="23"/>
        </w:rPr>
        <w:t xml:space="preserve">ANEXO 16: </w:t>
      </w:r>
      <w:r>
        <w:rPr>
          <w:rFonts w:ascii="Arial Narrow" w:eastAsia="Arial Narrow" w:hAnsi="Arial Narrow" w:cs="Arial Narrow"/>
          <w:color w:val="000000"/>
          <w:sz w:val="23"/>
          <w:szCs w:val="23"/>
        </w:rPr>
        <w:t>MINUTA DEL CONTRATO – PUBLICADO EN ARCHIVO APARTE.</w:t>
      </w:r>
    </w:p>
    <w:p w14:paraId="63FA49DD" w14:textId="77777777" w:rsidR="008745D1" w:rsidRDefault="00062AC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ANEXO 17: </w:t>
      </w:r>
      <w:r>
        <w:rPr>
          <w:rFonts w:ascii="Arial Narrow" w:eastAsia="Arial Narrow" w:hAnsi="Arial Narrow" w:cs="Arial Narrow"/>
          <w:color w:val="000000"/>
          <w:sz w:val="23"/>
          <w:szCs w:val="23"/>
        </w:rPr>
        <w:t>FOMENTO DE VINCULACIÓN DE POBLACIÓN EN POBREZA EXTREMA, DESPLAZADOS POR LA VIOLENCIA, PERSONAS EN PROCESO DE REINTEGRACIÓN O REINCORPORACIÓN Y SUJETOS DE ESPECIAL PROTECCIÓN CONSTITUCIONAL</w:t>
      </w:r>
    </w:p>
    <w:p w14:paraId="13F09E2C" w14:textId="77777777" w:rsidR="008745D1" w:rsidRDefault="00062AC1">
      <w:pPr>
        <w:spacing w:after="0" w:line="240" w:lineRule="auto"/>
        <w:ind w:left="0" w:hanging="2"/>
        <w:rPr>
          <w:rFonts w:ascii="Arial Narrow" w:eastAsia="Arial Narrow" w:hAnsi="Arial Narrow" w:cs="Arial Narrow"/>
          <w:color w:val="000000"/>
          <w:sz w:val="23"/>
          <w:szCs w:val="23"/>
        </w:rPr>
      </w:pPr>
      <w:bookmarkStart w:id="89" w:name="_heading=h.3vac5uf" w:colFirst="0" w:colLast="0"/>
      <w:bookmarkEnd w:id="89"/>
      <w:r>
        <w:rPr>
          <w:rFonts w:ascii="Arial Narrow" w:eastAsia="Arial Narrow" w:hAnsi="Arial Narrow" w:cs="Arial Narrow"/>
          <w:b/>
          <w:color w:val="000000"/>
          <w:sz w:val="23"/>
          <w:szCs w:val="23"/>
        </w:rPr>
        <w:t>ANEXO 18:</w:t>
      </w:r>
      <w:r>
        <w:rPr>
          <w:rFonts w:ascii="Arial Narrow" w:eastAsia="Arial Narrow" w:hAnsi="Arial Narrow" w:cs="Arial Narrow"/>
          <w:color w:val="000000"/>
          <w:sz w:val="23"/>
          <w:szCs w:val="23"/>
        </w:rPr>
        <w:t xml:space="preserve"> </w:t>
      </w:r>
      <w:r w:rsidRPr="005214A9">
        <w:rPr>
          <w:rFonts w:ascii="Arial Narrow" w:eastAsia="Arial Narrow" w:hAnsi="Arial Narrow" w:cs="Arial Narrow"/>
          <w:color w:val="000000"/>
          <w:sz w:val="23"/>
          <w:szCs w:val="23"/>
        </w:rPr>
        <w:t>INSTRUCTIVO PARA CARGUE DE LAS FACTURAS ELECTRÓNICAS EN EL APLICATIVO SIIF V01 – PUBLICADO EN ARCHIVO APARTE.</w:t>
      </w:r>
    </w:p>
    <w:tbl>
      <w:tblPr>
        <w:tblW w:w="88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5"/>
        <w:gridCol w:w="4670"/>
        <w:gridCol w:w="1355"/>
        <w:gridCol w:w="1117"/>
      </w:tblGrid>
      <w:tr w:rsidR="002646AF" w:rsidRPr="00CA5712" w14:paraId="2F462622" w14:textId="77777777" w:rsidTr="00D75F8C">
        <w:trPr>
          <w:trHeight w:val="213"/>
          <w:jc w:val="center"/>
        </w:trPr>
        <w:tc>
          <w:tcPr>
            <w:tcW w:w="1685" w:type="dxa"/>
          </w:tcPr>
          <w:p w14:paraId="6A4DCBBC" w14:textId="5D4DA1F8" w:rsidR="002646AF" w:rsidRDefault="002646AF" w:rsidP="00D75F8C">
            <w:pPr>
              <w:ind w:left="0" w:hanging="2"/>
              <w:jc w:val="both"/>
              <w:rPr>
                <w:rFonts w:ascii="Arial Narrow" w:hAnsi="Arial Narrow"/>
                <w:b/>
                <w:sz w:val="18"/>
                <w:szCs w:val="18"/>
              </w:rPr>
            </w:pPr>
            <w:bookmarkStart w:id="90" w:name="_heading=h.gjdgxs" w:colFirst="0" w:colLast="0"/>
            <w:bookmarkEnd w:id="90"/>
            <w:r>
              <w:rPr>
                <w:rFonts w:ascii="Arial Narrow" w:hAnsi="Arial Narrow"/>
                <w:b/>
                <w:sz w:val="18"/>
                <w:szCs w:val="18"/>
              </w:rPr>
              <w:t>Proyectó</w:t>
            </w:r>
          </w:p>
        </w:tc>
        <w:tc>
          <w:tcPr>
            <w:tcW w:w="4670" w:type="dxa"/>
          </w:tcPr>
          <w:p w14:paraId="458DDA1E" w14:textId="2DB87315" w:rsidR="002646AF" w:rsidRPr="00CA5712" w:rsidRDefault="00644F7A" w:rsidP="00D75F8C">
            <w:pPr>
              <w:ind w:left="0" w:hanging="2"/>
              <w:jc w:val="both"/>
              <w:rPr>
                <w:rFonts w:ascii="Arial Narrow" w:hAnsi="Arial Narrow"/>
                <w:sz w:val="18"/>
                <w:szCs w:val="18"/>
              </w:rPr>
            </w:pPr>
            <w:r w:rsidRPr="00644F7A">
              <w:rPr>
                <w:rFonts w:ascii="Arial Narrow" w:hAnsi="Arial Narrow"/>
                <w:sz w:val="18"/>
                <w:szCs w:val="18"/>
              </w:rPr>
              <w:t>Ana Carolina Meneses Benavides / Profesional de Gestión</w:t>
            </w:r>
          </w:p>
        </w:tc>
        <w:tc>
          <w:tcPr>
            <w:tcW w:w="1355" w:type="dxa"/>
          </w:tcPr>
          <w:p w14:paraId="6DF57D2C" w14:textId="0B33437C" w:rsidR="002646AF" w:rsidRPr="00BE43D5" w:rsidRDefault="00644F7A" w:rsidP="00D75F8C">
            <w:pPr>
              <w:jc w:val="center"/>
              <w:rPr>
                <w:rFonts w:ascii="Arial Narrow" w:hAnsi="Arial Narrow" w:cs="Tahoma"/>
                <w:b/>
                <w:bCs/>
                <w:iCs/>
                <w:noProof/>
                <w:sz w:val="16"/>
                <w:szCs w:val="16"/>
              </w:rPr>
            </w:pPr>
            <w:r>
              <w:rPr>
                <w:rFonts w:ascii="Forte" w:hAnsi="Forte"/>
                <w:color w:val="808080"/>
                <w:spacing w:val="-4"/>
                <w:sz w:val="14"/>
              </w:rPr>
              <w:t>ACMB</w:t>
            </w:r>
          </w:p>
        </w:tc>
        <w:tc>
          <w:tcPr>
            <w:tcW w:w="1117" w:type="dxa"/>
          </w:tcPr>
          <w:p w14:paraId="7DCFFDBD" w14:textId="4205459A" w:rsidR="002646AF" w:rsidRDefault="00644F7A" w:rsidP="00D75F8C">
            <w:pPr>
              <w:ind w:left="0" w:hanging="2"/>
              <w:jc w:val="both"/>
              <w:rPr>
                <w:rFonts w:ascii="Arial Narrow" w:hAnsi="Arial Narrow"/>
                <w:sz w:val="18"/>
                <w:szCs w:val="18"/>
              </w:rPr>
            </w:pPr>
            <w:r>
              <w:rPr>
                <w:rFonts w:ascii="Arial Narrow" w:hAnsi="Arial Narrow"/>
                <w:sz w:val="18"/>
                <w:szCs w:val="18"/>
              </w:rPr>
              <w:t>13</w:t>
            </w:r>
            <w:r w:rsidR="002646AF">
              <w:rPr>
                <w:rFonts w:ascii="Arial Narrow" w:hAnsi="Arial Narrow"/>
                <w:sz w:val="18"/>
                <w:szCs w:val="18"/>
              </w:rPr>
              <w:t>/10!2026</w:t>
            </w:r>
          </w:p>
        </w:tc>
      </w:tr>
      <w:tr w:rsidR="0084590F" w:rsidRPr="00CA5712" w14:paraId="183895DD" w14:textId="77777777" w:rsidTr="00D75F8C">
        <w:trPr>
          <w:trHeight w:val="213"/>
          <w:jc w:val="center"/>
        </w:trPr>
        <w:tc>
          <w:tcPr>
            <w:tcW w:w="1685" w:type="dxa"/>
          </w:tcPr>
          <w:p w14:paraId="3EC90B14" w14:textId="33ECEB49" w:rsidR="0084590F" w:rsidRPr="00CA5712" w:rsidRDefault="002646AF" w:rsidP="00D75F8C">
            <w:pPr>
              <w:ind w:left="0" w:hanging="2"/>
              <w:jc w:val="both"/>
              <w:rPr>
                <w:rFonts w:ascii="Arial Narrow" w:hAnsi="Arial Narrow"/>
                <w:b/>
                <w:sz w:val="18"/>
                <w:szCs w:val="18"/>
              </w:rPr>
            </w:pPr>
            <w:r>
              <w:rPr>
                <w:rFonts w:ascii="Arial Narrow" w:hAnsi="Arial Narrow"/>
                <w:b/>
                <w:sz w:val="18"/>
                <w:szCs w:val="18"/>
              </w:rPr>
              <w:t>Revisó</w:t>
            </w:r>
          </w:p>
        </w:tc>
        <w:tc>
          <w:tcPr>
            <w:tcW w:w="4670" w:type="dxa"/>
          </w:tcPr>
          <w:p w14:paraId="41BADBB4" w14:textId="77777777" w:rsidR="0084590F" w:rsidRPr="00CA5712" w:rsidRDefault="0084590F" w:rsidP="00D75F8C">
            <w:pPr>
              <w:ind w:left="0" w:hanging="2"/>
              <w:jc w:val="both"/>
              <w:rPr>
                <w:rFonts w:ascii="Arial Narrow" w:hAnsi="Arial Narrow"/>
                <w:sz w:val="18"/>
                <w:szCs w:val="18"/>
              </w:rPr>
            </w:pPr>
            <w:r w:rsidRPr="00CA5712">
              <w:rPr>
                <w:rFonts w:ascii="Arial Narrow" w:hAnsi="Arial Narrow"/>
                <w:sz w:val="18"/>
                <w:szCs w:val="18"/>
              </w:rPr>
              <w:t xml:space="preserve">Alejandra Sánchez Rendón – </w:t>
            </w:r>
            <w:r>
              <w:rPr>
                <w:rFonts w:ascii="Arial Narrow" w:hAnsi="Arial Narrow"/>
                <w:sz w:val="18"/>
                <w:szCs w:val="18"/>
              </w:rPr>
              <w:t>Coordinadora SGC</w:t>
            </w:r>
            <w:r w:rsidRPr="00CA5712">
              <w:rPr>
                <w:rFonts w:ascii="Arial Narrow" w:hAnsi="Arial Narrow"/>
                <w:sz w:val="18"/>
                <w:szCs w:val="18"/>
              </w:rPr>
              <w:t xml:space="preserve"> </w:t>
            </w:r>
          </w:p>
        </w:tc>
        <w:tc>
          <w:tcPr>
            <w:tcW w:w="1355" w:type="dxa"/>
          </w:tcPr>
          <w:p w14:paraId="388B4F46" w14:textId="77777777" w:rsidR="0084590F" w:rsidRPr="00CA5712" w:rsidRDefault="0084590F" w:rsidP="00D75F8C">
            <w:pPr>
              <w:ind w:left="0" w:hanging="2"/>
              <w:jc w:val="center"/>
              <w:rPr>
                <w:rFonts w:ascii="Arial Narrow" w:hAnsi="Arial Narrow"/>
                <w:sz w:val="18"/>
                <w:szCs w:val="18"/>
              </w:rPr>
            </w:pPr>
            <w:r w:rsidRPr="00BE43D5">
              <w:rPr>
                <w:rFonts w:ascii="Arial Narrow" w:hAnsi="Arial Narrow" w:cs="Tahoma"/>
                <w:b/>
                <w:bCs/>
                <w:iCs/>
                <w:noProof/>
                <w:sz w:val="16"/>
                <w:szCs w:val="16"/>
              </w:rPr>
              <w:drawing>
                <wp:inline distT="0" distB="0" distL="0" distR="0" wp14:anchorId="44931A4C" wp14:editId="5A64A8EE">
                  <wp:extent cx="286247" cy="182472"/>
                  <wp:effectExtent l="0" t="0" r="0" b="8255"/>
                  <wp:docPr id="417664754" name="Imagen 41766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0894" cy="185434"/>
                          </a:xfrm>
                          <a:prstGeom prst="rect">
                            <a:avLst/>
                          </a:prstGeom>
                          <a:noFill/>
                        </pic:spPr>
                      </pic:pic>
                    </a:graphicData>
                  </a:graphic>
                </wp:inline>
              </w:drawing>
            </w:r>
          </w:p>
        </w:tc>
        <w:tc>
          <w:tcPr>
            <w:tcW w:w="1117" w:type="dxa"/>
          </w:tcPr>
          <w:p w14:paraId="536D03D3" w14:textId="3CAB694A" w:rsidR="0084590F" w:rsidRPr="00CA5712" w:rsidRDefault="00644F7A" w:rsidP="00D75F8C">
            <w:pPr>
              <w:ind w:left="0" w:hanging="2"/>
              <w:jc w:val="both"/>
              <w:rPr>
                <w:rFonts w:ascii="Arial Narrow" w:hAnsi="Arial Narrow"/>
                <w:sz w:val="18"/>
                <w:szCs w:val="18"/>
              </w:rPr>
            </w:pPr>
            <w:r>
              <w:rPr>
                <w:rFonts w:ascii="Arial Narrow" w:hAnsi="Arial Narrow"/>
                <w:sz w:val="18"/>
                <w:szCs w:val="18"/>
              </w:rPr>
              <w:t>13</w:t>
            </w:r>
            <w:r w:rsidR="0084590F">
              <w:rPr>
                <w:rFonts w:ascii="Arial Narrow" w:hAnsi="Arial Narrow"/>
                <w:sz w:val="18"/>
                <w:szCs w:val="18"/>
              </w:rPr>
              <w:t>/10/2026</w:t>
            </w:r>
          </w:p>
        </w:tc>
      </w:tr>
      <w:tr w:rsidR="0084590F" w:rsidRPr="00CA5712" w14:paraId="3E906583" w14:textId="77777777" w:rsidTr="00D75F8C">
        <w:trPr>
          <w:jc w:val="center"/>
        </w:trPr>
        <w:tc>
          <w:tcPr>
            <w:tcW w:w="8827" w:type="dxa"/>
            <w:gridSpan w:val="4"/>
          </w:tcPr>
          <w:p w14:paraId="4DD9FB74" w14:textId="77777777" w:rsidR="0084590F" w:rsidRPr="00CA5712" w:rsidRDefault="0084590F" w:rsidP="00D75F8C">
            <w:pPr>
              <w:ind w:left="0" w:hanging="2"/>
              <w:jc w:val="both"/>
              <w:rPr>
                <w:rFonts w:ascii="Arial Narrow" w:hAnsi="Arial Narrow"/>
                <w:sz w:val="18"/>
                <w:szCs w:val="18"/>
              </w:rPr>
            </w:pPr>
            <w:r w:rsidRPr="00CA5712">
              <w:rPr>
                <w:rFonts w:ascii="Arial Narrow" w:hAnsi="Arial Narrow"/>
                <w:sz w:val="18"/>
                <w:szCs w:val="18"/>
              </w:rPr>
              <w:t>Los arriba firmantes declaramos que hemos revisado el documento y lo encontramos ajustado a las normas y disposiciones legales vigentes y por lo tanto, bajo nuestra responsabilidad lo presentamos para la firma.</w:t>
            </w:r>
          </w:p>
        </w:tc>
      </w:tr>
    </w:tbl>
    <w:p w14:paraId="6399F52B" w14:textId="77777777" w:rsidR="008745D1" w:rsidRDefault="008745D1">
      <w:pPr>
        <w:spacing w:line="240" w:lineRule="auto"/>
        <w:ind w:left="0" w:hanging="2"/>
        <w:rPr>
          <w:rFonts w:ascii="Arial Narrow" w:eastAsia="Arial Narrow" w:hAnsi="Arial Narrow" w:cs="Arial Narrow"/>
          <w:color w:val="000000"/>
          <w:sz w:val="23"/>
          <w:szCs w:val="23"/>
        </w:rPr>
      </w:pPr>
    </w:p>
    <w:sectPr w:rsidR="008745D1">
      <w:headerReference w:type="even" r:id="rId43"/>
      <w:headerReference w:type="default" r:id="rId44"/>
      <w:footerReference w:type="even" r:id="rId45"/>
      <w:footerReference w:type="default" r:id="rId46"/>
      <w:headerReference w:type="first" r:id="rId47"/>
      <w:footerReference w:type="first" r:id="rId48"/>
      <w:pgSz w:w="12242" w:h="19442"/>
      <w:pgMar w:top="1134" w:right="1134" w:bottom="1134" w:left="1418"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6" w:author="Alejandra Sanchez Rendon" w:date="2026-03-12T18:55:00Z" w:initials="LASR">
    <w:p w14:paraId="6D14661F" w14:textId="51BC65D4" w:rsidR="00652C65" w:rsidRDefault="00652C65" w:rsidP="00652C65">
      <w:pPr>
        <w:pStyle w:val="Textocomentario"/>
        <w:ind w:leftChars="0" w:left="0" w:firstLineChars="0" w:firstLine="0"/>
      </w:pPr>
      <w:r>
        <w:rPr>
          <w:rStyle w:val="Refdecomentario"/>
        </w:rPr>
        <w:annotationRef/>
      </w:r>
      <w:r>
        <w:rPr>
          <w:lang w:val="es-CO"/>
        </w:rPr>
        <w:t>INCLUIR SI EXISTE OTRO IMPUESTO.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D14661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0BE6A94" w16cex:dateUtc="2026-03-12T23: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D14661F" w16cid:durableId="30BE6A9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F5A87" w14:textId="77777777" w:rsidR="003D18F9" w:rsidRDefault="003D18F9">
      <w:pPr>
        <w:spacing w:after="0" w:line="240" w:lineRule="auto"/>
        <w:ind w:left="0" w:hanging="2"/>
      </w:pPr>
      <w:r>
        <w:separator/>
      </w:r>
    </w:p>
  </w:endnote>
  <w:endnote w:type="continuationSeparator" w:id="0">
    <w:p w14:paraId="71F3E105" w14:textId="77777777" w:rsidR="003D18F9" w:rsidRDefault="003D18F9">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HelveticaNeue LightCond">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Leelawadee">
    <w:panose1 w:val="020B0502040204020203"/>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B561B" w14:textId="77777777" w:rsidR="00264964" w:rsidRDefault="00264964">
    <w:pPr>
      <w:pBdr>
        <w:top w:val="nil"/>
        <w:left w:val="nil"/>
        <w:bottom w:val="nil"/>
        <w:right w:val="nil"/>
        <w:between w:val="nil"/>
      </w:pBdr>
      <w:spacing w:after="0"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9F817" w14:textId="77777777" w:rsidR="00264964" w:rsidRDefault="00264964">
    <w:pPr>
      <w:widowControl w:val="0"/>
      <w:pBdr>
        <w:top w:val="nil"/>
        <w:left w:val="nil"/>
        <w:bottom w:val="nil"/>
        <w:right w:val="nil"/>
        <w:between w:val="nil"/>
      </w:pBdr>
      <w:spacing w:after="0" w:line="276" w:lineRule="auto"/>
      <w:ind w:left="0" w:hanging="2"/>
      <w:rPr>
        <w:rFonts w:ascii="Arial Narrow" w:eastAsia="Arial Narrow" w:hAnsi="Arial Narrow" w:cs="Arial Narrow"/>
      </w:rPr>
    </w:pPr>
  </w:p>
  <w:tbl>
    <w:tblPr>
      <w:tblStyle w:val="afffb"/>
      <w:tblW w:w="9906" w:type="dxa"/>
      <w:tblInd w:w="-108" w:type="dxa"/>
      <w:tblBorders>
        <w:top w:val="single" w:sz="18" w:space="0" w:color="808080"/>
        <w:left w:val="nil"/>
        <w:bottom w:val="nil"/>
        <w:right w:val="nil"/>
        <w:insideH w:val="nil"/>
        <w:insideV w:val="single" w:sz="18" w:space="0" w:color="808080"/>
      </w:tblBorders>
      <w:tblLayout w:type="fixed"/>
      <w:tblLook w:val="0000" w:firstRow="0" w:lastRow="0" w:firstColumn="0" w:lastColumn="0" w:noHBand="0" w:noVBand="0"/>
    </w:tblPr>
    <w:tblGrid>
      <w:gridCol w:w="1027"/>
      <w:gridCol w:w="8879"/>
    </w:tblGrid>
    <w:tr w:rsidR="00264964" w14:paraId="69FD1492" w14:textId="77777777">
      <w:tc>
        <w:tcPr>
          <w:tcW w:w="1027" w:type="dxa"/>
        </w:tcPr>
        <w:p w14:paraId="62EF72E1" w14:textId="77777777" w:rsidR="00264964" w:rsidRDefault="00264964">
          <w:pPr>
            <w:pBdr>
              <w:top w:val="nil"/>
              <w:left w:val="nil"/>
              <w:bottom w:val="nil"/>
              <w:right w:val="nil"/>
              <w:between w:val="nil"/>
            </w:pBdr>
            <w:spacing w:after="0" w:line="240" w:lineRule="auto"/>
            <w:ind w:left="0" w:hanging="2"/>
            <w:jc w:val="right"/>
            <w:rPr>
              <w:rFonts w:ascii="Arial Narrow" w:eastAsia="Arial Narrow" w:hAnsi="Arial Narrow" w:cs="Arial Narrow"/>
              <w:color w:val="4F81BD"/>
              <w:sz w:val="20"/>
              <w:szCs w:val="20"/>
            </w:rPr>
          </w:pPr>
          <w:r>
            <w:rPr>
              <w:rFonts w:ascii="Arial Narrow" w:eastAsia="Arial Narrow" w:hAnsi="Arial Narrow" w:cs="Arial Narrow"/>
              <w:color w:val="000000"/>
              <w:sz w:val="20"/>
              <w:szCs w:val="20"/>
            </w:rPr>
            <w:fldChar w:fldCharType="begin"/>
          </w:r>
          <w:r>
            <w:rPr>
              <w:rFonts w:ascii="Arial Narrow" w:eastAsia="Arial Narrow" w:hAnsi="Arial Narrow" w:cs="Arial Narrow"/>
              <w:color w:val="000000"/>
              <w:sz w:val="20"/>
              <w:szCs w:val="20"/>
            </w:rPr>
            <w:instrText>PAGE</w:instrText>
          </w:r>
          <w:r>
            <w:rPr>
              <w:rFonts w:ascii="Arial Narrow" w:eastAsia="Arial Narrow" w:hAnsi="Arial Narrow" w:cs="Arial Narrow"/>
              <w:color w:val="000000"/>
              <w:sz w:val="20"/>
              <w:szCs w:val="20"/>
            </w:rPr>
            <w:fldChar w:fldCharType="separate"/>
          </w:r>
          <w:r w:rsidR="00343330">
            <w:rPr>
              <w:rFonts w:ascii="Arial Narrow" w:eastAsia="Arial Narrow" w:hAnsi="Arial Narrow" w:cs="Arial Narrow"/>
              <w:noProof/>
              <w:color w:val="000000"/>
              <w:sz w:val="20"/>
              <w:szCs w:val="20"/>
            </w:rPr>
            <w:t>34</w:t>
          </w:r>
          <w:r>
            <w:rPr>
              <w:rFonts w:ascii="Arial Narrow" w:eastAsia="Arial Narrow" w:hAnsi="Arial Narrow" w:cs="Arial Narrow"/>
              <w:color w:val="000000"/>
              <w:sz w:val="20"/>
              <w:szCs w:val="20"/>
            </w:rPr>
            <w:fldChar w:fldCharType="end"/>
          </w:r>
        </w:p>
      </w:tc>
      <w:tc>
        <w:tcPr>
          <w:tcW w:w="8879" w:type="dxa"/>
        </w:tcPr>
        <w:p w14:paraId="17170A91" w14:textId="77777777" w:rsidR="00264964" w:rsidRDefault="00264964">
          <w:pPr>
            <w:pBdr>
              <w:top w:val="nil"/>
              <w:left w:val="nil"/>
              <w:bottom w:val="nil"/>
              <w:right w:val="nil"/>
              <w:between w:val="nil"/>
            </w:pBdr>
            <w:spacing w:after="0" w:line="240" w:lineRule="auto"/>
            <w:ind w:left="0" w:hanging="2"/>
            <w:rPr>
              <w:color w:val="000000"/>
            </w:rPr>
          </w:pPr>
        </w:p>
      </w:tc>
    </w:tr>
  </w:tbl>
  <w:p w14:paraId="2D0B1236" w14:textId="77777777" w:rsidR="00264964" w:rsidRDefault="00264964">
    <w:pPr>
      <w:pBdr>
        <w:top w:val="nil"/>
        <w:left w:val="nil"/>
        <w:bottom w:val="nil"/>
        <w:right w:val="nil"/>
        <w:between w:val="nil"/>
      </w:pBdr>
      <w:spacing w:after="200" w:line="276" w:lineRule="auto"/>
      <w:ind w:left="0" w:hanging="2"/>
      <w:rPr>
        <w:color w:val="000000"/>
      </w:rPr>
    </w:pPr>
  </w:p>
  <w:p w14:paraId="1CC66E0C" w14:textId="77777777" w:rsidR="00264964" w:rsidRDefault="00264964">
    <w:pP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4952A" w14:textId="77777777" w:rsidR="00264964" w:rsidRDefault="00264964">
    <w:pPr>
      <w:pBdr>
        <w:top w:val="nil"/>
        <w:left w:val="nil"/>
        <w:bottom w:val="nil"/>
        <w:right w:val="nil"/>
        <w:between w:val="nil"/>
      </w:pBdr>
      <w:spacing w:after="0"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58DB7" w14:textId="77777777" w:rsidR="003D18F9" w:rsidRDefault="003D18F9">
      <w:pPr>
        <w:spacing w:after="0" w:line="240" w:lineRule="auto"/>
        <w:ind w:left="0" w:hanging="2"/>
      </w:pPr>
      <w:r>
        <w:separator/>
      </w:r>
    </w:p>
  </w:footnote>
  <w:footnote w:type="continuationSeparator" w:id="0">
    <w:p w14:paraId="4FBF5B6E" w14:textId="77777777" w:rsidR="003D18F9" w:rsidRDefault="003D18F9">
      <w:pPr>
        <w:spacing w:after="0" w:line="240" w:lineRule="auto"/>
        <w:ind w:left="0" w:hanging="2"/>
      </w:pPr>
      <w:r>
        <w:continuationSeparator/>
      </w:r>
    </w:p>
  </w:footnote>
  <w:footnote w:id="1">
    <w:p w14:paraId="1E2B2356" w14:textId="77777777" w:rsidR="00264964" w:rsidRDefault="00264964">
      <w:pPr>
        <w:ind w:left="0" w:hanging="2"/>
        <w:jc w:val="both"/>
        <w:rPr>
          <w:rFonts w:ascii="Arial Narrow" w:eastAsia="Arial Narrow" w:hAnsi="Arial Narrow" w:cs="Arial Narrow"/>
          <w:sz w:val="12"/>
          <w:szCs w:val="12"/>
        </w:rPr>
      </w:pPr>
      <w:r>
        <w:rPr>
          <w:vertAlign w:val="superscript"/>
        </w:rPr>
        <w:footnoteRef/>
      </w:r>
      <w:r>
        <w:rPr>
          <w:rFonts w:ascii="Arial Narrow" w:eastAsia="Arial Narrow" w:hAnsi="Arial Narrow" w:cs="Arial Narrow"/>
          <w:sz w:val="12"/>
          <w:szCs w:val="12"/>
        </w:rPr>
        <w:t xml:space="preserve"> </w:t>
      </w:r>
      <w:r>
        <w:rPr>
          <w:rFonts w:ascii="Arial Narrow" w:eastAsia="Arial Narrow" w:hAnsi="Arial Narrow" w:cs="Arial Narrow"/>
          <w:b/>
          <w:sz w:val="12"/>
          <w:szCs w:val="12"/>
        </w:rPr>
        <w:t>Nota:</w:t>
      </w:r>
      <w:r>
        <w:rPr>
          <w:rFonts w:ascii="Arial Narrow" w:eastAsia="Arial Narrow" w:hAnsi="Arial Narrow" w:cs="Arial Narrow"/>
          <w:sz w:val="12"/>
          <w:szCs w:val="12"/>
        </w:rPr>
        <w:t xml:space="preserve"> Señor proponente, por favor tener en cuenta lo dispuesto por Colombia Comprar Eficiente, respecto del uso de la plataforma SECOP II para la subasta inversa: </w:t>
      </w:r>
      <w:r>
        <w:rPr>
          <w:rFonts w:ascii="Arial Narrow" w:eastAsia="Arial Narrow" w:hAnsi="Arial Narrow" w:cs="Arial Narrow"/>
          <w:b/>
          <w:i/>
          <w:sz w:val="12"/>
          <w:szCs w:val="12"/>
        </w:rPr>
        <w:t>“(…) En caso de que exista alguna diferencia entre los documentos de la oferta y el valor indicado en los formularios del SECOP II, la Entidad Estatal debe tener en cuenta el valor indicado en la plataforma (…)” (Fuente CCE, Guía Proveedores – Presentación de Oferta, p. 12)</w:t>
      </w:r>
    </w:p>
    <w:p w14:paraId="77F76B3D" w14:textId="7B9701C7" w:rsidR="00264964" w:rsidRDefault="00264964">
      <w:pPr>
        <w:jc w:val="both"/>
        <w:rPr>
          <w:rFonts w:ascii="Arial Narrow" w:eastAsia="Arial Narrow" w:hAnsi="Arial Narrow" w:cs="Arial Narrow"/>
          <w:sz w:val="12"/>
          <w:szCs w:val="12"/>
        </w:rPr>
      </w:pPr>
      <w:r>
        <w:rPr>
          <w:rFonts w:ascii="Arial Narrow" w:eastAsia="Arial Narrow" w:hAnsi="Arial Narrow" w:cs="Arial Narrow"/>
          <w:b/>
          <w:i/>
          <w:sz w:val="12"/>
          <w:szCs w:val="12"/>
        </w:rPr>
        <w:t xml:space="preserve">Lo anterior, debido a </w:t>
      </w:r>
      <w:r w:rsidR="009B7F9C">
        <w:rPr>
          <w:rFonts w:ascii="Arial Narrow" w:eastAsia="Arial Narrow" w:hAnsi="Arial Narrow" w:cs="Arial Narrow"/>
          <w:b/>
          <w:i/>
          <w:sz w:val="12"/>
          <w:szCs w:val="12"/>
        </w:rPr>
        <w:t>que,</w:t>
      </w:r>
      <w:r>
        <w:rPr>
          <w:rFonts w:ascii="Arial Narrow" w:eastAsia="Arial Narrow" w:hAnsi="Arial Narrow" w:cs="Arial Narrow"/>
          <w:b/>
          <w:i/>
          <w:sz w:val="12"/>
          <w:szCs w:val="12"/>
        </w:rPr>
        <w:t xml:space="preserve"> al momento de generar el evento de subasta electrónica, la plataforma tomará como valor de referencia el menor valor indicado por los proponentes en la lista de (Fuente CCE, Guía Entidades – Subasta Electrónica, p. 5)</w:t>
      </w:r>
    </w:p>
    <w:p w14:paraId="69D9EA8F" w14:textId="77777777" w:rsidR="00264964" w:rsidRDefault="00264964">
      <w:pPr>
        <w:jc w:val="both"/>
        <w:rPr>
          <w:rFonts w:ascii="Arial Narrow" w:eastAsia="Arial Narrow" w:hAnsi="Arial Narrow" w:cs="Arial Narrow"/>
          <w:sz w:val="12"/>
          <w:szCs w:val="12"/>
        </w:rPr>
      </w:pPr>
      <w:r>
        <w:rPr>
          <w:rFonts w:ascii="Arial Narrow" w:eastAsia="Arial Narrow" w:hAnsi="Arial Narrow" w:cs="Arial Narrow"/>
          <w:b/>
          <w:i/>
          <w:sz w:val="12"/>
          <w:szCs w:val="12"/>
        </w:rPr>
        <w:t>Por lo tanto, se reitera que: “Diligencie en el campo "Precio unitario" del sobre económico del SECOP</w:t>
      </w:r>
      <w:r>
        <w:rPr>
          <w:rFonts w:ascii="Arial Narrow" w:eastAsia="Arial Narrow" w:hAnsi="Arial Narrow" w:cs="Arial Narrow"/>
          <w:i/>
          <w:sz w:val="12"/>
          <w:szCs w:val="12"/>
        </w:rPr>
        <w:t xml:space="preserve"> II el valor total de su oferta económica (INDICAR DE ACUERDO CON EL ESTUDIO DEL SECTOR SI APLICA O NO IVA / así mismo, diligencie y adjunte el anexo 4 "oferta económica" con los valores desagregados.</w:t>
      </w:r>
    </w:p>
    <w:p w14:paraId="68086343" w14:textId="77777777" w:rsidR="00264964" w:rsidRDefault="00264964">
      <w:pPr>
        <w:jc w:val="both"/>
        <w:rPr>
          <w:rFonts w:ascii="Arial Narrow" w:eastAsia="Arial Narrow" w:hAnsi="Arial Narrow" w:cs="Arial Narrow"/>
          <w:sz w:val="12"/>
          <w:szCs w:val="12"/>
        </w:rPr>
      </w:pPr>
      <w:r>
        <w:rPr>
          <w:rFonts w:ascii="Arial Narrow" w:eastAsia="Arial Narrow" w:hAnsi="Arial Narrow" w:cs="Arial Narrow"/>
          <w:b/>
          <w:i/>
          <w:sz w:val="12"/>
          <w:szCs w:val="12"/>
        </w:rPr>
        <w:t>IMPORTANTE:</w:t>
      </w:r>
      <w:r>
        <w:rPr>
          <w:rFonts w:ascii="Arial Narrow" w:eastAsia="Arial Narrow" w:hAnsi="Arial Narrow" w:cs="Arial Narrow"/>
          <w:i/>
          <w:sz w:val="12"/>
          <w:szCs w:val="12"/>
        </w:rPr>
        <w:t xml:space="preserve"> Tenga en cuenta, que el valor total de la oferta económica que diligencie en el </w:t>
      </w:r>
      <w:r>
        <w:rPr>
          <w:rFonts w:ascii="Arial Narrow" w:eastAsia="Arial Narrow" w:hAnsi="Arial Narrow" w:cs="Arial Narrow"/>
          <w:b/>
          <w:i/>
          <w:sz w:val="12"/>
          <w:szCs w:val="12"/>
        </w:rPr>
        <w:t>SECOP II, DEBERA COINCIDIR OBLIGATORIAMENTE</w:t>
      </w:r>
      <w:r>
        <w:rPr>
          <w:rFonts w:ascii="Arial Narrow" w:eastAsia="Arial Narrow" w:hAnsi="Arial Narrow" w:cs="Arial Narrow"/>
          <w:i/>
          <w:sz w:val="12"/>
          <w:szCs w:val="12"/>
        </w:rPr>
        <w:t xml:space="preserve"> con el valor total diligenciado en el Anexo 4 "oferta económica", </w:t>
      </w:r>
      <w:r>
        <w:rPr>
          <w:rFonts w:ascii="Arial Narrow" w:eastAsia="Arial Narrow" w:hAnsi="Arial Narrow" w:cs="Arial Narrow"/>
          <w:b/>
          <w:i/>
          <w:sz w:val="12"/>
          <w:szCs w:val="12"/>
          <w:u w:val="single"/>
        </w:rPr>
        <w:t>EN CASO DE NO COINCIDIR SU OFERTA SERÁ OBJETO DE OBSERVACION</w:t>
      </w:r>
      <w:r>
        <w:rPr>
          <w:rFonts w:ascii="Arial Narrow" w:eastAsia="Arial Narrow" w:hAnsi="Arial Narrow" w:cs="Arial Narrow"/>
          <w:b/>
          <w:i/>
          <w:sz w:val="12"/>
          <w:szCs w:val="12"/>
        </w:rPr>
        <w:t>,</w:t>
      </w:r>
      <w:r>
        <w:rPr>
          <w:rFonts w:ascii="Arial Narrow" w:eastAsia="Arial Narrow" w:hAnsi="Arial Narrow" w:cs="Arial Narrow"/>
          <w:i/>
          <w:sz w:val="12"/>
          <w:szCs w:val="12"/>
        </w:rPr>
        <w:t xml:space="preserve">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footnote>
  <w:footnote w:id="2">
    <w:p w14:paraId="24D4F016" w14:textId="77777777" w:rsidR="00264964" w:rsidRDefault="00264964">
      <w:pPr>
        <w:pBdr>
          <w:top w:val="nil"/>
          <w:left w:val="nil"/>
          <w:bottom w:val="nil"/>
          <w:right w:val="nil"/>
          <w:between w:val="nil"/>
        </w:pBdr>
        <w:spacing w:after="0" w:line="240" w:lineRule="auto"/>
        <w:ind w:left="0" w:hanging="2"/>
        <w:rPr>
          <w:rFonts w:ascii="Arial Narrow" w:eastAsia="Arial Narrow" w:hAnsi="Arial Narrow" w:cs="Arial Narrow"/>
          <w:color w:val="000000"/>
          <w:sz w:val="16"/>
          <w:szCs w:val="16"/>
        </w:rPr>
      </w:pPr>
      <w:r>
        <w:rPr>
          <w:vertAlign w:val="superscript"/>
        </w:rPr>
        <w:footnoteRef/>
      </w:r>
      <w:r>
        <w:rPr>
          <w:rFonts w:ascii="Arial Narrow" w:eastAsia="Arial Narrow" w:hAnsi="Arial Narrow" w:cs="Arial Narrow"/>
          <w:color w:val="000000"/>
          <w:sz w:val="16"/>
          <w:szCs w:val="16"/>
        </w:rPr>
        <w:t xml:space="preserve"> Colombia Compra Eficiente (2020) procesos de contratación. Presentar ofertas en el SECOP II. Pág. 25. </w:t>
      </w:r>
    </w:p>
    <w:p w14:paraId="180B414E" w14:textId="77777777" w:rsidR="00264964" w:rsidRDefault="00264964">
      <w:pPr>
        <w:pBdr>
          <w:top w:val="nil"/>
          <w:left w:val="nil"/>
          <w:bottom w:val="nil"/>
          <w:right w:val="nil"/>
          <w:between w:val="nil"/>
        </w:pBdr>
        <w:spacing w:after="0" w:line="240" w:lineRule="auto"/>
        <w:ind w:left="0" w:hanging="2"/>
        <w:rPr>
          <w:color w:val="000000"/>
          <w:sz w:val="20"/>
          <w:szCs w:val="20"/>
        </w:rPr>
      </w:pPr>
    </w:p>
  </w:footnote>
  <w:footnote w:id="3">
    <w:p w14:paraId="02D5017D" w14:textId="77777777" w:rsidR="00264964" w:rsidRDefault="00264964">
      <w:pPr>
        <w:pBdr>
          <w:top w:val="nil"/>
          <w:left w:val="nil"/>
          <w:bottom w:val="nil"/>
          <w:right w:val="nil"/>
          <w:between w:val="nil"/>
        </w:pBdr>
        <w:shd w:val="clear" w:color="auto" w:fill="FFFFFF"/>
        <w:spacing w:after="0" w:line="240" w:lineRule="auto"/>
        <w:ind w:left="0" w:hanging="2"/>
        <w:jc w:val="both"/>
        <w:rPr>
          <w:rFonts w:ascii="Arial" w:eastAsia="Arial" w:hAnsi="Arial" w:cs="Arial"/>
          <w:color w:val="000000"/>
          <w:sz w:val="12"/>
          <w:szCs w:val="12"/>
        </w:rPr>
      </w:pPr>
      <w:r>
        <w:rPr>
          <w:vertAlign w:val="superscript"/>
        </w:rPr>
        <w:footnoteRef/>
      </w:r>
      <w:r>
        <w:rPr>
          <w:rFonts w:ascii="Times New Roman" w:eastAsia="Times New Roman" w:hAnsi="Times New Roman" w:cs="Times New Roman"/>
          <w:color w:val="000000"/>
          <w:sz w:val="12"/>
          <w:szCs w:val="12"/>
        </w:rPr>
        <w:t xml:space="preserve"> </w:t>
      </w:r>
      <w:r>
        <w:rPr>
          <w:rFonts w:ascii="Arial" w:eastAsia="Arial" w:hAnsi="Arial" w:cs="Arial"/>
          <w:b/>
          <w:i/>
          <w:color w:val="000000"/>
          <w:sz w:val="12"/>
          <w:szCs w:val="12"/>
        </w:rPr>
        <w:t>Artículo 2.2.1.2.4.2.4. Acreditación de requisitos para participar en convocatorias limitadas. </w:t>
      </w:r>
      <w:r>
        <w:rPr>
          <w:rFonts w:ascii="Arial" w:eastAsia="Arial" w:hAnsi="Arial" w:cs="Arial"/>
          <w:color w:val="000000"/>
          <w:sz w:val="12"/>
          <w:szCs w:val="12"/>
        </w:rPr>
        <w:t>La Mipyme colombianas deben acreditar que tiene el tamaño empresarial establecido por la ley de la siguiente manera:​</w:t>
      </w:r>
    </w:p>
    <w:p w14:paraId="40A6DC12" w14:textId="77777777" w:rsidR="00264964" w:rsidRDefault="00264964">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color w:val="000000"/>
          <w:sz w:val="12"/>
          <w:szCs w:val="12"/>
        </w:rPr>
        <w:t>1. Las personas naturales mediante certificación expedida por ellos y un contador público, adjuntando copia del registro mercantil.</w:t>
      </w:r>
    </w:p>
    <w:p w14:paraId="5C557934" w14:textId="77777777" w:rsidR="00264964" w:rsidRDefault="00264964">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color w:val="000000"/>
          <w:sz w:val="12"/>
          <w:szCs w:val="1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617A87D" w14:textId="77777777" w:rsidR="00264964" w:rsidRDefault="00264964">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color w:val="000000"/>
          <w:sz w:val="12"/>
          <w:szCs w:val="12"/>
        </w:rPr>
        <w:t>Para la acreditación deberán observarse los rangos de clasificación empresarial establecidos de conformidad con la Ley </w:t>
      </w:r>
      <w:hyperlink r:id="rId1" w:anchor="0">
        <w:r>
          <w:rPr>
            <w:rFonts w:ascii="Arial" w:eastAsia="Arial" w:hAnsi="Arial" w:cs="Arial"/>
            <w:b/>
            <w:color w:val="000000"/>
            <w:sz w:val="12"/>
            <w:szCs w:val="12"/>
          </w:rPr>
          <w:t>590 </w:t>
        </w:r>
      </w:hyperlink>
      <w:r>
        <w:rPr>
          <w:rFonts w:ascii="Arial" w:eastAsia="Arial" w:hAnsi="Arial" w:cs="Arial"/>
          <w:color w:val="000000"/>
          <w:sz w:val="12"/>
          <w:szCs w:val="12"/>
        </w:rPr>
        <w:t>de 2000 y el Decreto </w:t>
      </w:r>
      <w:hyperlink r:id="rId2" w:anchor="0">
        <w:r>
          <w:rPr>
            <w:rFonts w:ascii="Arial" w:eastAsia="Arial" w:hAnsi="Arial" w:cs="Arial"/>
            <w:b/>
            <w:color w:val="000000"/>
            <w:sz w:val="12"/>
            <w:szCs w:val="12"/>
          </w:rPr>
          <w:t>1074 </w:t>
        </w:r>
      </w:hyperlink>
      <w:r>
        <w:rPr>
          <w:rFonts w:ascii="Arial" w:eastAsia="Arial" w:hAnsi="Arial" w:cs="Arial"/>
          <w:color w:val="000000"/>
          <w:sz w:val="12"/>
          <w:szCs w:val="12"/>
        </w:rPr>
        <w:t>de 2015, o las normas que lo modifiquen, sustituyan o complementen.</w:t>
      </w:r>
    </w:p>
    <w:p w14:paraId="64A7B320" w14:textId="77777777" w:rsidR="00264964" w:rsidRDefault="00264964">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b/>
          <w:color w:val="000000"/>
          <w:sz w:val="12"/>
          <w:szCs w:val="12"/>
        </w:rPr>
        <w:t>PARÁGRAFO 1.</w:t>
      </w:r>
      <w:r>
        <w:rPr>
          <w:rFonts w:ascii="Arial" w:eastAsia="Arial" w:hAnsi="Arial" w:cs="Arial"/>
          <w:color w:val="000000"/>
          <w:sz w:val="12"/>
          <w:szCs w:val="12"/>
        </w:rPr>
        <w:t> En todo caso, las Mipyme también podrán acreditar esta condición con la copia del certificado del Registro Único de Proponentes, el cual deberá encontrarse vigente y en firme al momento de su presentación.</w:t>
      </w:r>
    </w:p>
    <w:p w14:paraId="108FCC29" w14:textId="77777777" w:rsidR="00264964" w:rsidRDefault="00264964">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b/>
          <w:color w:val="000000"/>
          <w:sz w:val="12"/>
          <w:szCs w:val="12"/>
        </w:rPr>
        <w:t>PARÁGRAFO 2</w:t>
      </w:r>
      <w:r>
        <w:rPr>
          <w:rFonts w:ascii="Arial" w:eastAsia="Arial" w:hAnsi="Arial" w:cs="Arial"/>
          <w:color w:val="000000"/>
          <w:sz w:val="12"/>
          <w:szCs w:val="12"/>
        </w:rPr>
        <w:t>.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77980C32" w14:textId="77777777" w:rsidR="00264964" w:rsidRDefault="00264964">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b/>
          <w:color w:val="000000"/>
          <w:sz w:val="12"/>
          <w:szCs w:val="12"/>
        </w:rPr>
        <w:t>PARÁGRAFO 3.</w:t>
      </w:r>
      <w:r>
        <w:rPr>
          <w:rFonts w:ascii="Arial" w:eastAsia="Arial" w:hAnsi="Arial" w:cs="Arial"/>
          <w:color w:val="000000"/>
          <w:sz w:val="12"/>
          <w:szCs w:val="12"/>
        </w:rPr>
        <w:t>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1F18C90F" w14:textId="77777777" w:rsidR="00264964" w:rsidRDefault="00264964">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b/>
          <w:color w:val="000000"/>
          <w:sz w:val="12"/>
          <w:szCs w:val="12"/>
        </w:rPr>
        <w:t>PARÁGRAFO 4.</w:t>
      </w:r>
      <w:r>
        <w:rPr>
          <w:rFonts w:ascii="Arial" w:eastAsia="Arial" w:hAnsi="Arial" w:cs="Arial"/>
          <w:color w:val="000000"/>
          <w:sz w:val="12"/>
          <w:szCs w:val="12"/>
        </w:rPr>
        <w:t> Los incentivos previstos en los artículos 2.2.1.2.4.2.2 y 2.2.1.2.4.2.3 de este Decreto no excluyen la aplicación de los criterios diferenciales para los emprendimientos y empresas de mujeres en el sistema de compras públicas.</w:t>
      </w:r>
    </w:p>
    <w:p w14:paraId="14E617B3" w14:textId="77777777" w:rsidR="00264964" w:rsidRDefault="00264964">
      <w:pPr>
        <w:pBdr>
          <w:top w:val="nil"/>
          <w:left w:val="nil"/>
          <w:bottom w:val="nil"/>
          <w:right w:val="nil"/>
          <w:between w:val="nil"/>
        </w:pBdr>
        <w:spacing w:after="0" w:line="240" w:lineRule="auto"/>
        <w:ind w:left="0" w:hanging="2"/>
        <w:rPr>
          <w:color w:val="000000"/>
          <w:sz w:val="20"/>
          <w:szCs w:val="20"/>
        </w:rPr>
      </w:pPr>
    </w:p>
  </w:footnote>
  <w:footnote w:id="4">
    <w:p w14:paraId="5A27D9EF" w14:textId="77777777" w:rsidR="00264964" w:rsidRDefault="00264964">
      <w:pPr>
        <w:pBdr>
          <w:top w:val="nil"/>
          <w:left w:val="nil"/>
          <w:bottom w:val="nil"/>
          <w:right w:val="nil"/>
          <w:between w:val="nil"/>
        </w:pBdr>
        <w:shd w:val="clear" w:color="auto" w:fill="FFFFFF"/>
        <w:spacing w:after="150" w:line="240" w:lineRule="auto"/>
        <w:ind w:left="0" w:hanging="2"/>
        <w:jc w:val="both"/>
        <w:rPr>
          <w:rFonts w:ascii="Helvetica Neue" w:eastAsia="Helvetica Neue" w:hAnsi="Helvetica Neue" w:cs="Helvetica Neue"/>
          <w:color w:val="000000"/>
          <w:sz w:val="12"/>
          <w:szCs w:val="12"/>
        </w:rPr>
      </w:pPr>
      <w:r>
        <w:rPr>
          <w:vertAlign w:val="superscript"/>
        </w:rPr>
        <w:footnoteRef/>
      </w:r>
      <w:r>
        <w:rPr>
          <w:rFonts w:ascii="Times New Roman" w:eastAsia="Times New Roman" w:hAnsi="Times New Roman" w:cs="Times New Roman"/>
          <w:color w:val="000000"/>
          <w:sz w:val="12"/>
          <w:szCs w:val="12"/>
        </w:rPr>
        <w:t xml:space="preserve"> </w:t>
      </w:r>
      <w:r>
        <w:rPr>
          <w:rFonts w:ascii="Helvetica Neue" w:eastAsia="Helvetica Neue" w:hAnsi="Helvetica Neue" w:cs="Helvetica Neue"/>
          <w:b/>
          <w:color w:val="000000"/>
          <w:sz w:val="12"/>
          <w:szCs w:val="12"/>
        </w:rPr>
        <w:t>Principio de economía.</w:t>
      </w:r>
      <w:r>
        <w:rPr>
          <w:rFonts w:ascii="Helvetica Neue" w:eastAsia="Helvetica Neue" w:hAnsi="Helvetica Neue" w:cs="Helvetica Neue"/>
          <w:color w:val="000000"/>
          <w:sz w:val="12"/>
          <w:szCs w:val="12"/>
        </w:rPr>
        <w:t xml:space="preserve"> Este principio tiene como finalidad asegurar la eficiencia de la Administración en la actividad contractual, traducida en lograr los máximos resultados, utilizando el menor tiempo y la menor cantidad de recursos con los menores costos para el presupuesto estatal. En desarrollo de este principio, la norma legal busca asegurar la selección objetiva del contratista mediante los procedimientos y etapas que sean estrictamente necesarios, dentro de términos preclusivos y perentorios, con el impulso oficioso de la Administración para evitar dilaciones en la escogencia. Bajo esta misma orientación, la propia normativa señala que la interpretación de las disposiciones que regulan los procedimientos contractuales no debe dar lugar a trámites diferentes o adicionales y proscribe la falta de decisión de la Administración cuando ella se fundamenta en defectos formales o inobservancia de requisitos. </w:t>
      </w:r>
      <w:hyperlink r:id="rId3">
        <w:r>
          <w:rPr>
            <w:rFonts w:ascii="Times New Roman" w:eastAsia="Times New Roman" w:hAnsi="Times New Roman" w:cs="Times New Roman"/>
            <w:color w:val="000000"/>
            <w:sz w:val="12"/>
            <w:szCs w:val="12"/>
          </w:rPr>
          <w:t>https://sintesis.colombiacompra.gov.co/sintesis/1-etapa-precontractual-principios-de-la-contrataci%C3%B3n-estatal</w:t>
        </w:r>
      </w:hyperlink>
    </w:p>
    <w:p w14:paraId="45E09099" w14:textId="77777777" w:rsidR="00264964" w:rsidRDefault="00264964">
      <w:pPr>
        <w:pBdr>
          <w:top w:val="nil"/>
          <w:left w:val="nil"/>
          <w:bottom w:val="nil"/>
          <w:right w:val="nil"/>
          <w:between w:val="nil"/>
        </w:pBdr>
        <w:spacing w:after="0" w:line="240" w:lineRule="auto"/>
        <w:ind w:left="0" w:hanging="2"/>
        <w:rPr>
          <w:color w:val="000000"/>
          <w:sz w:val="20"/>
          <w:szCs w:val="20"/>
        </w:rPr>
      </w:pPr>
    </w:p>
  </w:footnote>
  <w:footnote w:id="5">
    <w:p w14:paraId="74D6156E" w14:textId="77777777" w:rsidR="00264964" w:rsidRPr="000675D7" w:rsidRDefault="00264964" w:rsidP="00145EE7">
      <w:pPr>
        <w:pStyle w:val="Textonotapie"/>
        <w:ind w:left="0" w:hanging="2"/>
        <w:rPr>
          <w:lang w:val="es-ES"/>
        </w:rPr>
      </w:pPr>
      <w:r>
        <w:rPr>
          <w:rStyle w:val="Refdenotaalpie"/>
        </w:rPr>
        <w:footnoteRef/>
      </w:r>
      <w:r>
        <w:t xml:space="preserve"> </w:t>
      </w:r>
      <w:r w:rsidRPr="000675D7">
        <w:rPr>
          <w:rFonts w:ascii="Arial" w:hAnsi="Arial" w:cs="Arial"/>
          <w:iCs/>
          <w:color w:val="333333"/>
          <w:sz w:val="16"/>
          <w:szCs w:val="16"/>
          <w:shd w:val="clear" w:color="auto" w:fill="FFFFFF"/>
        </w:rPr>
        <w:t>Artículos 260 y 261 del Código de Comercio,</w:t>
      </w:r>
    </w:p>
  </w:footnote>
  <w:footnote w:id="6">
    <w:p w14:paraId="1682424C" w14:textId="77777777" w:rsidR="00021C0B" w:rsidRDefault="00021C0B" w:rsidP="00021C0B">
      <w:pPr>
        <w:pStyle w:val="Textonotapie"/>
        <w:ind w:left="0" w:hanging="2"/>
      </w:pPr>
      <w:r>
        <w:rPr>
          <w:rStyle w:val="Refdenotaalpie"/>
        </w:rPr>
        <w:footnoteRef/>
      </w:r>
      <w:r>
        <w:t xml:space="preserve"> </w:t>
      </w:r>
      <w:hyperlink r:id="rId4" w:history="1">
        <w:r>
          <w:rPr>
            <w:rStyle w:val="Hipervnculo"/>
          </w:rPr>
          <w:t>https://www.colombiacompra.gov.co/sites/cce_public/files/files_2020/cce-eicp-ma-04._manual_requisitos_habilitantes_v.02.pdf</w:t>
        </w:r>
      </w:hyperlink>
      <w:r>
        <w:t xml:space="preserve"> </w:t>
      </w:r>
    </w:p>
  </w:footnote>
  <w:footnote w:id="7">
    <w:p w14:paraId="1E360879" w14:textId="77777777" w:rsidR="00021C0B" w:rsidRDefault="00021C0B" w:rsidP="00021C0B">
      <w:pPr>
        <w:pStyle w:val="Textonotapie"/>
        <w:ind w:left="0" w:hanging="2"/>
        <w:rPr>
          <w:lang w:val="es-MX"/>
        </w:rPr>
      </w:pPr>
      <w:r>
        <w:rPr>
          <w:rStyle w:val="Refdenotaalpie"/>
        </w:rPr>
        <w:footnoteRef/>
      </w:r>
      <w:r>
        <w:t xml:space="preserve"> </w:t>
      </w:r>
      <w:hyperlink r:id="rId5" w:anchor="/massivereports" w:history="1">
        <w:r>
          <w:rPr>
            <w:rStyle w:val="Hipervnculo"/>
          </w:rPr>
          <w:t>https://siis.ia.supersociedades.gov.co/#/massivereports</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5C730" w14:textId="77777777" w:rsidR="00264964" w:rsidRDefault="00000000">
    <w:pPr>
      <w:pBdr>
        <w:top w:val="nil"/>
        <w:left w:val="nil"/>
        <w:bottom w:val="nil"/>
        <w:right w:val="nil"/>
        <w:between w:val="nil"/>
      </w:pBdr>
      <w:spacing w:after="0" w:line="240" w:lineRule="auto"/>
      <w:ind w:left="0" w:hanging="2"/>
      <w:rPr>
        <w:color w:val="000000"/>
      </w:rPr>
    </w:pPr>
    <w:r>
      <w:rPr>
        <w:color w:val="000000"/>
      </w:rPr>
      <w:pict w14:anchorId="71DE5F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558pt;height:104pt;rotation:315;z-index:-251656192;visibility:visible;mso-position-horizontal:center;mso-position-horizontal-relative:margin;mso-position-vertical:center;mso-position-vertical-relative:margin" fillcolor="silver" stroked="f">
          <v:fill opacity=".5"/>
          <v:textpath style="font-family:&quot;&amp;quot&quot;;font-size:1pt" string="COMPLEMENTARIO"/>
          <w10:wrap anchorx="margin" anchory="margin"/>
        </v:shape>
      </w:pict>
    </w:r>
    <w:r w:rsidR="00264964">
      <w:rPr>
        <w:noProof/>
        <w:color w:val="000000"/>
        <w:lang w:eastAsia="es-CO"/>
      </w:rPr>
      <mc:AlternateContent>
        <mc:Choice Requires="wps">
          <w:drawing>
            <wp:anchor distT="0" distB="0" distL="0" distR="0" simplePos="0" relativeHeight="251655168" behindDoc="1" locked="0" layoutInCell="1" hidden="0" allowOverlap="1" wp14:anchorId="7B07DD15" wp14:editId="77B96BFB">
              <wp:simplePos x="0" y="0"/>
              <wp:positionH relativeFrom="leftMargin">
                <wp:align>center</wp:align>
              </wp:positionH>
              <wp:positionV relativeFrom="topMargin">
                <wp:align>center</wp:align>
              </wp:positionV>
              <wp:extent cx="11967280" cy="11967280"/>
              <wp:effectExtent l="0" t="0" r="0" b="0"/>
              <wp:wrapNone/>
              <wp:docPr id="1040" name="Rectángulo 1040"/>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solidFill>
                        <a:srgbClr val="C0C0C0">
                          <a:alpha val="49019"/>
                        </a:srgbClr>
                      </a:solidFill>
                      <a:ln>
                        <a:noFill/>
                      </a:ln>
                    </wps:spPr>
                    <wps:txbx>
                      <w:txbxContent>
                        <w:p w14:paraId="45C60E3E" w14:textId="77777777" w:rsidR="00264964" w:rsidRDefault="00264964">
                          <w:pPr>
                            <w:spacing w:after="0" w:line="240" w:lineRule="auto"/>
                            <w:ind w:left="0" w:hanging="2"/>
                          </w:pPr>
                        </w:p>
                      </w:txbxContent>
                    </wps:txbx>
                    <wps:bodyPr spcFirstLastPara="1" wrap="square" lIns="91425" tIns="91425" rIns="91425" bIns="91425" anchor="ctr" anchorCtr="0">
                      <a:noAutofit/>
                    </wps:bodyPr>
                  </wps:wsp>
                </a:graphicData>
              </a:graphic>
            </wp:anchor>
          </w:drawing>
        </mc:Choice>
        <mc:Fallback>
          <w:pict>
            <v:rect w14:anchorId="7B07DD15" id="Rectángulo 1040" o:spid="_x0000_s1026" style="position:absolute;margin-left:0;margin-top:0;width:942.3pt;height:942.3pt;rotation:-45;z-index:-251661312;visibility:visible;mso-wrap-style:square;mso-wrap-distance-left:0;mso-wrap-distance-top:0;mso-wrap-distance-right:0;mso-wrap-distance-bottom:0;mso-position-horizontal:center;mso-position-horizontal-relative:left-margin-area;mso-position-vertical:center;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" fillcolor="silver" stroked="f">
              <v:fill opacity="32125f"/>
              <v:textbox inset="2.53958mm,2.53958mm,2.53958mm,2.53958mm">
                <w:txbxContent>
                  <w:p w14:paraId="45C60E3E" w14:textId="77777777" w:rsidR="00264964" w:rsidRDefault="00264964">
                    <w:pPr>
                      <w:spacing w:after="0" w:line="240" w:lineRule="auto"/>
                      <w:ind w:left="0" w:hanging="2"/>
                    </w:pPr>
                  </w:p>
                </w:txbxContent>
              </v:textbox>
              <w10:wrap anchorx="margin" anchory="margin"/>
            </v:rect>
          </w:pict>
        </mc:Fallback>
      </mc:AlternateContent>
    </w:r>
    <w:r w:rsidR="00264964">
      <w:rPr>
        <w:noProof/>
        <w:color w:val="000000"/>
        <w:lang w:eastAsia="es-CO"/>
      </w:rPr>
      <mc:AlternateContent>
        <mc:Choice Requires="wps">
          <w:drawing>
            <wp:anchor distT="0" distB="0" distL="0" distR="0" simplePos="0" relativeHeight="251656192" behindDoc="1" locked="0" layoutInCell="1" hidden="0" allowOverlap="1" wp14:anchorId="1F70780B" wp14:editId="38B9FB37">
              <wp:simplePos x="0" y="0"/>
              <wp:positionH relativeFrom="leftMargin">
                <wp:align>center</wp:align>
              </wp:positionH>
              <wp:positionV relativeFrom="topMargin">
                <wp:align>center</wp:align>
              </wp:positionV>
              <wp:extent cx="11969076" cy="11969076"/>
              <wp:effectExtent l="0" t="0" r="0" b="0"/>
              <wp:wrapNone/>
              <wp:docPr id="1043" name="Rectángulo 1043"/>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solidFill>
                        <a:srgbClr val="C0C0C0">
                          <a:alpha val="49019"/>
                        </a:srgbClr>
                      </a:solidFill>
                      <a:ln>
                        <a:noFill/>
                      </a:ln>
                    </wps:spPr>
                    <wps:txbx>
                      <w:txbxContent>
                        <w:p w14:paraId="2F96C4F9" w14:textId="77777777" w:rsidR="00264964" w:rsidRDefault="00264964">
                          <w:pPr>
                            <w:spacing w:after="0" w:line="240" w:lineRule="auto"/>
                            <w:ind w:left="0" w:hanging="2"/>
                          </w:pPr>
                        </w:p>
                      </w:txbxContent>
                    </wps:txbx>
                    <wps:bodyPr spcFirstLastPara="1" wrap="square" lIns="91425" tIns="91425" rIns="91425" bIns="91425" anchor="ctr" anchorCtr="0">
                      <a:noAutofit/>
                    </wps:bodyPr>
                  </wps:wsp>
                </a:graphicData>
              </a:graphic>
            </wp:anchor>
          </w:drawing>
        </mc:Choice>
        <mc:Fallback>
          <w:pict>
            <v:rect w14:anchorId="1F70780B" id="Rectángulo 1043" o:spid="_x0000_s1027" style="position:absolute;margin-left:0;margin-top:0;width:942.45pt;height:942.45pt;rotation:-45;z-index:-251660288;visibility:visible;mso-wrap-style:square;mso-wrap-distance-left:0;mso-wrap-distance-top:0;mso-wrap-distance-right:0;mso-wrap-distance-bottom:0;mso-position-horizontal:center;mso-position-horizontal-relative:left-margin-area;mso-position-vertical:center;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" fillcolor="silver" stroked="f">
              <v:fill opacity="32125f"/>
              <v:textbox inset="2.53958mm,2.53958mm,2.53958mm,2.53958mm">
                <w:txbxContent>
                  <w:p w14:paraId="2F96C4F9" w14:textId="77777777" w:rsidR="00264964" w:rsidRDefault="00264964">
                    <w:pPr>
                      <w:spacing w:after="0" w:line="240" w:lineRule="auto"/>
                      <w:ind w:left="0" w:hanging="2"/>
                    </w:pPr>
                  </w:p>
                </w:txbxContent>
              </v:textbox>
              <w10:wrap anchorx="margin" anchory="margin"/>
            </v:rect>
          </w:pict>
        </mc:Fallback>
      </mc:AlternateContent>
    </w:r>
    <w:r w:rsidR="00264964">
      <w:rPr>
        <w:noProof/>
        <w:color w:val="000000"/>
        <w:lang w:eastAsia="es-CO"/>
      </w:rPr>
      <mc:AlternateContent>
        <mc:Choice Requires="wps">
          <w:drawing>
            <wp:anchor distT="0" distB="0" distL="0" distR="0" simplePos="0" relativeHeight="251657216" behindDoc="1" locked="0" layoutInCell="1" hidden="0" allowOverlap="1" wp14:anchorId="51E72FD1" wp14:editId="2D223FAA">
              <wp:simplePos x="0" y="0"/>
              <wp:positionH relativeFrom="leftMargin">
                <wp:align>center</wp:align>
              </wp:positionH>
              <wp:positionV relativeFrom="topMargin">
                <wp:align>center</wp:align>
              </wp:positionV>
              <wp:extent cx="11963688" cy="11963688"/>
              <wp:effectExtent l="0" t="0" r="0" b="0"/>
              <wp:wrapNone/>
              <wp:docPr id="1044" name="Rectángulo 1044"/>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56621E20" w14:textId="77777777" w:rsidR="00264964" w:rsidRDefault="00264964">
                          <w:pPr>
                            <w:spacing w:after="0" w:line="240" w:lineRule="auto"/>
                            <w:ind w:left="12" w:hanging="14"/>
                            <w:jc w:val="center"/>
                          </w:pPr>
                          <w:r>
                            <w:rPr>
                              <w:color w:val="FFFFFF"/>
                              <w:sz w:val="144"/>
                            </w:rPr>
                            <w:t>PROYECTO DE PLIEGO DE CONDICIONES</w:t>
                          </w:r>
                          <w:r>
                            <w:rPr>
                              <w:color w:val="FFFFFF"/>
                              <w:sz w:val="144"/>
                            </w:rPr>
                            <w:br/>
                          </w:r>
                        </w:p>
                      </w:txbxContent>
                    </wps:txbx>
                    <wps:bodyPr spcFirstLastPara="1" wrap="square" lIns="91425" tIns="91425" rIns="91425" bIns="91425" anchor="ctr" anchorCtr="0">
                      <a:noAutofit/>
                    </wps:bodyPr>
                  </wps:wsp>
                </a:graphicData>
              </a:graphic>
            </wp:anchor>
          </w:drawing>
        </mc:Choice>
        <mc:Fallback>
          <w:pict>
            <v:rect w14:anchorId="51E72FD1" id="Rectángulo 1044" o:spid="_x0000_s1028" style="position:absolute;margin-left:0;margin-top:0;width:942pt;height:942pt;rotation:-45;z-index:-251659264;visibility:visible;mso-wrap-style:square;mso-wrap-distance-left:0;mso-wrap-distance-top:0;mso-wrap-distance-right:0;mso-wrap-distance-bottom:0;mso-position-horizontal:center;mso-position-horizontal-relative:left-margin-area;mso-position-vertical:center;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" filled="f" stroked="f">
              <v:textbox inset="2.53958mm,2.53958mm,2.53958mm,2.53958mm">
                <w:txbxContent>
                  <w:p w14:paraId="56621E20" w14:textId="77777777" w:rsidR="00264964" w:rsidRDefault="00264964">
                    <w:pPr>
                      <w:spacing w:after="0" w:line="240" w:lineRule="auto"/>
                      <w:ind w:left="12" w:hanging="14"/>
                      <w:jc w:val="center"/>
                    </w:pPr>
                    <w:r>
                      <w:rPr>
                        <w:color w:val="FFFFFF"/>
                        <w:sz w:val="144"/>
                      </w:rPr>
                      <w:t>PROYECTO DE PLIEGO DE CONDICIONES</w:t>
                    </w:r>
                    <w:r>
                      <w:rPr>
                        <w:color w:val="FFFFFF"/>
                        <w:sz w:val="144"/>
                      </w:rPr>
                      <w:br/>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2C932" w14:textId="77777777" w:rsidR="00264964" w:rsidRDefault="00264964">
    <w:pPr>
      <w:widowControl w:val="0"/>
      <w:spacing w:after="0" w:line="240" w:lineRule="auto"/>
      <w:ind w:left="0" w:hanging="2"/>
      <w:jc w:val="center"/>
      <w:rPr>
        <w:rFonts w:ascii="Times New Roman" w:eastAsia="Times New Roman" w:hAnsi="Times New Roman" w:cs="Times New Roman"/>
        <w:color w:val="000000"/>
        <w:sz w:val="20"/>
        <w:szCs w:val="20"/>
      </w:rPr>
    </w:pPr>
    <w:bookmarkStart w:id="91" w:name="_heading=h.2nusc19" w:colFirst="0" w:colLast="0"/>
    <w:bookmarkEnd w:id="91"/>
    <w:r>
      <w:rPr>
        <w:rFonts w:ascii="Times New Roman" w:eastAsia="Times New Roman" w:hAnsi="Times New Roman" w:cs="Times New Roman"/>
        <w:noProof/>
        <w:color w:val="000000"/>
        <w:sz w:val="20"/>
        <w:szCs w:val="20"/>
        <w:lang w:eastAsia="es-CO"/>
      </w:rPr>
      <w:drawing>
        <wp:inline distT="0" distB="0" distL="114300" distR="114300" wp14:anchorId="15F13553" wp14:editId="61977F73">
          <wp:extent cx="619125" cy="762000"/>
          <wp:effectExtent l="0" t="0" r="9525" b="0"/>
          <wp:docPr id="10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19125" cy="762000"/>
                  </a:xfrm>
                  <a:prstGeom prst="rect">
                    <a:avLst/>
                  </a:prstGeom>
                  <a:ln/>
                </pic:spPr>
              </pic:pic>
            </a:graphicData>
          </a:graphic>
        </wp:inline>
      </w:drawing>
    </w:r>
    <w:r w:rsidR="00000000">
      <w:pict w14:anchorId="0C0157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558pt;height:205pt;rotation:315;z-index:-251658240;visibility:visible;mso-position-horizontal:center;mso-position-horizontal-relative:margin;mso-position-vertical:center;mso-position-vertical-relative:margin" fillcolor="silver" stroked="f">
          <v:fill opacity=".5"/>
          <v:textpath style="font-family:&quot;&amp;quot&quot;;font-size:1pt" string="COMPLEMENTARIO"/>
          <w10:wrap anchorx="margin" anchory="margin"/>
        </v:shape>
      </w:pict>
    </w:r>
  </w:p>
  <w:p w14:paraId="1D2D37FE" w14:textId="77777777" w:rsidR="00264964" w:rsidRDefault="00264964">
    <w:pPr>
      <w:widowControl w:val="0"/>
      <w:spacing w:before="4" w:after="0"/>
      <w:rPr>
        <w:rFonts w:ascii="Times New Roman" w:eastAsia="Times New Roman" w:hAnsi="Times New Roman" w:cs="Times New Roman"/>
        <w:color w:val="000000"/>
        <w:sz w:val="10"/>
        <w:szCs w:val="10"/>
      </w:rPr>
    </w:pPr>
  </w:p>
  <w:p w14:paraId="6AC9C0EC" w14:textId="77777777" w:rsidR="00264964" w:rsidRDefault="00264964">
    <w:pPr>
      <w:widowControl w:val="0"/>
      <w:spacing w:after="0"/>
      <w:ind w:left="0" w:hanging="2"/>
      <w:rPr>
        <w:rFonts w:ascii="Times New Roman" w:eastAsia="Times New Roman" w:hAnsi="Times New Roman" w:cs="Times New Roman"/>
        <w:sz w:val="20"/>
        <w:szCs w:val="20"/>
      </w:rPr>
    </w:pPr>
  </w:p>
  <w:p w14:paraId="58FB080E" w14:textId="41919E59" w:rsidR="00264964" w:rsidRDefault="00264964">
    <w:pPr>
      <w:ind w:left="0" w:hanging="2"/>
      <w:jc w:val="center"/>
      <w:rPr>
        <w:rFonts w:ascii="Arial Narrow" w:eastAsia="Arial Narrow" w:hAnsi="Arial Narrow" w:cs="Arial Narrow"/>
      </w:rPr>
    </w:pPr>
    <w:r>
      <w:rPr>
        <w:rFonts w:ascii="Arial Narrow" w:eastAsia="Arial Narrow" w:hAnsi="Arial Narrow" w:cs="Arial Narrow"/>
        <w:b/>
      </w:rPr>
      <w:t>NÚMERO DE PROCESO FGN-NC-IPSE-00</w:t>
    </w:r>
    <w:r w:rsidR="00974AD7">
      <w:rPr>
        <w:rFonts w:ascii="Arial Narrow" w:eastAsia="Arial Narrow" w:hAnsi="Arial Narrow" w:cs="Arial Narrow"/>
        <w:b/>
      </w:rPr>
      <w:t>62</w:t>
    </w:r>
    <w:r>
      <w:rPr>
        <w:rFonts w:ascii="Arial Narrow" w:eastAsia="Arial Narrow" w:hAnsi="Arial Narrow" w:cs="Arial Narrow"/>
        <w:b/>
      </w:rPr>
      <w:t>-202</w:t>
    </w:r>
    <w:r w:rsidR="00AA3BDD">
      <w:rPr>
        <w:rFonts w:ascii="Arial Narrow" w:eastAsia="Arial Narrow" w:hAnsi="Arial Narrow" w:cs="Arial Narrow"/>
        <w:b/>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FD24F" w14:textId="77777777" w:rsidR="00264964" w:rsidRDefault="00000000">
    <w:pPr>
      <w:pBdr>
        <w:top w:val="nil"/>
        <w:left w:val="nil"/>
        <w:bottom w:val="nil"/>
        <w:right w:val="nil"/>
        <w:between w:val="nil"/>
      </w:pBdr>
      <w:spacing w:after="0" w:line="240" w:lineRule="auto"/>
      <w:ind w:left="0" w:hanging="2"/>
      <w:rPr>
        <w:color w:val="000000"/>
      </w:rPr>
    </w:pPr>
    <w:r>
      <w:rPr>
        <w:color w:val="000000"/>
      </w:rPr>
      <w:pict w14:anchorId="2A9481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558pt;height:104pt;rotation:315;z-index:-251657216;visibility:visible;mso-position-horizontal:center;mso-position-horizontal-relative:margin;mso-position-vertical:center;mso-position-vertical-relative:margin" fillcolor="silver" stroked="f">
          <v:fill opacity=".5"/>
          <v:textpath style="font-family:&quot;&amp;quot&quot;;font-size:1pt" string="COMPLEMENTAR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19BF"/>
    <w:multiLevelType w:val="hybridMultilevel"/>
    <w:tmpl w:val="A6B6FF3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9DB3F8F"/>
    <w:multiLevelType w:val="multilevel"/>
    <w:tmpl w:val="2CDA376A"/>
    <w:lvl w:ilvl="0">
      <w:start w:val="1"/>
      <w:numFmt w:val="lowerLetter"/>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5EB0F20"/>
    <w:multiLevelType w:val="hybridMultilevel"/>
    <w:tmpl w:val="F4B20758"/>
    <w:lvl w:ilvl="0" w:tplc="6DC6D91E">
      <w:numFmt w:val="bullet"/>
      <w:lvlText w:val="-"/>
      <w:lvlJc w:val="left"/>
      <w:pPr>
        <w:ind w:left="360" w:hanging="360"/>
      </w:pPr>
      <w:rPr>
        <w:rFonts w:ascii="Times New Roman" w:eastAsia="Arial"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0E1500"/>
    <w:multiLevelType w:val="hybridMultilevel"/>
    <w:tmpl w:val="D76850D6"/>
    <w:lvl w:ilvl="0" w:tplc="D34C896E">
      <w:start w:val="2"/>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4" w15:restartNumberingAfterBreak="0">
    <w:nsid w:val="215B57A2"/>
    <w:multiLevelType w:val="multilevel"/>
    <w:tmpl w:val="3316379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22E97193"/>
    <w:multiLevelType w:val="hybridMultilevel"/>
    <w:tmpl w:val="981617AE"/>
    <w:lvl w:ilvl="0" w:tplc="00AABF2C">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F946DC"/>
    <w:multiLevelType w:val="multilevel"/>
    <w:tmpl w:val="6F965F3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C1132E0"/>
    <w:multiLevelType w:val="multilevel"/>
    <w:tmpl w:val="EB441B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F56225E"/>
    <w:multiLevelType w:val="multilevel"/>
    <w:tmpl w:val="49A015E2"/>
    <w:lvl w:ilvl="0">
      <w:start w:val="1"/>
      <w:numFmt w:val="decimal"/>
      <w:lvlText w:val="%1."/>
      <w:lvlJc w:val="left"/>
      <w:pPr>
        <w:ind w:left="720" w:hanging="360"/>
      </w:pPr>
      <w:rPr>
        <w:b/>
        <w:strike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302D5A1A"/>
    <w:multiLevelType w:val="multilevel"/>
    <w:tmpl w:val="A9E062BC"/>
    <w:lvl w:ilvl="0">
      <w:start w:val="1"/>
      <w:numFmt w:val="decimal"/>
      <w:pStyle w:val="Listaconnmeros2"/>
      <w:lvlText w:val="%1)"/>
      <w:lvlJc w:val="left"/>
      <w:pPr>
        <w:ind w:left="360" w:hanging="360"/>
      </w:pPr>
      <w:rPr>
        <w:vertAlign w:val="baseline"/>
      </w:rPr>
    </w:lvl>
    <w:lvl w:ilvl="1">
      <w:start w:val="1"/>
      <w:numFmt w:val="lowerLetter"/>
      <w:lvlText w:val="%2)"/>
      <w:lvlJc w:val="left"/>
      <w:pPr>
        <w:ind w:left="928" w:hanging="360"/>
      </w:pPr>
      <w:rPr>
        <w:vertAlign w:val="baseline"/>
      </w:rPr>
    </w:lvl>
    <w:lvl w:ilvl="2">
      <w:start w:val="1"/>
      <w:numFmt w:val="lowerRoman"/>
      <w:lvlText w:val="%3)"/>
      <w:lvlJc w:val="left"/>
      <w:pPr>
        <w:ind w:left="1080" w:hanging="360"/>
      </w:pPr>
      <w:rPr>
        <w:vertAlign w:val="baseline"/>
      </w:rPr>
    </w:lvl>
    <w:lvl w:ilvl="3">
      <w:start w:val="1"/>
      <w:numFmt w:val="decimal"/>
      <w:lvlText w:val="(%4)"/>
      <w:lvlJc w:val="left"/>
      <w:pPr>
        <w:ind w:left="1440" w:hanging="36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10" w15:restartNumberingAfterBreak="0">
    <w:nsid w:val="30642F3C"/>
    <w:multiLevelType w:val="multilevel"/>
    <w:tmpl w:val="96AA79E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321F1053"/>
    <w:multiLevelType w:val="multilevel"/>
    <w:tmpl w:val="D322633E"/>
    <w:lvl w:ilvl="0">
      <w:start w:val="4"/>
      <w:numFmt w:val="decimal"/>
      <w:lvlText w:val="%1"/>
      <w:lvlJc w:val="left"/>
      <w:pPr>
        <w:ind w:left="360" w:hanging="360"/>
      </w:pPr>
      <w:rPr>
        <w:b/>
        <w:vertAlign w:val="baseline"/>
      </w:rPr>
    </w:lvl>
    <w:lvl w:ilvl="1">
      <w:start w:val="3"/>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12" w15:restartNumberingAfterBreak="0">
    <w:nsid w:val="35F11973"/>
    <w:multiLevelType w:val="multilevel"/>
    <w:tmpl w:val="141CBC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6E40968"/>
    <w:multiLevelType w:val="multilevel"/>
    <w:tmpl w:val="2DC0A0BC"/>
    <w:lvl w:ilvl="0">
      <w:start w:val="1"/>
      <w:numFmt w:val="bullet"/>
      <w:pStyle w:val="Listaconvietas"/>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36F46EAA"/>
    <w:multiLevelType w:val="multilevel"/>
    <w:tmpl w:val="5A28354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5" w15:restartNumberingAfterBreak="0">
    <w:nsid w:val="37527571"/>
    <w:multiLevelType w:val="multilevel"/>
    <w:tmpl w:val="75D6FF1C"/>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6" w15:restartNumberingAfterBreak="0">
    <w:nsid w:val="38DB6B0F"/>
    <w:multiLevelType w:val="multilevel"/>
    <w:tmpl w:val="CD7A7298"/>
    <w:lvl w:ilvl="0">
      <w:start w:val="1"/>
      <w:numFmt w:val="bullet"/>
      <w:lvlText w:val="●"/>
      <w:lvlJc w:val="left"/>
      <w:pPr>
        <w:ind w:left="1425" w:hanging="360"/>
      </w:pPr>
      <w:rPr>
        <w:u w:val="none"/>
      </w:rPr>
    </w:lvl>
    <w:lvl w:ilvl="1">
      <w:start w:val="1"/>
      <w:numFmt w:val="bullet"/>
      <w:lvlText w:val="o"/>
      <w:lvlJc w:val="left"/>
      <w:pPr>
        <w:ind w:left="2145" w:hanging="360"/>
      </w:pPr>
      <w:rPr>
        <w:u w:val="none"/>
      </w:rPr>
    </w:lvl>
    <w:lvl w:ilvl="2">
      <w:start w:val="1"/>
      <w:numFmt w:val="bullet"/>
      <w:lvlText w:val="▪"/>
      <w:lvlJc w:val="left"/>
      <w:pPr>
        <w:ind w:left="2865" w:hanging="360"/>
      </w:pPr>
      <w:rPr>
        <w:u w:val="none"/>
      </w:rPr>
    </w:lvl>
    <w:lvl w:ilvl="3">
      <w:start w:val="1"/>
      <w:numFmt w:val="bullet"/>
      <w:lvlText w:val="●"/>
      <w:lvlJc w:val="left"/>
      <w:pPr>
        <w:ind w:left="3585" w:hanging="360"/>
      </w:pPr>
      <w:rPr>
        <w:u w:val="none"/>
      </w:rPr>
    </w:lvl>
    <w:lvl w:ilvl="4">
      <w:start w:val="1"/>
      <w:numFmt w:val="bullet"/>
      <w:lvlText w:val="o"/>
      <w:lvlJc w:val="left"/>
      <w:pPr>
        <w:ind w:left="4305" w:hanging="360"/>
      </w:pPr>
      <w:rPr>
        <w:u w:val="none"/>
      </w:rPr>
    </w:lvl>
    <w:lvl w:ilvl="5">
      <w:start w:val="1"/>
      <w:numFmt w:val="bullet"/>
      <w:lvlText w:val="▪"/>
      <w:lvlJc w:val="left"/>
      <w:pPr>
        <w:ind w:left="5025" w:hanging="360"/>
      </w:pPr>
      <w:rPr>
        <w:u w:val="none"/>
      </w:rPr>
    </w:lvl>
    <w:lvl w:ilvl="6">
      <w:start w:val="1"/>
      <w:numFmt w:val="bullet"/>
      <w:lvlText w:val="●"/>
      <w:lvlJc w:val="left"/>
      <w:pPr>
        <w:ind w:left="5745" w:hanging="360"/>
      </w:pPr>
      <w:rPr>
        <w:u w:val="none"/>
      </w:rPr>
    </w:lvl>
    <w:lvl w:ilvl="7">
      <w:start w:val="1"/>
      <w:numFmt w:val="bullet"/>
      <w:lvlText w:val="o"/>
      <w:lvlJc w:val="left"/>
      <w:pPr>
        <w:ind w:left="6465" w:hanging="360"/>
      </w:pPr>
      <w:rPr>
        <w:u w:val="none"/>
      </w:rPr>
    </w:lvl>
    <w:lvl w:ilvl="8">
      <w:start w:val="1"/>
      <w:numFmt w:val="bullet"/>
      <w:lvlText w:val="▪"/>
      <w:lvlJc w:val="left"/>
      <w:pPr>
        <w:ind w:left="7185" w:hanging="360"/>
      </w:pPr>
      <w:rPr>
        <w:u w:val="none"/>
      </w:rPr>
    </w:lvl>
  </w:abstractNum>
  <w:abstractNum w:abstractNumId="17" w15:restartNumberingAfterBreak="0">
    <w:nsid w:val="432357A7"/>
    <w:multiLevelType w:val="multilevel"/>
    <w:tmpl w:val="E528DB1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47CD58A0"/>
    <w:multiLevelType w:val="multilevel"/>
    <w:tmpl w:val="54EA153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9" w15:restartNumberingAfterBreak="0">
    <w:nsid w:val="47DE5A00"/>
    <w:multiLevelType w:val="multilevel"/>
    <w:tmpl w:val="E1B0A39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940539A"/>
    <w:multiLevelType w:val="multilevel"/>
    <w:tmpl w:val="24B81192"/>
    <w:lvl w:ilvl="0">
      <w:start w:val="6"/>
      <w:numFmt w:val="decimal"/>
      <w:lvlText w:val="%1"/>
      <w:lvlJc w:val="left"/>
      <w:pPr>
        <w:ind w:left="720" w:hanging="360"/>
      </w:pPr>
      <w:rPr>
        <w:b/>
        <w:vertAlign w:val="baseline"/>
      </w:rPr>
    </w:lvl>
    <w:lvl w:ilvl="1">
      <w:start w:val="2"/>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080" w:hanging="72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440" w:hanging="108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21" w15:restartNumberingAfterBreak="0">
    <w:nsid w:val="4BC467E6"/>
    <w:multiLevelType w:val="hybridMultilevel"/>
    <w:tmpl w:val="3D5C76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DF3248A"/>
    <w:multiLevelType w:val="multilevel"/>
    <w:tmpl w:val="1306379E"/>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4F1E6CFD"/>
    <w:multiLevelType w:val="multilevel"/>
    <w:tmpl w:val="E3C0C34A"/>
    <w:lvl w:ilvl="0">
      <w:start w:val="1"/>
      <w:numFmt w:val="lowerLetter"/>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51DE7A70"/>
    <w:multiLevelType w:val="multilevel"/>
    <w:tmpl w:val="656406EC"/>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548668E5"/>
    <w:multiLevelType w:val="multilevel"/>
    <w:tmpl w:val="AA806664"/>
    <w:lvl w:ilvl="0">
      <w:start w:val="1"/>
      <w:numFmt w:val="bullet"/>
      <w:lvlText w:val="●"/>
      <w:lvlJc w:val="left"/>
      <w:pPr>
        <w:ind w:left="1425" w:hanging="360"/>
      </w:pPr>
      <w:rPr>
        <w:rFonts w:ascii="Noto Sans Symbols" w:eastAsia="Noto Sans Symbols" w:hAnsi="Noto Sans Symbols" w:cs="Noto Sans Symbols"/>
        <w:vertAlign w:val="baseline"/>
      </w:rPr>
    </w:lvl>
    <w:lvl w:ilvl="1">
      <w:start w:val="1"/>
      <w:numFmt w:val="bullet"/>
      <w:lvlText w:val="o"/>
      <w:lvlJc w:val="left"/>
      <w:pPr>
        <w:ind w:left="2145" w:hanging="360"/>
      </w:pPr>
      <w:rPr>
        <w:rFonts w:ascii="Courier New" w:eastAsia="Courier New" w:hAnsi="Courier New" w:cs="Courier New"/>
        <w:vertAlign w:val="baseline"/>
      </w:rPr>
    </w:lvl>
    <w:lvl w:ilvl="2">
      <w:start w:val="1"/>
      <w:numFmt w:val="bullet"/>
      <w:lvlText w:val="▪"/>
      <w:lvlJc w:val="left"/>
      <w:pPr>
        <w:ind w:left="2865" w:hanging="360"/>
      </w:pPr>
      <w:rPr>
        <w:rFonts w:ascii="Noto Sans Symbols" w:eastAsia="Noto Sans Symbols" w:hAnsi="Noto Sans Symbols" w:cs="Noto Sans Symbols"/>
        <w:vertAlign w:val="baseline"/>
      </w:rPr>
    </w:lvl>
    <w:lvl w:ilvl="3">
      <w:start w:val="1"/>
      <w:numFmt w:val="bullet"/>
      <w:lvlText w:val="●"/>
      <w:lvlJc w:val="left"/>
      <w:pPr>
        <w:ind w:left="3585" w:hanging="360"/>
      </w:pPr>
      <w:rPr>
        <w:rFonts w:ascii="Noto Sans Symbols" w:eastAsia="Noto Sans Symbols" w:hAnsi="Noto Sans Symbols" w:cs="Noto Sans Symbols"/>
        <w:vertAlign w:val="baseline"/>
      </w:rPr>
    </w:lvl>
    <w:lvl w:ilvl="4">
      <w:start w:val="1"/>
      <w:numFmt w:val="bullet"/>
      <w:lvlText w:val="o"/>
      <w:lvlJc w:val="left"/>
      <w:pPr>
        <w:ind w:left="4305" w:hanging="360"/>
      </w:pPr>
      <w:rPr>
        <w:rFonts w:ascii="Courier New" w:eastAsia="Courier New" w:hAnsi="Courier New" w:cs="Courier New"/>
        <w:vertAlign w:val="baseline"/>
      </w:rPr>
    </w:lvl>
    <w:lvl w:ilvl="5">
      <w:start w:val="1"/>
      <w:numFmt w:val="bullet"/>
      <w:lvlText w:val="▪"/>
      <w:lvlJc w:val="left"/>
      <w:pPr>
        <w:ind w:left="5025" w:hanging="360"/>
      </w:pPr>
      <w:rPr>
        <w:rFonts w:ascii="Noto Sans Symbols" w:eastAsia="Noto Sans Symbols" w:hAnsi="Noto Sans Symbols" w:cs="Noto Sans Symbols"/>
        <w:vertAlign w:val="baseline"/>
      </w:rPr>
    </w:lvl>
    <w:lvl w:ilvl="6">
      <w:start w:val="1"/>
      <w:numFmt w:val="bullet"/>
      <w:lvlText w:val="●"/>
      <w:lvlJc w:val="left"/>
      <w:pPr>
        <w:ind w:left="5745" w:hanging="360"/>
      </w:pPr>
      <w:rPr>
        <w:rFonts w:ascii="Noto Sans Symbols" w:eastAsia="Noto Sans Symbols" w:hAnsi="Noto Sans Symbols" w:cs="Noto Sans Symbols"/>
        <w:vertAlign w:val="baseline"/>
      </w:rPr>
    </w:lvl>
    <w:lvl w:ilvl="7">
      <w:start w:val="1"/>
      <w:numFmt w:val="bullet"/>
      <w:lvlText w:val="o"/>
      <w:lvlJc w:val="left"/>
      <w:pPr>
        <w:ind w:left="6465" w:hanging="360"/>
      </w:pPr>
      <w:rPr>
        <w:rFonts w:ascii="Courier New" w:eastAsia="Courier New" w:hAnsi="Courier New" w:cs="Courier New"/>
        <w:vertAlign w:val="baseline"/>
      </w:rPr>
    </w:lvl>
    <w:lvl w:ilvl="8">
      <w:start w:val="1"/>
      <w:numFmt w:val="bullet"/>
      <w:lvlText w:val="▪"/>
      <w:lvlJc w:val="left"/>
      <w:pPr>
        <w:ind w:left="7185" w:hanging="360"/>
      </w:pPr>
      <w:rPr>
        <w:rFonts w:ascii="Noto Sans Symbols" w:eastAsia="Noto Sans Symbols" w:hAnsi="Noto Sans Symbols" w:cs="Noto Sans Symbols"/>
        <w:vertAlign w:val="baseline"/>
      </w:rPr>
    </w:lvl>
  </w:abstractNum>
  <w:abstractNum w:abstractNumId="26" w15:restartNumberingAfterBreak="0">
    <w:nsid w:val="5A234140"/>
    <w:multiLevelType w:val="multilevel"/>
    <w:tmpl w:val="240A001D"/>
    <w:lvl w:ilvl="0">
      <w:start w:val="1"/>
      <w:numFmt w:val="decimal"/>
      <w:lvlText w:val="%1)"/>
      <w:lvlJc w:val="left"/>
      <w:pPr>
        <w:ind w:left="360" w:hanging="360"/>
      </w:pPr>
    </w:lvl>
    <w:lvl w:ilvl="1">
      <w:start w:val="1"/>
      <w:numFmt w:val="lowerLetter"/>
      <w:lvlText w:val="%2)"/>
      <w:lvlJc w:val="left"/>
      <w:pPr>
        <w:ind w:left="928"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EA65B35"/>
    <w:multiLevelType w:val="multilevel"/>
    <w:tmpl w:val="B01A7FB4"/>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8" w15:restartNumberingAfterBreak="0">
    <w:nsid w:val="614841EC"/>
    <w:multiLevelType w:val="multilevel"/>
    <w:tmpl w:val="9BAED0B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9" w15:restartNumberingAfterBreak="0">
    <w:nsid w:val="65301DB9"/>
    <w:multiLevelType w:val="multilevel"/>
    <w:tmpl w:val="11F8D88A"/>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66094579"/>
    <w:multiLevelType w:val="hybridMultilevel"/>
    <w:tmpl w:val="50820D68"/>
    <w:lvl w:ilvl="0" w:tplc="9FA8565A">
      <w:start w:val="5"/>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31" w15:restartNumberingAfterBreak="0">
    <w:nsid w:val="6624304A"/>
    <w:multiLevelType w:val="multilevel"/>
    <w:tmpl w:val="72FED4B6"/>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67893007"/>
    <w:multiLevelType w:val="multilevel"/>
    <w:tmpl w:val="932A576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70000D04"/>
    <w:multiLevelType w:val="multilevel"/>
    <w:tmpl w:val="1EEED614"/>
    <w:lvl w:ilvl="0">
      <w:start w:val="1"/>
      <w:numFmt w:val="decimal"/>
      <w:pStyle w:val="Ttulo1SectionHead1TablaContenido1CAPITULOh1IIIchaptersection1level1Level1HeadH1h11II1h12II2I1chapter1section11level11Level1Head1H11h111II11h13II3I2chapter2section12level12Level1Head2H12Titulo"/>
      <w:lvlText w:val="%1."/>
      <w:lvlJc w:val="left"/>
      <w:pPr>
        <w:tabs>
          <w:tab w:val="num" w:pos="720"/>
        </w:tabs>
        <w:ind w:left="720" w:hanging="720"/>
      </w:pPr>
    </w:lvl>
    <w:lvl w:ilvl="1">
      <w:start w:val="1"/>
      <w:numFmt w:val="decimal"/>
      <w:pStyle w:val="PrrafodelistaTTULOSEGUNDONIVELListList1List11EYEPM-ListaList111List1111List11111List2List111111CaptuloTIT2INDList1111111Fluvial1titulo3ListParagraphListavistosa-nfasis11BulletListFooterTextnumberedListParagraph1"/>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4FE17D3"/>
    <w:multiLevelType w:val="multilevel"/>
    <w:tmpl w:val="AA2E5C26"/>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5" w15:restartNumberingAfterBreak="0">
    <w:nsid w:val="7B4B4A52"/>
    <w:multiLevelType w:val="multilevel"/>
    <w:tmpl w:val="034E17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66227378">
    <w:abstractNumId w:val="6"/>
  </w:num>
  <w:num w:numId="2" w16cid:durableId="33384106">
    <w:abstractNumId w:val="15"/>
  </w:num>
  <w:num w:numId="3" w16cid:durableId="1654405865">
    <w:abstractNumId w:val="9"/>
  </w:num>
  <w:num w:numId="4" w16cid:durableId="1667590593">
    <w:abstractNumId w:val="4"/>
  </w:num>
  <w:num w:numId="5" w16cid:durableId="229539343">
    <w:abstractNumId w:val="1"/>
  </w:num>
  <w:num w:numId="6" w16cid:durableId="1167551298">
    <w:abstractNumId w:val="13"/>
  </w:num>
  <w:num w:numId="7" w16cid:durableId="786003394">
    <w:abstractNumId w:val="28"/>
  </w:num>
  <w:num w:numId="8" w16cid:durableId="1246719317">
    <w:abstractNumId w:val="14"/>
  </w:num>
  <w:num w:numId="9" w16cid:durableId="1391028583">
    <w:abstractNumId w:val="31"/>
  </w:num>
  <w:num w:numId="10" w16cid:durableId="1193883790">
    <w:abstractNumId w:val="29"/>
  </w:num>
  <w:num w:numId="11" w16cid:durableId="1184393735">
    <w:abstractNumId w:val="25"/>
  </w:num>
  <w:num w:numId="12" w16cid:durableId="1999923289">
    <w:abstractNumId w:val="16"/>
  </w:num>
  <w:num w:numId="13" w16cid:durableId="1314211638">
    <w:abstractNumId w:val="23"/>
  </w:num>
  <w:num w:numId="14" w16cid:durableId="553396884">
    <w:abstractNumId w:val="8"/>
  </w:num>
  <w:num w:numId="15" w16cid:durableId="568460905">
    <w:abstractNumId w:val="32"/>
  </w:num>
  <w:num w:numId="16" w16cid:durableId="1808277292">
    <w:abstractNumId w:val="11"/>
  </w:num>
  <w:num w:numId="17" w16cid:durableId="1158496003">
    <w:abstractNumId w:val="27"/>
  </w:num>
  <w:num w:numId="18" w16cid:durableId="558398188">
    <w:abstractNumId w:val="18"/>
  </w:num>
  <w:num w:numId="19" w16cid:durableId="168369476">
    <w:abstractNumId w:val="20"/>
  </w:num>
  <w:num w:numId="20" w16cid:durableId="743797947">
    <w:abstractNumId w:val="10"/>
  </w:num>
  <w:num w:numId="21" w16cid:durableId="1819958329">
    <w:abstractNumId w:val="17"/>
  </w:num>
  <w:num w:numId="22" w16cid:durableId="1492671551">
    <w:abstractNumId w:val="33"/>
  </w:num>
  <w:num w:numId="23" w16cid:durableId="1382024239">
    <w:abstractNumId w:val="35"/>
  </w:num>
  <w:num w:numId="24" w16cid:durableId="1469543700">
    <w:abstractNumId w:val="7"/>
  </w:num>
  <w:num w:numId="25" w16cid:durableId="1555505669">
    <w:abstractNumId w:val="19"/>
  </w:num>
  <w:num w:numId="26" w16cid:durableId="788862456">
    <w:abstractNumId w:val="3"/>
  </w:num>
  <w:num w:numId="27" w16cid:durableId="1762994464">
    <w:abstractNumId w:val="2"/>
  </w:num>
  <w:num w:numId="28" w16cid:durableId="1783525143">
    <w:abstractNumId w:val="30"/>
  </w:num>
  <w:num w:numId="29" w16cid:durableId="806050932">
    <w:abstractNumId w:val="5"/>
  </w:num>
  <w:num w:numId="30" w16cid:durableId="536312444">
    <w:abstractNumId w:val="0"/>
  </w:num>
  <w:num w:numId="31" w16cid:durableId="12415273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770275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48504819">
    <w:abstractNumId w:val="21"/>
  </w:num>
  <w:num w:numId="34" w16cid:durableId="1668249498">
    <w:abstractNumId w:val="24"/>
  </w:num>
  <w:num w:numId="35" w16cid:durableId="1516530762">
    <w:abstractNumId w:val="12"/>
  </w:num>
  <w:num w:numId="36" w16cid:durableId="1384133838">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ejandra Sanchez Rendon">
    <w15:presenceInfo w15:providerId="None" w15:userId="Alejandra Sanchez Rend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efaultTabStop w:val="720"/>
  <w:hyphenationZone w:val="425"/>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5D1"/>
    <w:rsid w:val="00021C0B"/>
    <w:rsid w:val="00021C97"/>
    <w:rsid w:val="000355A2"/>
    <w:rsid w:val="00035EB7"/>
    <w:rsid w:val="0004446C"/>
    <w:rsid w:val="000500A1"/>
    <w:rsid w:val="000527F6"/>
    <w:rsid w:val="000622A2"/>
    <w:rsid w:val="00062AC1"/>
    <w:rsid w:val="00076EB9"/>
    <w:rsid w:val="000771C5"/>
    <w:rsid w:val="0008440C"/>
    <w:rsid w:val="0009051F"/>
    <w:rsid w:val="00091AE2"/>
    <w:rsid w:val="000A0301"/>
    <w:rsid w:val="000B1A8F"/>
    <w:rsid w:val="0010040B"/>
    <w:rsid w:val="00145EE7"/>
    <w:rsid w:val="00170C8F"/>
    <w:rsid w:val="001716ED"/>
    <w:rsid w:val="001C1434"/>
    <w:rsid w:val="001C5DE8"/>
    <w:rsid w:val="001F5921"/>
    <w:rsid w:val="0020126E"/>
    <w:rsid w:val="002133E4"/>
    <w:rsid w:val="0021379B"/>
    <w:rsid w:val="00225574"/>
    <w:rsid w:val="00226A11"/>
    <w:rsid w:val="00234753"/>
    <w:rsid w:val="00235BA3"/>
    <w:rsid w:val="002478A2"/>
    <w:rsid w:val="00255DEF"/>
    <w:rsid w:val="002646AF"/>
    <w:rsid w:val="00264964"/>
    <w:rsid w:val="00265ED1"/>
    <w:rsid w:val="00275575"/>
    <w:rsid w:val="00275983"/>
    <w:rsid w:val="00277357"/>
    <w:rsid w:val="002805A3"/>
    <w:rsid w:val="00285056"/>
    <w:rsid w:val="002A187B"/>
    <w:rsid w:val="002E5C34"/>
    <w:rsid w:val="002F31FB"/>
    <w:rsid w:val="0030011E"/>
    <w:rsid w:val="00307737"/>
    <w:rsid w:val="003147B6"/>
    <w:rsid w:val="00343330"/>
    <w:rsid w:val="00345EF4"/>
    <w:rsid w:val="00377169"/>
    <w:rsid w:val="0038161D"/>
    <w:rsid w:val="00390792"/>
    <w:rsid w:val="003A2D7D"/>
    <w:rsid w:val="003B35AF"/>
    <w:rsid w:val="003C5D66"/>
    <w:rsid w:val="003D18F9"/>
    <w:rsid w:val="003D3AEF"/>
    <w:rsid w:val="0041005B"/>
    <w:rsid w:val="00425498"/>
    <w:rsid w:val="004379D1"/>
    <w:rsid w:val="004539D7"/>
    <w:rsid w:val="00455E9B"/>
    <w:rsid w:val="004629CF"/>
    <w:rsid w:val="00473AAC"/>
    <w:rsid w:val="00475C13"/>
    <w:rsid w:val="0049232C"/>
    <w:rsid w:val="004A2F9A"/>
    <w:rsid w:val="004C3D95"/>
    <w:rsid w:val="004C7750"/>
    <w:rsid w:val="004E1C38"/>
    <w:rsid w:val="004E3B26"/>
    <w:rsid w:val="004E42C1"/>
    <w:rsid w:val="004E5A80"/>
    <w:rsid w:val="004F47F1"/>
    <w:rsid w:val="004F775A"/>
    <w:rsid w:val="005214A9"/>
    <w:rsid w:val="005321FB"/>
    <w:rsid w:val="00547B4F"/>
    <w:rsid w:val="005607A5"/>
    <w:rsid w:val="00570EA2"/>
    <w:rsid w:val="00576026"/>
    <w:rsid w:val="005805FD"/>
    <w:rsid w:val="005836C6"/>
    <w:rsid w:val="005906C8"/>
    <w:rsid w:val="005969A5"/>
    <w:rsid w:val="005A3759"/>
    <w:rsid w:val="005B2480"/>
    <w:rsid w:val="005B529A"/>
    <w:rsid w:val="005D03AA"/>
    <w:rsid w:val="005D5D65"/>
    <w:rsid w:val="006418A2"/>
    <w:rsid w:val="00644F7A"/>
    <w:rsid w:val="00652C65"/>
    <w:rsid w:val="00653886"/>
    <w:rsid w:val="0066084B"/>
    <w:rsid w:val="00664D63"/>
    <w:rsid w:val="006A1235"/>
    <w:rsid w:val="006A1EA9"/>
    <w:rsid w:val="006B0DE9"/>
    <w:rsid w:val="006E3C82"/>
    <w:rsid w:val="006E4C7A"/>
    <w:rsid w:val="00712F0A"/>
    <w:rsid w:val="007241EC"/>
    <w:rsid w:val="00726857"/>
    <w:rsid w:val="00752865"/>
    <w:rsid w:val="00773FE9"/>
    <w:rsid w:val="00785355"/>
    <w:rsid w:val="00785DBA"/>
    <w:rsid w:val="0079080C"/>
    <w:rsid w:val="007A6C11"/>
    <w:rsid w:val="007D2373"/>
    <w:rsid w:val="007D3371"/>
    <w:rsid w:val="007D3917"/>
    <w:rsid w:val="007E0EDC"/>
    <w:rsid w:val="007E15EF"/>
    <w:rsid w:val="00812A31"/>
    <w:rsid w:val="008329BE"/>
    <w:rsid w:val="0084590F"/>
    <w:rsid w:val="00850993"/>
    <w:rsid w:val="008745D1"/>
    <w:rsid w:val="00881192"/>
    <w:rsid w:val="008839CC"/>
    <w:rsid w:val="008E077B"/>
    <w:rsid w:val="008E4E06"/>
    <w:rsid w:val="009105D7"/>
    <w:rsid w:val="0091366D"/>
    <w:rsid w:val="00923FB4"/>
    <w:rsid w:val="00946E5E"/>
    <w:rsid w:val="009504EE"/>
    <w:rsid w:val="009619CC"/>
    <w:rsid w:val="00974AD7"/>
    <w:rsid w:val="009A0E99"/>
    <w:rsid w:val="009B13F7"/>
    <w:rsid w:val="009B1DB1"/>
    <w:rsid w:val="009B65C3"/>
    <w:rsid w:val="009B7F9C"/>
    <w:rsid w:val="009C4155"/>
    <w:rsid w:val="009C41F5"/>
    <w:rsid w:val="009E6337"/>
    <w:rsid w:val="00A029F6"/>
    <w:rsid w:val="00A17008"/>
    <w:rsid w:val="00A30F75"/>
    <w:rsid w:val="00A31F2D"/>
    <w:rsid w:val="00A41C13"/>
    <w:rsid w:val="00A528B0"/>
    <w:rsid w:val="00A560B5"/>
    <w:rsid w:val="00A56922"/>
    <w:rsid w:val="00A8561A"/>
    <w:rsid w:val="00A87F23"/>
    <w:rsid w:val="00A93DD2"/>
    <w:rsid w:val="00AA02BB"/>
    <w:rsid w:val="00AA3BDD"/>
    <w:rsid w:val="00AE12A6"/>
    <w:rsid w:val="00AE15DC"/>
    <w:rsid w:val="00B00D15"/>
    <w:rsid w:val="00B00FFF"/>
    <w:rsid w:val="00B11685"/>
    <w:rsid w:val="00B128AA"/>
    <w:rsid w:val="00B3165E"/>
    <w:rsid w:val="00B33465"/>
    <w:rsid w:val="00B454C8"/>
    <w:rsid w:val="00B53234"/>
    <w:rsid w:val="00B96297"/>
    <w:rsid w:val="00BA4A52"/>
    <w:rsid w:val="00BA725B"/>
    <w:rsid w:val="00BB0CC7"/>
    <w:rsid w:val="00C136AD"/>
    <w:rsid w:val="00C21F67"/>
    <w:rsid w:val="00C23D10"/>
    <w:rsid w:val="00C26E78"/>
    <w:rsid w:val="00C37012"/>
    <w:rsid w:val="00C72F33"/>
    <w:rsid w:val="00C75FA0"/>
    <w:rsid w:val="00C761DD"/>
    <w:rsid w:val="00CA7CBF"/>
    <w:rsid w:val="00CB2579"/>
    <w:rsid w:val="00D115C8"/>
    <w:rsid w:val="00D34EE1"/>
    <w:rsid w:val="00D40BA8"/>
    <w:rsid w:val="00D631E5"/>
    <w:rsid w:val="00D6778C"/>
    <w:rsid w:val="00D71071"/>
    <w:rsid w:val="00D83FAD"/>
    <w:rsid w:val="00D840B4"/>
    <w:rsid w:val="00DB00C8"/>
    <w:rsid w:val="00DC0525"/>
    <w:rsid w:val="00DC64ED"/>
    <w:rsid w:val="00DD64A6"/>
    <w:rsid w:val="00DE59CC"/>
    <w:rsid w:val="00E01EC2"/>
    <w:rsid w:val="00E17068"/>
    <w:rsid w:val="00E27E8C"/>
    <w:rsid w:val="00E60856"/>
    <w:rsid w:val="00E749EC"/>
    <w:rsid w:val="00E82E42"/>
    <w:rsid w:val="00E844BB"/>
    <w:rsid w:val="00E90506"/>
    <w:rsid w:val="00E920D8"/>
    <w:rsid w:val="00E97739"/>
    <w:rsid w:val="00EA0A30"/>
    <w:rsid w:val="00ED4AAC"/>
    <w:rsid w:val="00EF2087"/>
    <w:rsid w:val="00EF38D4"/>
    <w:rsid w:val="00EF3C78"/>
    <w:rsid w:val="00F1194B"/>
    <w:rsid w:val="00F1747A"/>
    <w:rsid w:val="00F17E84"/>
    <w:rsid w:val="00F21B0E"/>
    <w:rsid w:val="00F3536F"/>
    <w:rsid w:val="00F43495"/>
    <w:rsid w:val="00F76930"/>
    <w:rsid w:val="00FB76F8"/>
    <w:rsid w:val="00FC3286"/>
    <w:rsid w:val="00FD49EE"/>
    <w:rsid w:val="00FF5A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DB4516C"/>
  <w15:docId w15:val="{B15AE8FA-0807-4CD7-9AD7-F224C0D5A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ind w:leftChars="-1" w:left="-1" w:hangingChars="1"/>
      <w:textDirection w:val="btLr"/>
      <w:textAlignment w:val="top"/>
      <w:outlineLvl w:val="0"/>
    </w:pPr>
    <w:rPr>
      <w:position w:val="-1"/>
      <w:lang w:eastAsia="en-US"/>
    </w:rPr>
  </w:style>
  <w:style w:type="paragraph" w:styleId="Ttulo1">
    <w:name w:val="heading 1"/>
    <w:basedOn w:val="Normal"/>
    <w:next w:val="Normal"/>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qFormat/>
    <w:pPr>
      <w:keepNext/>
      <w:keepLines/>
      <w:spacing w:before="200" w:after="0" w:line="276" w:lineRule="auto"/>
      <w:outlineLvl w:val="3"/>
    </w:pPr>
    <w:rPr>
      <w:rFonts w:ascii="Cambria" w:eastAsia="Times New Roman" w:hAnsi="Cambria" w:cs="Times New Roman"/>
      <w:b/>
      <w:bCs/>
      <w:i/>
      <w:iCs/>
      <w:color w:val="4F81BD"/>
      <w:lang w:val="en-US"/>
    </w:rPr>
  </w:style>
  <w:style w:type="paragraph" w:styleId="Ttulo5">
    <w:name w:val="heading 5"/>
    <w:basedOn w:val="Normal"/>
    <w:next w:val="Normal"/>
    <w:pPr>
      <w:keepNext/>
      <w:spacing w:after="0" w:line="240" w:lineRule="auto"/>
      <w:ind w:left="1008" w:hanging="1008"/>
      <w:jc w:val="both"/>
      <w:outlineLvl w:val="4"/>
    </w:pPr>
    <w:rPr>
      <w:rFonts w:ascii="Times New Roman" w:eastAsia="Times New Roman" w:hAnsi="Times New Roman" w:cs="Times New Roman"/>
      <w:b/>
      <w:i/>
      <w:sz w:val="24"/>
      <w:szCs w:val="20"/>
      <w:lang w:val="es-ES" w:eastAsia="es-ES"/>
    </w:rPr>
  </w:style>
  <w:style w:type="paragraph" w:styleId="Ttulo6">
    <w:name w:val="heading 6"/>
    <w:basedOn w:val="Normal"/>
    <w:next w:val="Normal"/>
    <w:pPr>
      <w:keepNext/>
      <w:spacing w:after="0" w:line="240" w:lineRule="auto"/>
      <w:ind w:left="1152" w:hanging="1152"/>
      <w:jc w:val="both"/>
      <w:outlineLvl w:val="5"/>
    </w:pPr>
    <w:rPr>
      <w:rFonts w:ascii="Arial" w:eastAsia="Times New Roman" w:hAnsi="Arial" w:cs="Times New Roman"/>
      <w:b/>
      <w:szCs w:val="24"/>
      <w:lang w:val="es-ES" w:eastAsia="es-ES"/>
    </w:rPr>
  </w:style>
  <w:style w:type="paragraph" w:styleId="Ttulo7">
    <w:name w:val="heading 7"/>
    <w:basedOn w:val="Normal"/>
    <w:next w:val="Normal"/>
    <w:pPr>
      <w:keepNext/>
      <w:spacing w:after="0" w:line="240" w:lineRule="auto"/>
      <w:ind w:left="1296" w:hanging="1296"/>
      <w:outlineLvl w:val="6"/>
    </w:pPr>
    <w:rPr>
      <w:rFonts w:ascii="Arial" w:eastAsia="Times New Roman" w:hAnsi="Arial" w:cs="Times New Roman"/>
      <w:b/>
      <w:bCs/>
      <w:sz w:val="20"/>
      <w:szCs w:val="20"/>
      <w:lang w:val="es-ES" w:eastAsia="es-ES"/>
    </w:rPr>
  </w:style>
  <w:style w:type="paragraph" w:styleId="Ttulo8">
    <w:name w:val="heading 8"/>
    <w:basedOn w:val="Normal"/>
    <w:next w:val="Normal"/>
    <w:pPr>
      <w:keepNext/>
      <w:spacing w:after="0" w:line="240" w:lineRule="auto"/>
      <w:ind w:left="1440" w:hanging="1440"/>
      <w:outlineLvl w:val="7"/>
    </w:pPr>
    <w:rPr>
      <w:rFonts w:ascii="Arial Narrow" w:eastAsia="Times New Roman" w:hAnsi="Arial Narrow" w:cs="Times New Roman"/>
      <w:b/>
      <w:bCs/>
      <w:szCs w:val="24"/>
      <w:lang w:val="en-US" w:eastAsia="es-ES"/>
    </w:rPr>
  </w:style>
  <w:style w:type="paragraph" w:styleId="Ttulo9">
    <w:name w:val="heading 9"/>
    <w:basedOn w:val="Normal"/>
    <w:next w:val="Normal"/>
    <w:pPr>
      <w:keepNext/>
      <w:spacing w:after="0" w:line="240" w:lineRule="auto"/>
      <w:ind w:left="1584" w:hanging="1584"/>
      <w:jc w:val="center"/>
      <w:outlineLvl w:val="8"/>
    </w:pPr>
    <w:rPr>
      <w:rFonts w:ascii="Arial Narrow" w:eastAsia="Times New Roman" w:hAnsi="Arial Narrow" w:cs="Times New Roman"/>
      <w:b/>
      <w:bCs/>
      <w:szCs w:val="24"/>
      <w:lang w:val="en-U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Ttulo1SectionHead1TablaContenido1CAPITULOh1IIIchaptersection1level1Level1HeadH1h11II1h12II2I1chapter1section11level11Level1Head1H11h111II11h13II3I2chapter2section12level12Level1Head2H12Titulo">
    <w:name w:val="Título 1;Section;Head1;Tabla Contenido 1;CAPITULO;h1;II+;I;chapter;section:1;level 1;Level 1 Head;H1;h11;II+1;h12;II+2;I1;chapter1;section:11;level 11;Level 1 Head1;H11;h111;II+11;h13;II+3;I2;chapter2;section:12;level 12;Level 1 Head2;H12;Titulo"/>
    <w:basedOn w:val="Normal"/>
    <w:next w:val="Normal"/>
    <w:pPr>
      <w:keepNext/>
      <w:keepLines/>
      <w:numPr>
        <w:numId w:val="22"/>
      </w:numPr>
      <w:spacing w:before="480" w:after="0" w:line="276" w:lineRule="auto"/>
      <w:ind w:left="0" w:firstLine="0"/>
    </w:pPr>
    <w:rPr>
      <w:rFonts w:ascii="Cambria" w:eastAsia="Times New Roman" w:hAnsi="Cambria" w:cs="Times New Roman"/>
      <w:b/>
      <w:bCs/>
      <w:color w:val="365F91"/>
      <w:sz w:val="28"/>
      <w:szCs w:val="28"/>
      <w:lang w:val="en-US"/>
    </w:rPr>
  </w:style>
  <w:style w:type="paragraph" w:customStyle="1" w:styleId="Ttulo2Edgar2Ttulo2Car1Ttulo2CarCarCarCarCarEdgar2CarCarCarCarCarTtulo2CarCarCarCarEdgar2CarCarCarCar">
    <w:name w:val="Título 2;Edgar 2;Título 2 Car1;Título 2 Car Car Car Car Car;Edgar 2 Car Car Car Car Car;Título 2 Car Car Car Car;Edgar 2 Car Car Car Car"/>
    <w:basedOn w:val="Normal"/>
    <w:next w:val="Normal"/>
    <w:qFormat/>
    <w:pPr>
      <w:keepNext/>
      <w:keepLines/>
      <w:spacing w:before="200" w:after="0" w:line="276" w:lineRule="auto"/>
      <w:outlineLvl w:val="1"/>
    </w:pPr>
    <w:rPr>
      <w:rFonts w:ascii="Cambria" w:eastAsia="Times New Roman" w:hAnsi="Cambria" w:cs="Times New Roman"/>
      <w:b/>
      <w:bCs/>
      <w:color w:val="4F81BD"/>
      <w:sz w:val="26"/>
      <w:szCs w:val="26"/>
      <w:lang w:val="en-US"/>
    </w:rPr>
  </w:style>
  <w:style w:type="paragraph" w:customStyle="1" w:styleId="Ttulo3SubhdAppTitulo1Ttulo3CarCarBHeadSectionHeader3H3h3Level3TopicHeadingOrgHeading1h31h32h33h311h321h34h312h322h35H31h36H323H33H311H32131H34H312H32232H35H313H32333H36H314H32434H37H315H32535H38">
    <w:name w:val="Título 3;Subhd App;Titulo 1;Título 3 Car Car;B Head;Section Header3;H3;h3;Level 3 Topic Heading;Org Heading 1;h31;h32;h33;h311;h321;h34;h312;h322;h35;H31;h36;H32;3;H33;H311;H321;31;H34;H312;H322;32;H35;H313;H323;33;H36;H314;H324;34;H37;H315;H325;35;H38"/>
    <w:basedOn w:val="Normal"/>
    <w:next w:val="Normal"/>
    <w:qFormat/>
    <w:pPr>
      <w:keepNext/>
      <w:keepLines/>
      <w:spacing w:before="200" w:after="0" w:line="276" w:lineRule="auto"/>
      <w:outlineLvl w:val="2"/>
    </w:pPr>
    <w:rPr>
      <w:rFonts w:ascii="Cambria" w:eastAsia="Times New Roman" w:hAnsi="Cambria" w:cs="Times New Roman"/>
      <w:b/>
      <w:bCs/>
      <w:color w:val="4F81BD"/>
      <w:lang w:val="en-US"/>
    </w:rPr>
  </w:style>
  <w:style w:type="character" w:customStyle="1" w:styleId="Ttulo1CarSectionCarHead1CarTablaContenido1CarCAPITULOCarh1CarIICarICarchapterCarsection1Carlevel1CarLevel1HeadCarH1Carh11CarII1Carh12CarII2CarI1Carchapter1Carsection11Carlevel11CarLevel1Head1Car">
    <w:name w:val="Título 1 Car;Section Car;Head1 Car;Tabla Contenido 1 Car;CAPITULO Car;h1 Car;II+ Car;I Car;chapter Car;section:1 Car;level 1 Car;Level 1 Head Car;H1 Car;h11 Car;II+1 Car;h12 Car;II+2 Car;I1 Car;chapter1 Car;section:11 Car;level 11 Car;Level 1 Head1 Car"/>
    <w:rPr>
      <w:rFonts w:ascii="Cambria" w:eastAsia="Times New Roman" w:hAnsi="Cambria"/>
      <w:b/>
      <w:bCs/>
      <w:color w:val="365F91"/>
      <w:w w:val="100"/>
      <w:position w:val="-1"/>
      <w:sz w:val="28"/>
      <w:szCs w:val="28"/>
      <w:effect w:val="none"/>
      <w:vertAlign w:val="baseline"/>
      <w:cs w:val="0"/>
      <w:em w:val="none"/>
      <w:lang w:val="en-US" w:eastAsia="en-US"/>
    </w:rPr>
  </w:style>
  <w:style w:type="character" w:customStyle="1" w:styleId="Ttulo2CarEdgar2CarTtulo2Car1CarTtulo2CarCarCarCarCarCarEdgar2CarCarCarCarCarCarTtulo2CarCarCarCarCar1Edgar2CarCarCarCarCar1">
    <w:name w:val="Título 2 Car;Edgar 2 Car;Título 2 Car1 Car;Título 2 Car Car Car Car Car Car;Edgar 2 Car Car Car Car Car Car;Título 2 Car Car Car Car Car1;Edgar 2 Car Car Car Car Car1"/>
    <w:rPr>
      <w:rFonts w:ascii="Cambria" w:eastAsia="Times New Roman" w:hAnsi="Cambria" w:cs="Times New Roman"/>
      <w:b/>
      <w:bCs/>
      <w:color w:val="4F81BD"/>
      <w:w w:val="100"/>
      <w:position w:val="-1"/>
      <w:sz w:val="26"/>
      <w:szCs w:val="26"/>
      <w:effect w:val="none"/>
      <w:vertAlign w:val="baseline"/>
      <w:cs w:val="0"/>
      <w:em w:val="none"/>
      <w:lang w:val="en-US"/>
    </w:rPr>
  </w:style>
  <w:style w:type="character" w:customStyle="1" w:styleId="Ttulo3CarSubhdAppCarTitulo1CarTtulo3CarCarCarBHeadCarSectionHeader3CarH3Carh3CarLevel3TopicHeadingCarOrgHeading1Carh31Carh32Carh33Carh311Carh321Carh34Carh312Carh322Carh35CarH31Carh36CarH32Car">
    <w:name w:val="Título 3 Car;Subhd App Car;Titulo 1 Car;Título 3 Car Car Car;B Head Car;Section Header3 Car;H3 Car;h3 Car;Level 3 Topic Heading Car;Org Heading 1 Car;h31 Car;h32 Car;h33 Car;h311 Car;h321 Car;h34 Car;h312 Car;h322 Car;h35 Car;H31 Car;h36 Car;H32 Car"/>
    <w:rPr>
      <w:rFonts w:ascii="Cambria" w:eastAsia="Times New Roman" w:hAnsi="Cambria" w:cs="Times New Roman"/>
      <w:b/>
      <w:bCs/>
      <w:color w:val="4F81BD"/>
      <w:w w:val="100"/>
      <w:position w:val="-1"/>
      <w:effect w:val="none"/>
      <w:vertAlign w:val="baseline"/>
      <w:cs w:val="0"/>
      <w:em w:val="none"/>
      <w:lang w:val="en-US"/>
    </w:rPr>
  </w:style>
  <w:style w:type="character" w:customStyle="1" w:styleId="Ttulo4Car">
    <w:name w:val="Título 4 Car"/>
    <w:rPr>
      <w:rFonts w:ascii="Cambria" w:eastAsia="Times New Roman" w:hAnsi="Cambria" w:cs="Times New Roman"/>
      <w:b/>
      <w:bCs/>
      <w:i/>
      <w:iCs/>
      <w:color w:val="4F81BD"/>
      <w:w w:val="100"/>
      <w:position w:val="-1"/>
      <w:effect w:val="none"/>
      <w:vertAlign w:val="baseline"/>
      <w:cs w:val="0"/>
      <w:em w:val="none"/>
      <w:lang w:val="en-US"/>
    </w:rPr>
  </w:style>
  <w:style w:type="character" w:customStyle="1" w:styleId="Ttulo5Car">
    <w:name w:val="Título 5 Car"/>
    <w:rPr>
      <w:rFonts w:ascii="Times New Roman" w:eastAsia="Times New Roman" w:hAnsi="Times New Roman" w:cs="Times New Roman"/>
      <w:b/>
      <w:i/>
      <w:w w:val="100"/>
      <w:position w:val="-1"/>
      <w:sz w:val="24"/>
      <w:szCs w:val="20"/>
      <w:effect w:val="none"/>
      <w:vertAlign w:val="baseline"/>
      <w:cs w:val="0"/>
      <w:em w:val="none"/>
      <w:lang w:val="es-ES" w:eastAsia="es-ES"/>
    </w:rPr>
  </w:style>
  <w:style w:type="character" w:customStyle="1" w:styleId="Ttulo6Car">
    <w:name w:val="Título 6 Car"/>
    <w:rPr>
      <w:rFonts w:ascii="Arial" w:eastAsia="Times New Roman" w:hAnsi="Arial" w:cs="Times New Roman"/>
      <w:b/>
      <w:w w:val="100"/>
      <w:position w:val="-1"/>
      <w:szCs w:val="24"/>
      <w:effect w:val="none"/>
      <w:vertAlign w:val="baseline"/>
      <w:cs w:val="0"/>
      <w:em w:val="none"/>
      <w:lang w:val="es-ES" w:eastAsia="es-ES"/>
    </w:rPr>
  </w:style>
  <w:style w:type="character" w:customStyle="1" w:styleId="Ttulo7Car">
    <w:name w:val="Título 7 Car"/>
    <w:rPr>
      <w:rFonts w:ascii="Arial" w:eastAsia="Times New Roman" w:hAnsi="Arial" w:cs="Times New Roman"/>
      <w:b/>
      <w:bCs/>
      <w:w w:val="100"/>
      <w:position w:val="-1"/>
      <w:sz w:val="20"/>
      <w:szCs w:val="20"/>
      <w:effect w:val="none"/>
      <w:vertAlign w:val="baseline"/>
      <w:cs w:val="0"/>
      <w:em w:val="none"/>
      <w:lang w:val="es-ES" w:eastAsia="es-ES"/>
    </w:rPr>
  </w:style>
  <w:style w:type="character" w:customStyle="1" w:styleId="Ttulo8Car">
    <w:name w:val="Título 8 Car"/>
    <w:rPr>
      <w:rFonts w:ascii="Arial Narrow" w:eastAsia="Times New Roman" w:hAnsi="Arial Narrow" w:cs="Times New Roman"/>
      <w:b/>
      <w:bCs/>
      <w:w w:val="100"/>
      <w:position w:val="-1"/>
      <w:szCs w:val="24"/>
      <w:effect w:val="none"/>
      <w:vertAlign w:val="baseline"/>
      <w:cs w:val="0"/>
      <w:em w:val="none"/>
      <w:lang w:val="en-US" w:eastAsia="es-ES"/>
    </w:rPr>
  </w:style>
  <w:style w:type="character" w:customStyle="1" w:styleId="Ttulo9Car">
    <w:name w:val="Título 9 Car"/>
    <w:rPr>
      <w:rFonts w:ascii="Arial Narrow" w:eastAsia="Times New Roman" w:hAnsi="Arial Narrow" w:cs="Times New Roman"/>
      <w:b/>
      <w:bCs/>
      <w:w w:val="100"/>
      <w:position w:val="-1"/>
      <w:szCs w:val="24"/>
      <w:effect w:val="none"/>
      <w:vertAlign w:val="baseline"/>
      <w:cs w:val="0"/>
      <w:em w:val="none"/>
      <w:lang w:val="en-US" w:eastAsia="es-ES"/>
    </w:rPr>
  </w:style>
  <w:style w:type="paragraph" w:styleId="Textodeglobo">
    <w:name w:val="Balloon Text"/>
    <w:basedOn w:val="Normal"/>
    <w:qFormat/>
    <w:pPr>
      <w:spacing w:after="0" w:line="240" w:lineRule="auto"/>
    </w:pPr>
    <w:rPr>
      <w:rFonts w:ascii="Tahoma" w:eastAsia="Times New Roman" w:hAnsi="Tahoma" w:cs="Tahoma"/>
      <w:sz w:val="16"/>
      <w:szCs w:val="16"/>
      <w:lang w:val="en-U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customStyle="1" w:styleId="TextonotapietextodenotaalpieNotaapieBibliogTextonotapieCarCarCar1CarCarCar1Car2ftCarCarftCarTextonotapieCar11TextonotapieCarCar1Car1CarCar1Car1Car21Car11CarCarCar11CarftFACar3Car">
    <w:name w:val="Texto nota pie;texto de nota al pie;Nota a pie/Bibliog;Texto nota pie Car Car;Car1 Car Car;Car1 Car2;ft Car Car;ft Car;Texto nota pie Car11;Texto nota pie Car Car1;Car1 Car Car1;Car1 Car21;Car11 Car Car;Car11 Car;ft;FA;Car3 Car"/>
    <w:basedOn w:val="Normal"/>
    <w:qFormat/>
    <w:pPr>
      <w:spacing w:after="0" w:line="240" w:lineRule="auto"/>
    </w:pPr>
    <w:rPr>
      <w:rFonts w:eastAsia="Times New Roman" w:cs="Times New Roman"/>
      <w:sz w:val="20"/>
      <w:szCs w:val="20"/>
      <w:lang w:val="en-US"/>
    </w:rPr>
  </w:style>
  <w:style w:type="character" w:customStyle="1" w:styleId="TextonotapieCartextodenotaalpieCarNotaapieBibliogCarTextonotapieCarCarCarCar1CarCarCarCar1Car2CarftCarCarCarftCarCar1TextonotapieCar11CarTextonotapieCarCar1CarCar1CarCar1CarCar1Car21CarCar11CarCar1">
    <w:name w:val="Texto nota pie Car;texto de nota al pie Car;Nota a pie/Bibliog Car;Texto nota pie Car Car Car;Car1 Car Car Car;Car1 Car2 Car;ft Car Car Car;ft Car Car1;Texto nota pie Car11 Car;Texto nota pie Car Car1 Car;Car1 Car Car1 Car;Car1 Car21 Car;Car11 Car Car1"/>
    <w:rPr>
      <w:rFonts w:ascii="Calibri" w:eastAsia="Times New Roman" w:hAnsi="Calibri" w:cs="Times New Roman"/>
      <w:w w:val="100"/>
      <w:position w:val="-1"/>
      <w:sz w:val="20"/>
      <w:szCs w:val="20"/>
      <w:effect w:val="none"/>
      <w:vertAlign w:val="baseline"/>
      <w:cs w:val="0"/>
      <w:em w:val="none"/>
      <w:lang w:val="en-US"/>
    </w:rPr>
  </w:style>
  <w:style w:type="character" w:customStyle="1" w:styleId="RefdenotaalpiereferencianotaalpieAppelnotedebasdepageFootnotesrefssRefRefdenotaalpiedenotaalpieFCTextodenotaalpiePiedepaginaRefdenotaalpie2NotadepiepiedepaginafrUsedbyWordforHelpfootnotesymbolsF">
    <w:name w:val="Ref. de nota al pie;referencia nota al pie;Appel note de bas de page;Footnotes refss;Ref;Ref. de nota al pie.;de nota al pie;FC;Texto de nota al pie;Pie de pagina;Ref. de nota al pie2;Nota de pie;pie de pagina;fr;Used by Word for Help footnote symbols;F"/>
    <w:qFormat/>
    <w:rPr>
      <w:w w:val="100"/>
      <w:position w:val="-1"/>
      <w:effect w:val="none"/>
      <w:vertAlign w:val="superscript"/>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pPr>
      <w:spacing w:after="200" w:line="240" w:lineRule="auto"/>
    </w:pPr>
    <w:rPr>
      <w:rFonts w:eastAsia="Times New Roman" w:cs="Times New Roman"/>
      <w:sz w:val="20"/>
      <w:szCs w:val="20"/>
      <w:lang w:val="en-US"/>
    </w:rPr>
  </w:style>
  <w:style w:type="character" w:customStyle="1" w:styleId="TextocomentarioCar">
    <w:name w:val="Texto comentario Car"/>
    <w:rPr>
      <w:rFonts w:ascii="Calibri" w:eastAsia="Times New Roman" w:hAnsi="Calibri" w:cs="Times New Roman"/>
      <w:w w:val="100"/>
      <w:position w:val="-1"/>
      <w:sz w:val="20"/>
      <w:szCs w:val="20"/>
      <w:effect w:val="none"/>
      <w:vertAlign w:val="baseline"/>
      <w:cs w:val="0"/>
      <w:em w:val="none"/>
      <w:lang w:val="en-U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Calibri" w:eastAsia="Times New Roman" w:hAnsi="Calibri" w:cs="Times New Roman"/>
      <w:b/>
      <w:bCs/>
      <w:w w:val="100"/>
      <w:position w:val="-1"/>
      <w:sz w:val="20"/>
      <w:szCs w:val="20"/>
      <w:effect w:val="none"/>
      <w:vertAlign w:val="baseline"/>
      <w:cs w:val="0"/>
      <w:em w:val="none"/>
      <w:lang w:val="en-US"/>
    </w:rPr>
  </w:style>
  <w:style w:type="paragraph" w:styleId="Encabezado">
    <w:name w:val="header"/>
    <w:basedOn w:val="Normal"/>
    <w:qFormat/>
    <w:pPr>
      <w:spacing w:after="0" w:line="240" w:lineRule="auto"/>
    </w:pPr>
    <w:rPr>
      <w:rFonts w:eastAsia="Times New Roman" w:cs="Times New Roman"/>
      <w:lang w:val="en-US"/>
    </w:rPr>
  </w:style>
  <w:style w:type="character" w:customStyle="1" w:styleId="EncabezadoCar">
    <w:name w:val="Encabezado Car"/>
    <w:rPr>
      <w:rFonts w:ascii="Calibri" w:eastAsia="Times New Roman" w:hAnsi="Calibri" w:cs="Times New Roman"/>
      <w:w w:val="100"/>
      <w:position w:val="-1"/>
      <w:effect w:val="none"/>
      <w:vertAlign w:val="baseline"/>
      <w:cs w:val="0"/>
      <w:em w:val="none"/>
      <w:lang w:val="en-US"/>
    </w:rPr>
  </w:style>
  <w:style w:type="paragraph" w:styleId="Piedepgina">
    <w:name w:val="footer"/>
    <w:basedOn w:val="Normal"/>
    <w:qFormat/>
    <w:pPr>
      <w:spacing w:after="0" w:line="240" w:lineRule="auto"/>
    </w:pPr>
    <w:rPr>
      <w:rFonts w:eastAsia="Times New Roman" w:cs="Times New Roman"/>
      <w:lang w:val="en-US"/>
    </w:rPr>
  </w:style>
  <w:style w:type="character" w:customStyle="1" w:styleId="PiedepginaCar">
    <w:name w:val="Pie de página Car"/>
    <w:rPr>
      <w:rFonts w:ascii="Calibri" w:eastAsia="Times New Roman" w:hAnsi="Calibri" w:cs="Times New Roman"/>
      <w:w w:val="100"/>
      <w:position w:val="-1"/>
      <w:effect w:val="none"/>
      <w:vertAlign w:val="baseline"/>
      <w:cs w:val="0"/>
      <w:em w:val="none"/>
      <w:lang w:val="en-US"/>
    </w:rPr>
  </w:style>
  <w:style w:type="table" w:styleId="Tablaconcuadrcula">
    <w:name w:val="Table Grid"/>
    <w:basedOn w:val="Tablanormal"/>
    <w:pPr>
      <w:suppressAutoHyphens/>
      <w:spacing w:after="0" w:line="240" w:lineRule="auto"/>
      <w:ind w:leftChars="-1" w:left="-1" w:hangingChars="1"/>
      <w:textDirection w:val="btLr"/>
      <w:textAlignment w:val="top"/>
      <w:outlineLvl w:val="0"/>
    </w:pPr>
    <w:rPr>
      <w:rFonts w:eastAsia="Times New Roman"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basedOn w:val="Ttulo2Pliego"/>
  </w:style>
  <w:style w:type="character" w:customStyle="1" w:styleId="TtuloCar1">
    <w:name w:val="Título Car1"/>
    <w:rPr>
      <w:rFonts w:ascii="Tahoma" w:eastAsia="Times New Roman" w:hAnsi="Tahoma" w:cs="Tahoma"/>
      <w:b/>
      <w:bCs/>
      <w:w w:val="102"/>
      <w:position w:val="-1"/>
      <w:sz w:val="21"/>
      <w:szCs w:val="21"/>
      <w:effect w:val="none"/>
      <w:vertAlign w:val="baseline"/>
      <w:cs w:val="0"/>
      <w:em w:val="none"/>
    </w:rPr>
  </w:style>
  <w:style w:type="paragraph" w:customStyle="1" w:styleId="TextoindependientebodytextbtBodytextTextindepT2TableBullet1bodytesxcontentsEHPTBodyText2ndradtabla2SubsectionBodyTextTextoindependienteCarCarbodytesxCarCarTABLADECONTENIDO3AvtalBrdtextBody3BodyTextRespons">
    <w:name w:val="Texto independiente;body text;bt;Bodytext;TextindepT2;Table Bullet 1;body tesx;contents;EHPT;Body Text2;ändrad;tabla 2;Subsection Body Text;Texto independiente Car Car;body tesx Car Car;TABLA DE CONTENIDO 3;AvtalBrödtext;Body3;Body Text;Respons"/>
    <w:basedOn w:val="Normal"/>
    <w:pPr>
      <w:spacing w:after="0" w:line="240" w:lineRule="auto"/>
      <w:jc w:val="both"/>
    </w:pPr>
    <w:rPr>
      <w:rFonts w:ascii="Arial" w:eastAsia="Times New Roman" w:hAnsi="Arial" w:cs="Times New Roman"/>
      <w:sz w:val="24"/>
      <w:szCs w:val="20"/>
      <w:lang w:val="es-ES" w:eastAsia="es-ES"/>
    </w:rPr>
  </w:style>
  <w:style w:type="character" w:customStyle="1" w:styleId="TextoindependienteCarbodytextCarbtCarBodytextCarTextindepT2CarTableBullet1CarbodytesxCarcontentsCarEHPTCarBodyText2CarndradCartabla2CarSubsectionBodyTextCarTextoindependienteCarCarCarbodytesxCarCarCar">
    <w:name w:val="Texto independiente Car;body text Car;bt Car;Bodytext Car;TextindepT2 Car;Table Bullet 1 Car;body tesx Car;contents Car;EHPT Car;Body Text2 Car;ändrad Car;tabla 2 Car;Subsection Body Text Car;Texto independiente Car Car Car;body tesx Car Car Car"/>
    <w:rPr>
      <w:rFonts w:ascii="Arial" w:eastAsia="Times New Roman" w:hAnsi="Arial" w:cs="Times New Roman"/>
      <w:w w:val="100"/>
      <w:position w:val="-1"/>
      <w:sz w:val="24"/>
      <w:szCs w:val="20"/>
      <w:effect w:val="none"/>
      <w:vertAlign w:val="baseline"/>
      <w:cs w:val="0"/>
      <w:em w:val="none"/>
      <w:lang w:val="es-ES" w:eastAsia="es-ES"/>
    </w:rPr>
  </w:style>
  <w:style w:type="paragraph" w:customStyle="1" w:styleId="TtuloTDC1">
    <w:name w:val="Título TDC1"/>
    <w:basedOn w:val="Ttulo1SectionHead1TablaContenido1CAPITULOh1IIIchaptersection1level1Level1HeadH1h11II1h12II2I1chapter1section11level11Level1Head1H11h111II11h13II3I2chapter2section12level12Level1Head2H12Titulo"/>
    <w:next w:val="Normal"/>
    <w:qFormat/>
    <w:pPr>
      <w:outlineLvl w:val="9"/>
    </w:pPr>
    <w:rPr>
      <w:lang w:val="es-CO" w:eastAsia="es-CO"/>
    </w:rPr>
  </w:style>
  <w:style w:type="paragraph" w:customStyle="1" w:styleId="PrrafodelistaTTULOSEGUNDONIVELListList1List11EYEPM-ListaList111List1111List11111List2List111111CaptuloTIT2INDList1111111Fluvial1titulo3ListParagraphListavistosa-nfasis11BulletListFooterTextnumberedListParagraph1">
    <w:name w:val="Párrafo de lista;TÍTULO SEGUNDO NIVEL;List;List1;List11;EY EPM - Lista;List111;List1111;List11111;List2;List111111;Capítulo;TIT 2 IND;List1111111;Fluvial1;titulo 3;List Paragraph;Lista vistosa - Énfasis 11;Bullet List;FooterText;numbered;List Paragraph1"/>
    <w:basedOn w:val="Normal"/>
    <w:pPr>
      <w:numPr>
        <w:ilvl w:val="1"/>
        <w:numId w:val="22"/>
      </w:numPr>
      <w:spacing w:after="200" w:line="276" w:lineRule="auto"/>
      <w:ind w:left="-1" w:hanging="1"/>
      <w:contextualSpacing/>
    </w:pPr>
    <w:rPr>
      <w:rFonts w:eastAsia="Times New Roman" w:cs="Times New Roman"/>
      <w:lang w:val="en-U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eastAsia="Times New Roman" w:hAnsi="Arial" w:cs="Arial"/>
      <w:color w:val="000000"/>
      <w:position w:val="-1"/>
      <w:sz w:val="24"/>
      <w:szCs w:val="24"/>
    </w:rPr>
  </w:style>
  <w:style w:type="paragraph" w:customStyle="1" w:styleId="staE">
    <w:name w:val="staáE"/>
    <w:basedOn w:val="Normal"/>
    <w:pPr>
      <w:spacing w:after="0" w:line="240" w:lineRule="auto"/>
      <w:jc w:val="both"/>
    </w:pPr>
    <w:rPr>
      <w:rFonts w:ascii="Century Gothic" w:eastAsia="Times New Roman" w:hAnsi="Century Gothic" w:cs="Times New Roman"/>
      <w:szCs w:val="20"/>
      <w:lang w:val="es-ES"/>
    </w:rPr>
  </w:style>
  <w:style w:type="character" w:styleId="Hipervnculo">
    <w:name w:val="Hyperlink"/>
    <w:rPr>
      <w:color w:val="000000"/>
      <w:w w:val="100"/>
      <w:position w:val="-1"/>
      <w:effect w:val="none"/>
      <w:vertAlign w:val="baseline"/>
      <w:cs w:val="0"/>
      <w:em w:val="none"/>
    </w:rPr>
  </w:style>
  <w:style w:type="paragraph" w:styleId="TDC2">
    <w:name w:val="toc 2"/>
    <w:basedOn w:val="Normal"/>
    <w:next w:val="Normal"/>
    <w:qFormat/>
    <w:pPr>
      <w:tabs>
        <w:tab w:val="right" w:leader="dot" w:pos="9394"/>
      </w:tabs>
      <w:spacing w:after="100" w:line="276" w:lineRule="auto"/>
      <w:ind w:left="220"/>
    </w:pPr>
    <w:rPr>
      <w:rFonts w:ascii="Arial Narrow" w:hAnsi="Arial Narrow" w:cs="Arial"/>
      <w:b/>
      <w:noProof/>
      <w:spacing w:val="3"/>
    </w:rPr>
  </w:style>
  <w:style w:type="paragraph" w:styleId="TDC1">
    <w:name w:val="toc 1"/>
    <w:basedOn w:val="Normal"/>
    <w:next w:val="Normal"/>
    <w:qFormat/>
    <w:pPr>
      <w:tabs>
        <w:tab w:val="left" w:pos="660"/>
        <w:tab w:val="right" w:leader="dot" w:pos="9356"/>
      </w:tabs>
      <w:spacing w:after="100" w:line="276" w:lineRule="auto"/>
      <w:jc w:val="both"/>
    </w:pPr>
    <w:rPr>
      <w:rFonts w:ascii="Arial Narrow" w:eastAsia="Times New Roman" w:hAnsi="Arial Narrow" w:cs="Arial"/>
      <w:b/>
      <w:bCs/>
      <w:noProof/>
      <w:spacing w:val="3"/>
      <w:sz w:val="23"/>
      <w:szCs w:val="23"/>
    </w:rPr>
  </w:style>
  <w:style w:type="paragraph" w:styleId="TDC3">
    <w:name w:val="toc 3"/>
    <w:basedOn w:val="Normal"/>
    <w:next w:val="Normal"/>
    <w:qFormat/>
    <w:pPr>
      <w:tabs>
        <w:tab w:val="right" w:leader="dot" w:pos="9394"/>
      </w:tabs>
      <w:spacing w:after="100" w:line="276" w:lineRule="auto"/>
      <w:ind w:left="284" w:firstLine="14"/>
    </w:pPr>
    <w:rPr>
      <w:rFonts w:ascii="Arial" w:eastAsia="Times New Roman" w:hAnsi="Arial" w:cs="Arial"/>
      <w:b/>
      <w:noProof/>
      <w:spacing w:val="4"/>
    </w:rPr>
  </w:style>
  <w:style w:type="paragraph" w:customStyle="1" w:styleId="Ttulo2Pliego">
    <w:name w:val="Título 2 Pliego"/>
    <w:basedOn w:val="Normal"/>
    <w:pPr>
      <w:widowControl w:val="0"/>
      <w:autoSpaceDE w:val="0"/>
      <w:autoSpaceDN w:val="0"/>
      <w:adjustRightInd w:val="0"/>
      <w:spacing w:before="28" w:after="0" w:line="247" w:lineRule="atLeast"/>
    </w:pPr>
    <w:rPr>
      <w:rFonts w:ascii="Tahoma" w:eastAsia="Times New Roman" w:hAnsi="Tahoma" w:cs="Tahoma"/>
      <w:b/>
      <w:bCs/>
      <w:w w:val="102"/>
      <w:sz w:val="21"/>
      <w:szCs w:val="21"/>
    </w:rPr>
  </w:style>
  <w:style w:type="character" w:customStyle="1" w:styleId="Ttulo2PliegoCar">
    <w:name w:val="Título 2 Pliego Car"/>
    <w:rPr>
      <w:rFonts w:ascii="Tahoma" w:eastAsia="Times New Roman" w:hAnsi="Tahoma" w:cs="Tahoma"/>
      <w:b/>
      <w:bCs/>
      <w:w w:val="102"/>
      <w:position w:val="-1"/>
      <w:sz w:val="21"/>
      <w:szCs w:val="21"/>
      <w:effect w:val="none"/>
      <w:vertAlign w:val="baseline"/>
      <w:cs w:val="0"/>
      <w:em w:val="none"/>
    </w:rPr>
  </w:style>
  <w:style w:type="paragraph" w:styleId="TDC4">
    <w:name w:val="toc 4"/>
    <w:basedOn w:val="Normal"/>
    <w:next w:val="Normal"/>
    <w:qFormat/>
    <w:pPr>
      <w:spacing w:after="100" w:line="276" w:lineRule="auto"/>
      <w:ind w:left="660"/>
    </w:pPr>
    <w:rPr>
      <w:rFonts w:eastAsia="Times New Roman" w:cs="Times New Roman"/>
      <w:lang w:eastAsia="es-CO"/>
    </w:rPr>
  </w:style>
  <w:style w:type="paragraph" w:styleId="TDC5">
    <w:name w:val="toc 5"/>
    <w:basedOn w:val="Normal"/>
    <w:next w:val="Normal"/>
    <w:qFormat/>
    <w:pPr>
      <w:spacing w:after="100" w:line="276" w:lineRule="auto"/>
      <w:ind w:left="880"/>
    </w:pPr>
    <w:rPr>
      <w:rFonts w:eastAsia="Times New Roman" w:cs="Times New Roman"/>
      <w:lang w:eastAsia="es-CO"/>
    </w:rPr>
  </w:style>
  <w:style w:type="paragraph" w:styleId="TDC6">
    <w:name w:val="toc 6"/>
    <w:basedOn w:val="Normal"/>
    <w:next w:val="Normal"/>
    <w:qFormat/>
    <w:pPr>
      <w:spacing w:after="100" w:line="276" w:lineRule="auto"/>
      <w:ind w:left="1100"/>
    </w:pPr>
    <w:rPr>
      <w:rFonts w:eastAsia="Times New Roman" w:cs="Times New Roman"/>
      <w:lang w:eastAsia="es-CO"/>
    </w:rPr>
  </w:style>
  <w:style w:type="paragraph" w:styleId="TDC7">
    <w:name w:val="toc 7"/>
    <w:basedOn w:val="Normal"/>
    <w:next w:val="Normal"/>
    <w:qFormat/>
    <w:pPr>
      <w:spacing w:after="100" w:line="276" w:lineRule="auto"/>
      <w:ind w:left="1320"/>
    </w:pPr>
    <w:rPr>
      <w:rFonts w:eastAsia="Times New Roman" w:cs="Times New Roman"/>
      <w:lang w:eastAsia="es-CO"/>
    </w:rPr>
  </w:style>
  <w:style w:type="paragraph" w:styleId="TDC8">
    <w:name w:val="toc 8"/>
    <w:basedOn w:val="Normal"/>
    <w:next w:val="Normal"/>
    <w:qFormat/>
    <w:pPr>
      <w:spacing w:after="100" w:line="276" w:lineRule="auto"/>
      <w:ind w:left="1540"/>
    </w:pPr>
    <w:rPr>
      <w:rFonts w:eastAsia="Times New Roman" w:cs="Times New Roman"/>
      <w:lang w:eastAsia="es-CO"/>
    </w:rPr>
  </w:style>
  <w:style w:type="paragraph" w:styleId="TDC9">
    <w:name w:val="toc 9"/>
    <w:basedOn w:val="Normal"/>
    <w:next w:val="Normal"/>
    <w:qFormat/>
    <w:pPr>
      <w:spacing w:after="100" w:line="276" w:lineRule="auto"/>
      <w:ind w:left="1760"/>
    </w:pPr>
    <w:rPr>
      <w:rFonts w:eastAsia="Times New Roman" w:cs="Times New Roman"/>
      <w:lang w:eastAsia="es-CO"/>
    </w:rPr>
  </w:style>
  <w:style w:type="paragraph" w:customStyle="1" w:styleId="Norm">
    <w:name w:val="Norm"/>
    <w:basedOn w:val="Normal"/>
    <w:pPr>
      <w:widowControl w:val="0"/>
      <w:spacing w:after="0" w:line="240" w:lineRule="auto"/>
      <w:ind w:left="482"/>
      <w:jc w:val="both"/>
    </w:pPr>
    <w:rPr>
      <w:rFonts w:ascii="Arial" w:eastAsia="Times New Roman" w:hAnsi="Arial" w:cs="Times New Roman"/>
      <w:i/>
      <w:szCs w:val="20"/>
    </w:rPr>
  </w:style>
  <w:style w:type="paragraph" w:styleId="Mapadeldocumento">
    <w:name w:val="Document Map"/>
    <w:basedOn w:val="Normal"/>
    <w:qFormat/>
    <w:pPr>
      <w:spacing w:after="0" w:line="240" w:lineRule="auto"/>
    </w:pPr>
    <w:rPr>
      <w:rFonts w:ascii="Tahoma" w:eastAsia="Times New Roman" w:hAnsi="Tahoma" w:cs="Tahoma"/>
      <w:sz w:val="16"/>
      <w:szCs w:val="16"/>
      <w:lang w:val="en-US"/>
    </w:rPr>
  </w:style>
  <w:style w:type="character" w:customStyle="1" w:styleId="MapadeldocumentoCar">
    <w:name w:val="Mapa del documento Car"/>
    <w:rPr>
      <w:rFonts w:ascii="Tahoma" w:eastAsia="Times New Roman" w:hAnsi="Tahoma" w:cs="Tahoma"/>
      <w:w w:val="100"/>
      <w:position w:val="-1"/>
      <w:sz w:val="16"/>
      <w:szCs w:val="16"/>
      <w:effect w:val="none"/>
      <w:vertAlign w:val="baseline"/>
      <w:cs w:val="0"/>
      <w:em w:val="none"/>
      <w:lang w:val="en-US"/>
    </w:rPr>
  </w:style>
  <w:style w:type="paragraph" w:customStyle="1" w:styleId="Textoindependiente31">
    <w:name w:val="Texto independiente 31"/>
    <w:basedOn w:val="Normal"/>
    <w:pPr>
      <w:suppressAutoHyphens w:val="0"/>
      <w:spacing w:after="0" w:line="240" w:lineRule="auto"/>
      <w:jc w:val="both"/>
    </w:pPr>
    <w:rPr>
      <w:rFonts w:ascii="Arial" w:eastAsia="Times New Roman" w:hAnsi="Arial" w:cs="Times New Roman"/>
      <w:noProof/>
      <w:sz w:val="24"/>
      <w:szCs w:val="20"/>
    </w:rPr>
  </w:style>
  <w:style w:type="paragraph" w:customStyle="1" w:styleId="CM57">
    <w:name w:val="CM57"/>
    <w:basedOn w:val="Default"/>
    <w:next w:val="Default"/>
    <w:rPr>
      <w:color w:val="auto"/>
    </w:rPr>
  </w:style>
  <w:style w:type="paragraph" w:customStyle="1" w:styleId="CM71">
    <w:name w:val="CM71"/>
    <w:basedOn w:val="Default"/>
    <w:next w:val="Default"/>
    <w:rPr>
      <w:color w:val="auto"/>
    </w:rPr>
  </w:style>
  <w:style w:type="paragraph" w:styleId="Continuarlista">
    <w:name w:val="List Continue"/>
    <w:basedOn w:val="Normal"/>
    <w:pPr>
      <w:spacing w:after="120" w:line="240" w:lineRule="auto"/>
      <w:ind w:left="283"/>
      <w:contextualSpacing/>
    </w:pPr>
    <w:rPr>
      <w:rFonts w:ascii="Tahoma" w:eastAsia="Times New Roman" w:hAnsi="Tahoma" w:cs="Times New Roman"/>
      <w:sz w:val="24"/>
      <w:szCs w:val="24"/>
      <w:lang w:val="es-ES" w:eastAsia="es-ES"/>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pPr>
      <w:autoSpaceDN w:val="0"/>
      <w:spacing w:line="1" w:lineRule="atLeast"/>
      <w:ind w:leftChars="-1" w:left="-1" w:hangingChars="1"/>
      <w:textDirection w:val="btLr"/>
      <w:textAlignment w:val="top"/>
      <w:outlineLvl w:val="0"/>
    </w:pPr>
    <w:rPr>
      <w:rFonts w:ascii="Verdana" w:eastAsia="Times New Roman" w:hAnsi="Verdana" w:cs="Verdana"/>
      <w:kern w:val="3"/>
      <w:position w:val="-1"/>
      <w:lang w:val="es-ES"/>
    </w:rPr>
  </w:style>
  <w:style w:type="table" w:customStyle="1" w:styleId="Tablaconcuadrcula1">
    <w:name w:val="Tabla con cuadrícula1"/>
    <w:basedOn w:val="Tablanormal"/>
    <w:next w:val="Tablaconcuadrcula"/>
    <w:pPr>
      <w:suppressAutoHyphens/>
      <w:spacing w:after="0" w:line="240" w:lineRule="auto"/>
      <w:ind w:leftChars="-1" w:left="-1" w:hangingChars="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pPr>
      <w:suppressAutoHyphens/>
      <w:spacing w:after="0" w:line="240" w:lineRule="auto"/>
      <w:ind w:leftChars="-1" w:left="-1" w:hangingChars="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12912666msonormal">
    <w:name w:val="yiv112912666msonormal"/>
    <w:basedOn w:val="Normal"/>
    <w:pPr>
      <w:spacing w:before="100" w:beforeAutospacing="1" w:after="100" w:afterAutospacing="1" w:line="240" w:lineRule="auto"/>
    </w:pPr>
    <w:rPr>
      <w:rFonts w:ascii="Times New Roman" w:hAnsi="Times New Roman" w:cs="Times New Roman"/>
      <w:sz w:val="24"/>
      <w:szCs w:val="24"/>
      <w:lang w:val="es-ES" w:eastAsia="es-ES"/>
    </w:rPr>
  </w:style>
  <w:style w:type="paragraph" w:customStyle="1" w:styleId="Textoindependiente32">
    <w:name w:val="Texto independiente 32"/>
    <w:basedOn w:val="Normal"/>
    <w:pPr>
      <w:suppressAutoHyphens w:val="0"/>
      <w:spacing w:after="0" w:line="240" w:lineRule="auto"/>
      <w:jc w:val="center"/>
    </w:pPr>
    <w:rPr>
      <w:rFonts w:ascii="Arial" w:eastAsia="Times New Roman" w:hAnsi="Arial" w:cs="Times New Roman"/>
      <w:b/>
      <w:sz w:val="20"/>
      <w:szCs w:val="20"/>
      <w:lang w:val="es-ES" w:eastAsia="es-ES"/>
    </w:rPr>
  </w:style>
  <w:style w:type="character" w:customStyle="1" w:styleId="A9">
    <w:name w:val="A9"/>
    <w:rPr>
      <w:color w:val="211D1E"/>
      <w:w w:val="100"/>
      <w:position w:val="-1"/>
      <w:sz w:val="19"/>
      <w:szCs w:val="19"/>
      <w:effect w:val="none"/>
      <w:vertAlign w:val="baseline"/>
      <w:cs w:val="0"/>
      <w:em w:val="none"/>
    </w:rPr>
  </w:style>
  <w:style w:type="paragraph" w:styleId="Textoindependiente2">
    <w:name w:val="Body Text 2"/>
    <w:basedOn w:val="Normal"/>
    <w:pPr>
      <w:spacing w:after="120" w:line="480" w:lineRule="auto"/>
    </w:pPr>
    <w:rPr>
      <w:rFonts w:ascii="Tahoma" w:eastAsia="Times New Roman" w:hAnsi="Tahoma" w:cs="Times New Roman"/>
      <w:sz w:val="24"/>
      <w:szCs w:val="24"/>
      <w:lang w:val="es-ES" w:eastAsia="es-ES"/>
    </w:rPr>
  </w:style>
  <w:style w:type="character" w:customStyle="1" w:styleId="Textoindependiente2Car">
    <w:name w:val="Texto independiente 2 Car"/>
    <w:rPr>
      <w:rFonts w:ascii="Tahoma" w:eastAsia="Times New Roman" w:hAnsi="Tahoma" w:cs="Times New Roman"/>
      <w:w w:val="100"/>
      <w:position w:val="-1"/>
      <w:sz w:val="24"/>
      <w:szCs w:val="24"/>
      <w:effect w:val="none"/>
      <w:vertAlign w:val="baseline"/>
      <w:cs w:val="0"/>
      <w:em w:val="none"/>
      <w:lang w:val="es-ES" w:eastAsia="es-ES"/>
    </w:rPr>
  </w:style>
  <w:style w:type="paragraph" w:customStyle="1" w:styleId="CM46">
    <w:name w:val="CM46"/>
    <w:basedOn w:val="Default"/>
    <w:next w:val="Default"/>
    <w:rPr>
      <w:color w:val="auto"/>
      <w:lang w:eastAsia="es-ES"/>
    </w:rPr>
  </w:style>
  <w:style w:type="paragraph" w:styleId="Lista">
    <w:name w:val="List"/>
    <w:basedOn w:val="Normal"/>
    <w:qFormat/>
    <w:pPr>
      <w:spacing w:after="200" w:line="276" w:lineRule="auto"/>
      <w:ind w:left="283" w:hanging="283"/>
      <w:contextualSpacing/>
    </w:pPr>
    <w:rPr>
      <w:rFonts w:eastAsia="Times New Roman" w:cs="Times New Roman"/>
      <w:lang w:val="en-US"/>
    </w:rPr>
  </w:style>
  <w:style w:type="paragraph" w:styleId="Descripcin">
    <w:name w:val="caption"/>
    <w:basedOn w:val="Normal"/>
    <w:next w:val="Normal"/>
    <w:qFormat/>
    <w:pPr>
      <w:spacing w:after="200" w:line="240" w:lineRule="auto"/>
    </w:pPr>
    <w:rPr>
      <w:rFonts w:eastAsia="Times New Roman" w:cs="Times New Roman"/>
      <w:b/>
      <w:bCs/>
      <w:color w:val="4F81BD"/>
      <w:sz w:val="18"/>
      <w:szCs w:val="18"/>
      <w:lang w:val="en-US"/>
    </w:rPr>
  </w:style>
  <w:style w:type="numbering" w:customStyle="1" w:styleId="Sinlista1">
    <w:name w:val="Sin lista1"/>
    <w:next w:val="Sinlista"/>
    <w:qFormat/>
  </w:style>
  <w:style w:type="table" w:customStyle="1" w:styleId="Tablaconcuadrcula2">
    <w:name w:val="Tabla con cuadrícula2"/>
    <w:basedOn w:val="Tablanormal"/>
    <w:next w:val="Tablaconcuadrcula"/>
    <w:pPr>
      <w:suppressAutoHyphens/>
      <w:spacing w:after="0" w:line="240" w:lineRule="auto"/>
      <w:ind w:leftChars="-1" w:left="-1" w:hangingChars="1"/>
      <w:textDirection w:val="btLr"/>
      <w:textAlignment w:val="top"/>
      <w:outlineLvl w:val="0"/>
    </w:pPr>
    <w:rPr>
      <w:rFonts w:eastAsia="Times New Roman"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pPr>
      <w:suppressAutoHyphens/>
      <w:spacing w:after="0" w:line="240" w:lineRule="auto"/>
      <w:ind w:leftChars="-1" w:left="-1" w:hangingChars="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pPr>
      <w:suppressAutoHyphens/>
      <w:spacing w:after="0" w:line="240" w:lineRule="auto"/>
      <w:ind w:leftChars="-1" w:left="-1" w:hangingChars="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sinformato">
    <w:name w:val="Plain Text"/>
    <w:basedOn w:val="Normal"/>
    <w:qFormat/>
    <w:pPr>
      <w:spacing w:after="0" w:line="240" w:lineRule="auto"/>
    </w:pPr>
    <w:rPr>
      <w:rFonts w:ascii="Consolas" w:hAnsi="Consolas" w:cs="Times New Roman"/>
      <w:sz w:val="21"/>
      <w:szCs w:val="21"/>
      <w:lang w:val="en-US"/>
    </w:rPr>
  </w:style>
  <w:style w:type="character" w:customStyle="1" w:styleId="TextosinformatoCar">
    <w:name w:val="Texto sin formato Car"/>
    <w:rPr>
      <w:rFonts w:ascii="Consolas" w:eastAsia="Calibri" w:hAnsi="Consolas" w:cs="Times New Roman"/>
      <w:w w:val="100"/>
      <w:position w:val="-1"/>
      <w:sz w:val="21"/>
      <w:szCs w:val="21"/>
      <w:effect w:val="none"/>
      <w:vertAlign w:val="baseline"/>
      <w:cs w:val="0"/>
      <w:em w:val="none"/>
      <w:lang w:val="en-US"/>
    </w:rPr>
  </w:style>
  <w:style w:type="paragraph" w:customStyle="1" w:styleId="western">
    <w:name w:val="western"/>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TTULOSEGUNDONIVELCarListCarList1CarList11CarEYEPM-ListaCarList111CarList1111CarList11111CarList2CarList111111CarCaptuloCarTIT2INDCarList1111111CarFluvial1Cartitulo3CarListParagraphCarlp1Ca">
    <w:name w:val="Párrafo de lista Car;TÍTULO SEGUNDO NIVEL Car;List Car;List1 Car;List11 Car;EY EPM - Lista Car;List111 Car;List1111 Car;List11111 Car;List2 Car;List111111 Car;Capítulo Car;TIT 2 IND Car;List1111111 Car;Fluvial1 Car;titulo 3 Car;List Paragraph Car;lp1 Ca"/>
    <w:rPr>
      <w:w w:val="100"/>
      <w:position w:val="-1"/>
      <w:sz w:val="22"/>
      <w:szCs w:val="22"/>
      <w:effect w:val="none"/>
      <w:vertAlign w:val="baseline"/>
      <w:cs w:val="0"/>
      <w:em w:val="none"/>
      <w:lang w:val="en-US" w:eastAsia="en-US"/>
    </w:rPr>
  </w:style>
  <w:style w:type="character" w:styleId="Nmerodepgina">
    <w:name w:val="page number"/>
    <w:rPr>
      <w:w w:val="100"/>
      <w:position w:val="-1"/>
      <w:effect w:val="none"/>
      <w:vertAlign w:val="baseline"/>
      <w:cs w:val="0"/>
      <w:em w:val="none"/>
    </w:rPr>
  </w:style>
  <w:style w:type="character" w:styleId="nfasis">
    <w:name w:val="Emphasis"/>
    <w:rPr>
      <w:i/>
      <w:iCs/>
      <w:w w:val="100"/>
      <w:position w:val="-1"/>
      <w:effect w:val="none"/>
      <w:vertAlign w:val="baseline"/>
      <w:cs w:val="0"/>
      <w:em w:val="none"/>
    </w:rPr>
  </w:style>
  <w:style w:type="paragraph" w:customStyle="1" w:styleId="textradi">
    <w:name w:val="text_radi"/>
    <w:basedOn w:val="Normal"/>
    <w:pPr>
      <w:autoSpaceDN w:val="0"/>
      <w:spacing w:after="0" w:line="240" w:lineRule="auto"/>
      <w:jc w:val="both"/>
    </w:pPr>
    <w:rPr>
      <w:rFonts w:ascii="Times New Roman" w:hAnsi="Times New Roman" w:cs="Times New Roman"/>
      <w:sz w:val="24"/>
      <w:szCs w:val="24"/>
      <w:lang w:eastAsia="es-CO"/>
    </w:rPr>
  </w:style>
  <w:style w:type="character" w:customStyle="1" w:styleId="apple-converted-space">
    <w:name w:val="apple-converted-space"/>
    <w:rPr>
      <w:w w:val="100"/>
      <w:position w:val="-1"/>
      <w:effect w:val="none"/>
      <w:vertAlign w:val="baseline"/>
      <w:cs w:val="0"/>
      <w:em w:val="none"/>
    </w:rPr>
  </w:style>
  <w:style w:type="character" w:styleId="nfasissutil">
    <w:name w:val="Subtle Emphasis"/>
    <w:rPr>
      <w:i/>
      <w:iCs/>
      <w:color w:val="808080"/>
      <w:w w:val="100"/>
      <w:position w:val="-1"/>
      <w:effect w:val="none"/>
      <w:vertAlign w:val="baseline"/>
      <w:cs w:val="0"/>
      <w:em w:val="none"/>
    </w:rPr>
  </w:style>
  <w:style w:type="paragraph" w:customStyle="1" w:styleId="BodyText21">
    <w:name w:val="Body Text 21"/>
    <w:basedOn w:val="Normal"/>
    <w:pPr>
      <w:spacing w:after="0" w:line="240" w:lineRule="auto"/>
    </w:pPr>
    <w:rPr>
      <w:rFonts w:ascii="Times New Roman" w:eastAsia="Times New Roman" w:hAnsi="Times New Roman" w:cs="Times New Roman"/>
      <w:sz w:val="28"/>
      <w:szCs w:val="20"/>
      <w:lang w:val="es-ES" w:eastAsia="es-ES"/>
    </w:rPr>
  </w:style>
  <w:style w:type="paragraph" w:customStyle="1" w:styleId="bodytext3">
    <w:name w:val="bodytext3"/>
    <w:basedOn w:val="Normal"/>
    <w:pPr>
      <w:spacing w:after="0" w:line="240" w:lineRule="auto"/>
      <w:ind w:right="51"/>
      <w:jc w:val="both"/>
    </w:pPr>
    <w:rPr>
      <w:rFonts w:ascii="Times New Roman" w:hAnsi="Times New Roman" w:cs="Times New Roman"/>
      <w:sz w:val="24"/>
      <w:szCs w:val="24"/>
      <w:lang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pPr>
      <w:spacing w:line="240" w:lineRule="atLeast"/>
    </w:pPr>
    <w:rPr>
      <w:rFonts w:ascii="Verdana" w:eastAsia="Times New Roman" w:hAnsi="Verdana" w:cs="Times New Roman"/>
      <w:sz w:val="20"/>
      <w:szCs w:val="20"/>
      <w:lang w:val="en-US"/>
    </w:rPr>
  </w:style>
  <w:style w:type="paragraph" w:styleId="Continuarlista2">
    <w:name w:val="List Continue 2"/>
    <w:basedOn w:val="Normal"/>
    <w:qFormat/>
    <w:pPr>
      <w:spacing w:after="120" w:line="276" w:lineRule="auto"/>
      <w:ind w:left="566"/>
      <w:contextualSpacing/>
    </w:pPr>
    <w:rPr>
      <w:rFonts w:eastAsia="Times New Roman" w:cs="Times New Roman"/>
      <w:lang w:val="en-US"/>
    </w:rPr>
  </w:style>
  <w:style w:type="character" w:customStyle="1" w:styleId="A4">
    <w:name w:val="A4"/>
    <w:rPr>
      <w:rFonts w:ascii="HelveticaNeue LightCond" w:hAnsi="HelveticaNeue LightCond" w:cs="HelveticaNeue LightCond" w:hint="default"/>
      <w:color w:val="221E1F"/>
      <w:w w:val="100"/>
      <w:position w:val="-1"/>
      <w:sz w:val="18"/>
      <w:szCs w:val="18"/>
      <w:effect w:val="none"/>
      <w:vertAlign w:val="baseline"/>
      <w:cs w:val="0"/>
      <w:em w:val="none"/>
    </w:rPr>
  </w:style>
  <w:style w:type="paragraph" w:customStyle="1" w:styleId="ttulo2pliego0">
    <w:name w:val="ttulo2pliego"/>
    <w:basedOn w:val="Normal"/>
    <w:pPr>
      <w:autoSpaceDE w:val="0"/>
      <w:autoSpaceDN w:val="0"/>
      <w:spacing w:before="28" w:after="0" w:line="247" w:lineRule="atLeast"/>
    </w:pPr>
    <w:rPr>
      <w:rFonts w:ascii="Tahoma" w:hAnsi="Tahoma" w:cs="Tahoma"/>
      <w:b/>
      <w:bCs/>
      <w:sz w:val="20"/>
      <w:szCs w:val="20"/>
      <w:lang w:eastAsia="es-CO"/>
    </w:rPr>
  </w:style>
  <w:style w:type="character" w:customStyle="1" w:styleId="Listavistosa-nfasis1Car">
    <w:name w:val="Lista vistosa - Énfasis 1 Car"/>
    <w:rPr>
      <w:w w:val="100"/>
      <w:position w:val="-1"/>
      <w:sz w:val="22"/>
      <w:szCs w:val="22"/>
      <w:effect w:val="none"/>
      <w:vertAlign w:val="baseline"/>
      <w:cs w:val="0"/>
      <w:em w:val="none"/>
      <w:lang w:eastAsia="en-US"/>
    </w:rPr>
  </w:style>
  <w:style w:type="table" w:styleId="Listavistosa-nfasis1">
    <w:name w:val="Colorful List Accent 1"/>
    <w:basedOn w:val="Tablanormal"/>
    <w:pPr>
      <w:suppressAutoHyphens/>
      <w:spacing w:after="0" w:line="240" w:lineRule="auto"/>
      <w:ind w:leftChars="-1" w:left="-1" w:hangingChars="1"/>
      <w:textDirection w:val="btLr"/>
      <w:textAlignment w:val="top"/>
      <w:outlineLvl w:val="0"/>
    </w:pPr>
    <w:rPr>
      <w:position w:val="-1"/>
    </w:rPr>
    <w:tblPr>
      <w:tblStyleRowBandSize w:val="1"/>
      <w:tblStyleColBandSize w:val="1"/>
    </w:tblPr>
  </w:style>
  <w:style w:type="paragraph" w:customStyle="1" w:styleId="ttulo2pliego00">
    <w:name w:val="ttulo2pliego0"/>
    <w:basedOn w:val="Normal"/>
    <w:pPr>
      <w:autoSpaceDE w:val="0"/>
      <w:autoSpaceDN w:val="0"/>
      <w:spacing w:before="28" w:after="0" w:line="247" w:lineRule="atLeast"/>
    </w:pPr>
    <w:rPr>
      <w:rFonts w:ascii="Tahoma" w:hAnsi="Tahoma" w:cs="Tahoma"/>
      <w:b/>
      <w:bCs/>
      <w:sz w:val="21"/>
      <w:szCs w:val="21"/>
      <w:lang w:eastAsia="es-CO"/>
    </w:rPr>
  </w:style>
  <w:style w:type="paragraph" w:styleId="Listaconnmeros2">
    <w:name w:val="List Number 2"/>
    <w:basedOn w:val="Normal"/>
    <w:pPr>
      <w:numPr>
        <w:numId w:val="3"/>
      </w:numPr>
      <w:spacing w:after="0" w:line="240" w:lineRule="auto"/>
      <w:ind w:left="0" w:firstLine="0"/>
    </w:pPr>
    <w:rPr>
      <w:rFonts w:ascii="Times New Roman" w:eastAsia="Times New Roman" w:hAnsi="Times New Roman" w:cs="Times New Roman"/>
      <w:sz w:val="24"/>
      <w:szCs w:val="24"/>
      <w:lang w:val="es-ES" w:eastAsia="es-ES"/>
    </w:rPr>
  </w:style>
  <w:style w:type="character" w:styleId="Hipervnculovisitado">
    <w:name w:val="FollowedHyperlink"/>
    <w:qFormat/>
    <w:rPr>
      <w:color w:val="800080"/>
      <w:w w:val="100"/>
      <w:position w:val="-1"/>
      <w:u w:val="single"/>
      <w:effect w:val="none"/>
      <w:vertAlign w:val="baseline"/>
      <w:cs w:val="0"/>
      <w:em w:val="none"/>
    </w:rPr>
  </w:style>
  <w:style w:type="paragraph" w:styleId="Sinespaciado">
    <w:name w:val="No Spacing"/>
    <w:pPr>
      <w:suppressAutoHyphens/>
      <w:spacing w:line="1" w:lineRule="atLeast"/>
      <w:ind w:leftChars="-1" w:left="-1" w:hangingChars="1"/>
      <w:textDirection w:val="btLr"/>
      <w:textAlignment w:val="top"/>
      <w:outlineLvl w:val="0"/>
    </w:pPr>
    <w:rPr>
      <w:position w:val="-1"/>
      <w:lang w:val="en-US" w:eastAsia="en-US"/>
    </w:rPr>
  </w:style>
  <w:style w:type="paragraph" w:customStyle="1" w:styleId="Car">
    <w:name w:val="Car"/>
    <w:basedOn w:val="Normal"/>
    <w:pPr>
      <w:spacing w:line="240" w:lineRule="atLeast"/>
    </w:pPr>
    <w:rPr>
      <w:rFonts w:ascii="Verdana" w:eastAsia="Times New Roman" w:hAnsi="Verdana" w:cs="Times New Roman"/>
      <w:sz w:val="20"/>
      <w:szCs w:val="20"/>
      <w:lang w:val="en-US"/>
    </w:rPr>
  </w:style>
  <w:style w:type="character" w:customStyle="1" w:styleId="Ttulo1Car1SectionCar1Head1Car1TablaContenido1Car1CAPITULOCar1h1Car1IICar1ICar1chapterCar1section1Car1level1Car1Level1HeadCar1H1Car1h11Car1II1Car1h12Car1II2Car1I1Car1chapter1Car1section11Car1H11Car">
    <w:name w:val="Título 1 Car1;Section Car1;Head1 Car1;Tabla Contenido 1 Car1;CAPITULO Car1;h1 Car1;II+ Car1;I Car1;chapter Car1;section:1 Car1;level 1 Car1;Level 1 Head Car1;H1 Car1;h11 Car1;II+1 Car1;h12 Car1;II+2 Car1;I1 Car1;chapter1 Car1;section:11 Car1;H11 Car"/>
    <w:rPr>
      <w:rFonts w:ascii="Cambria" w:hAnsi="Cambria" w:hint="default"/>
      <w:b/>
      <w:bCs/>
      <w:color w:val="365F91"/>
      <w:w w:val="100"/>
      <w:position w:val="-1"/>
      <w:effect w:val="none"/>
      <w:vertAlign w:val="baseline"/>
      <w:cs w:val="0"/>
      <w:em w:val="none"/>
      <w:lang w:eastAsia="en-US"/>
    </w:rPr>
  </w:style>
  <w:style w:type="character" w:customStyle="1" w:styleId="Ttulo2Car2Edgar2Car1Ttulo2Car1Car1Ttulo2CarCarCarCarCarCar1Edgar2CarCarCarCarCarCar1Ttulo2CarCarCarCarCar2Edgar2CarCarCarCarCar2">
    <w:name w:val="Título 2 Car2;Edgar 2 Car1;Título 2 Car1 Car1;Título 2 Car Car Car Car Car Car1;Edgar 2 Car Car Car Car Car Car1;Título 2 Car Car Car Car Car2;Edgar 2 Car Car Car Car Car2"/>
    <w:rPr>
      <w:rFonts w:ascii="Cambria" w:hAnsi="Cambria" w:hint="default"/>
      <w:b/>
      <w:bCs/>
      <w:color w:val="4F81BD"/>
      <w:w w:val="100"/>
      <w:position w:val="-1"/>
      <w:effect w:val="none"/>
      <w:vertAlign w:val="baseline"/>
      <w:cs w:val="0"/>
      <w:em w:val="none"/>
      <w:lang w:eastAsia="en-US"/>
    </w:rPr>
  </w:style>
  <w:style w:type="character" w:customStyle="1" w:styleId="Ttulo3Car1SubhdAppCar1Titulo1Car1Ttulo3CarCarCar1BHeadCar1SectionHeader3Car1H3Car1h3Car1Level3TopicHeadingCar1OrgHeading1Car1h31Car1h32Car1h33Car1h311Car1h321Car1h34Car1h312Car1h322Car1h35Car1H31Car1">
    <w:name w:val="Título 3 Car1;Subhd App Car1;Titulo 1 Car1;Título 3 Car Car Car1;B Head Car1;Section Header3 Car1;H3 Car1;h3 Car1;Level 3 Topic Heading Car1;Org Heading 1 Car1;h31 Car1;h32 Car1;h33 Car1;h311 Car1;h321 Car1;h34 Car1;h312 Car1;h322 Car1;h35 Car1;H31 Car1"/>
    <w:rPr>
      <w:rFonts w:ascii="Cambria" w:hAnsi="Cambria" w:hint="default"/>
      <w:b/>
      <w:bCs/>
      <w:color w:val="4F81BD"/>
      <w:w w:val="100"/>
      <w:position w:val="-1"/>
      <w:effect w:val="none"/>
      <w:vertAlign w:val="baseline"/>
      <w:cs w:val="0"/>
      <w:em w:val="none"/>
      <w:lang w:eastAsia="en-US"/>
    </w:rPr>
  </w:style>
  <w:style w:type="character" w:customStyle="1" w:styleId="TextoindependienteCar1bodytextCar1btCar1BodytextCar1TextindepT2Car1TableBullet1Car1bodytesxCar1contentsCar1">
    <w:name w:val="Texto independiente Car1;body text Car1;bt Car1;Bodytext Car1;TextindepT2 Car1;Table Bullet 1 Car1;body tesx Car1;contents Car1"/>
    <w:rPr>
      <w:w w:val="100"/>
      <w:position w:val="-1"/>
      <w:sz w:val="24"/>
      <w:szCs w:val="24"/>
      <w:effect w:val="none"/>
      <w:vertAlign w:val="baseline"/>
      <w:cs w:val="0"/>
      <w:em w:val="none"/>
      <w:lang w:val="es-ES" w:eastAsia="es-ES"/>
    </w:rPr>
  </w:style>
  <w:style w:type="character" w:customStyle="1" w:styleId="estilocorreo92">
    <w:name w:val="estilocorreo92"/>
    <w:rPr>
      <w:rFonts w:ascii="Calibri" w:hAnsi="Calibri" w:hint="default"/>
      <w:color w:val="auto"/>
      <w:w w:val="100"/>
      <w:position w:val="-1"/>
      <w:effect w:val="none"/>
      <w:vertAlign w:val="baseline"/>
      <w:cs w:val="0"/>
      <w:em w:val="none"/>
    </w:rPr>
  </w:style>
  <w:style w:type="character" w:customStyle="1" w:styleId="estilocorreo98">
    <w:name w:val="estilocorreo98"/>
    <w:rPr>
      <w:rFonts w:ascii="Calibri" w:hAnsi="Calibri" w:hint="default"/>
      <w:color w:val="1F497D"/>
      <w:w w:val="100"/>
      <w:position w:val="-1"/>
      <w:effect w:val="none"/>
      <w:vertAlign w:val="baseline"/>
      <w:cs w:val="0"/>
      <w:em w:val="none"/>
    </w:rPr>
  </w:style>
  <w:style w:type="numbering" w:customStyle="1" w:styleId="WW8Num35">
    <w:name w:val="WW8Num35"/>
    <w:basedOn w:val="Sinlista"/>
  </w:style>
  <w:style w:type="paragraph" w:customStyle="1" w:styleId="standard0">
    <w:name w:val="standard"/>
    <w:basedOn w:val="Normal"/>
    <w:pPr>
      <w:autoSpaceDN w:val="0"/>
      <w:spacing w:after="0" w:line="240" w:lineRule="auto"/>
    </w:pPr>
    <w:rPr>
      <w:rFonts w:ascii="Verdana" w:hAnsi="Verdana" w:cs="Times New Roman"/>
      <w:lang w:eastAsia="es-CO"/>
    </w:rPr>
  </w:style>
  <w:style w:type="paragraph" w:customStyle="1" w:styleId="default0">
    <w:name w:val="default"/>
    <w:basedOn w:val="Normal"/>
    <w:pPr>
      <w:autoSpaceDE w:val="0"/>
      <w:autoSpaceDN w:val="0"/>
      <w:spacing w:after="0" w:line="240" w:lineRule="auto"/>
    </w:pPr>
    <w:rPr>
      <w:rFonts w:cs="Times New Roman"/>
      <w:color w:val="000000"/>
      <w:sz w:val="24"/>
      <w:szCs w:val="24"/>
      <w:lang w:eastAsia="es-CO"/>
    </w:rPr>
  </w:style>
  <w:style w:type="paragraph" w:customStyle="1" w:styleId="Heading">
    <w:name w:val="Heading"/>
    <w:basedOn w:val="Standard"/>
    <w:pPr>
      <w:suppressLineNumbers/>
      <w:textAlignment w:val="baseline"/>
    </w:pPr>
  </w:style>
  <w:style w:type="paragraph" w:customStyle="1" w:styleId="Textbody">
    <w:name w:val="Text body"/>
    <w:basedOn w:val="Standard"/>
    <w:pPr>
      <w:spacing w:after="120"/>
      <w:textAlignment w:val="baseline"/>
    </w:pPr>
  </w:style>
  <w:style w:type="paragraph" w:customStyle="1" w:styleId="Epgrafe1">
    <w:name w:val="Epígrafe1"/>
    <w:basedOn w:val="Standard"/>
    <w:pPr>
      <w:suppressLineNumbers/>
      <w:spacing w:before="120" w:after="120"/>
      <w:textAlignment w:val="baseline"/>
    </w:pPr>
    <w:rPr>
      <w:i/>
      <w:iCs/>
      <w:sz w:val="24"/>
      <w:szCs w:val="24"/>
    </w:rPr>
  </w:style>
  <w:style w:type="paragraph" w:customStyle="1" w:styleId="Index">
    <w:name w:val="Index"/>
    <w:basedOn w:val="Standard"/>
    <w:pPr>
      <w:suppressLineNumbers/>
      <w:textAlignment w:val="baseline"/>
    </w:pPr>
  </w:style>
  <w:style w:type="paragraph" w:customStyle="1" w:styleId="Textbodyindent">
    <w:name w:val="Text body indent"/>
    <w:basedOn w:val="Standard"/>
    <w:pPr>
      <w:ind w:left="1418" w:hanging="1418"/>
      <w:jc w:val="both"/>
      <w:textAlignment w:val="baseline"/>
    </w:pPr>
    <w:rPr>
      <w:b/>
      <w:bCs/>
    </w:rPr>
  </w:style>
  <w:style w:type="paragraph" w:customStyle="1" w:styleId="TableContents">
    <w:name w:val="Table Contents"/>
    <w:basedOn w:val="Standard"/>
    <w:pPr>
      <w:suppressLineNumbers/>
      <w:textAlignment w:val="baseline"/>
    </w:pPr>
  </w:style>
  <w:style w:type="paragraph" w:customStyle="1" w:styleId="TableHeading">
    <w:name w:val="Table Heading"/>
    <w:basedOn w:val="TableContents"/>
    <w:pPr>
      <w:jc w:val="center"/>
    </w:pPr>
    <w:rPr>
      <w:b/>
      <w:bCs/>
    </w:rPr>
  </w:style>
  <w:style w:type="paragraph" w:customStyle="1" w:styleId="Encabezadodemensaje1">
    <w:name w:val="Encabezado de mensaje1"/>
    <w:basedOn w:val="Standard"/>
    <w:pPr>
      <w:pBdr>
        <w:top w:val="single" w:sz="4" w:space="0" w:color="000000"/>
        <w:left w:val="single" w:sz="4" w:space="0" w:color="000000"/>
        <w:bottom w:val="single" w:sz="4" w:space="0" w:color="000000"/>
        <w:right w:val="single" w:sz="4" w:space="0" w:color="000000"/>
      </w:pBdr>
      <w:shd w:val="clear" w:color="auto" w:fill="CCCCCC"/>
      <w:suppressAutoHyphens/>
      <w:ind w:left="1134" w:hanging="1134"/>
      <w:textAlignment w:val="baseline"/>
    </w:pPr>
    <w:rPr>
      <w:rFonts w:ascii="Arial" w:hAnsi="Arial" w:cs="Arial"/>
      <w:sz w:val="20"/>
      <w:szCs w:val="20"/>
      <w:lang w:val="es-CO"/>
    </w:rPr>
  </w:style>
  <w:style w:type="paragraph" w:styleId="Firma">
    <w:name w:val="Signature"/>
    <w:basedOn w:val="Standard"/>
    <w:pPr>
      <w:suppressAutoHyphens/>
      <w:ind w:left="4252"/>
      <w:textAlignment w:val="baseline"/>
    </w:pPr>
    <w:rPr>
      <w:rFonts w:ascii="Times New Roman" w:hAnsi="Times New Roman" w:cs="Times New Roman"/>
      <w:sz w:val="20"/>
      <w:szCs w:val="20"/>
      <w:lang w:val="es-CO"/>
    </w:rPr>
  </w:style>
  <w:style w:type="character" w:customStyle="1" w:styleId="FirmaCar">
    <w:name w:val="Firma Car"/>
    <w:rPr>
      <w:rFonts w:ascii="Times New Roman" w:eastAsia="Times New Roman" w:hAnsi="Times New Roman" w:cs="Times New Roman"/>
      <w:w w:val="100"/>
      <w:kern w:val="3"/>
      <w:position w:val="-1"/>
      <w:sz w:val="20"/>
      <w:szCs w:val="20"/>
      <w:effect w:val="none"/>
      <w:vertAlign w:val="baseline"/>
      <w:cs w:val="0"/>
      <w:em w:val="none"/>
      <w:lang w:eastAsia="es-CO"/>
    </w:rPr>
  </w:style>
  <w:style w:type="paragraph" w:customStyle="1" w:styleId="Leadereferencia2">
    <w:name w:val="L?ea de referencia2"/>
    <w:basedOn w:val="Textbody"/>
    <w:pPr>
      <w:suppressAutoHyphens/>
      <w:autoSpaceDE w:val="0"/>
      <w:spacing w:after="0"/>
      <w:jc w:val="both"/>
    </w:pPr>
    <w:rPr>
      <w:rFonts w:ascii="Arial" w:hAnsi="Arial" w:cs="Arial"/>
      <w:lang w:val="es-CO"/>
    </w:rPr>
  </w:style>
  <w:style w:type="paragraph" w:customStyle="1" w:styleId="Encabezadodemensaje2">
    <w:name w:val="Encabezado de mensaje2"/>
    <w:basedOn w:val="Standard"/>
    <w:pPr>
      <w:pBdr>
        <w:top w:val="single" w:sz="4" w:space="0" w:color="000000"/>
        <w:left w:val="single" w:sz="4" w:space="0" w:color="000000"/>
        <w:bottom w:val="single" w:sz="4" w:space="0" w:color="000000"/>
        <w:right w:val="single" w:sz="4" w:space="0" w:color="000000"/>
      </w:pBdr>
      <w:shd w:val="clear" w:color="auto" w:fill="CCCCCC"/>
      <w:suppressAutoHyphens/>
      <w:ind w:left="1134" w:hanging="1134"/>
      <w:textAlignment w:val="baseline"/>
    </w:pPr>
    <w:rPr>
      <w:rFonts w:ascii="Arial" w:hAnsi="Arial" w:cs="Arial"/>
      <w:sz w:val="20"/>
      <w:szCs w:val="20"/>
      <w:lang w:val="es-CO"/>
    </w:rPr>
  </w:style>
  <w:style w:type="paragraph" w:customStyle="1" w:styleId="Cierre1">
    <w:name w:val="Cierre1"/>
    <w:basedOn w:val="Textbody"/>
    <w:next w:val="Standard"/>
    <w:pPr>
      <w:keepNext/>
      <w:widowControl w:val="0"/>
      <w:suppressAutoHyphens/>
    </w:pPr>
    <w:rPr>
      <w:rFonts w:ascii="Arial" w:hAnsi="Arial" w:cs="Arial"/>
      <w:lang w:val="es-CO"/>
    </w:rPr>
  </w:style>
  <w:style w:type="paragraph" w:customStyle="1" w:styleId="Ttulo11">
    <w:name w:val="Título1"/>
    <w:basedOn w:val="Normal"/>
    <w:next w:val="Normal"/>
    <w:pPr>
      <w:widowControl w:val="0"/>
      <w:suppressAutoHyphens w:val="0"/>
      <w:autoSpaceDN w:val="0"/>
      <w:spacing w:after="300" w:line="240" w:lineRule="auto"/>
      <w:textAlignment w:val="baseline"/>
    </w:pPr>
    <w:rPr>
      <w:rFonts w:ascii="Cambria" w:eastAsia="Times New Roman" w:hAnsi="Cambria" w:cs="Times New Roman"/>
      <w:color w:val="17365D"/>
      <w:spacing w:val="5"/>
      <w:kern w:val="3"/>
      <w:sz w:val="52"/>
      <w:szCs w:val="52"/>
      <w:lang w:val="en-US"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Cambria" w:eastAsia="Times New Roman" w:hAnsi="Cambria" w:cs="Times New Roman"/>
      <w:i/>
      <w:iCs/>
      <w:color w:val="4F81BD"/>
      <w:spacing w:val="15"/>
      <w:w w:val="100"/>
      <w:kern w:val="3"/>
      <w:position w:val="-1"/>
      <w:sz w:val="24"/>
      <w:szCs w:val="24"/>
      <w:effect w:val="none"/>
      <w:vertAlign w:val="baseline"/>
      <w:cs w:val="0"/>
      <w:em w:val="none"/>
      <w:lang w:val="en-US" w:eastAsia="es-CO"/>
    </w:rPr>
  </w:style>
  <w:style w:type="paragraph" w:customStyle="1" w:styleId="Firma1">
    <w:name w:val="Firma1"/>
    <w:basedOn w:val="Standard"/>
    <w:pPr>
      <w:suppressAutoHyphens/>
      <w:ind w:left="4252"/>
      <w:textAlignment w:val="baseline"/>
    </w:pPr>
    <w:rPr>
      <w:rFonts w:ascii="Times New Roman" w:hAnsi="Times New Roman" w:cs="Times New Roman"/>
      <w:sz w:val="20"/>
      <w:szCs w:val="20"/>
      <w:lang w:val="es-CO"/>
    </w:rPr>
  </w:style>
  <w:style w:type="character" w:customStyle="1" w:styleId="WW8Num1z0">
    <w:name w:val="WW8Num1z0"/>
    <w:rPr>
      <w:w w:val="100"/>
      <w:position w:val="-1"/>
      <w:effect w:val="none"/>
      <w:vertAlign w:val="baseline"/>
      <w:cs w:val="0"/>
      <w:em w:val="none"/>
    </w:rPr>
  </w:style>
  <w:style w:type="character" w:customStyle="1" w:styleId="Fuentedeprrafopredeter27">
    <w:name w:val="Fuente de párrafo predeter.27"/>
    <w:rPr>
      <w:w w:val="100"/>
      <w:position w:val="-1"/>
      <w:effect w:val="none"/>
      <w:vertAlign w:val="baseline"/>
      <w:cs w:val="0"/>
      <w:em w:val="none"/>
    </w:rPr>
  </w:style>
  <w:style w:type="character" w:customStyle="1" w:styleId="Fuentedeprrafopredeter26">
    <w:name w:val="Fuente de párrafo predeter.26"/>
    <w:rPr>
      <w:w w:val="100"/>
      <w:position w:val="-1"/>
      <w:effect w:val="none"/>
      <w:vertAlign w:val="baseline"/>
      <w:cs w:val="0"/>
      <w:em w:val="none"/>
    </w:rPr>
  </w:style>
  <w:style w:type="character" w:customStyle="1" w:styleId="Fuentedeprrafopredeter25">
    <w:name w:val="Fuente de párrafo predeter.25"/>
    <w:rPr>
      <w:w w:val="100"/>
      <w:position w:val="-1"/>
      <w:effect w:val="none"/>
      <w:vertAlign w:val="baseline"/>
      <w:cs w:val="0"/>
      <w:em w:val="none"/>
    </w:rPr>
  </w:style>
  <w:style w:type="character" w:customStyle="1" w:styleId="Fuentedeprrafopredeter24">
    <w:name w:val="Fuente de párrafo predeter.24"/>
    <w:rPr>
      <w:w w:val="100"/>
      <w:position w:val="-1"/>
      <w:effect w:val="none"/>
      <w:vertAlign w:val="baseline"/>
      <w:cs w:val="0"/>
      <w:em w:val="none"/>
    </w:rPr>
  </w:style>
  <w:style w:type="character" w:customStyle="1" w:styleId="Fuentedeprrafopredeter23">
    <w:name w:val="Fuente de párrafo predeter.23"/>
    <w:rPr>
      <w:w w:val="100"/>
      <w:position w:val="-1"/>
      <w:effect w:val="none"/>
      <w:vertAlign w:val="baseline"/>
      <w:cs w:val="0"/>
      <w:em w:val="none"/>
    </w:rPr>
  </w:style>
  <w:style w:type="character" w:customStyle="1" w:styleId="Fuentedeprrafopredeter22">
    <w:name w:val="Fuente de párrafo predeter.22"/>
    <w:rPr>
      <w:w w:val="100"/>
      <w:position w:val="-1"/>
      <w:effect w:val="none"/>
      <w:vertAlign w:val="baseline"/>
      <w:cs w:val="0"/>
      <w:em w:val="none"/>
    </w:rPr>
  </w:style>
  <w:style w:type="character" w:customStyle="1" w:styleId="Fuentedeprrafopredeter21">
    <w:name w:val="Fuente de párrafo predeter.21"/>
    <w:rPr>
      <w:w w:val="100"/>
      <w:position w:val="-1"/>
      <w:effect w:val="none"/>
      <w:vertAlign w:val="baseline"/>
      <w:cs w:val="0"/>
      <w:em w:val="none"/>
    </w:rPr>
  </w:style>
  <w:style w:type="character" w:customStyle="1" w:styleId="Fuentedeprrafopredeter20">
    <w:name w:val="Fuente de párrafo predeter.20"/>
    <w:rPr>
      <w:w w:val="100"/>
      <w:position w:val="-1"/>
      <w:effect w:val="none"/>
      <w:vertAlign w:val="baseline"/>
      <w:cs w:val="0"/>
      <w:em w:val="none"/>
    </w:rPr>
  </w:style>
  <w:style w:type="character" w:customStyle="1" w:styleId="Fuentedeprrafopredeter19">
    <w:name w:val="Fuente de párrafo predeter.19"/>
    <w:rPr>
      <w:w w:val="100"/>
      <w:position w:val="-1"/>
      <w:effect w:val="none"/>
      <w:vertAlign w:val="baseline"/>
      <w:cs w:val="0"/>
      <w:em w:val="none"/>
    </w:rPr>
  </w:style>
  <w:style w:type="character" w:customStyle="1" w:styleId="Fuentedeprrafopredeter18">
    <w:name w:val="Fuente de párrafo predeter.18"/>
    <w:rPr>
      <w:w w:val="100"/>
      <w:position w:val="-1"/>
      <w:effect w:val="none"/>
      <w:vertAlign w:val="baseline"/>
      <w:cs w:val="0"/>
      <w:em w:val="none"/>
    </w:rPr>
  </w:style>
  <w:style w:type="character" w:customStyle="1" w:styleId="Fuentedeprrafopredeter17">
    <w:name w:val="Fuente de párrafo predeter.17"/>
    <w:rPr>
      <w:w w:val="100"/>
      <w:position w:val="-1"/>
      <w:effect w:val="none"/>
      <w:vertAlign w:val="baseline"/>
      <w:cs w:val="0"/>
      <w:em w:val="none"/>
    </w:rPr>
  </w:style>
  <w:style w:type="character" w:customStyle="1" w:styleId="Fuentedeprrafopredeter16">
    <w:name w:val="Fuente de párrafo predeter.16"/>
    <w:rPr>
      <w:w w:val="100"/>
      <w:position w:val="-1"/>
      <w:effect w:val="none"/>
      <w:vertAlign w:val="baseline"/>
      <w:cs w:val="0"/>
      <w:em w:val="none"/>
    </w:rPr>
  </w:style>
  <w:style w:type="character" w:customStyle="1" w:styleId="Fuentedeprrafopredeter15">
    <w:name w:val="Fuente de párrafo predeter.15"/>
    <w:rPr>
      <w:w w:val="100"/>
      <w:position w:val="-1"/>
      <w:effect w:val="none"/>
      <w:vertAlign w:val="baseline"/>
      <w:cs w:val="0"/>
      <w:em w:val="none"/>
    </w:rPr>
  </w:style>
  <w:style w:type="character" w:customStyle="1" w:styleId="Fuentedeprrafopredeter14">
    <w:name w:val="Fuente de párrafo predeter.14"/>
    <w:rPr>
      <w:w w:val="100"/>
      <w:position w:val="-1"/>
      <w:effect w:val="none"/>
      <w:vertAlign w:val="baseline"/>
      <w:cs w:val="0"/>
      <w:em w:val="none"/>
    </w:rPr>
  </w:style>
  <w:style w:type="character" w:customStyle="1" w:styleId="Fuentedeprrafopredeter13">
    <w:name w:val="Fuente de párrafo predeter.13"/>
    <w:rPr>
      <w:w w:val="100"/>
      <w:position w:val="-1"/>
      <w:effect w:val="none"/>
      <w:vertAlign w:val="baseline"/>
      <w:cs w:val="0"/>
      <w:em w:val="none"/>
    </w:rPr>
  </w:style>
  <w:style w:type="character" w:customStyle="1" w:styleId="Fuentedeprrafopredeter12">
    <w:name w:val="Fuente de párrafo predeter.12"/>
    <w:rPr>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Fuentedeprrafopredeter10">
    <w:name w:val="Fuente de párrafo predeter.10"/>
    <w:rPr>
      <w:w w:val="100"/>
      <w:position w:val="-1"/>
      <w:effect w:val="none"/>
      <w:vertAlign w:val="baseline"/>
      <w:cs w:val="0"/>
      <w:em w:val="none"/>
    </w:rPr>
  </w:style>
  <w:style w:type="character" w:customStyle="1" w:styleId="Fuentedeprrafopredeter9">
    <w:name w:val="Fuente de párrafo predeter.9"/>
    <w:rPr>
      <w:w w:val="100"/>
      <w:position w:val="-1"/>
      <w:effect w:val="none"/>
      <w:vertAlign w:val="baseline"/>
      <w:cs w:val="0"/>
      <w:em w:val="none"/>
    </w:rPr>
  </w:style>
  <w:style w:type="character" w:customStyle="1" w:styleId="Fuentedeprrafopredeter8">
    <w:name w:val="Fuente de párrafo predeter.8"/>
    <w:rPr>
      <w:w w:val="100"/>
      <w:position w:val="-1"/>
      <w:effect w:val="none"/>
      <w:vertAlign w:val="baseline"/>
      <w:cs w:val="0"/>
      <w:em w:val="none"/>
    </w:rPr>
  </w:style>
  <w:style w:type="character" w:customStyle="1" w:styleId="Fuentedeprrafopredeter7">
    <w:name w:val="Fuente de párrafo predeter.7"/>
    <w:rPr>
      <w:w w:val="100"/>
      <w:position w:val="-1"/>
      <w:effect w:val="none"/>
      <w:vertAlign w:val="baseline"/>
      <w:cs w:val="0"/>
      <w:em w:val="none"/>
    </w:rPr>
  </w:style>
  <w:style w:type="character" w:customStyle="1" w:styleId="Fuentedeprrafopredeter6">
    <w:name w:val="Fuente de párrafo predeter.6"/>
    <w:rPr>
      <w:w w:val="100"/>
      <w:position w:val="-1"/>
      <w:effect w:val="none"/>
      <w:vertAlign w:val="baseline"/>
      <w:cs w:val="0"/>
      <w:em w:val="none"/>
    </w:rPr>
  </w:style>
  <w:style w:type="character" w:customStyle="1" w:styleId="Fuentedeprrafopredeter5">
    <w:name w:val="Fuente de párrafo predeter.5"/>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Internetlink">
    <w:name w:val="Internet link"/>
    <w:rPr>
      <w:color w:val="000080"/>
      <w:w w:val="100"/>
      <w:position w:val="-1"/>
      <w:u w:val="single"/>
      <w:effect w:val="none"/>
      <w:vertAlign w:val="baseline"/>
      <w:cs w:val="0"/>
      <w:em w:val="none"/>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character" w:customStyle="1" w:styleId="EncabezadoCar2">
    <w:name w:val="Encabezado Car2"/>
    <w:rPr>
      <w:w w:val="100"/>
      <w:position w:val="-1"/>
      <w:effect w:val="none"/>
      <w:vertAlign w:val="baseline"/>
      <w:cs w:val="0"/>
      <w:em w:val="none"/>
    </w:rPr>
  </w:style>
  <w:style w:type="character" w:customStyle="1" w:styleId="PiedepginaCar2">
    <w:name w:val="Pie de página Car2"/>
    <w:rPr>
      <w:w w:val="100"/>
      <w:position w:val="-1"/>
      <w:effect w:val="none"/>
      <w:vertAlign w:val="baseline"/>
      <w:cs w:val="0"/>
      <w:em w:val="none"/>
    </w:rPr>
  </w:style>
  <w:style w:type="character" w:customStyle="1" w:styleId="Fuentedeprrafopredeter28">
    <w:name w:val="Fuente de párrafo predeter.28"/>
    <w:rPr>
      <w:w w:val="100"/>
      <w:position w:val="-1"/>
      <w:effect w:val="none"/>
      <w:vertAlign w:val="baseline"/>
      <w:cs w:val="0"/>
      <w:em w:val="none"/>
    </w:rPr>
  </w:style>
  <w:style w:type="character" w:customStyle="1" w:styleId="EncabezadoCar3">
    <w:name w:val="Encabezado Car3"/>
    <w:rPr>
      <w:w w:val="100"/>
      <w:position w:val="-1"/>
      <w:effect w:val="none"/>
      <w:vertAlign w:val="baseline"/>
      <w:cs w:val="0"/>
      <w:em w:val="none"/>
    </w:rPr>
  </w:style>
  <w:style w:type="character" w:customStyle="1" w:styleId="PiedepginaCar3">
    <w:name w:val="Pie de página Car3"/>
    <w:rPr>
      <w:w w:val="100"/>
      <w:position w:val="-1"/>
      <w:effect w:val="none"/>
      <w:vertAlign w:val="baseline"/>
      <w:cs w:val="0"/>
      <w:em w:val="none"/>
    </w:rPr>
  </w:style>
  <w:style w:type="character" w:customStyle="1" w:styleId="TtuloCar">
    <w:name w:val="Título Car"/>
    <w:rPr>
      <w:rFonts w:ascii="Cambria" w:eastAsia="Times New Roman" w:hAnsi="Cambria" w:cs="Times New Roman"/>
      <w:color w:val="17365D"/>
      <w:spacing w:val="5"/>
      <w:w w:val="100"/>
      <w:kern w:val="3"/>
      <w:position w:val="-1"/>
      <w:sz w:val="52"/>
      <w:szCs w:val="52"/>
      <w:effect w:val="none"/>
      <w:vertAlign w:val="baseline"/>
      <w:cs w:val="0"/>
      <w:em w:val="none"/>
    </w:rPr>
  </w:style>
  <w:style w:type="character" w:styleId="Fuerte">
    <w:name w:val="Strong"/>
    <w:rPr>
      <w:b/>
      <w:bCs/>
      <w:w w:val="100"/>
      <w:position w:val="-1"/>
      <w:effect w:val="none"/>
      <w:vertAlign w:val="baseline"/>
      <w:cs w:val="0"/>
      <w:em w:val="none"/>
    </w:rPr>
  </w:style>
  <w:style w:type="paragraph" w:styleId="Remitedesobre">
    <w:name w:val="envelope return"/>
    <w:basedOn w:val="Normal"/>
    <w:pPr>
      <w:autoSpaceDN w:val="0"/>
      <w:spacing w:after="0" w:line="240" w:lineRule="auto"/>
    </w:pPr>
    <w:rPr>
      <w:rFonts w:ascii="Arial" w:eastAsia="Times New Roman" w:hAnsi="Arial" w:cs="Times New Roman"/>
      <w:sz w:val="24"/>
      <w:szCs w:val="20"/>
      <w:lang w:val="en-US" w:eastAsia="es-ES"/>
    </w:rPr>
  </w:style>
  <w:style w:type="paragraph" w:styleId="Sangradetextonormal">
    <w:name w:val="Body Text Indent"/>
    <w:basedOn w:val="Normal"/>
    <w:pPr>
      <w:autoSpaceDN w:val="0"/>
      <w:spacing w:after="0" w:line="240" w:lineRule="auto"/>
      <w:ind w:left="1418" w:hanging="1418"/>
      <w:jc w:val="both"/>
    </w:pPr>
    <w:rPr>
      <w:rFonts w:ascii="Arial" w:eastAsia="Times New Roman" w:hAnsi="Arial" w:cs="Times New Roman"/>
      <w:sz w:val="24"/>
      <w:szCs w:val="20"/>
      <w:lang w:val="en-US" w:eastAsia="es-ES"/>
    </w:rPr>
  </w:style>
  <w:style w:type="character" w:customStyle="1" w:styleId="SangradetextonormalCar">
    <w:name w:val="Sangría de texto normal Car"/>
    <w:rPr>
      <w:rFonts w:ascii="Arial" w:eastAsia="Times New Roman" w:hAnsi="Arial" w:cs="Times New Roman"/>
      <w:w w:val="100"/>
      <w:position w:val="-1"/>
      <w:sz w:val="24"/>
      <w:szCs w:val="20"/>
      <w:effect w:val="none"/>
      <w:vertAlign w:val="baseline"/>
      <w:cs w:val="0"/>
      <w:em w:val="none"/>
      <w:lang w:val="en-US" w:eastAsia="es-ES"/>
    </w:rPr>
  </w:style>
  <w:style w:type="paragraph" w:styleId="Textoindependiente3">
    <w:name w:val="Body Text 3"/>
    <w:basedOn w:val="Normal"/>
    <w:pPr>
      <w:autoSpaceDN w:val="0"/>
      <w:spacing w:after="0" w:line="240" w:lineRule="auto"/>
      <w:jc w:val="both"/>
    </w:pPr>
    <w:rPr>
      <w:rFonts w:ascii="Arial" w:eastAsia="Times New Roman" w:hAnsi="Arial" w:cs="Times New Roman"/>
      <w:sz w:val="24"/>
      <w:szCs w:val="20"/>
      <w:lang w:val="en-US" w:eastAsia="es-ES"/>
    </w:rPr>
  </w:style>
  <w:style w:type="character" w:customStyle="1" w:styleId="Textoindependiente3Car">
    <w:name w:val="Texto independiente 3 Car"/>
    <w:rPr>
      <w:rFonts w:ascii="Arial" w:eastAsia="Times New Roman" w:hAnsi="Arial" w:cs="Times New Roman"/>
      <w:w w:val="100"/>
      <w:position w:val="-1"/>
      <w:sz w:val="24"/>
      <w:szCs w:val="20"/>
      <w:effect w:val="none"/>
      <w:vertAlign w:val="baseline"/>
      <w:cs w:val="0"/>
      <w:em w:val="none"/>
      <w:lang w:val="en-US" w:eastAsia="es-ES"/>
    </w:rPr>
  </w:style>
  <w:style w:type="paragraph" w:styleId="Listaconvietas">
    <w:name w:val="List Bullet"/>
    <w:basedOn w:val="Normal"/>
    <w:pPr>
      <w:numPr>
        <w:numId w:val="6"/>
      </w:numPr>
      <w:autoSpaceDN w:val="0"/>
      <w:spacing w:after="0" w:line="240" w:lineRule="auto"/>
      <w:ind w:left="-1" w:hanging="1"/>
    </w:pPr>
    <w:rPr>
      <w:rFonts w:ascii="Arial" w:eastAsia="Times New Roman" w:hAnsi="Arial" w:cs="Times New Roman"/>
      <w:sz w:val="24"/>
      <w:szCs w:val="20"/>
      <w:lang w:val="en-US" w:eastAsia="es-ES"/>
    </w:rPr>
  </w:style>
  <w:style w:type="paragraph" w:customStyle="1" w:styleId="BodyText28">
    <w:name w:val="Body Text 28"/>
    <w:basedOn w:val="Normal"/>
    <w:pPr>
      <w:widowControl w:val="0"/>
      <w:overflowPunct w:val="0"/>
      <w:autoSpaceDE w:val="0"/>
      <w:autoSpaceDN w:val="0"/>
      <w:spacing w:after="0" w:line="240" w:lineRule="auto"/>
      <w:jc w:val="both"/>
    </w:pPr>
    <w:rPr>
      <w:rFonts w:ascii="Arial" w:eastAsia="Times New Roman" w:hAnsi="Arial" w:cs="Times New Roman"/>
      <w:sz w:val="20"/>
      <w:szCs w:val="20"/>
      <w:lang w:val="en-US" w:eastAsia="es-ES"/>
    </w:rPr>
  </w:style>
  <w:style w:type="character" w:customStyle="1" w:styleId="BodyText28Car">
    <w:name w:val="Body Text 28 Car"/>
    <w:rPr>
      <w:rFonts w:ascii="Arial" w:eastAsia="Times New Roman" w:hAnsi="Arial" w:cs="Times New Roman"/>
      <w:w w:val="100"/>
      <w:kern w:val="0"/>
      <w:position w:val="-1"/>
      <w:sz w:val="20"/>
      <w:szCs w:val="20"/>
      <w:effect w:val="none"/>
      <w:vertAlign w:val="baseline"/>
      <w:cs w:val="0"/>
      <w:em w:val="none"/>
      <w:lang w:eastAsia="es-ES"/>
    </w:rPr>
  </w:style>
  <w:style w:type="character" w:customStyle="1" w:styleId="TextonotapieCar1CarCarCar3CarCarFACar">
    <w:name w:val="Texto nota pie Car1;Car Car;Car3 Car Car;FA Car"/>
    <w:rPr>
      <w:w w:val="100"/>
      <w:kern w:val="0"/>
      <w:position w:val="-1"/>
      <w:sz w:val="20"/>
      <w:szCs w:val="20"/>
      <w:effect w:val="none"/>
      <w:vertAlign w:val="baseline"/>
      <w:cs w:val="0"/>
      <w:em w:val="none"/>
      <w:lang w:eastAsia="es-ES"/>
    </w:rPr>
  </w:style>
  <w:style w:type="character" w:customStyle="1" w:styleId="a90">
    <w:name w:val="a9"/>
    <w:rPr>
      <w:w w:val="100"/>
      <w:position w:val="-1"/>
      <w:effect w:val="none"/>
      <w:vertAlign w:val="baseline"/>
      <w:cs w:val="0"/>
      <w:em w:val="none"/>
    </w:rPr>
  </w:style>
  <w:style w:type="paragraph" w:customStyle="1" w:styleId="pa39">
    <w:name w:val="pa39"/>
    <w:basedOn w:val="Normal"/>
    <w:pPr>
      <w:autoSpaceDN w:val="0"/>
      <w:spacing w:before="100" w:after="100" w:line="240" w:lineRule="auto"/>
    </w:pPr>
    <w:rPr>
      <w:rFonts w:ascii="Times New Roman" w:eastAsia="Times New Roman" w:hAnsi="Times New Roman" w:cs="Times New Roman"/>
      <w:color w:val="663300"/>
      <w:sz w:val="24"/>
      <w:szCs w:val="24"/>
      <w:lang w:val="es-ES" w:eastAsia="es-ES"/>
    </w:rPr>
  </w:style>
  <w:style w:type="paragraph" w:customStyle="1" w:styleId="BodyText23">
    <w:name w:val="Body Text 23"/>
    <w:basedOn w:val="Normal"/>
    <w:pPr>
      <w:widowControl w:val="0"/>
      <w:autoSpaceDN w:val="0"/>
      <w:spacing w:after="0" w:line="240" w:lineRule="auto"/>
      <w:jc w:val="both"/>
    </w:pPr>
    <w:rPr>
      <w:rFonts w:ascii="Arial" w:eastAsia="Times New Roman" w:hAnsi="Arial" w:cs="Times New Roman"/>
      <w:b/>
      <w:sz w:val="24"/>
      <w:szCs w:val="20"/>
      <w:lang w:val="es-ES" w:eastAsia="es-ES"/>
    </w:rPr>
  </w:style>
  <w:style w:type="paragraph" w:styleId="Textonotaalfinal">
    <w:name w:val="endnote text"/>
    <w:basedOn w:val="Normal"/>
    <w:pPr>
      <w:autoSpaceDN w:val="0"/>
      <w:spacing w:after="0" w:line="240" w:lineRule="auto"/>
    </w:pPr>
    <w:rPr>
      <w:rFonts w:ascii="Times New Roman" w:eastAsia="Times New Roman" w:hAnsi="Times New Roman" w:cs="Times New Roman"/>
      <w:sz w:val="20"/>
      <w:szCs w:val="20"/>
      <w:lang w:val="en-US" w:eastAsia="es-ES"/>
    </w:rPr>
  </w:style>
  <w:style w:type="character" w:customStyle="1" w:styleId="TextonotaalfinalCar">
    <w:name w:val="Texto nota al final Car"/>
    <w:rPr>
      <w:rFonts w:ascii="Times New Roman" w:eastAsia="Times New Roman" w:hAnsi="Times New Roman" w:cs="Times New Roman"/>
      <w:w w:val="100"/>
      <w:position w:val="-1"/>
      <w:sz w:val="20"/>
      <w:szCs w:val="20"/>
      <w:effect w:val="none"/>
      <w:vertAlign w:val="baseline"/>
      <w:cs w:val="0"/>
      <w:em w:val="none"/>
      <w:lang w:val="en-US" w:eastAsia="es-ES"/>
    </w:rPr>
  </w:style>
  <w:style w:type="character" w:styleId="Refdenotaalfinal">
    <w:name w:val="endnote reference"/>
    <w:rPr>
      <w:w w:val="100"/>
      <w:position w:val="0"/>
      <w:effect w:val="none"/>
      <w:vertAlign w:val="superscript"/>
      <w:cs w:val="0"/>
      <w:em w:val="none"/>
    </w:rPr>
  </w:style>
  <w:style w:type="paragraph" w:customStyle="1" w:styleId="estilo1">
    <w:name w:val="estilo1"/>
    <w:basedOn w:val="Normal"/>
    <w:pPr>
      <w:autoSpaceDN w:val="0"/>
      <w:spacing w:before="230" w:after="230" w:line="216" w:lineRule="atLeast"/>
      <w:ind w:left="230" w:right="230"/>
    </w:pPr>
    <w:rPr>
      <w:rFonts w:ascii="Verdana" w:eastAsia="Times New Roman" w:hAnsi="Verdana" w:cs="Times New Roman"/>
      <w:color w:val="000000"/>
      <w:sz w:val="18"/>
      <w:szCs w:val="18"/>
      <w:lang w:val="es-AR" w:eastAsia="es-AR"/>
    </w:rPr>
  </w:style>
  <w:style w:type="paragraph" w:customStyle="1" w:styleId="CM7">
    <w:name w:val="CM7"/>
    <w:basedOn w:val="Default"/>
    <w:next w:val="Default"/>
    <w:pPr>
      <w:adjustRightInd/>
      <w:spacing w:line="273" w:lineRule="atLeast"/>
    </w:pPr>
    <w:rPr>
      <w:rFonts w:eastAsia="Calibri"/>
      <w:color w:val="auto"/>
    </w:rPr>
  </w:style>
  <w:style w:type="paragraph" w:customStyle="1" w:styleId="CM42">
    <w:name w:val="CM42"/>
    <w:basedOn w:val="Default"/>
    <w:next w:val="Default"/>
    <w:pPr>
      <w:adjustRightInd/>
    </w:pPr>
    <w:rPr>
      <w:rFonts w:eastAsia="Calibri"/>
      <w:color w:val="auto"/>
    </w:rPr>
  </w:style>
  <w:style w:type="paragraph" w:customStyle="1" w:styleId="CM49">
    <w:name w:val="CM49"/>
    <w:basedOn w:val="Default"/>
    <w:next w:val="Default"/>
    <w:pPr>
      <w:adjustRightInd/>
    </w:pPr>
    <w:rPr>
      <w:rFonts w:eastAsia="Calibri"/>
      <w:color w:val="auto"/>
    </w:rPr>
  </w:style>
  <w:style w:type="paragraph" w:customStyle="1" w:styleId="CM41">
    <w:name w:val="CM41"/>
    <w:basedOn w:val="Default"/>
    <w:next w:val="Default"/>
    <w:pPr>
      <w:adjustRightInd/>
    </w:pPr>
    <w:rPr>
      <w:rFonts w:eastAsia="Calibri"/>
      <w:color w:val="auto"/>
    </w:rPr>
  </w:style>
  <w:style w:type="paragraph" w:customStyle="1" w:styleId="CM47">
    <w:name w:val="CM47"/>
    <w:basedOn w:val="Default"/>
    <w:next w:val="Default"/>
    <w:pPr>
      <w:adjustRightInd/>
    </w:pPr>
    <w:rPr>
      <w:rFonts w:eastAsia="Calibri"/>
      <w:color w:val="auto"/>
    </w:rPr>
  </w:style>
  <w:style w:type="paragraph" w:customStyle="1" w:styleId="font5">
    <w:name w:val="font5"/>
    <w:basedOn w:val="Normal"/>
    <w:pPr>
      <w:autoSpaceDN w:val="0"/>
      <w:spacing w:before="100" w:after="100" w:line="240" w:lineRule="auto"/>
    </w:pPr>
    <w:rPr>
      <w:rFonts w:ascii="Arial" w:eastAsia="Times New Roman" w:hAnsi="Arial" w:cs="Arial"/>
      <w:color w:val="000000"/>
      <w:sz w:val="16"/>
      <w:szCs w:val="16"/>
      <w:lang w:eastAsia="es-CO"/>
    </w:rPr>
  </w:style>
  <w:style w:type="paragraph" w:customStyle="1" w:styleId="font6">
    <w:name w:val="font6"/>
    <w:basedOn w:val="Normal"/>
    <w:pPr>
      <w:autoSpaceDN w:val="0"/>
      <w:spacing w:before="100" w:after="100" w:line="240" w:lineRule="auto"/>
    </w:pPr>
    <w:rPr>
      <w:rFonts w:ascii="Arial" w:eastAsia="Times New Roman" w:hAnsi="Arial" w:cs="Arial"/>
      <w:b/>
      <w:bCs/>
      <w:color w:val="000000"/>
      <w:sz w:val="16"/>
      <w:szCs w:val="16"/>
      <w:lang w:eastAsia="es-CO"/>
    </w:rPr>
  </w:style>
  <w:style w:type="paragraph" w:customStyle="1" w:styleId="xl65">
    <w:name w:val="xl65"/>
    <w:basedOn w:val="Normal"/>
    <w:pPr>
      <w:autoSpaceDN w:val="0"/>
      <w:spacing w:before="100" w:after="100" w:line="240" w:lineRule="auto"/>
      <w:textAlignment w:val="center"/>
    </w:pPr>
    <w:rPr>
      <w:rFonts w:ascii="Arial" w:eastAsia="Times New Roman" w:hAnsi="Arial" w:cs="Arial"/>
      <w:sz w:val="20"/>
      <w:szCs w:val="20"/>
      <w:lang w:eastAsia="es-CO"/>
    </w:rPr>
  </w:style>
  <w:style w:type="paragraph" w:customStyle="1" w:styleId="xl66">
    <w:name w:val="xl66"/>
    <w:basedOn w:val="Normal"/>
    <w:pP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67">
    <w:name w:val="xl67"/>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4">
    <w:name w:val="xl84"/>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both"/>
      <w:textAlignment w:val="center"/>
    </w:pPr>
    <w:rPr>
      <w:rFonts w:ascii="Arial" w:eastAsia="Times New Roman" w:hAnsi="Arial" w:cs="Arial"/>
      <w:color w:val="000000"/>
      <w:sz w:val="16"/>
      <w:szCs w:val="16"/>
      <w:lang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both"/>
      <w:textAlignment w:val="center"/>
    </w:pPr>
    <w:rPr>
      <w:rFonts w:ascii="Arial" w:eastAsia="Times New Roman" w:hAnsi="Arial" w:cs="Arial"/>
      <w:sz w:val="16"/>
      <w:szCs w:val="16"/>
      <w:lang w:eastAsia="es-CO"/>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pPr>
    <w:rPr>
      <w:rFonts w:ascii="Arial" w:eastAsia="Times New Roman" w:hAnsi="Arial" w:cs="Arial"/>
      <w:sz w:val="16"/>
      <w:szCs w:val="16"/>
      <w:lang w:eastAsia="es-CO"/>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both"/>
      <w:textAlignment w:val="center"/>
    </w:pPr>
    <w:rPr>
      <w:rFonts w:ascii="Arial" w:eastAsia="Times New Roman" w:hAnsi="Arial" w:cs="Arial"/>
      <w:sz w:val="16"/>
      <w:szCs w:val="16"/>
      <w:lang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1">
    <w:name w:val="xl91"/>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pPr>
    <w:rPr>
      <w:rFonts w:ascii="Arial" w:eastAsia="Times New Roman" w:hAnsi="Arial" w:cs="Arial"/>
      <w:sz w:val="16"/>
      <w:szCs w:val="16"/>
      <w:lang w:eastAsia="es-CO"/>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7">
    <w:name w:val="xl97"/>
    <w:basedOn w:val="Normal"/>
    <w:pP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98">
    <w:name w:val="xl98"/>
    <w:basedOn w:val="Normal"/>
    <w:pP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99">
    <w:name w:val="xl99"/>
    <w:basedOn w:val="Normal"/>
    <w:pPr>
      <w:autoSpaceDN w:val="0"/>
      <w:spacing w:before="100" w:after="100" w:line="240" w:lineRule="auto"/>
      <w:jc w:val="both"/>
      <w:textAlignment w:val="center"/>
    </w:pPr>
    <w:rPr>
      <w:rFonts w:ascii="Arial" w:eastAsia="Times New Roman" w:hAnsi="Arial" w:cs="Arial"/>
      <w:color w:val="000000"/>
      <w:sz w:val="16"/>
      <w:szCs w:val="16"/>
      <w:lang w:eastAsia="es-CO"/>
    </w:rPr>
  </w:style>
  <w:style w:type="paragraph" w:customStyle="1" w:styleId="xl100">
    <w:name w:val="xl100"/>
    <w:basedOn w:val="Normal"/>
    <w:pP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101">
    <w:name w:val="xl101"/>
    <w:basedOn w:val="Normal"/>
    <w:pP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102">
    <w:name w:val="xl102"/>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3">
    <w:name w:val="xl103"/>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4">
    <w:name w:val="xl104"/>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5">
    <w:name w:val="xl105"/>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6">
    <w:name w:val="xl106"/>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07">
    <w:name w:val="xl107"/>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08">
    <w:name w:val="xl108"/>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10">
    <w:name w:val="xl110"/>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11">
    <w:name w:val="xl111"/>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xl112">
    <w:name w:val="xl112"/>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xl113">
    <w:name w:val="xl113"/>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font7">
    <w:name w:val="font7"/>
    <w:basedOn w:val="Normal"/>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114">
    <w:name w:val="xl114"/>
    <w:basedOn w:val="Normal"/>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5">
    <w:name w:val="xl115"/>
    <w:basedOn w:val="Normal"/>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6">
    <w:name w:val="xl116"/>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7">
    <w:name w:val="xl117"/>
    <w:basedOn w:val="Normal"/>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8">
    <w:name w:val="xl118"/>
    <w:basedOn w:val="Normal"/>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9">
    <w:name w:val="xl119"/>
    <w:basedOn w:val="Normal"/>
    <w:pPr>
      <w:pBdr>
        <w:top w:val="single" w:sz="8"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0">
    <w:name w:val="xl120"/>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1">
    <w:name w:val="xl121"/>
    <w:basedOn w:val="Normal"/>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2">
    <w:name w:val="xl122"/>
    <w:basedOn w:val="Normal"/>
    <w:pPr>
      <w:pBdr>
        <w:top w:val="single" w:sz="8"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3">
    <w:name w:val="xl123"/>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4">
    <w:name w:val="xl124"/>
    <w:basedOn w:val="Normal"/>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
    <w:name w:val="xl125"/>
    <w:basedOn w:val="Normal"/>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
    <w:name w:val="xl126"/>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7">
    <w:name w:val="xl127"/>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8">
    <w:name w:val="xl128"/>
    <w:basedOn w:val="Normal"/>
    <w:pPr>
      <w:pBdr>
        <w:bottom w:val="single" w:sz="12"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9">
    <w:name w:val="xl129"/>
    <w:basedOn w:val="Normal"/>
    <w:pPr>
      <w:pBdr>
        <w:top w:val="single" w:sz="8"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0">
    <w:name w:val="xl130"/>
    <w:basedOn w:val="Normal"/>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1">
    <w:name w:val="xl131"/>
    <w:basedOn w:val="Normal"/>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2">
    <w:name w:val="xl132"/>
    <w:basedOn w:val="Normal"/>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3">
    <w:name w:val="xl133"/>
    <w:basedOn w:val="Normal"/>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4">
    <w:name w:val="xl134"/>
    <w:basedOn w:val="Normal"/>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5">
    <w:name w:val="xl135"/>
    <w:basedOn w:val="Normal"/>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6">
    <w:name w:val="xl136"/>
    <w:basedOn w:val="Normal"/>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9">
    <w:name w:val="xl139"/>
    <w:basedOn w:val="Normal"/>
    <w:pPr>
      <w:pBdr>
        <w:bottom w:val="single" w:sz="12"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0">
    <w:name w:val="xl140"/>
    <w:basedOn w:val="Normal"/>
    <w:pPr>
      <w:pBdr>
        <w:bottom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41">
    <w:name w:val="xl141"/>
    <w:basedOn w:val="Normal"/>
    <w:pPr>
      <w:pBdr>
        <w:bottom w:val="single" w:sz="12"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42">
    <w:name w:val="xl142"/>
    <w:basedOn w:val="Normal"/>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3">
    <w:name w:val="xl143"/>
    <w:basedOn w:val="Normal"/>
    <w:pPr>
      <w:pBdr>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pPr>
      <w:pBdr>
        <w:top w:val="single" w:sz="12"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pPr>
      <w:pBdr>
        <w:top w:val="single" w:sz="12"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7">
    <w:name w:val="xl147"/>
    <w:basedOn w:val="Normal"/>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es-CO"/>
    </w:rPr>
  </w:style>
  <w:style w:type="paragraph" w:customStyle="1" w:styleId="xl149">
    <w:name w:val="xl149"/>
    <w:basedOn w:val="Normal"/>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0">
    <w:name w:val="xl150"/>
    <w:basedOn w:val="Normal"/>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1">
    <w:name w:val="xl15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2">
    <w:name w:val="xl152"/>
    <w:basedOn w:val="Normal"/>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3">
    <w:name w:val="xl153"/>
    <w:basedOn w:val="Normal"/>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4">
    <w:name w:val="xl154"/>
    <w:basedOn w:val="Normal"/>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6">
    <w:name w:val="xl156"/>
    <w:basedOn w:val="Normal"/>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7">
    <w:name w:val="xl157"/>
    <w:basedOn w:val="Normal"/>
    <w:pPr>
      <w:pBdr>
        <w:top w:val="single" w:sz="12" w:space="0" w:color="auto"/>
        <w:left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58">
    <w:name w:val="xl158"/>
    <w:basedOn w:val="Normal"/>
    <w:pPr>
      <w:pBdr>
        <w:left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59">
    <w:name w:val="xl159"/>
    <w:basedOn w:val="Normal"/>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60">
    <w:name w:val="xl160"/>
    <w:basedOn w:val="Normal"/>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numbering" w:customStyle="1" w:styleId="WW8Num1">
    <w:name w:val="WW8Num1"/>
    <w:basedOn w:val="Sinlista"/>
  </w:style>
  <w:style w:type="numbering" w:customStyle="1" w:styleId="LFO2">
    <w:name w:val="LFO2"/>
    <w:basedOn w:val="Sinlista"/>
  </w:style>
  <w:style w:type="numbering" w:customStyle="1" w:styleId="LFO3">
    <w:name w:val="LFO3"/>
    <w:basedOn w:val="Sinlista"/>
  </w:style>
  <w:style w:type="paragraph" w:customStyle="1" w:styleId="xl161">
    <w:name w:val="xl161"/>
    <w:basedOn w:val="Normal"/>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2">
    <w:name w:val="xl162"/>
    <w:basedOn w:val="Normal"/>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4">
    <w:name w:val="xl164"/>
    <w:basedOn w:val="Normal"/>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5">
    <w:name w:val="xl165"/>
    <w:basedOn w:val="Normal"/>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7">
    <w:name w:val="xl167"/>
    <w:basedOn w:val="Normal"/>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8">
    <w:name w:val="xl168"/>
    <w:basedOn w:val="Normal"/>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9">
    <w:name w:val="xl169"/>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70">
    <w:name w:val="xl170"/>
    <w:basedOn w:val="Normal"/>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71">
    <w:name w:val="xl171"/>
    <w:basedOn w:val="Normal"/>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72">
    <w:name w:val="xl172"/>
    <w:basedOn w:val="Normal"/>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3">
    <w:name w:val="xl173"/>
    <w:basedOn w:val="Normal"/>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4">
    <w:name w:val="xl174"/>
    <w:basedOn w:val="Normal"/>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5">
    <w:name w:val="xl175"/>
    <w:basedOn w:val="Normal"/>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6">
    <w:name w:val="xl176"/>
    <w:basedOn w:val="Normal"/>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7">
    <w:name w:val="xl177"/>
    <w:basedOn w:val="Normal"/>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8">
    <w:name w:val="xl178"/>
    <w:basedOn w:val="Normal"/>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9">
    <w:name w:val="xl179"/>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0">
    <w:name w:val="xl180"/>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1">
    <w:name w:val="xl181"/>
    <w:basedOn w:val="Normal"/>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2">
    <w:name w:val="xl182"/>
    <w:basedOn w:val="Normal"/>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4">
    <w:name w:val="xl184"/>
    <w:basedOn w:val="Normal"/>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5">
    <w:name w:val="xl185"/>
    <w:basedOn w:val="Normal"/>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86">
    <w:name w:val="xl186"/>
    <w:basedOn w:val="Normal"/>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87">
    <w:name w:val="xl187"/>
    <w:basedOn w:val="Normal"/>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88">
    <w:name w:val="xl188"/>
    <w:basedOn w:val="Normal"/>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9">
    <w:name w:val="xl189"/>
    <w:basedOn w:val="Normal"/>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90">
    <w:name w:val="xl190"/>
    <w:basedOn w:val="Normal"/>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91">
    <w:name w:val="xl191"/>
    <w:basedOn w:val="Normal"/>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92">
    <w:name w:val="xl192"/>
    <w:basedOn w:val="Normal"/>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3">
    <w:name w:val="xl193"/>
    <w:basedOn w:val="Normal"/>
    <w:pPr>
      <w:pBdr>
        <w:top w:val="single" w:sz="8"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4">
    <w:name w:val="xl194"/>
    <w:basedOn w:val="Normal"/>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5">
    <w:name w:val="xl195"/>
    <w:basedOn w:val="Normal"/>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6">
    <w:name w:val="xl196"/>
    <w:basedOn w:val="Normal"/>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7">
    <w:name w:val="xl197"/>
    <w:basedOn w:val="Normal"/>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8">
    <w:name w:val="xl198"/>
    <w:basedOn w:val="Normal"/>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99">
    <w:name w:val="xl199"/>
    <w:basedOn w:val="Normal"/>
    <w:pPr>
      <w:pBdr>
        <w:top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00">
    <w:name w:val="xl200"/>
    <w:basedOn w:val="Normal"/>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01">
    <w:name w:val="xl201"/>
    <w:basedOn w:val="Normal"/>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2">
    <w:name w:val="xl202"/>
    <w:basedOn w:val="Normal"/>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3">
    <w:name w:val="xl203"/>
    <w:basedOn w:val="Normal"/>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4">
    <w:name w:val="xl204"/>
    <w:basedOn w:val="Normal"/>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5">
    <w:name w:val="xl205"/>
    <w:basedOn w:val="Normal"/>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6">
    <w:name w:val="xl206"/>
    <w:basedOn w:val="Normal"/>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7">
    <w:name w:val="xl207"/>
    <w:basedOn w:val="Normal"/>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8">
    <w:name w:val="xl208"/>
    <w:basedOn w:val="Normal"/>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9">
    <w:name w:val="xl209"/>
    <w:basedOn w:val="Normal"/>
    <w:pPr>
      <w:pBdr>
        <w:top w:val="single" w:sz="8" w:space="0" w:color="auto"/>
        <w:lef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
    <w:name w:val="xl210"/>
    <w:basedOn w:val="Normal"/>
    <w:pPr>
      <w:pBdr>
        <w:top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1">
    <w:name w:val="xl211"/>
    <w:basedOn w:val="Normal"/>
    <w:pPr>
      <w:pBdr>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2">
    <w:name w:val="xl212"/>
    <w:basedOn w:val="Normal"/>
    <w:pPr>
      <w:pBdr>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3">
    <w:name w:val="xl213"/>
    <w:basedOn w:val="Normal"/>
    <w:pPr>
      <w:pBdr>
        <w:lef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4">
    <w:name w:val="xl214"/>
    <w:basedOn w:val="Normal"/>
    <w:pPr>
      <w:pBdr>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5">
    <w:name w:val="xl215"/>
    <w:basedOn w:val="Normal"/>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16">
    <w:name w:val="xl216"/>
    <w:basedOn w:val="Normal"/>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17">
    <w:name w:val="xl217"/>
    <w:basedOn w:val="Normal"/>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8">
    <w:name w:val="xl218"/>
    <w:basedOn w:val="Normal"/>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19">
    <w:name w:val="xl219"/>
    <w:basedOn w:val="Normal"/>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0">
    <w:name w:val="xl220"/>
    <w:basedOn w:val="Normal"/>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1">
    <w:name w:val="xl221"/>
    <w:basedOn w:val="Normal"/>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2">
    <w:name w:val="xl222"/>
    <w:basedOn w:val="Normal"/>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3">
    <w:name w:val="xl223"/>
    <w:basedOn w:val="Normal"/>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4">
    <w:name w:val="xl224"/>
    <w:basedOn w:val="Normal"/>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5">
    <w:name w:val="xl225"/>
    <w:basedOn w:val="Normal"/>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6">
    <w:name w:val="xl226"/>
    <w:basedOn w:val="Normal"/>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7">
    <w:name w:val="xl227"/>
    <w:basedOn w:val="Normal"/>
    <w:pPr>
      <w:pBdr>
        <w:top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8">
    <w:name w:val="xl228"/>
    <w:basedOn w:val="Normal"/>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0">
    <w:name w:val="xl230"/>
    <w:basedOn w:val="Normal"/>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1">
    <w:name w:val="xl231"/>
    <w:basedOn w:val="Normal"/>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2">
    <w:name w:val="xl232"/>
    <w:basedOn w:val="Normal"/>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3">
    <w:name w:val="xl233"/>
    <w:basedOn w:val="Normal"/>
    <w:pPr>
      <w:pBdr>
        <w:top w:val="single" w:sz="8"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4">
    <w:name w:val="xl234"/>
    <w:basedOn w:val="Normal"/>
    <w:pPr>
      <w:pBdr>
        <w:top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5">
    <w:name w:val="xl235"/>
    <w:basedOn w:val="Normal"/>
    <w:pPr>
      <w:pBdr>
        <w:top w:val="single" w:sz="4" w:space="0" w:color="auto"/>
        <w:left w:val="single" w:sz="4" w:space="0" w:color="auto"/>
        <w:bottom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6">
    <w:name w:val="xl236"/>
    <w:basedOn w:val="Normal"/>
    <w:pPr>
      <w:pBdr>
        <w:top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7">
    <w:name w:val="xl237"/>
    <w:basedOn w:val="Normal"/>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8">
    <w:name w:val="xl238"/>
    <w:basedOn w:val="Normal"/>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9">
    <w:name w:val="xl239"/>
    <w:basedOn w:val="Normal"/>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40">
    <w:name w:val="xl240"/>
    <w:basedOn w:val="Normal"/>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1">
    <w:name w:val="xl241"/>
    <w:basedOn w:val="Normal"/>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2">
    <w:name w:val="xl242"/>
    <w:basedOn w:val="Normal"/>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3">
    <w:name w:val="xl243"/>
    <w:basedOn w:val="Normal"/>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44">
    <w:name w:val="xl244"/>
    <w:basedOn w:val="Normal"/>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45">
    <w:name w:val="xl245"/>
    <w:basedOn w:val="Normal"/>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6">
    <w:name w:val="xl246"/>
    <w:basedOn w:val="Normal"/>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7">
    <w:name w:val="xl247"/>
    <w:basedOn w:val="Normal"/>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8">
    <w:name w:val="xl248"/>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9">
    <w:name w:val="xl249"/>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0">
    <w:name w:val="xl250"/>
    <w:basedOn w:val="Normal"/>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1">
    <w:name w:val="xl251"/>
    <w:basedOn w:val="Normal"/>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2">
    <w:name w:val="xl252"/>
    <w:basedOn w:val="Normal"/>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3">
    <w:name w:val="xl253"/>
    <w:basedOn w:val="Normal"/>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4">
    <w:name w:val="xl254"/>
    <w:basedOn w:val="Normal"/>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5">
    <w:name w:val="xl255"/>
    <w:basedOn w:val="Normal"/>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6">
    <w:name w:val="xl256"/>
    <w:basedOn w:val="Normal"/>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57">
    <w:name w:val="xl257"/>
    <w:basedOn w:val="Normal"/>
    <w:pPr>
      <w:pBdr>
        <w:top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58">
    <w:name w:val="xl258"/>
    <w:basedOn w:val="Normal"/>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59">
    <w:name w:val="xl259"/>
    <w:basedOn w:val="Normal"/>
    <w:pPr>
      <w:pBdr>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0">
    <w:name w:val="xl260"/>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1">
    <w:name w:val="xl261"/>
    <w:basedOn w:val="Normal"/>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62">
    <w:name w:val="xl262"/>
    <w:basedOn w:val="Normal"/>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3">
    <w:name w:val="xl263"/>
    <w:basedOn w:val="Normal"/>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4">
    <w:name w:val="xl264"/>
    <w:basedOn w:val="Normal"/>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5">
    <w:name w:val="xl265"/>
    <w:basedOn w:val="Normal"/>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66">
    <w:name w:val="xl266"/>
    <w:basedOn w:val="Normal"/>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7">
    <w:name w:val="xl267"/>
    <w:basedOn w:val="Normal"/>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68">
    <w:name w:val="xl268"/>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69">
    <w:name w:val="xl269"/>
    <w:basedOn w:val="Normal"/>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70">
    <w:name w:val="xl270"/>
    <w:basedOn w:val="Normal"/>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3">
    <w:name w:val="xl63"/>
    <w:basedOn w:val="Normal"/>
    <w:pPr>
      <w:spacing w:before="100" w:beforeAutospacing="1" w:after="100" w:afterAutospacing="1" w:line="240" w:lineRule="auto"/>
    </w:pPr>
    <w:rPr>
      <w:rFonts w:ascii="Arial" w:eastAsia="Times New Roman" w:hAnsi="Arial" w:cs="Arial"/>
      <w:sz w:val="24"/>
      <w:szCs w:val="24"/>
      <w:lang w:eastAsia="es-CO"/>
    </w:rPr>
  </w:style>
  <w:style w:type="paragraph" w:customStyle="1" w:styleId="xl64">
    <w:name w:val="xl64"/>
    <w:basedOn w:val="Normal"/>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styleId="Revisin">
    <w:name w:val="Revision"/>
    <w:pPr>
      <w:suppressAutoHyphens/>
      <w:spacing w:line="1" w:lineRule="atLeast"/>
      <w:ind w:leftChars="-1" w:left="-1" w:hangingChars="1"/>
      <w:textDirection w:val="btLr"/>
      <w:textAlignment w:val="top"/>
      <w:outlineLvl w:val="0"/>
    </w:pPr>
    <w:rPr>
      <w:rFonts w:ascii="Times New Roman" w:eastAsia="Lucida Sans Unicode" w:hAnsi="Times New Roman" w:cs="Tahoma"/>
      <w:kern w:val="3"/>
      <w:position w:val="-1"/>
      <w:sz w:val="24"/>
      <w:szCs w:val="24"/>
      <w:lang w:val="en-US"/>
    </w:rPr>
  </w:style>
  <w:style w:type="table" w:customStyle="1" w:styleId="Tablaconcuadrcula3">
    <w:name w:val="Tabla con cuadrícula3"/>
    <w:basedOn w:val="Tablanormal"/>
    <w:next w:val="Tablaconcuadrcula"/>
    <w:pPr>
      <w:suppressAutoHyphens/>
      <w:spacing w:after="0" w:line="240" w:lineRule="auto"/>
      <w:ind w:leftChars="-1" w:left="-1" w:hangingChars="1"/>
      <w:textDirection w:val="btLr"/>
      <w:textAlignment w:val="top"/>
      <w:outlineLvl w:val="0"/>
    </w:pPr>
    <w:rPr>
      <w:rFonts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numbering" w:customStyle="1" w:styleId="Sinlista2">
    <w:name w:val="Sin lista2"/>
    <w:next w:val="Sinlista"/>
    <w:qFormat/>
  </w:style>
  <w:style w:type="table" w:customStyle="1" w:styleId="Tablaconcuadrcula13">
    <w:name w:val="Tabla con cuadrícula13"/>
    <w:basedOn w:val="Tablanormal"/>
    <w:next w:val="Tablaconcuadrcula"/>
    <w:pPr>
      <w:suppressAutoHyphens/>
      <w:spacing w:after="0" w:line="240" w:lineRule="auto"/>
      <w:ind w:leftChars="-1" w:left="-1" w:hangingChars="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pPr>
      <w:suppressAutoHyphens/>
      <w:spacing w:after="0" w:line="240" w:lineRule="auto"/>
      <w:ind w:leftChars="-1" w:left="-1" w:hangingChars="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
    <w:name w:val="Sin lista11"/>
    <w:next w:val="Sinlista"/>
    <w:qFormat/>
  </w:style>
  <w:style w:type="table" w:customStyle="1" w:styleId="Tablaconcuadrcula21">
    <w:name w:val="Tabla con cuadrícula21"/>
    <w:basedOn w:val="Tablanormal"/>
    <w:next w:val="Tablaconcuadrcula"/>
    <w:pPr>
      <w:suppressAutoHyphens/>
      <w:spacing w:after="0" w:line="240" w:lineRule="auto"/>
      <w:ind w:leftChars="-1" w:left="-1" w:hangingChars="1"/>
      <w:textDirection w:val="btLr"/>
      <w:textAlignment w:val="top"/>
      <w:outlineLvl w:val="0"/>
    </w:pPr>
    <w:rPr>
      <w:rFonts w:eastAsia="Times New Roman"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pPr>
      <w:suppressAutoHyphens/>
      <w:spacing w:after="0" w:line="240" w:lineRule="auto"/>
      <w:ind w:leftChars="-1" w:left="-1" w:hangingChars="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pPr>
      <w:suppressAutoHyphens/>
      <w:spacing w:after="0" w:line="240" w:lineRule="auto"/>
      <w:ind w:leftChars="-1" w:left="-1" w:hangingChars="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ARITZA4">
    <w:name w:val="MARITZA4"/>
    <w:basedOn w:val="Normal"/>
    <w:pPr>
      <w:widowControl w:val="0"/>
      <w:suppressAutoHyphens w:val="0"/>
      <w:spacing w:after="0" w:line="240" w:lineRule="auto"/>
      <w:jc w:val="center"/>
    </w:pPr>
    <w:rPr>
      <w:rFonts w:ascii="Courier New" w:eastAsia="Times New Roman" w:hAnsi="Courier New" w:cs="Times New Roman"/>
      <w:b/>
      <w:spacing w:val="-2"/>
      <w:sz w:val="24"/>
      <w:szCs w:val="20"/>
      <w:lang w:val="en-US"/>
    </w:rPr>
  </w:style>
  <w:style w:type="paragraph" w:customStyle="1" w:styleId="Descripcin1">
    <w:name w:val="Descripción1"/>
    <w:basedOn w:val="Standard"/>
    <w:pPr>
      <w:suppressLineNumbers/>
      <w:spacing w:before="120" w:after="120"/>
      <w:textAlignment w:val="baseline"/>
    </w:pPr>
    <w:rPr>
      <w:rFonts w:ascii="Arial" w:hAnsi="Arial" w:cs="Tahoma"/>
      <w:i/>
      <w:iCs/>
      <w:sz w:val="24"/>
      <w:szCs w:val="24"/>
      <w:lang w:eastAsia="es-ES"/>
    </w:rPr>
  </w:style>
  <w:style w:type="paragraph" w:customStyle="1" w:styleId="Sender">
    <w:name w:val="Sender"/>
    <w:basedOn w:val="Standard"/>
    <w:pPr>
      <w:textAlignment w:val="baseline"/>
    </w:pPr>
    <w:rPr>
      <w:rFonts w:ascii="Arial" w:hAnsi="Arial" w:cs="Calibri"/>
      <w:sz w:val="24"/>
      <w:szCs w:val="20"/>
      <w:lang w:eastAsia="es-ES"/>
    </w:rPr>
  </w:style>
  <w:style w:type="paragraph" w:customStyle="1" w:styleId="Footnote">
    <w:name w:val="Footnote"/>
    <w:basedOn w:val="Standard"/>
    <w:pPr>
      <w:textAlignment w:val="baseline"/>
    </w:pPr>
    <w:rPr>
      <w:rFonts w:ascii="Times New Roman" w:hAnsi="Times New Roman" w:cs="Calibri"/>
      <w:sz w:val="20"/>
      <w:szCs w:val="20"/>
      <w:lang w:val="es-CO" w:eastAsia="es-ES"/>
    </w:rPr>
  </w:style>
  <w:style w:type="paragraph" w:customStyle="1" w:styleId="WW-Default">
    <w:name w:val="WW-Default"/>
    <w:pPr>
      <w:autoSpaceDE w:val="0"/>
      <w:autoSpaceDN w:val="0"/>
      <w:spacing w:line="1" w:lineRule="atLeast"/>
      <w:ind w:leftChars="-1" w:left="-1" w:hangingChars="1"/>
      <w:textDirection w:val="btLr"/>
      <w:textAlignment w:val="baseline"/>
      <w:outlineLvl w:val="0"/>
    </w:pPr>
    <w:rPr>
      <w:rFonts w:ascii="Arial" w:eastAsia="Arial" w:hAnsi="Arial" w:cs="Arial"/>
      <w:color w:val="000000"/>
      <w:kern w:val="3"/>
      <w:position w:val="-1"/>
      <w:sz w:val="24"/>
      <w:szCs w:val="24"/>
      <w:lang w:eastAsia="es-ES"/>
    </w:rPr>
  </w:style>
  <w:style w:type="paragraph" w:customStyle="1" w:styleId="Endnote">
    <w:name w:val="Endnote"/>
    <w:basedOn w:val="Standard"/>
    <w:pPr>
      <w:textAlignment w:val="baseline"/>
    </w:pPr>
    <w:rPr>
      <w:rFonts w:ascii="Times New Roman" w:hAnsi="Times New Roman" w:cs="Calibri"/>
      <w:sz w:val="20"/>
      <w:szCs w:val="20"/>
      <w:lang w:val="es-CO" w:eastAsia="es-ES"/>
    </w:rPr>
  </w:style>
  <w:style w:type="paragraph" w:customStyle="1" w:styleId="Puesto1">
    <w:name w:val="Puesto1"/>
    <w:basedOn w:val="Ttulo2Pliego"/>
    <w:next w:val="Subttulo"/>
    <w:pPr>
      <w:suppressAutoHyphens w:val="0"/>
      <w:adjustRightInd/>
      <w:textAlignment w:val="baseline"/>
    </w:pPr>
    <w:rPr>
      <w:rFonts w:cs="Calibri"/>
      <w:kern w:val="3"/>
      <w:position w:val="0"/>
      <w:lang w:eastAsia="es-ES"/>
    </w:rPr>
  </w:style>
  <w:style w:type="paragraph" w:customStyle="1" w:styleId="Contents2">
    <w:name w:val="Contents 2"/>
    <w:basedOn w:val="Standard"/>
    <w:next w:val="Standard"/>
    <w:pPr>
      <w:spacing w:after="100" w:line="276" w:lineRule="auto"/>
      <w:ind w:left="220"/>
      <w:jc w:val="center"/>
      <w:textAlignment w:val="baseline"/>
    </w:pPr>
    <w:rPr>
      <w:rFonts w:ascii="Tahoma" w:hAnsi="Tahoma" w:cs="Tahoma"/>
      <w:b/>
      <w:spacing w:val="3"/>
      <w:lang w:val="es-CO" w:eastAsia="es-ES"/>
    </w:rPr>
  </w:style>
  <w:style w:type="paragraph" w:customStyle="1" w:styleId="Contents1">
    <w:name w:val="Contents 1"/>
    <w:basedOn w:val="Standard"/>
    <w:next w:val="Standard"/>
    <w:pPr>
      <w:spacing w:after="100" w:line="276" w:lineRule="auto"/>
      <w:textAlignment w:val="baseline"/>
    </w:pPr>
    <w:rPr>
      <w:rFonts w:ascii="Tahoma" w:hAnsi="Tahoma" w:cs="Tahoma"/>
      <w:spacing w:val="3"/>
      <w:lang w:val="es-CO" w:eastAsia="es-ES"/>
    </w:rPr>
  </w:style>
  <w:style w:type="paragraph" w:customStyle="1" w:styleId="Contents3">
    <w:name w:val="Contents 3"/>
    <w:basedOn w:val="Standard"/>
    <w:next w:val="Standard"/>
    <w:pPr>
      <w:spacing w:after="100" w:line="276" w:lineRule="auto"/>
      <w:ind w:left="440"/>
      <w:textAlignment w:val="baseline"/>
    </w:pPr>
    <w:rPr>
      <w:rFonts w:ascii="Calibri" w:hAnsi="Calibri" w:cs="Calibri"/>
      <w:lang w:val="es-CO" w:eastAsia="es-ES"/>
    </w:rPr>
  </w:style>
  <w:style w:type="paragraph" w:customStyle="1" w:styleId="Contents4">
    <w:name w:val="Contents 4"/>
    <w:basedOn w:val="Standard"/>
    <w:next w:val="Standard"/>
    <w:pPr>
      <w:spacing w:after="100" w:line="276" w:lineRule="auto"/>
      <w:ind w:left="660"/>
      <w:textAlignment w:val="baseline"/>
    </w:pPr>
    <w:rPr>
      <w:rFonts w:ascii="Calibri" w:hAnsi="Calibri" w:cs="Calibri"/>
      <w:lang w:val="es-CO" w:eastAsia="es-ES"/>
    </w:rPr>
  </w:style>
  <w:style w:type="paragraph" w:customStyle="1" w:styleId="Contents5">
    <w:name w:val="Contents 5"/>
    <w:basedOn w:val="Standard"/>
    <w:next w:val="Standard"/>
    <w:pPr>
      <w:spacing w:after="100" w:line="276" w:lineRule="auto"/>
      <w:ind w:left="880"/>
      <w:textAlignment w:val="baseline"/>
    </w:pPr>
    <w:rPr>
      <w:rFonts w:ascii="Calibri" w:hAnsi="Calibri" w:cs="Calibri"/>
      <w:lang w:val="es-CO" w:eastAsia="es-ES"/>
    </w:rPr>
  </w:style>
  <w:style w:type="paragraph" w:customStyle="1" w:styleId="Contents6">
    <w:name w:val="Contents 6"/>
    <w:basedOn w:val="Standard"/>
    <w:next w:val="Standard"/>
    <w:pPr>
      <w:spacing w:after="100" w:line="276" w:lineRule="auto"/>
      <w:ind w:left="1100"/>
      <w:textAlignment w:val="baseline"/>
    </w:pPr>
    <w:rPr>
      <w:rFonts w:ascii="Calibri" w:hAnsi="Calibri" w:cs="Calibri"/>
      <w:lang w:val="es-CO" w:eastAsia="es-ES"/>
    </w:rPr>
  </w:style>
  <w:style w:type="paragraph" w:customStyle="1" w:styleId="Contents7">
    <w:name w:val="Contents 7"/>
    <w:basedOn w:val="Standard"/>
    <w:next w:val="Standard"/>
    <w:pPr>
      <w:spacing w:after="100" w:line="276" w:lineRule="auto"/>
      <w:ind w:left="1320"/>
      <w:textAlignment w:val="baseline"/>
    </w:pPr>
    <w:rPr>
      <w:rFonts w:ascii="Calibri" w:hAnsi="Calibri" w:cs="Calibri"/>
      <w:lang w:val="es-CO" w:eastAsia="es-ES"/>
    </w:rPr>
  </w:style>
  <w:style w:type="paragraph" w:customStyle="1" w:styleId="Contents8">
    <w:name w:val="Contents 8"/>
    <w:basedOn w:val="Standard"/>
    <w:next w:val="Standard"/>
    <w:pPr>
      <w:spacing w:after="100" w:line="276" w:lineRule="auto"/>
      <w:ind w:left="1540"/>
      <w:textAlignment w:val="baseline"/>
    </w:pPr>
    <w:rPr>
      <w:rFonts w:ascii="Calibri" w:hAnsi="Calibri" w:cs="Calibri"/>
      <w:lang w:val="es-CO" w:eastAsia="es-ES"/>
    </w:rPr>
  </w:style>
  <w:style w:type="paragraph" w:customStyle="1" w:styleId="Contents9">
    <w:name w:val="Contents 9"/>
    <w:basedOn w:val="Standard"/>
    <w:next w:val="Standard"/>
    <w:pPr>
      <w:spacing w:after="100" w:line="276" w:lineRule="auto"/>
      <w:ind w:left="1760"/>
      <w:textAlignment w:val="baseline"/>
    </w:pPr>
    <w:rPr>
      <w:rFonts w:ascii="Calibri" w:hAnsi="Calibri" w:cs="Calibri"/>
      <w:lang w:val="es-CO" w:eastAsia="es-ES"/>
    </w:rPr>
  </w:style>
  <w:style w:type="paragraph" w:customStyle="1" w:styleId="Standarduser">
    <w:name w:val="Standard (user)"/>
    <w:pPr>
      <w:autoSpaceDN w:val="0"/>
      <w:spacing w:line="1" w:lineRule="atLeast"/>
      <w:ind w:leftChars="-1" w:left="-1" w:hangingChars="1"/>
      <w:textDirection w:val="btLr"/>
      <w:textAlignment w:val="baseline"/>
      <w:outlineLvl w:val="0"/>
    </w:pPr>
    <w:rPr>
      <w:rFonts w:ascii="Verdana" w:eastAsia="Arial" w:hAnsi="Verdana" w:cs="Verdana"/>
      <w:kern w:val="3"/>
      <w:position w:val="-1"/>
      <w:lang w:val="es-ES" w:eastAsia="es-ES"/>
    </w:rPr>
  </w:style>
  <w:style w:type="character" w:customStyle="1" w:styleId="WW8Num2z0">
    <w:name w:val="WW8Num2z0"/>
    <w:rPr>
      <w:rFonts w:ascii="Symbol" w:hAnsi="Symbol"/>
      <w:w w:val="100"/>
      <w:position w:val="-1"/>
      <w:effect w:val="none"/>
      <w:vertAlign w:val="baseline"/>
      <w:cs w:val="0"/>
      <w:em w:val="none"/>
    </w:rPr>
  </w:style>
  <w:style w:type="character" w:customStyle="1" w:styleId="WW8Num3z0">
    <w:name w:val="WW8Num3z0"/>
    <w:rPr>
      <w:rFonts w:ascii="Symbol" w:hAnsi="Symbol"/>
      <w:w w:val="100"/>
      <w:position w:val="-1"/>
      <w:effect w:val="none"/>
      <w:vertAlign w:val="baseline"/>
      <w:cs w:val="0"/>
      <w:em w:val="none"/>
    </w:rPr>
  </w:style>
  <w:style w:type="character" w:customStyle="1" w:styleId="WW8Num3z1">
    <w:name w:val="WW8Num3z1"/>
    <w:rPr>
      <w:rFonts w:ascii="Courier New" w:hAnsi="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5z0">
    <w:name w:val="WW8Num5z0"/>
    <w:rPr>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2">
    <w:name w:val="WW8Num6z2"/>
    <w:rPr>
      <w:b/>
      <w:w w:val="100"/>
      <w:position w:val="-1"/>
      <w:effect w:val="none"/>
      <w:vertAlign w:val="baseline"/>
      <w:cs w:val="0"/>
      <w:em w:val="none"/>
    </w:rPr>
  </w:style>
  <w:style w:type="character" w:customStyle="1" w:styleId="WW8Num7z0">
    <w:name w:val="WW8Num7z0"/>
    <w:rPr>
      <w:rFonts w:ascii="Wingdings" w:hAnsi="Wingdings"/>
      <w:w w:val="100"/>
      <w:position w:val="-1"/>
      <w:effect w:val="none"/>
      <w:vertAlign w:val="baseline"/>
      <w:cs w:val="0"/>
      <w:em w:val="none"/>
    </w:rPr>
  </w:style>
  <w:style w:type="character" w:customStyle="1" w:styleId="WW8Num7z1">
    <w:name w:val="WW8Num7z1"/>
    <w:rPr>
      <w:rFonts w:ascii="Courier New" w:hAnsi="Courier New"/>
      <w:w w:val="100"/>
      <w:position w:val="-1"/>
      <w:effect w:val="none"/>
      <w:vertAlign w:val="baseline"/>
      <w:cs w:val="0"/>
      <w:em w:val="none"/>
    </w:rPr>
  </w:style>
  <w:style w:type="character" w:customStyle="1" w:styleId="WW8Num7z3">
    <w:name w:val="WW8Num7z3"/>
    <w:rPr>
      <w:rFonts w:ascii="Symbol" w:hAnsi="Symbol"/>
      <w:w w:val="100"/>
      <w:position w:val="-1"/>
      <w:effect w:val="none"/>
      <w:vertAlign w:val="baseline"/>
      <w:cs w:val="0"/>
      <w:em w:val="none"/>
    </w:rPr>
  </w:style>
  <w:style w:type="character" w:customStyle="1" w:styleId="WW8Num8z1">
    <w:name w:val="WW8Num8z1"/>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2z0">
    <w:name w:val="WW8Num12z0"/>
    <w:rPr>
      <w:rFonts w:ascii="Times New Roman" w:eastAsia="Times New Roman" w:hAnsi="Times New Roman"/>
      <w:w w:val="100"/>
      <w:position w:val="-1"/>
      <w:effect w:val="none"/>
      <w:vertAlign w:val="baseline"/>
      <w:cs w:val="0"/>
      <w:em w:val="none"/>
    </w:rPr>
  </w:style>
  <w:style w:type="character" w:customStyle="1" w:styleId="WW8Num12z1">
    <w:name w:val="WW8Num12z1"/>
    <w:rPr>
      <w:rFonts w:ascii="Courier New" w:hAnsi="Courier New"/>
      <w:w w:val="100"/>
      <w:position w:val="-1"/>
      <w:effect w:val="none"/>
      <w:vertAlign w:val="baseline"/>
      <w:cs w:val="0"/>
      <w:em w:val="none"/>
    </w:rPr>
  </w:style>
  <w:style w:type="character" w:customStyle="1" w:styleId="WW8Num12z2">
    <w:name w:val="WW8Num12z2"/>
    <w:rPr>
      <w:rFonts w:ascii="Wingdings" w:hAnsi="Wingdings"/>
      <w:w w:val="100"/>
      <w:position w:val="-1"/>
      <w:effect w:val="none"/>
      <w:vertAlign w:val="baseline"/>
      <w:cs w:val="0"/>
      <w:em w:val="none"/>
    </w:rPr>
  </w:style>
  <w:style w:type="character" w:customStyle="1" w:styleId="WW8Num12z3">
    <w:name w:val="WW8Num12z3"/>
    <w:rPr>
      <w:rFonts w:ascii="Symbol" w:hAnsi="Symbol"/>
      <w:w w:val="100"/>
      <w:position w:val="-1"/>
      <w:effect w:val="none"/>
      <w:vertAlign w:val="baseline"/>
      <w:cs w:val="0"/>
      <w:em w:val="none"/>
    </w:rPr>
  </w:style>
  <w:style w:type="character" w:customStyle="1" w:styleId="WW8Num13z0">
    <w:name w:val="WW8Num13z0"/>
    <w:rPr>
      <w:rFonts w:ascii="Times New Roman" w:eastAsia="Times New Roman" w:hAnsi="Times New Roman"/>
      <w:w w:val="100"/>
      <w:position w:val="-1"/>
      <w:effect w:val="none"/>
      <w:vertAlign w:val="baseline"/>
      <w:cs w:val="0"/>
      <w:em w:val="none"/>
    </w:rPr>
  </w:style>
  <w:style w:type="character" w:customStyle="1" w:styleId="WW8Num13z1">
    <w:name w:val="WW8Num13z1"/>
    <w:rPr>
      <w:rFonts w:ascii="Courier New" w:hAnsi="Courier New"/>
      <w:w w:val="100"/>
      <w:position w:val="-1"/>
      <w:effect w:val="none"/>
      <w:vertAlign w:val="baseline"/>
      <w:cs w:val="0"/>
      <w:em w:val="none"/>
    </w:rPr>
  </w:style>
  <w:style w:type="character" w:customStyle="1" w:styleId="WW8Num13z2">
    <w:name w:val="WW8Num13z2"/>
    <w:rPr>
      <w:rFonts w:ascii="Wingdings" w:hAnsi="Wingdings"/>
      <w:w w:val="100"/>
      <w:position w:val="-1"/>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5z0">
    <w:name w:val="WW8Num15z0"/>
    <w:rPr>
      <w:rFonts w:ascii="Symbol" w:hAnsi="Symbol"/>
      <w:w w:val="100"/>
      <w:position w:val="-1"/>
      <w:effect w:val="none"/>
      <w:vertAlign w:val="baseline"/>
      <w:cs w:val="0"/>
      <w:em w:val="none"/>
    </w:rPr>
  </w:style>
  <w:style w:type="character" w:customStyle="1" w:styleId="WW8Num15z1">
    <w:name w:val="WW8Num15z1"/>
    <w:rPr>
      <w:rFonts w:ascii="Courier New" w:hAnsi="Courier New"/>
      <w:w w:val="100"/>
      <w:position w:val="-1"/>
      <w:effect w:val="none"/>
      <w:vertAlign w:val="baseline"/>
      <w:cs w:val="0"/>
      <w:em w:val="none"/>
    </w:rPr>
  </w:style>
  <w:style w:type="character" w:customStyle="1" w:styleId="WW8Num15z2">
    <w:name w:val="WW8Num15z2"/>
    <w:rPr>
      <w:rFonts w:ascii="Wingdings" w:hAnsi="Wingdings"/>
      <w:w w:val="100"/>
      <w:position w:val="-1"/>
      <w:effect w:val="none"/>
      <w:vertAlign w:val="baseline"/>
      <w:cs w:val="0"/>
      <w:em w:val="none"/>
    </w:rPr>
  </w:style>
  <w:style w:type="character" w:customStyle="1" w:styleId="WW8Num16z0">
    <w:name w:val="WW8Num16z0"/>
    <w:rPr>
      <w:b/>
      <w:color w:val="000000"/>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7z0">
    <w:name w:val="WW8Num17z0"/>
    <w:rPr>
      <w:rFonts w:ascii="Wingdings" w:hAnsi="Wingdings"/>
      <w:w w:val="100"/>
      <w:position w:val="-1"/>
      <w:effect w:val="none"/>
      <w:vertAlign w:val="baseline"/>
      <w:cs w:val="0"/>
      <w:em w:val="none"/>
    </w:rPr>
  </w:style>
  <w:style w:type="character" w:customStyle="1" w:styleId="WW8Num17z1">
    <w:name w:val="WW8Num17z1"/>
    <w:rPr>
      <w:rFonts w:ascii="Courier New" w:hAnsi="Courier New"/>
      <w:w w:val="100"/>
      <w:position w:val="-1"/>
      <w:effect w:val="none"/>
      <w:vertAlign w:val="baseline"/>
      <w:cs w:val="0"/>
      <w:em w:val="none"/>
    </w:rPr>
  </w:style>
  <w:style w:type="character" w:customStyle="1" w:styleId="WW8Num17z3">
    <w:name w:val="WW8Num17z3"/>
    <w:rPr>
      <w:rFonts w:ascii="Symbol" w:hAnsi="Symbol"/>
      <w:w w:val="100"/>
      <w:position w:val="-1"/>
      <w:effect w:val="none"/>
      <w:vertAlign w:val="baseline"/>
      <w:cs w:val="0"/>
      <w:em w:val="none"/>
    </w:rPr>
  </w:style>
  <w:style w:type="character" w:customStyle="1" w:styleId="WW8Num18z0">
    <w:name w:val="WW8Num18z0"/>
    <w:rPr>
      <w:rFonts w:ascii="Symbol" w:hAnsi="Symbol"/>
      <w:w w:val="100"/>
      <w:position w:val="-1"/>
      <w:sz w:val="20"/>
      <w:effect w:val="none"/>
      <w:vertAlign w:val="baseline"/>
      <w:cs w:val="0"/>
      <w:em w:val="none"/>
    </w:rPr>
  </w:style>
  <w:style w:type="character" w:customStyle="1" w:styleId="WW8Num19z0">
    <w:name w:val="WW8Num19z0"/>
    <w:rPr>
      <w:b/>
      <w:w w:val="100"/>
      <w:position w:val="-1"/>
      <w:effect w:val="none"/>
      <w:vertAlign w:val="baseline"/>
      <w:cs w:val="0"/>
      <w:em w:val="none"/>
    </w:rPr>
  </w:style>
  <w:style w:type="character" w:customStyle="1" w:styleId="WW8Num19z1">
    <w:name w:val="WW8Num19z1"/>
    <w:rPr>
      <w:w w:val="100"/>
      <w:position w:val="-1"/>
      <w:effect w:val="none"/>
      <w:vertAlign w:val="baseline"/>
      <w:cs w:val="0"/>
      <w:em w:val="none"/>
    </w:rPr>
  </w:style>
  <w:style w:type="character" w:customStyle="1" w:styleId="WW8Num20z0">
    <w:name w:val="WW8Num20z0"/>
    <w:rPr>
      <w:w w:val="100"/>
      <w:position w:val="-1"/>
      <w:effect w:val="none"/>
      <w:vertAlign w:val="baseline"/>
      <w:cs w:val="0"/>
      <w:em w:val="none"/>
    </w:rPr>
  </w:style>
  <w:style w:type="character" w:customStyle="1" w:styleId="WW8Num21z0">
    <w:name w:val="WW8Num21z0"/>
    <w:rPr>
      <w:b/>
      <w:w w:val="100"/>
      <w:position w:val="-1"/>
      <w:effect w:val="none"/>
      <w:vertAlign w:val="baseline"/>
      <w:cs w:val="0"/>
      <w:em w:val="none"/>
    </w:rPr>
  </w:style>
  <w:style w:type="character" w:customStyle="1" w:styleId="WW8Num21z1">
    <w:name w:val="WW8Num21z1"/>
    <w:rPr>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3z0">
    <w:name w:val="WW8Num23z0"/>
    <w:rPr>
      <w:rFonts w:ascii="Times New Roman" w:eastAsia="Times New Roman" w:hAnsi="Times New Roman"/>
      <w:w w:val="100"/>
      <w:position w:val="-1"/>
      <w:effect w:val="none"/>
      <w:vertAlign w:val="baseline"/>
      <w:cs w:val="0"/>
      <w:em w:val="none"/>
    </w:rPr>
  </w:style>
  <w:style w:type="character" w:customStyle="1" w:styleId="WW8Num23z1">
    <w:name w:val="WW8Num23z1"/>
    <w:rPr>
      <w:rFonts w:ascii="Courier New" w:hAnsi="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3z3">
    <w:name w:val="WW8Num23z3"/>
    <w:rPr>
      <w:rFonts w:ascii="Symbol" w:hAnsi="Symbol"/>
      <w:w w:val="100"/>
      <w:position w:val="-1"/>
      <w:effect w:val="none"/>
      <w:vertAlign w:val="baseline"/>
      <w:cs w:val="0"/>
      <w:em w:val="none"/>
    </w:rPr>
  </w:style>
  <w:style w:type="character" w:customStyle="1" w:styleId="WW8Num24z0">
    <w:name w:val="WW8Num24z0"/>
    <w:rPr>
      <w:rFonts w:ascii="Wingdings" w:hAnsi="Wingdings"/>
      <w:w w:val="100"/>
      <w:position w:val="-1"/>
      <w:effect w:val="none"/>
      <w:vertAlign w:val="baseline"/>
      <w:cs w:val="0"/>
      <w:em w:val="none"/>
    </w:rPr>
  </w:style>
  <w:style w:type="character" w:customStyle="1" w:styleId="WW8Num24z1">
    <w:name w:val="WW8Num24z1"/>
    <w:rPr>
      <w:rFonts w:ascii="Courier New" w:hAnsi="Courier New"/>
      <w:w w:val="100"/>
      <w:position w:val="-1"/>
      <w:effect w:val="none"/>
      <w:vertAlign w:val="baseline"/>
      <w:cs w:val="0"/>
      <w:em w:val="none"/>
    </w:rPr>
  </w:style>
  <w:style w:type="character" w:customStyle="1" w:styleId="WW8Num24z3">
    <w:name w:val="WW8Num24z3"/>
    <w:rPr>
      <w:rFonts w:ascii="Symbol" w:hAnsi="Symbol"/>
      <w:w w:val="100"/>
      <w:position w:val="-1"/>
      <w:effect w:val="none"/>
      <w:vertAlign w:val="baseline"/>
      <w:cs w:val="0"/>
      <w:em w:val="none"/>
    </w:rPr>
  </w:style>
  <w:style w:type="character" w:customStyle="1" w:styleId="WW8Num25z0">
    <w:name w:val="WW8Num25z0"/>
    <w:rPr>
      <w:b/>
      <w:w w:val="100"/>
      <w:position w:val="-1"/>
      <w:sz w:val="22"/>
      <w:effect w:val="none"/>
      <w:vertAlign w:val="baseline"/>
      <w:cs w:val="0"/>
      <w:em w:val="none"/>
    </w:rPr>
  </w:style>
  <w:style w:type="character" w:customStyle="1" w:styleId="WW8Num25z1">
    <w:name w:val="WW8Num25z1"/>
    <w:rPr>
      <w:w w:val="100"/>
      <w:position w:val="-1"/>
      <w:effect w:val="none"/>
      <w:vertAlign w:val="baseline"/>
      <w:cs w:val="0"/>
      <w:em w:val="none"/>
    </w:rPr>
  </w:style>
  <w:style w:type="character" w:customStyle="1" w:styleId="WW8Num26z0">
    <w:name w:val="WW8Num26z0"/>
    <w:rPr>
      <w:color w:val="000000"/>
      <w:w w:val="100"/>
      <w:position w:val="-1"/>
      <w:u w:val="none"/>
      <w:effect w:val="none"/>
      <w:vertAlign w:val="baseline"/>
      <w:cs w:val="0"/>
      <w:em w:val="none"/>
    </w:rPr>
  </w:style>
  <w:style w:type="character" w:customStyle="1" w:styleId="WW8Num26z1">
    <w:name w:val="WW8Num26z1"/>
    <w:rPr>
      <w:w w:val="100"/>
      <w:position w:val="-1"/>
      <w:effect w:val="none"/>
      <w:vertAlign w:val="baseline"/>
      <w:cs w:val="0"/>
      <w:em w:val="none"/>
    </w:rPr>
  </w:style>
  <w:style w:type="character" w:customStyle="1" w:styleId="WW8Num27z0">
    <w:name w:val="WW8Num27z0"/>
    <w:rPr>
      <w:rFonts w:ascii="Symbol" w:hAnsi="Symbol"/>
      <w:w w:val="100"/>
      <w:position w:val="-1"/>
      <w:effect w:val="none"/>
      <w:vertAlign w:val="baseline"/>
      <w:cs w:val="0"/>
      <w:em w:val="none"/>
    </w:rPr>
  </w:style>
  <w:style w:type="character" w:customStyle="1" w:styleId="WW8Num27z1">
    <w:name w:val="WW8Num27z1"/>
    <w:rPr>
      <w:rFonts w:ascii="Courier New" w:hAnsi="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rFonts w:ascii="Symbol" w:hAnsi="Symbol"/>
      <w:w w:val="100"/>
      <w:position w:val="-1"/>
      <w:effect w:val="none"/>
      <w:vertAlign w:val="baseline"/>
      <w:cs w:val="0"/>
      <w:em w:val="none"/>
    </w:rPr>
  </w:style>
  <w:style w:type="character" w:customStyle="1" w:styleId="WW8Num28z1">
    <w:name w:val="WW8Num28z1"/>
    <w:rPr>
      <w:rFonts w:ascii="Courier New" w:hAnsi="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WW8Num29z0">
    <w:name w:val="WW8Num29z0"/>
    <w:rPr>
      <w:rFonts w:ascii="Wingdings" w:hAnsi="Wingdings"/>
      <w:w w:val="100"/>
      <w:position w:val="-1"/>
      <w:effect w:val="none"/>
      <w:vertAlign w:val="baseline"/>
      <w:cs w:val="0"/>
      <w:em w:val="none"/>
    </w:rPr>
  </w:style>
  <w:style w:type="character" w:customStyle="1" w:styleId="WW8Num29z1">
    <w:name w:val="WW8Num29z1"/>
    <w:rPr>
      <w:rFonts w:ascii="Courier New" w:hAnsi="Courier New"/>
      <w:w w:val="100"/>
      <w:position w:val="-1"/>
      <w:effect w:val="none"/>
      <w:vertAlign w:val="baseline"/>
      <w:cs w:val="0"/>
      <w:em w:val="none"/>
    </w:rPr>
  </w:style>
  <w:style w:type="character" w:customStyle="1" w:styleId="WW8Num29z3">
    <w:name w:val="WW8Num29z3"/>
    <w:rPr>
      <w:rFonts w:ascii="Symbol" w:hAnsi="Symbol"/>
      <w:w w:val="100"/>
      <w:position w:val="-1"/>
      <w:effect w:val="none"/>
      <w:vertAlign w:val="baseline"/>
      <w:cs w:val="0"/>
      <w:em w:val="none"/>
    </w:rPr>
  </w:style>
  <w:style w:type="character" w:customStyle="1" w:styleId="WW8Num30z0">
    <w:name w:val="WW8Num30z0"/>
    <w:rPr>
      <w:rFonts w:ascii="Symbol" w:hAnsi="Symbol"/>
      <w:w w:val="100"/>
      <w:position w:val="-1"/>
      <w:sz w:val="20"/>
      <w:effect w:val="none"/>
      <w:vertAlign w:val="baseline"/>
      <w:cs w:val="0"/>
      <w:em w:val="none"/>
    </w:rPr>
  </w:style>
  <w:style w:type="character" w:customStyle="1" w:styleId="WW8Num31z0">
    <w:name w:val="WW8Num31z0"/>
    <w:rPr>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sz w:val="20"/>
      <w:effect w:val="none"/>
      <w:vertAlign w:val="baseline"/>
      <w:cs w:val="0"/>
      <w:em w:val="none"/>
    </w:rPr>
  </w:style>
  <w:style w:type="character" w:customStyle="1" w:styleId="WW8Num33z1">
    <w:name w:val="WW8Num33z1"/>
    <w:rPr>
      <w:w w:val="100"/>
      <w:position w:val="-1"/>
      <w:effect w:val="none"/>
      <w:vertAlign w:val="baseline"/>
      <w:cs w:val="0"/>
      <w:em w:val="none"/>
    </w:rPr>
  </w:style>
  <w:style w:type="character" w:customStyle="1" w:styleId="WW8Num34z0">
    <w:name w:val="WW8Num34z0"/>
    <w:rPr>
      <w:w w:val="100"/>
      <w:position w:val="-1"/>
      <w:effect w:val="none"/>
      <w:vertAlign w:val="baseline"/>
      <w:cs w:val="0"/>
      <w:em w:val="none"/>
    </w:rPr>
  </w:style>
  <w:style w:type="character" w:customStyle="1" w:styleId="WW8Num34z1">
    <w:name w:val="WW8Num34z1"/>
    <w:rPr>
      <w:b/>
      <w:w w:val="100"/>
      <w:position w:val="-1"/>
      <w:effect w:val="none"/>
      <w:vertAlign w:val="baseline"/>
      <w:cs w:val="0"/>
      <w:em w:val="none"/>
    </w:rPr>
  </w:style>
  <w:style w:type="character" w:customStyle="1" w:styleId="WW8Num35z0">
    <w:name w:val="WW8Num35z0"/>
    <w:rPr>
      <w:w w:val="100"/>
      <w:position w:val="-1"/>
      <w:effect w:val="none"/>
      <w:vertAlign w:val="baseline"/>
      <w:cs w:val="0"/>
      <w:em w:val="none"/>
    </w:rPr>
  </w:style>
  <w:style w:type="character" w:customStyle="1" w:styleId="WW8Num36z0">
    <w:name w:val="WW8Num36z0"/>
    <w:rPr>
      <w:rFonts w:ascii="Wingdings" w:hAnsi="Wingdings"/>
      <w:w w:val="100"/>
      <w:position w:val="-1"/>
      <w:effect w:val="none"/>
      <w:vertAlign w:val="baseline"/>
      <w:cs w:val="0"/>
      <w:em w:val="none"/>
    </w:rPr>
  </w:style>
  <w:style w:type="character" w:customStyle="1" w:styleId="WW8Num36z1">
    <w:name w:val="WW8Num36z1"/>
    <w:rPr>
      <w:rFonts w:ascii="Courier New" w:hAnsi="Courier New"/>
      <w:w w:val="100"/>
      <w:position w:val="-1"/>
      <w:effect w:val="none"/>
      <w:vertAlign w:val="baseline"/>
      <w:cs w:val="0"/>
      <w:em w:val="none"/>
    </w:rPr>
  </w:style>
  <w:style w:type="character" w:customStyle="1" w:styleId="WW8Num36z3">
    <w:name w:val="WW8Num36z3"/>
    <w:rPr>
      <w:rFonts w:ascii="Symbol" w:hAnsi="Symbol"/>
      <w:w w:val="100"/>
      <w:position w:val="-1"/>
      <w:effect w:val="none"/>
      <w:vertAlign w:val="baseline"/>
      <w:cs w:val="0"/>
      <w:em w:val="none"/>
    </w:rPr>
  </w:style>
  <w:style w:type="character" w:customStyle="1" w:styleId="WW8Num37z0">
    <w:name w:val="WW8Num37z0"/>
    <w:rPr>
      <w:b/>
      <w:w w:val="100"/>
      <w:position w:val="-1"/>
      <w:effect w:val="none"/>
      <w:vertAlign w:val="baseline"/>
      <w:cs w:val="0"/>
      <w:em w:val="none"/>
    </w:rPr>
  </w:style>
  <w:style w:type="character" w:customStyle="1" w:styleId="WW8Num37z1">
    <w:name w:val="WW8Num37z1"/>
    <w:rPr>
      <w:w w:val="100"/>
      <w:position w:val="-1"/>
      <w:effect w:val="none"/>
      <w:vertAlign w:val="baseline"/>
      <w:cs w:val="0"/>
      <w:em w:val="none"/>
    </w:rPr>
  </w:style>
  <w:style w:type="character" w:customStyle="1" w:styleId="FootnoteSymbol">
    <w:name w:val="Footnote Symbol"/>
    <w:rPr>
      <w:w w:val="100"/>
      <w:position w:val="0"/>
      <w:effect w:val="none"/>
      <w:vertAlign w:val="superscript"/>
      <w:cs w:val="0"/>
      <w:em w:val="none"/>
    </w:rPr>
  </w:style>
  <w:style w:type="character" w:customStyle="1" w:styleId="EndnoteSymbol">
    <w:name w:val="Endnote Symbol"/>
    <w:rPr>
      <w:w w:val="100"/>
      <w:position w:val="0"/>
      <w:effect w:val="none"/>
      <w:vertAlign w:val="superscript"/>
      <w:cs w:val="0"/>
      <w:em w:val="none"/>
    </w:rPr>
  </w:style>
  <w:style w:type="character" w:customStyle="1" w:styleId="VisitedInternetLink">
    <w:name w:val="Visited Internet Link"/>
    <w:rPr>
      <w:color w:val="800080"/>
      <w:w w:val="100"/>
      <w:position w:val="-1"/>
      <w:u w:val="single"/>
      <w:effect w:val="none"/>
      <w:vertAlign w:val="baseline"/>
      <w:cs w:val="0"/>
      <w:em w:val="none"/>
    </w:rPr>
  </w:style>
  <w:style w:type="numbering" w:customStyle="1" w:styleId="WW8Num2">
    <w:name w:val="WW8Num2"/>
    <w:basedOn w:val="Sinlista"/>
  </w:style>
  <w:style w:type="numbering" w:customStyle="1" w:styleId="WW8Num3">
    <w:name w:val="WW8Num3"/>
    <w:basedOn w:val="Sinlista"/>
  </w:style>
  <w:style w:type="numbering" w:customStyle="1" w:styleId="WW8Num4">
    <w:name w:val="WW8Num4"/>
    <w:basedOn w:val="Sinlista"/>
  </w:style>
  <w:style w:type="numbering" w:customStyle="1" w:styleId="WW8Num5">
    <w:name w:val="WW8Num5"/>
    <w:basedOn w:val="Sinlista"/>
  </w:style>
  <w:style w:type="numbering" w:customStyle="1" w:styleId="WW8Num6">
    <w:name w:val="WW8Num6"/>
    <w:basedOn w:val="Sinlista"/>
  </w:style>
  <w:style w:type="numbering" w:customStyle="1" w:styleId="WW8Num7">
    <w:name w:val="WW8Num7"/>
    <w:basedOn w:val="Sinlista"/>
  </w:style>
  <w:style w:type="numbering" w:customStyle="1" w:styleId="WW8Num8">
    <w:name w:val="WW8Num8"/>
    <w:basedOn w:val="Sinlista"/>
  </w:style>
  <w:style w:type="numbering" w:customStyle="1" w:styleId="WW8Num9">
    <w:name w:val="WW8Num9"/>
    <w:basedOn w:val="Sinlista"/>
  </w:style>
  <w:style w:type="numbering" w:customStyle="1" w:styleId="WW8Num10">
    <w:name w:val="WW8Num10"/>
    <w:basedOn w:val="Sinlista"/>
  </w:style>
  <w:style w:type="numbering" w:customStyle="1" w:styleId="WW8Num11">
    <w:name w:val="WW8Num11"/>
    <w:basedOn w:val="Sinlista"/>
  </w:style>
  <w:style w:type="numbering" w:customStyle="1" w:styleId="WW8Num12">
    <w:name w:val="WW8Num12"/>
    <w:basedOn w:val="Sinlista"/>
  </w:style>
  <w:style w:type="numbering" w:customStyle="1" w:styleId="WW8Num13">
    <w:name w:val="WW8Num13"/>
    <w:basedOn w:val="Sinlista"/>
  </w:style>
  <w:style w:type="numbering" w:customStyle="1" w:styleId="WW8Num14">
    <w:name w:val="WW8Num14"/>
    <w:basedOn w:val="Sinlista"/>
  </w:style>
  <w:style w:type="numbering" w:customStyle="1" w:styleId="WW8Num15">
    <w:name w:val="WW8Num15"/>
    <w:basedOn w:val="Sinlista"/>
  </w:style>
  <w:style w:type="numbering" w:customStyle="1" w:styleId="WW8Num16">
    <w:name w:val="WW8Num16"/>
    <w:basedOn w:val="Sinlista"/>
  </w:style>
  <w:style w:type="numbering" w:customStyle="1" w:styleId="WW8Num17">
    <w:name w:val="WW8Num17"/>
    <w:basedOn w:val="Sinlista"/>
  </w:style>
  <w:style w:type="numbering" w:customStyle="1" w:styleId="WW8Num18">
    <w:name w:val="WW8Num18"/>
    <w:basedOn w:val="Sinlista"/>
  </w:style>
  <w:style w:type="numbering" w:customStyle="1" w:styleId="WW8Num19">
    <w:name w:val="WW8Num19"/>
    <w:basedOn w:val="Sinlista"/>
  </w:style>
  <w:style w:type="numbering" w:customStyle="1" w:styleId="WW8Num20">
    <w:name w:val="WW8Num20"/>
    <w:basedOn w:val="Sinlista"/>
  </w:style>
  <w:style w:type="numbering" w:customStyle="1" w:styleId="WW8Num21">
    <w:name w:val="WW8Num21"/>
    <w:basedOn w:val="Sinlista"/>
  </w:style>
  <w:style w:type="numbering" w:customStyle="1" w:styleId="WW8Num22">
    <w:name w:val="WW8Num22"/>
    <w:basedOn w:val="Sinlista"/>
  </w:style>
  <w:style w:type="numbering" w:customStyle="1" w:styleId="WW8Num23">
    <w:name w:val="WW8Num23"/>
    <w:basedOn w:val="Sinlista"/>
  </w:style>
  <w:style w:type="numbering" w:customStyle="1" w:styleId="WW8Num24">
    <w:name w:val="WW8Num24"/>
    <w:basedOn w:val="Sinlista"/>
  </w:style>
  <w:style w:type="numbering" w:customStyle="1" w:styleId="WW8Num25">
    <w:name w:val="WW8Num25"/>
    <w:basedOn w:val="Sinlista"/>
  </w:style>
  <w:style w:type="numbering" w:customStyle="1" w:styleId="WW8Num26">
    <w:name w:val="WW8Num26"/>
    <w:basedOn w:val="Sinlista"/>
  </w:style>
  <w:style w:type="numbering" w:customStyle="1" w:styleId="WW8Num27">
    <w:name w:val="WW8Num27"/>
    <w:basedOn w:val="Sinlista"/>
  </w:style>
  <w:style w:type="numbering" w:customStyle="1" w:styleId="WW8Num28">
    <w:name w:val="WW8Num28"/>
    <w:basedOn w:val="Sinlista"/>
  </w:style>
  <w:style w:type="numbering" w:customStyle="1" w:styleId="WW8Num29">
    <w:name w:val="WW8Num29"/>
    <w:basedOn w:val="Sinlista"/>
  </w:style>
  <w:style w:type="numbering" w:customStyle="1" w:styleId="WW8Num30">
    <w:name w:val="WW8Num30"/>
    <w:basedOn w:val="Sinlista"/>
  </w:style>
  <w:style w:type="numbering" w:customStyle="1" w:styleId="WW8Num31">
    <w:name w:val="WW8Num31"/>
    <w:basedOn w:val="Sinlista"/>
  </w:style>
  <w:style w:type="numbering" w:customStyle="1" w:styleId="WW8Num32">
    <w:name w:val="WW8Num32"/>
    <w:basedOn w:val="Sinlista"/>
  </w:style>
  <w:style w:type="numbering" w:customStyle="1" w:styleId="WW8Num33">
    <w:name w:val="WW8Num33"/>
    <w:basedOn w:val="Sinlista"/>
  </w:style>
  <w:style w:type="numbering" w:customStyle="1" w:styleId="WW8Num34">
    <w:name w:val="WW8Num34"/>
    <w:basedOn w:val="Sinlista"/>
  </w:style>
  <w:style w:type="numbering" w:customStyle="1" w:styleId="WW8Num36">
    <w:name w:val="WW8Num36"/>
    <w:basedOn w:val="Sinlista"/>
  </w:style>
  <w:style w:type="numbering" w:customStyle="1" w:styleId="WW8Num37">
    <w:name w:val="WW8Num37"/>
    <w:basedOn w:val="Sinlista"/>
  </w:style>
  <w:style w:type="paragraph" w:customStyle="1" w:styleId="Normal2">
    <w:name w:val="Normal2"/>
    <w:pPr>
      <w:widowControl w:val="0"/>
      <w:autoSpaceDN w:val="0"/>
      <w:spacing w:line="100" w:lineRule="atLeast"/>
      <w:ind w:leftChars="-1" w:left="-1" w:hangingChars="1"/>
      <w:textDirection w:val="btLr"/>
      <w:textAlignment w:val="top"/>
      <w:outlineLvl w:val="0"/>
    </w:pPr>
    <w:rPr>
      <w:rFonts w:ascii="Times New Roman" w:eastAsia="Arial Unicode MS" w:hAnsi="Times New Roman"/>
      <w:kern w:val="3"/>
      <w:position w:val="-1"/>
      <w:sz w:val="24"/>
      <w:szCs w:val="24"/>
      <w:lang w:val="en-US" w:eastAsia="ar-SA"/>
    </w:rPr>
  </w:style>
  <w:style w:type="paragraph" w:customStyle="1" w:styleId="normal20">
    <w:name w:val="normal2"/>
    <w:basedOn w:val="Normal"/>
    <w:pPr>
      <w:autoSpaceDN w:val="0"/>
      <w:spacing w:after="0" w:line="240" w:lineRule="auto"/>
    </w:pPr>
    <w:rPr>
      <w:rFonts w:ascii="Times New Roman" w:hAnsi="Times New Roman" w:cs="Times New Roman"/>
      <w:sz w:val="24"/>
      <w:szCs w:val="24"/>
      <w:lang w:val="es-ES" w:eastAsia="es-ES"/>
    </w:rPr>
  </w:style>
  <w:style w:type="paragraph" w:customStyle="1" w:styleId="orawizpagecolor">
    <w:name w:val="orawizpagecolor"/>
    <w:basedOn w:val="Normal"/>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estilo1">
    <w:name w:val="msonormal estilo1"/>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demensaje">
    <w:name w:val="Message Header"/>
    <w:basedOn w:val="TextoindependientebodytextbtBodytextTextindepT2TableBullet1bodytesxcontentsEHPTBodyText2ndradtabla2SubsectionBodyTextTextoindependienteCarCarbodytesxCarCarTABLADECONTENIDO3AvtalBrdtextBody3BodyTextRespons"/>
    <w:pPr>
      <w:keepLines/>
      <w:spacing w:after="120" w:line="240" w:lineRule="atLeast"/>
      <w:ind w:left="1080" w:hanging="1080"/>
      <w:jc w:val="left"/>
    </w:pPr>
    <w:rPr>
      <w:rFonts w:ascii="Garamond" w:eastAsia="Batang" w:hAnsi="Garamond"/>
      <w:caps/>
      <w:sz w:val="18"/>
      <w:lang w:eastAsia="en-US"/>
    </w:rPr>
  </w:style>
  <w:style w:type="character" w:customStyle="1" w:styleId="EncabezadodemensajeCar">
    <w:name w:val="Encabezado de mensaje Car"/>
    <w:rPr>
      <w:rFonts w:ascii="Garamond" w:eastAsia="Batang" w:hAnsi="Garamond" w:cs="Times New Roman"/>
      <w:caps/>
      <w:w w:val="100"/>
      <w:position w:val="-1"/>
      <w:sz w:val="18"/>
      <w:szCs w:val="20"/>
      <w:effect w:val="none"/>
      <w:vertAlign w:val="baseline"/>
      <w:cs w:val="0"/>
      <w:em w:val="none"/>
      <w:lang w:val="es-ES"/>
    </w:rPr>
  </w:style>
  <w:style w:type="paragraph" w:customStyle="1" w:styleId="CharCharChar1Car">
    <w:name w:val="Char Char Char1 Car"/>
    <w:basedOn w:val="Normal"/>
    <w:pPr>
      <w:spacing w:line="240" w:lineRule="atLeast"/>
    </w:pPr>
    <w:rPr>
      <w:rFonts w:ascii="Verdana" w:eastAsia="Times New Roman" w:hAnsi="Verdana" w:cs="Times New Roman"/>
      <w:sz w:val="20"/>
      <w:szCs w:val="20"/>
      <w:lang w:val="es-ES"/>
    </w:rPr>
  </w:style>
  <w:style w:type="character" w:customStyle="1" w:styleId="small1">
    <w:name w:val="small1"/>
    <w:rPr>
      <w:rFonts w:ascii="Arial" w:hAnsi="Arial" w:cs="Arial" w:hint="default"/>
      <w:w w:val="100"/>
      <w:position w:val="-1"/>
      <w:sz w:val="14"/>
      <w:szCs w:val="14"/>
      <w:effect w:val="none"/>
      <w:vertAlign w:val="baseline"/>
      <w:cs w:val="0"/>
      <w:em w:val="none"/>
    </w:rPr>
  </w:style>
  <w:style w:type="paragraph" w:customStyle="1" w:styleId="MARITZA3">
    <w:name w:val="MARITZA3"/>
    <w:pPr>
      <w:widowControl w:val="0"/>
      <w:tabs>
        <w:tab w:val="left" w:pos="-720"/>
        <w:tab w:val="left" w:pos="0"/>
      </w:tabs>
      <w:suppressAutoHyphens/>
      <w:spacing w:line="1" w:lineRule="atLeast"/>
      <w:ind w:leftChars="-1" w:left="-1" w:hangingChars="1"/>
      <w:jc w:val="both"/>
      <w:textDirection w:val="btLr"/>
      <w:textAlignment w:val="top"/>
      <w:outlineLvl w:val="0"/>
    </w:pPr>
    <w:rPr>
      <w:rFonts w:ascii="Arial" w:eastAsia="Times New Roman" w:hAnsi="Arial"/>
      <w:position w:val="-1"/>
      <w:sz w:val="24"/>
      <w:lang w:val="en-US" w:eastAsia="es-ES"/>
    </w:rPr>
  </w:style>
  <w:style w:type="character" w:customStyle="1" w:styleId="MARITZA3Car">
    <w:name w:val="MARITZA3 Car"/>
    <w:rPr>
      <w:rFonts w:ascii="Arial" w:eastAsia="Times New Roman" w:hAnsi="Arial" w:cs="Times New Roman"/>
      <w:w w:val="100"/>
      <w:position w:val="-1"/>
      <w:sz w:val="24"/>
      <w:szCs w:val="20"/>
      <w:effect w:val="none"/>
      <w:vertAlign w:val="baseline"/>
      <w:cs w:val="0"/>
      <w:em w:val="none"/>
      <w:lang w:val="en-US" w:eastAsia="es-ES"/>
    </w:rPr>
  </w:style>
  <w:style w:type="paragraph" w:customStyle="1" w:styleId="xl35">
    <w:name w:val="xl35"/>
    <w:basedOn w:val="Normal"/>
    <w:pPr>
      <w:autoSpaceDE w:val="0"/>
      <w:autoSpaceDN w:val="0"/>
      <w:spacing w:before="100" w:after="100" w:line="240" w:lineRule="auto"/>
      <w:jc w:val="both"/>
    </w:pPr>
    <w:rPr>
      <w:rFonts w:ascii="Times New Roman" w:hAnsi="Times New Roman" w:cs="Times New Roman"/>
      <w:sz w:val="20"/>
      <w:szCs w:val="20"/>
      <w:lang w:eastAsia="es-ES"/>
    </w:rPr>
  </w:style>
  <w:style w:type="character" w:customStyle="1" w:styleId="Textoindependiente3Car1">
    <w:name w:val="Texto independiente 3 Car1"/>
    <w:rPr>
      <w:rFonts w:ascii="Tahoma" w:eastAsia="Times New Roman" w:hAnsi="Tahoma" w:cs="Times New Roman"/>
      <w:w w:val="100"/>
      <w:position w:val="-1"/>
      <w:sz w:val="16"/>
      <w:szCs w:val="16"/>
      <w:effect w:val="none"/>
      <w:vertAlign w:val="baseline"/>
      <w:cs w:val="0"/>
      <w:em w:val="none"/>
      <w:lang w:val="es-ES" w:eastAsia="es-ES"/>
    </w:rPr>
  </w:style>
  <w:style w:type="numbering" w:customStyle="1" w:styleId="Sinlista3">
    <w:name w:val="Sin lista3"/>
    <w:next w:val="Sinlista"/>
    <w:qFormat/>
  </w:style>
  <w:style w:type="table" w:customStyle="1" w:styleId="Tablaconcuadrcula4">
    <w:name w:val="Tabla con cuadrícula4"/>
    <w:basedOn w:val="Tablanormal"/>
    <w:next w:val="Tablaconcuadrcula"/>
    <w:pPr>
      <w:suppressAutoHyphens/>
      <w:spacing w:after="0" w:line="240" w:lineRule="auto"/>
      <w:ind w:leftChars="-1" w:left="-1" w:hangingChars="1"/>
      <w:textDirection w:val="btLr"/>
      <w:textAlignment w:val="top"/>
      <w:outlineLvl w:val="0"/>
    </w:pPr>
    <w:rPr>
      <w:rFonts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qFormat/>
  </w:style>
  <w:style w:type="paragraph" w:styleId="Lista2">
    <w:name w:val="List 2"/>
    <w:basedOn w:val="Normal"/>
    <w:pPr>
      <w:spacing w:after="0" w:line="240" w:lineRule="auto"/>
      <w:ind w:left="566" w:hanging="283"/>
      <w:contextualSpacing/>
    </w:pPr>
    <w:rPr>
      <w:rFonts w:ascii="Tahoma" w:eastAsia="Times New Roman" w:hAnsi="Tahoma" w:cs="Times New Roman"/>
      <w:sz w:val="24"/>
      <w:szCs w:val="24"/>
      <w:lang w:val="es-ES" w:eastAsia="es-ES"/>
    </w:rPr>
  </w:style>
  <w:style w:type="paragraph" w:styleId="Cierre">
    <w:name w:val="Closing"/>
    <w:basedOn w:val="Normal"/>
    <w:pPr>
      <w:spacing w:after="0" w:line="240" w:lineRule="auto"/>
      <w:ind w:left="4252"/>
    </w:pPr>
    <w:rPr>
      <w:rFonts w:ascii="Tahoma" w:eastAsia="Times New Roman" w:hAnsi="Tahoma" w:cs="Times New Roman"/>
      <w:sz w:val="24"/>
      <w:szCs w:val="24"/>
      <w:lang w:val="es-ES" w:eastAsia="es-ES"/>
    </w:rPr>
  </w:style>
  <w:style w:type="character" w:customStyle="1" w:styleId="CierreCar">
    <w:name w:val="Cierre Car"/>
    <w:rPr>
      <w:rFonts w:ascii="Tahoma" w:eastAsia="Times New Roman" w:hAnsi="Tahoma" w:cs="Times New Roman"/>
      <w:w w:val="100"/>
      <w:position w:val="-1"/>
      <w:sz w:val="24"/>
      <w:szCs w:val="24"/>
      <w:effect w:val="none"/>
      <w:vertAlign w:val="baseline"/>
      <w:cs w:val="0"/>
      <w:em w:val="none"/>
      <w:lang w:val="es-ES" w:eastAsia="es-ES"/>
    </w:rPr>
  </w:style>
  <w:style w:type="paragraph" w:styleId="Listaconvietas2">
    <w:name w:val="List Bullet 2"/>
    <w:basedOn w:val="Normal"/>
    <w:pPr>
      <w:tabs>
        <w:tab w:val="num" w:pos="720"/>
      </w:tabs>
      <w:spacing w:after="0" w:line="240" w:lineRule="auto"/>
      <w:contextualSpacing/>
    </w:pPr>
    <w:rPr>
      <w:rFonts w:ascii="Tahoma" w:eastAsia="Times New Roman" w:hAnsi="Tahoma" w:cs="Times New Roman"/>
      <w:sz w:val="24"/>
      <w:szCs w:val="24"/>
      <w:lang w:val="es-ES" w:eastAsia="es-ES"/>
    </w:rPr>
  </w:style>
  <w:style w:type="paragraph" w:customStyle="1" w:styleId="ListaCC">
    <w:name w:val="Lista CC."/>
    <w:basedOn w:val="Normal"/>
    <w:pPr>
      <w:spacing w:after="0" w:line="240" w:lineRule="auto"/>
    </w:pPr>
    <w:rPr>
      <w:rFonts w:ascii="Tahoma" w:eastAsia="Times New Roman" w:hAnsi="Tahoma" w:cs="Times New Roman"/>
      <w:sz w:val="24"/>
      <w:szCs w:val="24"/>
      <w:lang w:val="es-ES" w:eastAsia="es-ES"/>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Textoindependienteprimerasangra2">
    <w:name w:val="Body Text First Indent 2"/>
    <w:basedOn w:val="Sangradetextonormal"/>
    <w:pPr>
      <w:autoSpaceDN/>
      <w:spacing w:after="120"/>
      <w:ind w:left="283" w:firstLine="210"/>
      <w:jc w:val="left"/>
    </w:pPr>
    <w:rPr>
      <w:rFonts w:eastAsia="Calibri"/>
      <w:sz w:val="20"/>
      <w:szCs w:val="22"/>
      <w:lang w:val="es-ES" w:eastAsia="en-US"/>
    </w:rPr>
  </w:style>
  <w:style w:type="character" w:customStyle="1" w:styleId="Textoindependienteprimerasangra2Car">
    <w:name w:val="Texto independiente primera sangría 2 Car"/>
    <w:rPr>
      <w:rFonts w:ascii="Arial" w:eastAsia="Calibri" w:hAnsi="Arial" w:cs="Times New Roman"/>
      <w:w w:val="100"/>
      <w:position w:val="-1"/>
      <w:sz w:val="20"/>
      <w:szCs w:val="20"/>
      <w:effect w:val="none"/>
      <w:vertAlign w:val="baseline"/>
      <w:cs w:val="0"/>
      <w:em w:val="none"/>
      <w:lang w:val="es-ES" w:eastAsia="es-ES"/>
    </w:rPr>
  </w:style>
  <w:style w:type="paragraph" w:customStyle="1" w:styleId="Textoindependiente22">
    <w:name w:val="Texto independiente 22"/>
    <w:basedOn w:val="Normal"/>
    <w:pPr>
      <w:spacing w:after="0" w:line="240" w:lineRule="auto"/>
      <w:jc w:val="both"/>
    </w:pPr>
    <w:rPr>
      <w:rFonts w:ascii="Arial" w:eastAsia="Times New Roman" w:hAnsi="Arial" w:cs="Times New Roman"/>
      <w:szCs w:val="20"/>
      <w:lang w:val="es-ES" w:eastAsia="es-ES"/>
    </w:rPr>
  </w:style>
  <w:style w:type="paragraph" w:customStyle="1" w:styleId="CM117">
    <w:name w:val="CM117"/>
    <w:basedOn w:val="Default"/>
    <w:next w:val="Default"/>
    <w:rPr>
      <w:rFonts w:eastAsia="Calibri"/>
      <w:color w:val="auto"/>
      <w:lang w:eastAsia="en-US"/>
    </w:rPr>
  </w:style>
  <w:style w:type="character" w:customStyle="1" w:styleId="PuestoCar1">
    <w:name w:val="Puesto Car1"/>
    <w:rPr>
      <w:rFonts w:ascii="Calibri Light" w:eastAsia="Times New Roman" w:hAnsi="Calibri Light" w:cs="Times New Roman"/>
      <w:spacing w:val="-10"/>
      <w:w w:val="100"/>
      <w:kern w:val="28"/>
      <w:position w:val="-1"/>
      <w:sz w:val="56"/>
      <w:szCs w:val="56"/>
      <w:effect w:val="none"/>
      <w:vertAlign w:val="baseline"/>
      <w:cs w:val="0"/>
      <w:em w:val="none"/>
      <w:lang w:val="es-ES" w:eastAsia="es-ES"/>
    </w:rPr>
  </w:style>
  <w:style w:type="paragraph" w:customStyle="1" w:styleId="CM56">
    <w:name w:val="CM56"/>
    <w:basedOn w:val="Default"/>
    <w:next w:val="Default"/>
    <w:pPr>
      <w:spacing w:line="271" w:lineRule="atLeast"/>
    </w:pPr>
    <w:rPr>
      <w:color w:val="auto"/>
      <w:lang w:eastAsia="es-ES"/>
    </w:rPr>
  </w:style>
  <w:style w:type="paragraph" w:customStyle="1" w:styleId="subtitulo">
    <w:name w:val="subtitulo"/>
    <w:basedOn w:val="PrrafodelistaTTULOSEGUNDONIVELListList1List11EYEPM-ListaList111List1111List11111List2List111111CaptuloTIT2INDList1111111Fluvial1titulo3ListParagraphListavistosa-nfasis11BulletListFooterTextnumberedListParagraph1"/>
    <w:pPr>
      <w:numPr>
        <w:numId w:val="0"/>
      </w:numPr>
      <w:spacing w:before="120" w:after="120" w:line="240" w:lineRule="auto"/>
      <w:ind w:leftChars="-1" w:left="720" w:hangingChars="1" w:hanging="720"/>
      <w:jc w:val="both"/>
    </w:pPr>
    <w:rPr>
      <w:rFonts w:ascii="Arial" w:eastAsia="Calibri" w:hAnsi="Arial" w:cs="Arial"/>
      <w:b/>
      <w:sz w:val="24"/>
      <w:szCs w:val="24"/>
      <w:lang w:val="es-CO"/>
    </w:rPr>
  </w:style>
  <w:style w:type="paragraph" w:customStyle="1" w:styleId="Ttulo20">
    <w:name w:val="Título2"/>
    <w:basedOn w:val="Normal"/>
    <w:pPr>
      <w:pBdr>
        <w:left w:val="double" w:sz="12" w:space="1" w:color="auto"/>
        <w:bottom w:val="double" w:sz="12" w:space="1" w:color="auto"/>
        <w:right w:val="double" w:sz="12" w:space="1" w:color="auto"/>
      </w:pBdr>
      <w:spacing w:after="0" w:line="240" w:lineRule="auto"/>
      <w:jc w:val="center"/>
    </w:pPr>
    <w:rPr>
      <w:rFonts w:ascii="Cambria" w:eastAsia="Times New Roman" w:hAnsi="Cambria" w:cs="Times New Roman"/>
      <w:color w:val="17365D"/>
      <w:spacing w:val="5"/>
      <w:kern w:val="3"/>
      <w:sz w:val="52"/>
      <w:szCs w:val="52"/>
    </w:rPr>
  </w:style>
  <w:style w:type="paragraph" w:customStyle="1" w:styleId="Sinespaciado1">
    <w:name w:val="Sin espaciado1"/>
    <w:pPr>
      <w:suppressAutoHyphens/>
      <w:spacing w:line="1" w:lineRule="atLeast"/>
      <w:ind w:leftChars="-1" w:left="-1" w:hangingChars="1"/>
      <w:textDirection w:val="btLr"/>
      <w:textAlignment w:val="top"/>
      <w:outlineLvl w:val="0"/>
    </w:pPr>
    <w:rPr>
      <w:rFonts w:ascii="Times New Roman" w:eastAsia="Times New Roman" w:hAnsi="Times New Roman"/>
      <w:position w:val="-1"/>
      <w:sz w:val="24"/>
      <w:szCs w:val="24"/>
      <w:lang w:val="es-ES" w:eastAsia="es-ES"/>
    </w:rPr>
  </w:style>
  <w:style w:type="character" w:customStyle="1" w:styleId="baj">
    <w:name w:val="b_aj"/>
    <w:rPr>
      <w:w w:val="100"/>
      <w:position w:val="-1"/>
      <w:effect w:val="none"/>
      <w:vertAlign w:val="baseline"/>
      <w:cs w:val="0"/>
      <w:em w:val="none"/>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DefaultParagraphFontParaCharCharCharCar">
    <w:name w:val="Default Paragraph Font Para Char Char Char Car"/>
    <w:basedOn w:val="Normal"/>
    <w:next w:val="Asuntodelcomentario"/>
    <w:pPr>
      <w:tabs>
        <w:tab w:val="num" w:pos="720"/>
      </w:tabs>
      <w:spacing w:after="0" w:line="240" w:lineRule="auto"/>
      <w:ind w:right="-1"/>
      <w:jc w:val="both"/>
    </w:pPr>
    <w:rPr>
      <w:rFonts w:ascii="Arial Narrow" w:hAnsi="Arial Narrow" w:cs="Leelawadee"/>
      <w:b/>
      <w:color w:val="000000"/>
      <w:lang w:val="es-ES"/>
    </w:rPr>
  </w:style>
  <w:style w:type="paragraph" w:customStyle="1" w:styleId="pf0">
    <w:name w:val="pf0"/>
    <w:basedOn w:val="Normal"/>
    <w:pPr>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f01">
    <w:name w:val="cf01"/>
    <w:rPr>
      <w:rFonts w:ascii="Segoe UI" w:hAnsi="Segoe UI" w:cs="Segoe UI" w:hint="default"/>
      <w:b/>
      <w:bCs/>
      <w:w w:val="100"/>
      <w:position w:val="-1"/>
      <w:sz w:val="18"/>
      <w:szCs w:val="18"/>
      <w:effect w:val="none"/>
      <w:vertAlign w:val="baseline"/>
      <w:cs w:val="0"/>
      <w:em w:val="none"/>
    </w:rPr>
  </w:style>
  <w:style w:type="character" w:customStyle="1" w:styleId="cf11">
    <w:name w:val="cf11"/>
    <w:rPr>
      <w:rFonts w:ascii="Segoe UI" w:hAnsi="Segoe UI" w:cs="Segoe UI" w:hint="default"/>
      <w:b/>
      <w:bCs/>
      <w:color w:val="FF0000"/>
      <w:w w:val="100"/>
      <w:position w:val="-1"/>
      <w:sz w:val="18"/>
      <w:szCs w:val="18"/>
      <w:effect w:val="none"/>
      <w:vertAlign w:val="baseline"/>
      <w:cs w:val="0"/>
      <w:em w:val="none"/>
    </w:rPr>
  </w:style>
  <w:style w:type="table" w:customStyle="1" w:styleId="5">
    <w:name w:val="5"/>
    <w:basedOn w:val="Tablanormal"/>
    <w:pPr>
      <w:suppressAutoHyphens/>
      <w:spacing w:line="1" w:lineRule="atLeast"/>
      <w:ind w:leftChars="-1" w:left="-1" w:hangingChars="1"/>
      <w:textDirection w:val="btLr"/>
      <w:textAlignment w:val="top"/>
      <w:outlineLvl w:val="0"/>
    </w:pPr>
    <w:rPr>
      <w:rFonts w:ascii="Times New Roman" w:eastAsia="Times New Roman" w:hAnsi="Times New Roman"/>
      <w:position w:val="-1"/>
      <w:sz w:val="24"/>
      <w:szCs w:val="24"/>
      <w:lang w:val="es-ES"/>
    </w:rPr>
    <w:tblPr>
      <w:tblStyleRowBandSize w:val="1"/>
      <w:tblStyleColBandSize w:val="1"/>
      <w:tblCellMar>
        <w:left w:w="115" w:type="dxa"/>
        <w:right w:w="115" w:type="dxa"/>
      </w:tblCellMar>
    </w:tblPr>
  </w:style>
  <w:style w:type="table" w:customStyle="1" w:styleId="10">
    <w:name w:val="10"/>
    <w:basedOn w:val="Tablanormal"/>
    <w:pPr>
      <w:suppressAutoHyphens/>
      <w:spacing w:line="1" w:lineRule="atLeast"/>
      <w:ind w:leftChars="-1" w:left="-1" w:hangingChars="1"/>
      <w:textDirection w:val="btLr"/>
      <w:textAlignment w:val="top"/>
      <w:outlineLvl w:val="0"/>
    </w:pPr>
    <w:rPr>
      <w:rFonts w:ascii="Times New Roman" w:eastAsia="Times New Roman" w:hAnsi="Times New Roman"/>
      <w:position w:val="-1"/>
      <w:sz w:val="24"/>
      <w:szCs w:val="24"/>
      <w:lang w:val="es-ES"/>
    </w:rPr>
    <w:tblPr>
      <w:tblStyleRowBandSize w:val="1"/>
      <w:tblStyleColBandSize w:val="1"/>
      <w:tblCellMar>
        <w:left w:w="115" w:type="dxa"/>
        <w:right w:w="115" w:type="dxa"/>
      </w:tblCellMar>
    </w:tbl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Pr>
  </w:style>
  <w:style w:type="table" w:customStyle="1" w:styleId="a6">
    <w:basedOn w:val="TableNormal1"/>
    <w:tblPr>
      <w:tblStyleRowBandSize w:val="1"/>
      <w:tblStyleColBandSize w:val="1"/>
      <w:tblCellMar>
        <w:left w:w="108" w:type="dxa"/>
        <w:right w:w="108" w:type="dxa"/>
      </w:tblCellMar>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108" w:type="dxa"/>
        <w:right w:w="108"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08" w:type="dxa"/>
        <w:right w:w="108" w:type="dxa"/>
      </w:tblCellMar>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08" w:type="dxa"/>
        <w:right w:w="108" w:type="dxa"/>
      </w:tblCellMar>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leNormal1"/>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CellMar>
        <w:left w:w="108" w:type="dxa"/>
        <w:right w:w="108" w:type="dxa"/>
      </w:tblCellMar>
    </w:tblPr>
  </w:style>
  <w:style w:type="table" w:customStyle="1" w:styleId="af4">
    <w:basedOn w:val="TableNormal1"/>
    <w:tblPr>
      <w:tblStyleRowBandSize w:val="1"/>
      <w:tblStyleColBandSize w:val="1"/>
      <w:tblCellMar>
        <w:left w:w="108" w:type="dxa"/>
        <w:right w:w="108" w:type="dxa"/>
      </w:tblCellMar>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Pr>
  </w:style>
  <w:style w:type="table" w:customStyle="1" w:styleId="af7">
    <w:basedOn w:val="TableNormal1"/>
    <w:tblPr>
      <w:tblStyleRowBandSize w:val="1"/>
      <w:tblStyleColBandSize w:val="1"/>
      <w:tblCellMar>
        <w:left w:w="108" w:type="dxa"/>
        <w:right w:w="108" w:type="dxa"/>
      </w:tblCellMar>
    </w:tblPr>
  </w:style>
  <w:style w:type="table" w:customStyle="1" w:styleId="af8">
    <w:basedOn w:val="TableNormal1"/>
    <w:tblPr>
      <w:tblStyleRowBandSize w:val="1"/>
      <w:tblStyleColBandSize w:val="1"/>
      <w:tblCellMar>
        <w:left w:w="108" w:type="dxa"/>
        <w:right w:w="108" w:type="dxa"/>
      </w:tblCellMar>
    </w:tblPr>
  </w:style>
  <w:style w:type="table" w:customStyle="1" w:styleId="af9">
    <w:basedOn w:val="TableNormal1"/>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left w:w="108" w:type="dxa"/>
        <w:right w:w="108" w:type="dxa"/>
      </w:tblCellMar>
    </w:tblPr>
  </w:style>
  <w:style w:type="table" w:customStyle="1" w:styleId="afb">
    <w:basedOn w:val="TableNormal1"/>
    <w:tblPr>
      <w:tblStyleRowBandSize w:val="1"/>
      <w:tblStyleColBandSize w:val="1"/>
    </w:tblPr>
  </w:style>
  <w:style w:type="table" w:customStyle="1" w:styleId="afc">
    <w:basedOn w:val="TableNormal1"/>
    <w:tblPr>
      <w:tblStyleRowBandSize w:val="1"/>
      <w:tblStyleColBandSize w:val="1"/>
      <w:tblCellMar>
        <w:left w:w="108" w:type="dxa"/>
        <w:right w:w="108" w:type="dxa"/>
      </w:tblCellMar>
    </w:tblPr>
  </w:style>
  <w:style w:type="table" w:customStyle="1" w:styleId="afd">
    <w:basedOn w:val="TableNormal1"/>
    <w:tblPr>
      <w:tblStyleRowBandSize w:val="1"/>
      <w:tblStyleColBandSize w:val="1"/>
      <w:tblCellMar>
        <w:left w:w="108" w:type="dxa"/>
        <w:right w:w="108" w:type="dxa"/>
      </w:tblCellMar>
    </w:tblPr>
  </w:style>
  <w:style w:type="table" w:customStyle="1" w:styleId="afe">
    <w:basedOn w:val="TableNormal1"/>
    <w:tblPr>
      <w:tblStyleRowBandSize w:val="1"/>
      <w:tblStyleColBandSize w:val="1"/>
      <w:tblCellMar>
        <w:left w:w="115" w:type="dxa"/>
        <w:right w:w="115" w:type="dxa"/>
      </w:tblCellMar>
    </w:tblPr>
  </w:style>
  <w:style w:type="table" w:customStyle="1" w:styleId="aff">
    <w:basedOn w:val="TableNormal1"/>
    <w:tblPr>
      <w:tblStyleRowBandSize w:val="1"/>
      <w:tblStyleColBandSize w:val="1"/>
      <w:tblCellMar>
        <w:left w:w="115" w:type="dxa"/>
        <w:right w:w="115" w:type="dxa"/>
      </w:tblCellMar>
    </w:tblPr>
  </w:style>
  <w:style w:type="table" w:customStyle="1" w:styleId="aff0">
    <w:basedOn w:val="TableNormal1"/>
    <w:tblPr>
      <w:tblStyleRowBandSize w:val="1"/>
      <w:tblStyleColBandSize w:val="1"/>
      <w:tblCellMar>
        <w:left w:w="108" w:type="dxa"/>
        <w:right w:w="108" w:type="dxa"/>
      </w:tblCellMar>
    </w:tblPr>
  </w:style>
  <w:style w:type="table" w:customStyle="1" w:styleId="aff1">
    <w:basedOn w:val="TableNormal1"/>
    <w:tblPr>
      <w:tblStyleRowBandSize w:val="1"/>
      <w:tblStyleColBandSize w:val="1"/>
      <w:tblCellMar>
        <w:left w:w="108" w:type="dxa"/>
        <w:right w:w="108" w:type="dxa"/>
      </w:tblCellMar>
    </w:tblPr>
  </w:style>
  <w:style w:type="table" w:customStyle="1" w:styleId="aff2">
    <w:basedOn w:val="TableNormal1"/>
    <w:tblPr>
      <w:tblStyleRowBandSize w:val="1"/>
      <w:tblStyleColBandSize w:val="1"/>
      <w:tblCellMar>
        <w:left w:w="115" w:type="dxa"/>
        <w:right w:w="115" w:type="dxa"/>
      </w:tblCellMar>
    </w:tblPr>
  </w:style>
  <w:style w:type="table" w:customStyle="1" w:styleId="aff3">
    <w:basedOn w:val="TableNormal1"/>
    <w:tblPr>
      <w:tblStyleRowBandSize w:val="1"/>
      <w:tblStyleColBandSize w:val="1"/>
      <w:tblCellMar>
        <w:left w:w="108" w:type="dxa"/>
        <w:right w:w="108" w:type="dxa"/>
      </w:tblCellMar>
    </w:tblPr>
  </w:style>
  <w:style w:type="table" w:customStyle="1" w:styleId="aff4">
    <w:basedOn w:val="TableNormal1"/>
    <w:tblPr>
      <w:tblStyleRowBandSize w:val="1"/>
      <w:tblStyleColBandSize w:val="1"/>
      <w:tblCellMar>
        <w:left w:w="108" w:type="dxa"/>
        <w:right w:w="108" w:type="dxa"/>
      </w:tblCellMar>
    </w:tblPr>
  </w:style>
  <w:style w:type="table" w:customStyle="1" w:styleId="aff5">
    <w:basedOn w:val="TableNormal1"/>
    <w:tblPr>
      <w:tblStyleRowBandSize w:val="1"/>
      <w:tblStyleColBandSize w:val="1"/>
      <w:tblCellMar>
        <w:left w:w="115" w:type="dxa"/>
        <w:right w:w="115" w:type="dxa"/>
      </w:tblCellMar>
    </w:tblPr>
  </w:style>
  <w:style w:type="table" w:customStyle="1" w:styleId="aff6">
    <w:basedOn w:val="TableNormal1"/>
    <w:tblPr>
      <w:tblStyleRowBandSize w:val="1"/>
      <w:tblStyleColBandSize w:val="1"/>
      <w:tblCellMar>
        <w:left w:w="108" w:type="dxa"/>
        <w:right w:w="108" w:type="dxa"/>
      </w:tblCellMar>
    </w:tblPr>
  </w:style>
  <w:style w:type="table" w:customStyle="1" w:styleId="aff7">
    <w:basedOn w:val="TableNormal1"/>
    <w:tblPr>
      <w:tblStyleRowBandSize w:val="1"/>
      <w:tblStyleColBandSize w:val="1"/>
      <w:tblCellMar>
        <w:left w:w="108" w:type="dxa"/>
        <w:right w:w="108" w:type="dxa"/>
      </w:tblCellMar>
    </w:tblPr>
  </w:style>
  <w:style w:type="table" w:customStyle="1" w:styleId="aff8">
    <w:basedOn w:val="TableNormal1"/>
    <w:tblPr>
      <w:tblStyleRowBandSize w:val="1"/>
      <w:tblStyleColBandSize w:val="1"/>
      <w:tblCellMar>
        <w:left w:w="115" w:type="dxa"/>
        <w:right w:w="115" w:type="dxa"/>
      </w:tblCellMar>
    </w:tblPr>
  </w:style>
  <w:style w:type="table" w:customStyle="1" w:styleId="aff9">
    <w:basedOn w:val="TableNormal1"/>
    <w:tblPr>
      <w:tblStyleRowBandSize w:val="1"/>
      <w:tblStyleColBandSize w:val="1"/>
      <w:tblCellMar>
        <w:left w:w="108" w:type="dxa"/>
        <w:right w:w="108" w:type="dxa"/>
      </w:tblCellMar>
    </w:tblPr>
  </w:style>
  <w:style w:type="table" w:customStyle="1" w:styleId="affa">
    <w:basedOn w:val="TableNormal0"/>
    <w:tblPr>
      <w:tblStyleRowBandSize w:val="1"/>
      <w:tblStyleColBandSize w:val="1"/>
      <w:tblCellMar>
        <w:left w:w="108" w:type="dxa"/>
        <w:right w:w="108" w:type="dxa"/>
      </w:tblCellMar>
    </w:tblPr>
  </w:style>
  <w:style w:type="table" w:customStyle="1" w:styleId="affb">
    <w:basedOn w:val="TableNormal0"/>
    <w:tblPr>
      <w:tblStyleRowBandSize w:val="1"/>
      <w:tblStyleColBandSize w:val="1"/>
      <w:tblCellMar>
        <w:left w:w="108" w:type="dxa"/>
        <w:right w:w="108" w:type="dxa"/>
      </w:tblCellMar>
    </w:tblPr>
  </w:style>
  <w:style w:type="table" w:customStyle="1" w:styleId="affc">
    <w:basedOn w:val="TableNormal0"/>
    <w:tblPr>
      <w:tblStyleRowBandSize w:val="1"/>
      <w:tblStyleColBandSize w:val="1"/>
      <w:tblCellMar>
        <w:left w:w="108" w:type="dxa"/>
        <w:right w:w="108" w:type="dxa"/>
      </w:tblCellMar>
    </w:tblPr>
  </w:style>
  <w:style w:type="table" w:customStyle="1" w:styleId="affd">
    <w:basedOn w:val="TableNormal0"/>
    <w:tblPr>
      <w:tblStyleRowBandSize w:val="1"/>
      <w:tblStyleColBandSize w:val="1"/>
    </w:tblPr>
  </w:style>
  <w:style w:type="table" w:customStyle="1" w:styleId="affe">
    <w:basedOn w:val="TableNormal0"/>
    <w:tblPr>
      <w:tblStyleRowBandSize w:val="1"/>
      <w:tblStyleColBandSize w:val="1"/>
      <w:tblCellMar>
        <w:left w:w="108" w:type="dxa"/>
        <w:right w:w="108" w:type="dxa"/>
      </w:tblCellMar>
    </w:tblPr>
  </w:style>
  <w:style w:type="table" w:customStyle="1" w:styleId="afff">
    <w:basedOn w:val="TableNormal0"/>
    <w:tblPr>
      <w:tblStyleRowBandSize w:val="1"/>
      <w:tblStyleColBandSize w:val="1"/>
      <w:tblCellMar>
        <w:left w:w="108" w:type="dxa"/>
        <w:right w:w="108" w:type="dxa"/>
      </w:tblCellMar>
    </w:tblPr>
  </w:style>
  <w:style w:type="table" w:customStyle="1" w:styleId="afff0">
    <w:basedOn w:val="TableNormal0"/>
    <w:tblPr>
      <w:tblStyleRowBandSize w:val="1"/>
      <w:tblStyleColBandSize w:val="1"/>
      <w:tblCellMar>
        <w:left w:w="115" w:type="dxa"/>
        <w:right w:w="115" w:type="dxa"/>
      </w:tblCellMar>
    </w:tblPr>
  </w:style>
  <w:style w:type="table" w:customStyle="1" w:styleId="afff1">
    <w:basedOn w:val="TableNormal0"/>
    <w:tblPr>
      <w:tblStyleRowBandSize w:val="1"/>
      <w:tblStyleColBandSize w:val="1"/>
      <w:tblCellMar>
        <w:left w:w="115" w:type="dxa"/>
        <w:right w:w="115" w:type="dxa"/>
      </w:tblCellMar>
    </w:tblPr>
  </w:style>
  <w:style w:type="table" w:customStyle="1" w:styleId="afff2">
    <w:basedOn w:val="TableNormal0"/>
    <w:tblPr>
      <w:tblStyleRowBandSize w:val="1"/>
      <w:tblStyleColBandSize w:val="1"/>
      <w:tblCellMar>
        <w:left w:w="108" w:type="dxa"/>
        <w:right w:w="108" w:type="dxa"/>
      </w:tblCellMar>
    </w:tblPr>
  </w:style>
  <w:style w:type="table" w:customStyle="1" w:styleId="afff3">
    <w:basedOn w:val="TableNormal0"/>
    <w:tblPr>
      <w:tblStyleRowBandSize w:val="1"/>
      <w:tblStyleColBandSize w:val="1"/>
      <w:tblCellMar>
        <w:left w:w="108" w:type="dxa"/>
        <w:right w:w="108" w:type="dxa"/>
      </w:tblCellMar>
    </w:tblPr>
  </w:style>
  <w:style w:type="table" w:customStyle="1" w:styleId="afff4">
    <w:basedOn w:val="TableNormal0"/>
    <w:tblPr>
      <w:tblStyleRowBandSize w:val="1"/>
      <w:tblStyleColBandSize w:val="1"/>
      <w:tblCellMar>
        <w:left w:w="115" w:type="dxa"/>
        <w:right w:w="115" w:type="dxa"/>
      </w:tblCellMar>
    </w:tblPr>
  </w:style>
  <w:style w:type="table" w:customStyle="1" w:styleId="afff5">
    <w:basedOn w:val="TableNormal0"/>
    <w:tblPr>
      <w:tblStyleRowBandSize w:val="1"/>
      <w:tblStyleColBandSize w:val="1"/>
      <w:tblCellMar>
        <w:left w:w="108" w:type="dxa"/>
        <w:right w:w="108" w:type="dxa"/>
      </w:tblCellMar>
    </w:tblPr>
  </w:style>
  <w:style w:type="table" w:customStyle="1" w:styleId="afff6">
    <w:basedOn w:val="TableNormal0"/>
    <w:tblPr>
      <w:tblStyleRowBandSize w:val="1"/>
      <w:tblStyleColBandSize w:val="1"/>
      <w:tblCellMar>
        <w:left w:w="108" w:type="dxa"/>
        <w:right w:w="108" w:type="dxa"/>
      </w:tblCellMar>
    </w:tblPr>
  </w:style>
  <w:style w:type="table" w:customStyle="1" w:styleId="afff7">
    <w:basedOn w:val="TableNormal0"/>
    <w:tblPr>
      <w:tblStyleRowBandSize w:val="1"/>
      <w:tblStyleColBandSize w:val="1"/>
      <w:tblCellMar>
        <w:left w:w="115" w:type="dxa"/>
        <w:right w:w="115" w:type="dxa"/>
      </w:tblCellMar>
    </w:tblPr>
  </w:style>
  <w:style w:type="table" w:customStyle="1" w:styleId="afff8">
    <w:basedOn w:val="TableNormal0"/>
    <w:tblPr>
      <w:tblStyleRowBandSize w:val="1"/>
      <w:tblStyleColBandSize w:val="1"/>
      <w:tblCellMar>
        <w:left w:w="108" w:type="dxa"/>
        <w:right w:w="108" w:type="dxa"/>
      </w:tblCellMar>
    </w:tblPr>
  </w:style>
  <w:style w:type="table" w:customStyle="1" w:styleId="afff9">
    <w:basedOn w:val="TableNormal0"/>
    <w:tblPr>
      <w:tblStyleRowBandSize w:val="1"/>
      <w:tblStyleColBandSize w:val="1"/>
      <w:tblCellMar>
        <w:left w:w="108" w:type="dxa"/>
        <w:right w:w="108" w:type="dxa"/>
      </w:tblCellMar>
    </w:tblPr>
  </w:style>
  <w:style w:type="table" w:customStyle="1" w:styleId="afffa">
    <w:basedOn w:val="TableNormal0"/>
    <w:tblPr>
      <w:tblStyleRowBandSize w:val="1"/>
      <w:tblStyleColBandSize w:val="1"/>
      <w:tblCellMar>
        <w:left w:w="115" w:type="dxa"/>
        <w:right w:w="115" w:type="dxa"/>
      </w:tblCellMar>
    </w:tblPr>
  </w:style>
  <w:style w:type="table" w:customStyle="1" w:styleId="afffb">
    <w:basedOn w:val="TableNormal0"/>
    <w:tblPr>
      <w:tblStyleRowBandSize w:val="1"/>
      <w:tblStyleColBandSize w:val="1"/>
      <w:tblCellMar>
        <w:left w:w="108" w:type="dxa"/>
        <w:right w:w="108" w:type="dxa"/>
      </w:tblCellMar>
    </w:tbl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rsid w:val="005906C8"/>
    <w:pPr>
      <w:ind w:left="720"/>
      <w:contextualSpacing/>
    </w:pPr>
  </w:style>
  <w:style w:type="table" w:customStyle="1" w:styleId="6">
    <w:name w:val="6"/>
    <w:basedOn w:val="TableNormal1"/>
    <w:rsid w:val="0009051F"/>
    <w:pPr>
      <w:spacing w:after="0" w:line="240" w:lineRule="auto"/>
      <w:ind w:firstLine="0"/>
    </w:pPr>
    <w:rPr>
      <w:rFonts w:ascii="Times New Roman" w:eastAsia="Times New Roman" w:hAnsi="Times New Roman" w:cs="Times New Roman"/>
      <w:sz w:val="24"/>
      <w:szCs w:val="24"/>
    </w:rPr>
    <w:tblPr>
      <w:tblStyleRowBandSize w:val="1"/>
      <w:tblStyleColBandSize w:val="1"/>
      <w:tblCellMar>
        <w:left w:w="108" w:type="dxa"/>
        <w:right w:w="108" w:type="dxa"/>
      </w:tblCellMar>
    </w:tblPr>
  </w:style>
  <w:style w:type="paragraph" w:styleId="Textonotapie">
    <w:name w:val="footnote text"/>
    <w:aliases w:val="Car3 Car,ft"/>
    <w:basedOn w:val="Normal"/>
    <w:link w:val="TextonotapieCar"/>
    <w:semiHidden/>
    <w:unhideWhenUsed/>
    <w:rsid w:val="00145EE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45EE7"/>
    <w:rPr>
      <w:position w:val="-1"/>
      <w:sz w:val="20"/>
      <w:szCs w:val="20"/>
      <w:lang w:eastAsia="en-US"/>
    </w:rPr>
  </w:style>
  <w:style w:type="character" w:styleId="Refdenotaalpie">
    <w:name w:val="footnote reference"/>
    <w:aliases w:val="Appel note de bas de page,Texto de nota al pie,referencia nota al pie,BVI fnr,Footnote symbol,Ref. de nota al pie2,Nota de pie,Ref,de nota al pie,Pie de pagina,Ref. ...,Ref1,FC,Footnotes refss,Footnote number,f,16 Point,R,FZ"/>
    <w:basedOn w:val="Fuentedeprrafopredeter"/>
    <w:uiPriority w:val="99"/>
    <w:semiHidden/>
    <w:unhideWhenUsed/>
    <w:qFormat/>
    <w:rsid w:val="00145EE7"/>
    <w:rPr>
      <w:vertAlign w:val="superscript"/>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sid w:val="007E15EF"/>
    <w:rPr>
      <w:position w:val="-1"/>
      <w:lang w:eastAsia="en-US"/>
    </w:rPr>
  </w:style>
  <w:style w:type="paragraph" w:customStyle="1" w:styleId="xxmsonormal">
    <w:name w:val="x_xmsonormal"/>
    <w:basedOn w:val="Normal"/>
    <w:rsid w:val="007E15EF"/>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szCs w:val="24"/>
      <w:lang w:eastAsia="es-CO"/>
    </w:rPr>
  </w:style>
  <w:style w:type="character" w:customStyle="1" w:styleId="TextonotapieCar1">
    <w:name w:val="Texto nota pie Car1"/>
    <w:aliases w:val="Car Car,Car3 Car Car,ft Car"/>
    <w:semiHidden/>
    <w:locked/>
    <w:rsid w:val="00021C0B"/>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s://carpetaciudadana.and.gov.co/mas-informacion" TargetMode="External"/><Relationship Id="rId39" Type="http://schemas.openxmlformats.org/officeDocument/2006/relationships/hyperlink" Target="https://www.funcionpublica.gov.co/documents/35162728/35691144/instructivo-aplicativo-ley-2013-persona-natural.pdf/130f2ec8-304b-a3e8-f3b1-893bed40b9e9?t=1609173505712" TargetMode="External"/><Relationship Id="rId21" Type="http://schemas.openxmlformats.org/officeDocument/2006/relationships/hyperlink" Target="https://www.colombiacompra.gov.co/secop-ii/proveedores" TargetMode="External"/><Relationship Id="rId34" Type="http://schemas.microsoft.com/office/2011/relationships/commentsExtended" Target="commentsExtended.xml"/><Relationship Id="rId42" Type="http://schemas.openxmlformats.org/officeDocument/2006/relationships/image" Target="media/image6.png"/><Relationship Id="rId47" Type="http://schemas.openxmlformats.org/officeDocument/2006/relationships/header" Target="header3.xml"/><Relationship Id="rId50"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9" Type="http://schemas.openxmlformats.org/officeDocument/2006/relationships/image" Target="media/image2.png"/><Relationship Id="rId11" Type="http://schemas.openxmlformats.org/officeDocument/2006/relationships/hyperlink" Target="https://community.secop.gov.co/Public/Tendering/ContractNoticeManagement/Index?currentLanguage=es-CO&amp;Page=login&amp;Country=CO&amp;SkinName=CCE" TargetMode="External"/><Relationship Id="rId24" Type="http://schemas.openxmlformats.org/officeDocument/2006/relationships/hyperlink" Target="mailto:gestioncontractual.pcontractualesnc@fiscalia.gov.co" TargetMode="External"/><Relationship Id="rId32" Type="http://schemas.openxmlformats.org/officeDocument/2006/relationships/image" Target="media/image5.png"/><Relationship Id="rId37" Type="http://schemas.openxmlformats.org/officeDocument/2006/relationships/hyperlink" Target="https://www.funcionpublica.gov.co/ley-transparencia-web/" TargetMode="External"/><Relationship Id="rId40" Type="http://schemas.openxmlformats.org/officeDocument/2006/relationships/hyperlink" Target="https://www.funcionpublica.gov.co/ley-transparencia-web/"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colombiacompra.gov.co/" TargetMode="External"/><Relationship Id="rId23" Type="http://schemas.openxmlformats.org/officeDocument/2006/relationships/hyperlink" Target="https://www.colombiacompra.gov.co/secopii/indisponibilidad-en-el-secop-ii" TargetMode="External"/><Relationship Id="rId28" Type="http://schemas.openxmlformats.org/officeDocument/2006/relationships/image" Target="media/image1.png"/><Relationship Id="rId36" Type="http://schemas.microsoft.com/office/2018/08/relationships/commentsExtensible" Target="commentsExtensible.xm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ombiacompra.gov.co" TargetMode="External"/><Relationship Id="rId31" Type="http://schemas.openxmlformats.org/officeDocument/2006/relationships/image" Target="media/image4.png"/><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 TargetMode="External"/><Relationship Id="rId22" Type="http://schemas.openxmlformats.org/officeDocument/2006/relationships/hyperlink" Target="https://www.colombiacompra.gov.co/sites/cce_public/files/files_2020/cce-sec-gi-14_protocolo_de_indisponibilidad_secop_ii_25-11-2022_0.pdf" TargetMode="External"/><Relationship Id="rId27" Type="http://schemas.openxmlformats.org/officeDocument/2006/relationships/hyperlink" Target="https://autenticaciondigital.and.gov.co/" TargetMode="External"/><Relationship Id="rId30" Type="http://schemas.openxmlformats.org/officeDocument/2006/relationships/image" Target="media/image3.png"/><Relationship Id="rId35" Type="http://schemas.microsoft.com/office/2016/09/relationships/commentsIds" Target="commentsIds.xm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policia.gov.co" TargetMode="External"/><Relationship Id="rId33" Type="http://schemas.openxmlformats.org/officeDocument/2006/relationships/comments" Target="comments.xml"/><Relationship Id="rId38" Type="http://schemas.openxmlformats.org/officeDocument/2006/relationships/hyperlink" Target="https://www.funcionpublica.gov.co/ley-transparencia-web/" TargetMode="External"/><Relationship Id="rId46" Type="http://schemas.openxmlformats.org/officeDocument/2006/relationships/footer" Target="footer2.xml"/><Relationship Id="rId20" Type="http://schemas.openxmlformats.org/officeDocument/2006/relationships/hyperlink" Target="https://www.colombiacompra.gov.co/secop-ii/proveedores" TargetMode="External"/><Relationship Id="rId41" Type="http://schemas.openxmlformats.org/officeDocument/2006/relationships/hyperlink" Target="https://www.funcionpublica.gov.co/documents/35162728/35691144/instructivo-aplicativo-ley-2013-persona-juridica.pdf/2b2383fa-fcef-1829-df32-a49c394b5d07?t=1609173436446"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sintesis.colombiacompra.gov.co/sintesis/1-etapa-precontractual-principios-de-la-contrataci%C3%B3n-estatal" TargetMode="External"/><Relationship Id="rId2" Type="http://schemas.openxmlformats.org/officeDocument/2006/relationships/hyperlink" Target="https://www.funcionpublica.gov.co/eva/gestornormativo/norma.php?i=76608" TargetMode="External"/><Relationship Id="rId1" Type="http://schemas.openxmlformats.org/officeDocument/2006/relationships/hyperlink" Target="https://www.funcionpublica.gov.co/eva/gestornormativo/norma.php?i=12672" TargetMode="External"/><Relationship Id="rId5" Type="http://schemas.openxmlformats.org/officeDocument/2006/relationships/hyperlink" Target="https://siis.ia.supersociedades.gov.co/" TargetMode="External"/><Relationship Id="rId4" Type="http://schemas.openxmlformats.org/officeDocument/2006/relationships/hyperlink" Target="https://www.colombiacompra.gov.co/sites/cce_public/files/files_2020/cce-eicp-ma-04._manual_requisitos_habilitantes_v.02.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6AB520C78C3444A15931C5FB6F2D46" ma:contentTypeVersion="11" ma:contentTypeDescription="Create a new document." ma:contentTypeScope="" ma:versionID="c3a84dd51c427c526d01121ec0379468">
  <xsd:schema xmlns:xsd="http://www.w3.org/2001/XMLSchema" xmlns:xs="http://www.w3.org/2001/XMLSchema" xmlns:p="http://schemas.microsoft.com/office/2006/metadata/properties" xmlns:ns3="399368b4-affa-429f-93e4-4922f5557dc1" xmlns:ns4="2b486f4b-3a1f-4b7c-9cda-b12ec4c5f3ce" targetNamespace="http://schemas.microsoft.com/office/2006/metadata/properties" ma:root="true" ma:fieldsID="1f60af8525bcd9960b415b075ff90b6b" ns3:_="" ns4:_="">
    <xsd:import namespace="399368b4-affa-429f-93e4-4922f5557dc1"/>
    <xsd:import namespace="2b486f4b-3a1f-4b7c-9cda-b12ec4c5f3ce"/>
    <xsd:element name="properties">
      <xsd:complexType>
        <xsd:sequence>
          <xsd:element name="documentManagement">
            <xsd:complexType>
              <xsd:all>
                <xsd:element ref="ns3:MediaServiceDateTaken" minOccurs="0"/>
                <xsd:element ref="ns4:MigrationSourceID"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9368b4-affa-429f-93e4-4922f5557dc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486f4b-3a1f-4b7c-9cda-b12ec4c5f3ce" elementFormDefault="qualified">
    <xsd:import namespace="http://schemas.microsoft.com/office/2006/documentManagement/types"/>
    <xsd:import namespace="http://schemas.microsoft.com/office/infopath/2007/PartnerControls"/>
    <xsd:element name="MigrationSourceID" ma:index="9" nillable="true" ma:displayName="MigrationSourceID" ma:internalName="MigrationSourceID"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TnyYs2AaV2/8zDLI+LU5c+b1xw==">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yCWguMWJhb242bTIJaC4zdmFjNXVmMghoLmdqZGd4czIJaC4zMGowemxsOAByITEtZWEyd09ycWhZTmVCTThoQXVJZ3RIckppWGpmOExTZA==</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_activity xmlns="399368b4-affa-429f-93e4-4922f5557dc1" xsi:nil="true"/>
  </documentManagement>
</p:properties>
</file>

<file path=customXml/itemProps1.xml><?xml version="1.0" encoding="utf-8"?>
<ds:datastoreItem xmlns:ds="http://schemas.openxmlformats.org/officeDocument/2006/customXml" ds:itemID="{B7D626EE-9D6E-49FF-B8AF-ED8929F47E3C}">
  <ds:schemaRefs>
    <ds:schemaRef ds:uri="http://schemas.microsoft.com/sharepoint/v3/contenttype/forms"/>
  </ds:schemaRefs>
</ds:datastoreItem>
</file>

<file path=customXml/itemProps2.xml><?xml version="1.0" encoding="utf-8"?>
<ds:datastoreItem xmlns:ds="http://schemas.openxmlformats.org/officeDocument/2006/customXml" ds:itemID="{484BB79C-66F5-4A68-9013-E8C1E936C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9368b4-affa-429f-93e4-4922f5557dc1"/>
    <ds:schemaRef ds:uri="2b486f4b-3a1f-4b7c-9cda-b12ec4c5f3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6D5AF988-B49F-4C3F-8504-84D7150C5F1D}">
  <ds:schemaRefs>
    <ds:schemaRef ds:uri="http://schemas.microsoft.com/office/2006/metadata/properties"/>
    <ds:schemaRef ds:uri="http://schemas.microsoft.com/office/infopath/2007/PartnerControls"/>
    <ds:schemaRef ds:uri="399368b4-affa-429f-93e4-4922f5557dc1"/>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1764</TotalTime>
  <Pages>39</Pages>
  <Words>18230</Words>
  <Characters>100270</Characters>
  <Application>Microsoft Office Word</Application>
  <DocSecurity>0</DocSecurity>
  <Lines>835</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Felipe Uribe Ospina</dc:creator>
  <cp:lastModifiedBy>Luz Alejandra Sanchez Rendon</cp:lastModifiedBy>
  <cp:revision>54</cp:revision>
  <cp:lastPrinted>2025-03-17T19:56:00Z</cp:lastPrinted>
  <dcterms:created xsi:type="dcterms:W3CDTF">2026-03-11T23:55:00Z</dcterms:created>
  <dcterms:modified xsi:type="dcterms:W3CDTF">2026-10-13T04:19:00Z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0x0101006C6AB520C78C3444A15931C5FB6F2D46</vt:lpwstr>
  </property>
</Properties>
</file>