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A44" w:rsidRPr="00CB2A6B" w:rsidRDefault="00FE1A44" w:rsidP="0077727E">
      <w:pPr>
        <w:jc w:val="center"/>
        <w:rPr>
          <w:rFonts w:ascii="Verdana" w:hAnsi="Verdana" w:cs="Arial"/>
          <w:b/>
          <w:color w:val="000000" w:themeColor="text1"/>
        </w:rPr>
      </w:pPr>
    </w:p>
    <w:p w:rsidR="00B81B1F" w:rsidRPr="00CB2A6B" w:rsidRDefault="00B81B1F" w:rsidP="007C702A">
      <w:pPr>
        <w:rPr>
          <w:rFonts w:ascii="Verdana" w:hAnsi="Verdana" w:cs="Arial"/>
          <w:color w:val="000000" w:themeColor="text1"/>
          <w:lang w:val="es-ES_tradnl" w:eastAsia="es-CO"/>
        </w:rPr>
      </w:pPr>
    </w:p>
    <w:p w:rsidR="0058222E" w:rsidRPr="00CB2A6B" w:rsidRDefault="0058222E" w:rsidP="007C702A">
      <w:pPr>
        <w:rPr>
          <w:rFonts w:ascii="Verdana" w:hAnsi="Verdana" w:cs="Arial"/>
          <w:color w:val="000000" w:themeColor="text1"/>
          <w:lang w:val="es-ES_tradnl" w:eastAsia="es-CO"/>
        </w:rPr>
      </w:pPr>
    </w:p>
    <w:p w:rsidR="00D70D7B" w:rsidRPr="00CB2A6B" w:rsidRDefault="00D70D7B" w:rsidP="187604FC">
      <w:pPr>
        <w:rPr>
          <w:rFonts w:ascii="Verdana" w:hAnsi="Verdana" w:cs="Arial"/>
          <w:color w:val="000000" w:themeColor="text1"/>
          <w:lang w:val="es-ES" w:eastAsia="es-CO"/>
        </w:rPr>
      </w:pPr>
      <w:r>
        <w:rPr>
          <w:rFonts w:ascii="Verdana" w:hAnsi="Verdana" w:cs="Arial"/>
          <w:color w:val="000000" w:themeColor="text1"/>
          <w:lang w:val="es-ES"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rsidR="00B81B1F" w:rsidRPr="00CB2A6B" w:rsidRDefault="00B81B1F" w:rsidP="007C702A">
      <w:pPr>
        <w:rPr>
          <w:rFonts w:ascii="Verdana" w:hAnsi="Verdana" w:cs="Arial"/>
          <w:color w:val="000000" w:themeColor="text1"/>
          <w:lang w:val="es-ES_tradnl" w:eastAsia="es-CO"/>
        </w:rPr>
      </w:pPr>
    </w:p>
    <w:p w:rsidR="00D70D7B" w:rsidRPr="00CB2A6B" w:rsidRDefault="00D70D7B" w:rsidP="007C702A">
      <w:pPr>
        <w:rPr>
          <w:rFonts w:ascii="Verdana" w:hAnsi="Verdana" w:cs="Arial"/>
          <w:color w:val="000000" w:themeColor="text1"/>
          <w:lang w:val="es-ES_tradnl" w:eastAsia="es-CO"/>
        </w:rPr>
      </w:pPr>
      <w:r>
        <w:rPr>
          <w:rFonts w:ascii="Verdana" w:hAnsi="Verdana" w:cs="Arial"/>
          <w:color w:val="000000" w:themeColor="text1"/>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rsidR="00B81B1F" w:rsidRPr="00CB2A6B" w:rsidRDefault="00B81B1F" w:rsidP="007C702A">
      <w:pPr>
        <w:rPr>
          <w:rFonts w:ascii="Verdana" w:hAnsi="Verdana" w:cs="Arial"/>
          <w:color w:val="000000" w:themeColor="text1"/>
          <w:lang w:val="es-ES_tradnl" w:eastAsia="es-CO"/>
        </w:rPr>
      </w:pPr>
    </w:p>
    <w:p w:rsidR="00545461" w:rsidRPr="00CB2A6B" w:rsidRDefault="006E6D9B" w:rsidP="007C702A">
      <w:pPr>
        <w:rPr>
          <w:rFonts w:ascii="Verdana" w:hAnsi="Verdana" w:cs="Arial"/>
          <w:color w:val="000000" w:themeColor="text1"/>
          <w:lang w:val="es-ES_tradnl" w:eastAsia="es-CO"/>
        </w:rPr>
      </w:pPr>
      <w:r>
        <w:rPr>
          <w:rFonts w:ascii="Verdana" w:hAnsi="Verdana" w:cs="Arial"/>
          <w:color w:val="000000" w:themeColor="text1"/>
          <w:lang w:val="es-ES_tradnl" w:eastAsia="es-CO"/>
        </w:rPr>
        <w:t>De acuerdo con procedimiento de la referencia, nos permitimos establecer la tipificación, estimación y asignación de los riesgos previsibles que puedan afectar el presente procedimiento.</w:t>
      </w:r>
    </w:p>
    <w:p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rsidR="0058222E" w:rsidRPr="00CB2A6B" w:rsidRDefault="00815604" w:rsidP="00D70D7B">
      <w:pPr>
        <w:spacing w:after="100" w:afterAutospacing="1"/>
        <w:rPr>
          <w:rFonts w:ascii="Verdana" w:eastAsia="SimSun" w:hAnsi="Verdana" w:cs="Arial"/>
          <w:color w:val="000000" w:themeColor="text1"/>
          <w:kern w:val="3"/>
          <w:lang w:eastAsia="zh-CN" w:bidi="hi-IN"/>
        </w:rPr>
      </w:pPr>
      <w:r>
        <w:rPr>
          <w:rFonts w:ascii="Verdana" w:eastAsia="SimSun" w:hAnsi="Verdana" w:cs="Arial"/>
          <w:b/>
          <w:color w:val="000000" w:themeColor="text1"/>
          <w:kern w:val="3"/>
          <w:u w:val="single"/>
          <w:lang w:eastAsia="zh-CN" w:bidi="hi-IN"/>
        </w:rPr>
        <w:t>Matriz de Riesgos</w:t>
      </w:r>
    </w:p>
    <w:p w:rsidR="00815604" w:rsidRPr="00CB2A6B" w:rsidRDefault="00815604" w:rsidP="00D70D7B">
      <w:pPr>
        <w:spacing w:after="100" w:afterAutospacing="1"/>
        <w:rPr>
          <w:rFonts w:ascii="Verdana" w:eastAsia="SimSun" w:hAnsi="Verdana" w:cs="Arial"/>
          <w:kern w:val="3"/>
          <w:lang w:eastAsia="zh-CN" w:bidi="hi-IN"/>
        </w:rPr>
      </w:pPr>
    </w:p>
    <w:tbl>
      <w:tblPr>
        <w:tblStyle w:val="Tablaconcuadrcula"/>
        <w:tblW w:w="14320" w:type="dxa"/>
        <w:tblLayout w:type="fixed"/>
        <w:tblLook w:val="04A0" w:firstRow="1" w:lastRow="0" w:firstColumn="1" w:lastColumn="0" w:noHBand="0" w:noVBand="1"/>
      </w:tblPr>
      <w:tblGrid>
        <w:gridCol w:w="400"/>
        <w:gridCol w:w="560"/>
        <w:gridCol w:w="560"/>
        <w:gridCol w:w="560"/>
        <w:gridCol w:w="700"/>
        <w:gridCol w:w="1620"/>
        <w:gridCol w:w="1400"/>
        <w:gridCol w:w="360"/>
        <w:gridCol w:w="360"/>
        <w:gridCol w:w="420"/>
        <w:gridCol w:w="420"/>
        <w:gridCol w:w="560"/>
        <w:gridCol w:w="1620"/>
        <w:gridCol w:w="360"/>
        <w:gridCol w:w="360"/>
        <w:gridCol w:w="420"/>
        <w:gridCol w:w="420"/>
        <w:gridCol w:w="700"/>
        <w:gridCol w:w="560"/>
        <w:gridCol w:w="560"/>
        <w:gridCol w:w="840"/>
        <w:gridCol w:w="560"/>
      </w:tblGrid>
      <w:tr w:rsidR="0076567A" w:rsidRPr="00CB2A6B" w:rsidTr="0076567A">
        <w:trPr>
          <w:cantSplit/>
          <w:trHeight w:val="1212"/>
        </w:trPr>
        <w:tc>
          <w:tcPr>
            <w:tcW w:w="40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No.</w:t>
            </w:r>
          </w:p>
        </w:tc>
        <w:tc>
          <w:tcPr>
            <w:tcW w:w="56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Clase</w:t>
            </w:r>
          </w:p>
        </w:tc>
        <w:tc>
          <w:tcPr>
            <w:tcW w:w="56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Fuente</w:t>
            </w:r>
          </w:p>
        </w:tc>
        <w:tc>
          <w:tcPr>
            <w:tcW w:w="56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Etapa</w:t>
            </w:r>
          </w:p>
        </w:tc>
        <w:tc>
          <w:tcPr>
            <w:tcW w:w="70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Tipo</w:t>
            </w:r>
          </w:p>
        </w:tc>
        <w:tc>
          <w:tcPr>
            <w:tcW w:w="162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Descripción</w:t>
            </w:r>
          </w:p>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(Qué puede pasar y como puede ocurrir)</w:t>
            </w:r>
          </w:p>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140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Consecuencia de la ocurrencia del evento</w:t>
            </w:r>
          </w:p>
        </w:tc>
        <w:tc>
          <w:tcPr>
            <w:tcW w:w="36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Probabilidad</w:t>
            </w:r>
          </w:p>
        </w:tc>
        <w:tc>
          <w:tcPr>
            <w:tcW w:w="36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Impacto</w:t>
            </w:r>
          </w:p>
        </w:tc>
        <w:tc>
          <w:tcPr>
            <w:tcW w:w="42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Valoración del riesgo</w:t>
            </w:r>
          </w:p>
        </w:tc>
        <w:tc>
          <w:tcPr>
            <w:tcW w:w="420" w:type="dxa"/>
            <w:vMerge w:val="restart"/>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Pr>
                <w:rFonts w:ascii="Verdana" w:eastAsia="SimSun" w:hAnsi="Verdana" w:cs="Arial"/>
                <w:color w:val="FFFFFF" w:themeColor="background1"/>
                <w:kern w:val="3"/>
                <w:sz w:val="18"/>
                <w:lang w:eastAsia="zh-CN" w:bidi="hi-IN"/>
              </w:rPr>
              <w:t>Categoría</w:t>
            </w:r>
          </w:p>
        </w:tc>
        <w:tc>
          <w:tcPr>
            <w:tcW w:w="560" w:type="dxa"/>
            <w:vMerge w:val="restart"/>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¿A quién se le asigna?</w:t>
            </w:r>
          </w:p>
        </w:tc>
        <w:tc>
          <w:tcPr>
            <w:tcW w:w="1620" w:type="dxa"/>
            <w:vMerge w:val="restart"/>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Tratamiento/Controles a ser implementados</w:t>
            </w:r>
          </w:p>
        </w:tc>
        <w:tc>
          <w:tcPr>
            <w:tcW w:w="1560" w:type="dxa"/>
            <w:gridSpan w:val="4"/>
            <w:shd w:val="clear" w:color="auto" w:fill="BFBFBF" w:themeFill="background1" w:themeFillShade="BF"/>
          </w:tcPr>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Impacto después del tratamiento</w:t>
            </w:r>
          </w:p>
        </w:tc>
        <w:tc>
          <w:tcPr>
            <w:tcW w:w="700" w:type="dxa"/>
            <w:vMerge w:val="restart"/>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¿Afecta la ejecución del contrato?</w:t>
            </w:r>
          </w:p>
        </w:tc>
        <w:tc>
          <w:tcPr>
            <w:tcW w:w="560" w:type="dxa"/>
            <w:vMerge w:val="restart"/>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Pr>
                <w:rFonts w:ascii="Verdana" w:eastAsia="SimSun" w:hAnsi="Verdana" w:cs="Arial"/>
                <w:b/>
                <w:color w:val="000000" w:themeColor="text1"/>
                <w:kern w:val="3"/>
                <w:sz w:val="16"/>
                <w:szCs w:val="16"/>
                <w:lang w:eastAsia="zh-CN" w:bidi="hi-IN"/>
              </w:rPr>
              <w:t>Persona responsable por implementar el tratamiento</w:t>
            </w:r>
          </w:p>
        </w:tc>
        <w:tc>
          <w:tcPr>
            <w:tcW w:w="560" w:type="dxa"/>
            <w:vMerge w:val="restart"/>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Pr>
                <w:rFonts w:ascii="Verdana" w:eastAsia="SimSun" w:hAnsi="Verdana" w:cs="Arial"/>
                <w:b/>
                <w:color w:val="000000" w:themeColor="text1"/>
                <w:kern w:val="3"/>
                <w:sz w:val="16"/>
                <w:szCs w:val="16"/>
                <w:lang w:eastAsia="zh-CN" w:bidi="hi-IN"/>
              </w:rPr>
              <w:t>Fecha estimada en que se completa el tratamiento</w:t>
            </w:r>
          </w:p>
        </w:tc>
        <w:tc>
          <w:tcPr>
            <w:tcW w:w="1400" w:type="dxa"/>
            <w:gridSpan w:val="2"/>
            <w:shd w:val="clear" w:color="auto" w:fill="BFBFBF" w:themeFill="background1" w:themeFillShade="BF"/>
          </w:tcPr>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Monitoreo y revisión</w:t>
            </w:r>
          </w:p>
        </w:tc>
      </w:tr>
      <w:tr w:rsidR="0076567A" w:rsidRPr="00CB2A6B" w:rsidTr="0076567A">
        <w:trPr>
          <w:cantSplit/>
          <w:trHeight w:val="2063"/>
        </w:trPr>
        <w:tc>
          <w:tcPr>
            <w:tcW w:w="40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56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56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56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70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162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140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36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36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2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20" w:type="dxa"/>
            <w:vMerge/>
            <w:shd w:val="clear" w:color="auto" w:fill="4D4D4D"/>
            <w:textDirection w:val="btLr"/>
          </w:tcPr>
          <w:p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560" w:type="dxa"/>
            <w:vMerge/>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1620" w:type="dxa"/>
            <w:vMerge/>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36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Probabilidad</w:t>
            </w:r>
          </w:p>
        </w:tc>
        <w:tc>
          <w:tcPr>
            <w:tcW w:w="36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Impacto</w:t>
            </w:r>
          </w:p>
        </w:tc>
        <w:tc>
          <w:tcPr>
            <w:tcW w:w="42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Valoración del Riesgo</w:t>
            </w:r>
          </w:p>
        </w:tc>
        <w:tc>
          <w:tcPr>
            <w:tcW w:w="42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Categoría</w:t>
            </w:r>
          </w:p>
        </w:tc>
        <w:tc>
          <w:tcPr>
            <w:tcW w:w="700" w:type="dxa"/>
            <w:vMerge/>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560" w:type="dxa"/>
            <w:vMerge/>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560" w:type="dxa"/>
            <w:vMerge/>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84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Pr>
                <w:rFonts w:ascii="Verdana" w:eastAsia="SimSun" w:hAnsi="Verdana" w:cs="Arial"/>
                <w:b/>
                <w:color w:val="000000" w:themeColor="text1"/>
                <w:kern w:val="3"/>
                <w:sz w:val="16"/>
                <w:szCs w:val="16"/>
                <w:lang w:eastAsia="zh-CN" w:bidi="hi-IN"/>
              </w:rPr>
              <w:t>¿Cómo se realiza el monitoreo?</w:t>
            </w:r>
          </w:p>
        </w:tc>
        <w:tc>
          <w:tcPr>
            <w:tcW w:w="560" w:type="dxa"/>
            <w:shd w:val="clear" w:color="auto" w:fill="BFBFBF" w:themeFill="background1" w:themeFillShade="BF"/>
            <w:textDirection w:val="btLr"/>
          </w:tcPr>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Periodicidad</w:t>
            </w:r>
          </w:p>
          <w:p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Pr>
                <w:rFonts w:ascii="Verdana" w:eastAsia="SimSun" w:hAnsi="Verdana" w:cs="Arial"/>
                <w:b/>
                <w:color w:val="000000" w:themeColor="text1"/>
                <w:kern w:val="3"/>
                <w:sz w:val="18"/>
                <w:lang w:eastAsia="zh-CN" w:bidi="hi-IN"/>
              </w:rPr>
              <w:t>¿Cuándo?</w:t>
            </w:r>
          </w:p>
        </w:tc>
      </w:tr>
      <w:tr w:rsidR="0076567A" w:rsidRPr="00CB2A6B" w:rsidTr="0076567A">
        <w:trPr>
          <w:cantSplit/>
        </w:trPr>
        <w:tc>
          <w:tcPr>
            <w:tcW w:w="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lastRenderedPageBreak/>
              <w:t>1</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General</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Interno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Planeación</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Operacional</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Que existan deficiencias o imprecisiones en los levantamientos de campo y en las cantidades de obra estimadas en la etapa de planeación.</w:t>
            </w:r>
          </w:p>
        </w:tc>
        <w:tc>
          <w:tcPr>
            <w:tcW w:w="1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Variaciones en las actividades de excavación o cerramiento durante la ejecución del contrato.</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4</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Entidad Estatal</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Revisión técnica detallada y validación del Informe Técnico N.° 47, con inspección de campo previa a la firma del Acta de Inicio.</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1</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No; se gestiona en la etapa de planeación, previo al inicio de la ejecución.</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Secretaría de Infraestructura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Previo a la suscripción del Acta de Inicio</w:t>
            </w:r>
          </w:p>
        </w:tc>
        <w:tc>
          <w:tcPr>
            <w:tcW w:w="84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Verificación técnica de campo previa al inicio de obra.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Única (previa al inicio)</w:t>
            </w:r>
          </w:p>
        </w:tc>
      </w:tr>
      <w:tr w:rsidR="0076567A" w:rsidRPr="00CB2A6B" w:rsidTr="0076567A">
        <w:trPr>
          <w:cantSplit/>
        </w:trPr>
        <w:tc>
          <w:tcPr>
            <w:tcW w:w="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General</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Externo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Ejecución</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Operacional</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Que el Contratista incumpla parcialmente o presente retrasos en el cronograma de ejecución física de las obras.</w:t>
            </w:r>
          </w:p>
        </w:tc>
        <w:tc>
          <w:tcPr>
            <w:tcW w:w="1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Atraso en el avance y en la entrega de las obras, afectando el plazo contractual.</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3</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6</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Medio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Contratista</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Control continuo mediante la Supervisión de obra, requerimientos preventivos y aplicación de multas o cláusula penal conforme a la Ley 1474 de 2011.</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1</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Sí, de materializarse puede afectar el plazo de ejecución del contrato.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Supervisor de Contrato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Durante toda la ejecución del contrato</w:t>
            </w:r>
          </w:p>
        </w:tc>
        <w:tc>
          <w:tcPr>
            <w:tcW w:w="84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Seguimiento al avance físico mediante actas parciales de obra.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Semanal</w:t>
            </w:r>
          </w:p>
        </w:tc>
      </w:tr>
      <w:tr w:rsidR="0076567A" w:rsidRPr="00CB2A6B" w:rsidTr="0076567A">
        <w:trPr>
          <w:cantSplit/>
        </w:trPr>
        <w:tc>
          <w:tcPr>
            <w:tcW w:w="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lastRenderedPageBreak/>
              <w:t>3</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Específico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Externo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Ejecución</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De la Naturaleza / Ambiental</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Que se presenten lluvias intensas o precipitaciones atípicas en la zona urbana de Santa Rosa de Osos durante la ejecución de las excavaciones y la cimentación.</w:t>
            </w:r>
          </w:p>
        </w:tc>
        <w:tc>
          <w:tcPr>
            <w:tcW w:w="1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Afectación del avance de las excavaciones y la cimentación de la obra.</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3</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6</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Medio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Contratista</w:t>
            </w:r>
          </w:p>
        </w:tc>
        <w:tc>
          <w:tcPr>
            <w:tcW w:w="1620" w:type="dxa"/>
            <w:shd w:val="clear" w:color="auto" w:fill="auto"/>
          </w:tcPr>
          <w:p w:rsidR="00A82739"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 xml:space="preserve">Implementación de medidas de contingencia como drenajes temporales de correntías, protección del talud con </w:t>
            </w:r>
            <w:proofErr w:type="spellStart"/>
            <w:r w:rsidRPr="00A55782">
              <w:rPr>
                <w:rFonts w:ascii="Verdana" w:eastAsia="SimSun" w:hAnsi="Verdana" w:cs="Arial"/>
                <w:kern w:val="3"/>
                <w:sz w:val="18"/>
                <w:lang w:eastAsia="zh-CN" w:bidi="hi-IN"/>
              </w:rPr>
              <w:t>polisombra</w:t>
            </w:r>
            <w:proofErr w:type="spellEnd"/>
            <w:r w:rsidRPr="00A55782">
              <w:rPr>
                <w:rFonts w:ascii="Verdana" w:eastAsia="SimSun" w:hAnsi="Verdana" w:cs="Arial"/>
                <w:kern w:val="3"/>
                <w:sz w:val="18"/>
                <w:lang w:eastAsia="zh-CN" w:bidi="hi-IN"/>
              </w:rPr>
              <w:t>/plásticos y ajuste del plan de trabajo por cuadrillas de vaciado rápido.</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4</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Sí, de materializarse puede afectar el avance de la obra.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Contratista de Obra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Durante toda la ejecución del contrato</w:t>
            </w:r>
          </w:p>
        </w:tc>
        <w:tc>
          <w:tcPr>
            <w:tcW w:w="84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Monitoreo permanente de campo por parte del Contratista y la Supervisión.</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Permanente</w:t>
            </w:r>
          </w:p>
        </w:tc>
      </w:tr>
      <w:tr w:rsidR="0076567A" w:rsidRPr="00CB2A6B" w:rsidTr="0076567A">
        <w:trPr>
          <w:cantSplit/>
        </w:trPr>
        <w:tc>
          <w:tcPr>
            <w:tcW w:w="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4</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General</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Externo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Ejecución</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Operacional</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Que el Contratista presente demoras en la radicación oportuna de las facturas o cuentas de cobro, junto con sus soportes de seguridad social.</w:t>
            </w:r>
          </w:p>
        </w:tc>
        <w:tc>
          <w:tcPr>
            <w:tcW w:w="14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Retraso en el trámite y pago de las actas parciales de obra.</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4</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Contratista</w:t>
            </w:r>
          </w:p>
        </w:tc>
        <w:tc>
          <w:tcPr>
            <w:tcW w:w="16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Acompañamiento de la Supervisión para la revisión previa de borradores de actas y facturación electrónica dentro de los plazos contractuales.</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1</w:t>
            </w:r>
          </w:p>
        </w:tc>
        <w:tc>
          <w:tcPr>
            <w:tcW w:w="3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Bajo</w:t>
            </w:r>
          </w:p>
        </w:tc>
        <w:tc>
          <w:tcPr>
            <w:tcW w:w="70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No afecta la ejecución física de la obra; puede retrasar el trámite de pagos si no se mitiga.</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Contratista y Supervisor</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Durante toda la ejecución del contrato</w:t>
            </w:r>
          </w:p>
        </w:tc>
        <w:tc>
          <w:tcPr>
            <w:tcW w:w="84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Verificación de soportes de seguridad social en cada radicación.</w:t>
            </w:r>
          </w:p>
        </w:tc>
        <w:tc>
          <w:tcPr>
            <w:tcW w:w="560" w:type="dxa"/>
            <w:shd w:val="clear" w:color="auto" w:fill="auto"/>
          </w:tcPr>
          <w:p w:rsidR="00A82739" w:rsidRDefault="004C0129">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Mensual / Por acta parcial</w:t>
            </w:r>
          </w:p>
        </w:tc>
      </w:tr>
      <w:tr w:rsidR="00A55782" w:rsidRPr="00CB2A6B" w:rsidTr="0076567A">
        <w:trPr>
          <w:cantSplit/>
        </w:trPr>
        <w:tc>
          <w:tcPr>
            <w:tcW w:w="400" w:type="dxa"/>
            <w:shd w:val="clear" w:color="auto" w:fill="auto"/>
          </w:tcPr>
          <w:p w:rsidR="00A55782" w:rsidRDefault="00A55782" w:rsidP="00A55782">
            <w:pPr>
              <w:spacing w:after="100" w:afterAutospacing="1"/>
              <w:jc w:val="left"/>
              <w:rPr>
                <w:rFonts w:ascii="Verdana" w:eastAsia="SimSun" w:hAnsi="Verdana" w:cs="Arial"/>
                <w:kern w:val="3"/>
                <w:sz w:val="18"/>
                <w:lang w:eastAsia="zh-CN" w:bidi="hi-IN"/>
              </w:rPr>
            </w:pPr>
            <w:r>
              <w:rPr>
                <w:rFonts w:ascii="Verdana" w:eastAsia="SimSun" w:hAnsi="Verdana" w:cs="Arial"/>
                <w:kern w:val="3"/>
                <w:sz w:val="18"/>
                <w:lang w:eastAsia="zh-CN" w:bidi="hi-IN"/>
              </w:rPr>
              <w:t>5</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Específico</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Externo</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Ejecución</w:t>
            </w:r>
          </w:p>
        </w:tc>
        <w:tc>
          <w:tcPr>
            <w:tcW w:w="70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Geotécnico / Técnico</w:t>
            </w:r>
          </w:p>
        </w:tc>
        <w:tc>
          <w:tcPr>
            <w:tcW w:w="16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 xml:space="preserve">Persistencia o incremento en la infiltración de aguas de escorrentía sobre el talud posterior por falta de manejo de aguas en los predios colindantes superiores particulares (notificados por el Municipio).   </w:t>
            </w:r>
          </w:p>
        </w:tc>
        <w:tc>
          <w:tcPr>
            <w:tcW w:w="140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 xml:space="preserve">Generación de presión hidrostática o erosión sobre la zona de cimentación del nuevo cerramiento dentro del predio escolar.   </w:t>
            </w:r>
          </w:p>
        </w:tc>
        <w:tc>
          <w:tcPr>
            <w:tcW w:w="3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3</w:t>
            </w:r>
          </w:p>
        </w:tc>
        <w:tc>
          <w:tcPr>
            <w:tcW w:w="3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6</w:t>
            </w:r>
          </w:p>
        </w:tc>
        <w:tc>
          <w:tcPr>
            <w:tcW w:w="4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Medio</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Compartido (Riesgo Residual de la Entidad / Operativo del Contratista)</w:t>
            </w:r>
          </w:p>
        </w:tc>
        <w:tc>
          <w:tcPr>
            <w:tcW w:w="16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Ejecución prioritaria del filtro longitudinal e infiltración controlada dentro del predio institucional; seguimiento administrativo/policial por parte del Municipio a las notificaciones de los colindantes.</w:t>
            </w:r>
          </w:p>
        </w:tc>
        <w:tc>
          <w:tcPr>
            <w:tcW w:w="3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3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2</w:t>
            </w:r>
          </w:p>
        </w:tc>
        <w:tc>
          <w:tcPr>
            <w:tcW w:w="4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Pr>
                <w:rFonts w:ascii="Verdana" w:eastAsia="SimSun" w:hAnsi="Verdana" w:cs="Arial"/>
                <w:kern w:val="3"/>
                <w:sz w:val="18"/>
                <w:lang w:eastAsia="zh-CN" w:bidi="hi-IN"/>
              </w:rPr>
              <w:t>4</w:t>
            </w:r>
          </w:p>
        </w:tc>
        <w:tc>
          <w:tcPr>
            <w:tcW w:w="42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Bajo</w:t>
            </w:r>
          </w:p>
        </w:tc>
        <w:tc>
          <w:tcPr>
            <w:tcW w:w="70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 xml:space="preserve">Sí, puede requerir obras complementarias si no se mitiga la escorrentía superior.   </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Secretaría de Infraestructura y Contratista</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Durante la ejecución y etapa post-cont</w:t>
            </w:r>
            <w:bookmarkStart w:id="0" w:name="_GoBack"/>
            <w:bookmarkEnd w:id="0"/>
            <w:r w:rsidRPr="00A55782">
              <w:rPr>
                <w:rFonts w:ascii="Verdana" w:eastAsia="SimSun" w:hAnsi="Verdana" w:cs="Arial"/>
                <w:kern w:val="3"/>
                <w:sz w:val="18"/>
                <w:lang w:eastAsia="zh-CN" w:bidi="hi-IN"/>
              </w:rPr>
              <w:t>ractual</w:t>
            </w:r>
          </w:p>
        </w:tc>
        <w:tc>
          <w:tcPr>
            <w:tcW w:w="84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Inspecciones conjuntas de campo y seguimiento a querellas/notificaciones a colindantes.</w:t>
            </w:r>
          </w:p>
        </w:tc>
        <w:tc>
          <w:tcPr>
            <w:tcW w:w="560" w:type="dxa"/>
            <w:shd w:val="clear" w:color="auto" w:fill="auto"/>
          </w:tcPr>
          <w:p w:rsidR="00A55782" w:rsidRDefault="00A55782">
            <w:pPr>
              <w:spacing w:after="100" w:afterAutospacing="1"/>
              <w:jc w:val="center"/>
              <w:rPr>
                <w:rFonts w:ascii="Verdana" w:eastAsia="SimSun" w:hAnsi="Verdana" w:cs="Arial"/>
                <w:kern w:val="3"/>
                <w:sz w:val="18"/>
                <w:lang w:eastAsia="zh-CN" w:bidi="hi-IN"/>
              </w:rPr>
            </w:pPr>
            <w:r w:rsidRPr="00A55782">
              <w:rPr>
                <w:rFonts w:ascii="Verdana" w:eastAsia="SimSun" w:hAnsi="Verdana" w:cs="Arial"/>
                <w:kern w:val="3"/>
                <w:sz w:val="18"/>
                <w:lang w:eastAsia="zh-CN" w:bidi="hi-IN"/>
              </w:rPr>
              <w:t>Quincenal</w:t>
            </w:r>
          </w:p>
        </w:tc>
      </w:tr>
    </w:tbl>
    <w:p w:rsidR="00815604" w:rsidRPr="00CB2A6B" w:rsidRDefault="00815604" w:rsidP="004D7C35">
      <w:pPr>
        <w:spacing w:after="100" w:afterAutospacing="1"/>
        <w:jc w:val="center"/>
        <w:rPr>
          <w:rFonts w:ascii="Verdana" w:eastAsia="SimSun" w:hAnsi="Verdana" w:cs="Arial"/>
          <w:kern w:val="3"/>
          <w:lang w:eastAsia="zh-CN" w:bidi="hi-IN"/>
        </w:rPr>
      </w:pPr>
    </w:p>
    <w:p w:rsidR="00D70D7B" w:rsidRPr="00CB2A6B" w:rsidRDefault="00241A33" w:rsidP="00241A33">
      <w:pPr>
        <w:tabs>
          <w:tab w:val="left" w:pos="6690"/>
        </w:tabs>
        <w:spacing w:after="100" w:afterAutospacing="1"/>
        <w:rPr>
          <w:rFonts w:ascii="Verdana" w:eastAsia="SimSun" w:hAnsi="Verdana" w:cs="Arial"/>
          <w:kern w:val="3"/>
          <w:lang w:eastAsia="zh-CN" w:bidi="hi-IN"/>
        </w:rPr>
      </w:pPr>
      <w:r>
        <w:rPr>
          <w:rFonts w:ascii="Verdana" w:eastAsia="SimSun" w:hAnsi="Verdana" w:cs="Arial"/>
          <w:kern w:val="3"/>
          <w:lang w:eastAsia="zh-CN" w:bidi="hi-IN"/>
        </w:rPr>
        <w:tab/>
      </w:r>
    </w:p>
    <w:sectPr w:rsidR="00D70D7B" w:rsidRPr="00CB2A6B" w:rsidSect="00091875">
      <w:headerReference w:type="default" r:id="rId11"/>
      <w:footerReference w:type="default" r:id="rId12"/>
      <w:pgSz w:w="15840" w:h="12240" w:orient="landscape" w:code="1"/>
      <w:pgMar w:top="850" w:right="720" w:bottom="850" w:left="720" w:header="500" w:footer="50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CBF" w:rsidRDefault="00D61CBF" w:rsidP="00091875">
      <w:pPr>
        <w:spacing w:line="240" w:lineRule="auto"/>
      </w:pPr>
      <w:r>
        <w:separator/>
      </w:r>
    </w:p>
  </w:endnote>
  <w:endnote w:type="continuationSeparator" w:id="0">
    <w:p w:rsidR="00D61CBF" w:rsidRDefault="00D61CB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sz w:val="18"/>
        <w:szCs w:val="18"/>
      </w:rPr>
      <w:id w:val="552671562"/>
      <w:docPartObj>
        <w:docPartGallery w:val="Page Numbers (Bottom of Page)"/>
        <w:docPartUnique/>
      </w:docPartObj>
    </w:sdtPr>
    <w:sdtEndPr/>
    <w:sdtContent>
      <w:p w:rsidR="007A656B" w:rsidRPr="002F36D9" w:rsidRDefault="007A656B">
        <w:pPr>
          <w:pStyle w:val="Piedepgina"/>
          <w:jc w:val="right"/>
          <w:rPr>
            <w:rFonts w:ascii="Verdana" w:hAnsi="Verdana"/>
            <w:sz w:val="18"/>
            <w:szCs w:val="18"/>
          </w:rPr>
        </w:pPr>
      </w:p>
      <w:p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rsidR="00091875" w:rsidRDefault="0009187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CBF" w:rsidRDefault="00D61CBF" w:rsidP="00091875">
      <w:pPr>
        <w:spacing w:line="240" w:lineRule="auto"/>
      </w:pPr>
      <w:r>
        <w:separator/>
      </w:r>
    </w:p>
  </w:footnote>
  <w:footnote w:type="continuationSeparator" w:id="0">
    <w:p w:rsidR="00D61CBF" w:rsidRDefault="00D61CB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C0129"/>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55782"/>
    <w:rsid w:val="00A802EF"/>
    <w:rsid w:val="00A82739"/>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3538D"/>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infopath/2007/PartnerControls"/>
    <ds:schemaRef ds:uri="http://www.w3.org/XML/1998/namespace"/>
    <ds:schemaRef ds:uri="9d85dbaf-23eb-4e57-a637-93dcacc8b1a1"/>
    <ds:schemaRef ds:uri="http://schemas.microsoft.com/office/2006/documentManagement/types"/>
    <ds:schemaRef ds:uri="http://purl.org/dc/terms/"/>
    <ds:schemaRef ds:uri="http://purl.org/dc/elements/1.1/"/>
    <ds:schemaRef ds:uri="http://schemas.openxmlformats.org/package/2006/metadata/core-properties"/>
    <ds:schemaRef ds:uri="a6cb9e4b-f1d1-4245-83ec-6cad768d538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B3DD48BA-0450-4F95-91F3-FFDBEE9F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777</Words>
  <Characters>4277</Characters>
  <Application>Microsoft Office Word</Application>
  <DocSecurity>0</DocSecurity>
  <Lines>35</Lines>
  <Paragraphs>10</Paragraphs>
  <ScaleCrop>false</ScaleCrop>
  <Company>Hewlett-Packard Company</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Alcaldia - Contratacion01</cp:lastModifiedBy>
  <cp:revision>10</cp:revision>
  <cp:lastPrinted>2020-11-13T23:50:00Z</cp:lastPrinted>
  <dcterms:created xsi:type="dcterms:W3CDTF">2022-08-01T21:31:00Z</dcterms:created>
  <dcterms:modified xsi:type="dcterms:W3CDTF">2026-10-13T15:13:00Z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