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04123E" w14:textId="77777777" w:rsidR="0058222E" w:rsidRPr="005234F0" w:rsidRDefault="0058222E" w:rsidP="007C702A">
      <w:pPr>
        <w:rPr>
          <w:rFonts w:ascii="Verdana" w:hAnsi="Verdana" w:cs="Arial"/>
          <w:lang w:val="es-ES_tradnl" w:eastAsia="es-CO"/>
        </w:rPr>
      </w:pPr>
      <w:bookmarkStart w:id="0" w:name="_GoBack"/>
      <w:bookmarkEnd w:id="0"/>
    </w:p>
    <w:p w14:paraId="223CC18C" w14:textId="77777777" w:rsidR="00D70D7B" w:rsidRPr="005234F0" w:rsidRDefault="00D70D7B" w:rsidP="007C702A">
      <w:pPr>
        <w:rPr>
          <w:rFonts w:ascii="Verdana" w:hAnsi="Verdana" w:cs="Arial"/>
          <w:lang w:val="es-ES" w:eastAsia="es-CO"/>
        </w:rPr>
      </w:pPr>
      <w:r w:rsidRPr="005234F0">
        <w:rPr>
          <w:rFonts w:ascii="Verdana" w:hAnsi="Verdana" w:cs="Arial"/>
          <w:lang w:val="es-ES" w:eastAsia="es-CO"/>
        </w:rPr>
        <w:t xml:space="preserve">Para el presente </w:t>
      </w:r>
      <w:r w:rsidR="006B01B2" w:rsidRPr="005234F0">
        <w:rPr>
          <w:rFonts w:ascii="Verdana" w:hAnsi="Verdana" w:cs="Arial"/>
          <w:lang w:val="es-ES" w:eastAsia="es-CO"/>
        </w:rPr>
        <w:t>P</w:t>
      </w:r>
      <w:r w:rsidR="00C61BDB" w:rsidRPr="005234F0">
        <w:rPr>
          <w:rFonts w:ascii="Verdana" w:hAnsi="Verdana" w:cs="Arial"/>
          <w:lang w:val="es-ES" w:eastAsia="es-CO"/>
        </w:rPr>
        <w:t>roce</w:t>
      </w:r>
      <w:r w:rsidR="32C12A3F" w:rsidRPr="005234F0">
        <w:rPr>
          <w:rFonts w:ascii="Verdana" w:hAnsi="Verdana" w:cs="Arial"/>
          <w:lang w:val="es-ES" w:eastAsia="es-CO"/>
        </w:rPr>
        <w:t>so</w:t>
      </w:r>
      <w:r w:rsidR="008F49F3" w:rsidRPr="005234F0">
        <w:rPr>
          <w:rFonts w:ascii="Verdana" w:hAnsi="Verdana" w:cs="Arial"/>
          <w:lang w:val="es-ES" w:eastAsia="es-CO"/>
        </w:rPr>
        <w:t xml:space="preserve"> </w:t>
      </w:r>
      <w:r w:rsidR="00046B56" w:rsidRPr="005234F0">
        <w:rPr>
          <w:rFonts w:ascii="Verdana" w:hAnsi="Verdana" w:cs="Arial"/>
          <w:lang w:val="es-ES" w:eastAsia="es-CO"/>
        </w:rPr>
        <w:t xml:space="preserve">de </w:t>
      </w:r>
      <w:r w:rsidR="006B01B2" w:rsidRPr="005234F0">
        <w:rPr>
          <w:rFonts w:ascii="Verdana" w:hAnsi="Verdana" w:cs="Arial"/>
          <w:lang w:val="es-ES" w:eastAsia="es-CO"/>
        </w:rPr>
        <w:t>C</w:t>
      </w:r>
      <w:r w:rsidRPr="005234F0">
        <w:rPr>
          <w:rFonts w:ascii="Verdana" w:hAnsi="Verdana" w:cs="Arial"/>
          <w:lang w:val="es-ES" w:eastAsia="es-CO"/>
        </w:rPr>
        <w:t>ontra</w:t>
      </w:r>
      <w:r w:rsidR="00046B56" w:rsidRPr="005234F0">
        <w:rPr>
          <w:rFonts w:ascii="Verdana" w:hAnsi="Verdana" w:cs="Arial"/>
          <w:lang w:val="es-ES" w:eastAsia="es-CO"/>
        </w:rPr>
        <w:t>tación</w:t>
      </w:r>
      <w:r w:rsidRPr="005234F0">
        <w:rPr>
          <w:rFonts w:ascii="Verdana" w:hAnsi="Verdana" w:cs="Arial"/>
          <w:lang w:val="es-ES" w:eastAsia="es-CO"/>
        </w:rPr>
        <w:t xml:space="preserve">, en atención </w:t>
      </w:r>
      <w:r w:rsidR="00B81B1F" w:rsidRPr="005234F0">
        <w:rPr>
          <w:rFonts w:ascii="Verdana" w:hAnsi="Verdana" w:cs="Arial"/>
          <w:lang w:val="es-ES" w:eastAsia="es-CO"/>
        </w:rPr>
        <w:t>a la</w:t>
      </w:r>
      <w:r w:rsidRPr="005234F0">
        <w:rPr>
          <w:rFonts w:ascii="Verdana" w:hAnsi="Verdana" w:cs="Arial"/>
          <w:lang w:val="es-ES" w:eastAsia="es-CO"/>
        </w:rPr>
        <w:t xml:space="preserve"> Ley 1150 de 2007 y </w:t>
      </w:r>
      <w:r w:rsidR="006B01B2" w:rsidRPr="005234F0">
        <w:rPr>
          <w:rFonts w:ascii="Verdana" w:hAnsi="Verdana" w:cs="Arial"/>
          <w:lang w:val="es-ES" w:eastAsia="es-CO"/>
        </w:rPr>
        <w:t xml:space="preserve">a </w:t>
      </w:r>
      <w:r w:rsidRPr="005234F0">
        <w:rPr>
          <w:rFonts w:ascii="Verdana" w:hAnsi="Verdana" w:cs="Arial"/>
          <w:lang w:val="es-ES" w:eastAsia="es-CO"/>
        </w:rPr>
        <w:t>los artículos 2.2.1.1.1.3.1 y 2.2.1.1.1.6.</w:t>
      </w:r>
      <w:r w:rsidR="00B81B1F" w:rsidRPr="005234F0">
        <w:rPr>
          <w:rFonts w:ascii="Verdana" w:hAnsi="Verdana" w:cs="Arial"/>
          <w:lang w:val="es-ES" w:eastAsia="es-CO"/>
        </w:rPr>
        <w:t>3. del</w:t>
      </w:r>
      <w:r w:rsidRPr="005234F0">
        <w:rPr>
          <w:rFonts w:ascii="Verdana" w:hAnsi="Verdana" w:cs="Arial"/>
          <w:lang w:val="es-ES" w:eastAsia="es-CO"/>
        </w:rPr>
        <w:t xml:space="preserve"> Decreto </w:t>
      </w:r>
      <w:r w:rsidR="00B81B1F" w:rsidRPr="005234F0">
        <w:rPr>
          <w:rFonts w:ascii="Verdana" w:hAnsi="Verdana" w:cs="Arial"/>
          <w:lang w:val="es-ES" w:eastAsia="es-CO"/>
        </w:rPr>
        <w:t>1082 de</w:t>
      </w:r>
      <w:r w:rsidR="006E6D9B" w:rsidRPr="005234F0">
        <w:rPr>
          <w:rFonts w:ascii="Verdana" w:hAnsi="Verdana" w:cs="Arial"/>
          <w:lang w:val="es-ES" w:eastAsia="es-CO"/>
        </w:rPr>
        <w:t xml:space="preserve"> 2015, entiéndase por R</w:t>
      </w:r>
      <w:r w:rsidRPr="005234F0">
        <w:rPr>
          <w:rFonts w:ascii="Verdana" w:hAnsi="Verdana" w:cs="Arial"/>
          <w:lang w:val="es-ES" w:eastAsia="es-CO"/>
        </w:rPr>
        <w:t>iesgo</w:t>
      </w:r>
      <w:r w:rsidR="006E6D9B" w:rsidRPr="005234F0">
        <w:rPr>
          <w:rFonts w:ascii="Verdana" w:hAnsi="Verdana" w:cs="Arial"/>
          <w:lang w:val="es-ES" w:eastAsia="es-CO"/>
        </w:rPr>
        <w:t xml:space="preserve"> </w:t>
      </w:r>
      <w:r w:rsidRPr="005234F0">
        <w:rPr>
          <w:rFonts w:ascii="Verdana" w:hAnsi="Verdana" w:cs="Arial"/>
          <w:lang w:val="es-ES" w:eastAsia="es-CO"/>
        </w:rPr>
        <w:t xml:space="preserve">la probabilidad de ocurrencia de eventos aleatorios que afecten el desarrollo </w:t>
      </w:r>
      <w:r w:rsidR="00CB6E87" w:rsidRPr="005234F0">
        <w:rPr>
          <w:rFonts w:ascii="Verdana" w:hAnsi="Verdana" w:cs="Arial"/>
          <w:lang w:val="es-ES" w:eastAsia="es-CO"/>
        </w:rPr>
        <w:t>de este</w:t>
      </w:r>
      <w:r w:rsidRPr="005234F0">
        <w:rPr>
          <w:rFonts w:ascii="Verdana" w:hAnsi="Verdana" w:cs="Arial"/>
          <w:lang w:val="es-ES" w:eastAsia="es-CO"/>
        </w:rPr>
        <w:t xml:space="preserve">, generando una variación sobre el resultado esperado, tanto en relación con los costos </w:t>
      </w:r>
      <w:r w:rsidR="00B81B1F" w:rsidRPr="005234F0">
        <w:rPr>
          <w:rFonts w:ascii="Verdana" w:hAnsi="Verdana" w:cs="Arial"/>
          <w:lang w:val="es-ES" w:eastAsia="es-CO"/>
        </w:rPr>
        <w:t>como con</w:t>
      </w:r>
      <w:r w:rsidRPr="005234F0">
        <w:rPr>
          <w:rFonts w:ascii="Verdana" w:hAnsi="Verdana" w:cs="Arial"/>
          <w:lang w:val="es-ES" w:eastAsia="es-CO"/>
        </w:rPr>
        <w:t xml:space="preserve"> las actividades a desarrollar en la ejecución contractual.</w:t>
      </w:r>
    </w:p>
    <w:p w14:paraId="0FD9D65A" w14:textId="77777777" w:rsidR="00B81B1F" w:rsidRPr="005234F0" w:rsidRDefault="00B81B1F" w:rsidP="007C702A">
      <w:pPr>
        <w:rPr>
          <w:rFonts w:ascii="Verdana" w:hAnsi="Verdana" w:cs="Arial"/>
          <w:lang w:val="es-ES_tradnl" w:eastAsia="es-CO"/>
        </w:rPr>
      </w:pPr>
    </w:p>
    <w:p w14:paraId="330100E7" w14:textId="77777777" w:rsidR="00D70D7B" w:rsidRPr="005234F0" w:rsidRDefault="00D70D7B" w:rsidP="007C702A">
      <w:pPr>
        <w:rPr>
          <w:rFonts w:ascii="Verdana" w:hAnsi="Verdana" w:cs="Arial"/>
          <w:lang w:val="es-ES_tradnl" w:eastAsia="es-CO"/>
        </w:rPr>
      </w:pPr>
      <w:r w:rsidRPr="005234F0">
        <w:rPr>
          <w:rFonts w:ascii="Verdana" w:hAnsi="Verdana" w:cs="Arial"/>
          <w:lang w:val="es-ES_tradnl" w:eastAsia="es-CO"/>
        </w:rPr>
        <w:t xml:space="preserve">Corresponderá al </w:t>
      </w:r>
      <w:r w:rsidR="00112670" w:rsidRPr="005234F0">
        <w:rPr>
          <w:rFonts w:ascii="Verdana" w:hAnsi="Verdana" w:cs="Arial"/>
          <w:lang w:val="es-ES_tradnl" w:eastAsia="es-CO"/>
        </w:rPr>
        <w:t>C</w:t>
      </w:r>
      <w:r w:rsidRPr="005234F0">
        <w:rPr>
          <w:rFonts w:ascii="Verdana" w:hAnsi="Verdana" w:cs="Arial"/>
          <w:lang w:val="es-ES_tradnl" w:eastAsia="es-CO"/>
        </w:rPr>
        <w:t xml:space="preserve">ontratista seleccionado </w:t>
      </w:r>
      <w:r w:rsidR="00CB6E87" w:rsidRPr="005234F0">
        <w:rPr>
          <w:rFonts w:ascii="Verdana" w:hAnsi="Verdana" w:cs="Arial"/>
          <w:lang w:val="es-ES_tradnl" w:eastAsia="es-CO"/>
        </w:rPr>
        <w:t>asumir los</w:t>
      </w:r>
      <w:r w:rsidR="006E6D9B" w:rsidRPr="005234F0">
        <w:rPr>
          <w:rFonts w:ascii="Verdana" w:hAnsi="Verdana" w:cs="Arial"/>
          <w:lang w:val="es-ES_tradnl" w:eastAsia="es-CO"/>
        </w:rPr>
        <w:t xml:space="preserve"> </w:t>
      </w:r>
      <w:r w:rsidR="00D5252D" w:rsidRPr="005234F0">
        <w:rPr>
          <w:rFonts w:ascii="Verdana" w:hAnsi="Verdana" w:cs="Arial"/>
          <w:lang w:val="es-ES_tradnl" w:eastAsia="es-CO"/>
        </w:rPr>
        <w:t>R</w:t>
      </w:r>
      <w:r w:rsidRPr="005234F0">
        <w:rPr>
          <w:rFonts w:ascii="Verdana" w:hAnsi="Verdana" w:cs="Arial"/>
          <w:lang w:val="es-ES_tradnl" w:eastAsia="es-CO"/>
        </w:rPr>
        <w:t>iesgo</w:t>
      </w:r>
      <w:r w:rsidR="00CB6E87" w:rsidRPr="005234F0">
        <w:rPr>
          <w:rFonts w:ascii="Verdana" w:hAnsi="Verdana" w:cs="Arial"/>
          <w:lang w:val="es-ES_tradnl" w:eastAsia="es-CO"/>
        </w:rPr>
        <w:t>s</w:t>
      </w:r>
      <w:r w:rsidRPr="005234F0">
        <w:rPr>
          <w:rFonts w:ascii="Verdana" w:hAnsi="Verdana" w:cs="Arial"/>
          <w:lang w:val="es-ES_tradnl" w:eastAsia="es-CO"/>
        </w:rPr>
        <w:t xml:space="preserve"> previsible</w:t>
      </w:r>
      <w:r w:rsidR="00CB6E87" w:rsidRPr="005234F0">
        <w:rPr>
          <w:rFonts w:ascii="Verdana" w:hAnsi="Verdana" w:cs="Arial"/>
          <w:lang w:val="es-ES_tradnl" w:eastAsia="es-CO"/>
        </w:rPr>
        <w:t>s</w:t>
      </w:r>
      <w:r w:rsidRPr="005234F0">
        <w:rPr>
          <w:rFonts w:ascii="Verdana" w:hAnsi="Verdana" w:cs="Arial"/>
          <w:lang w:val="es-ES_tradnl" w:eastAsia="es-CO"/>
        </w:rPr>
        <w:t xml:space="preserve"> propio</w:t>
      </w:r>
      <w:r w:rsidR="00CB6E87" w:rsidRPr="005234F0">
        <w:rPr>
          <w:rFonts w:ascii="Verdana" w:hAnsi="Verdana" w:cs="Arial"/>
          <w:lang w:val="es-ES_tradnl" w:eastAsia="es-CO"/>
        </w:rPr>
        <w:t>s</w:t>
      </w:r>
      <w:r w:rsidRPr="005234F0">
        <w:rPr>
          <w:rFonts w:ascii="Verdana" w:hAnsi="Verdana" w:cs="Arial"/>
          <w:lang w:val="es-ES_tradnl" w:eastAsia="es-CO"/>
        </w:rPr>
        <w:t xml:space="preserve"> de este tipo de contratación </w:t>
      </w:r>
      <w:r w:rsidR="00CB6E87" w:rsidRPr="005234F0">
        <w:rPr>
          <w:rFonts w:ascii="Verdana" w:hAnsi="Verdana" w:cs="Arial"/>
          <w:lang w:val="es-ES_tradnl" w:eastAsia="es-CO"/>
        </w:rPr>
        <w:t xml:space="preserve">con sus </w:t>
      </w:r>
      <w:r w:rsidRPr="005234F0">
        <w:rPr>
          <w:rFonts w:ascii="Verdana" w:hAnsi="Verdana" w:cs="Arial"/>
          <w:lang w:val="es-ES_tradnl" w:eastAsia="es-CO"/>
        </w:rPr>
        <w:t>costo</w:t>
      </w:r>
      <w:r w:rsidR="00CB6E87" w:rsidRPr="005234F0">
        <w:rPr>
          <w:rFonts w:ascii="Verdana" w:hAnsi="Verdana" w:cs="Arial"/>
          <w:lang w:val="es-ES_tradnl" w:eastAsia="es-CO"/>
        </w:rPr>
        <w:t>s</w:t>
      </w:r>
      <w:r w:rsidRPr="005234F0">
        <w:rPr>
          <w:rFonts w:ascii="Verdana" w:hAnsi="Verdana" w:cs="Arial"/>
          <w:lang w:val="es-ES_tradnl" w:eastAsia="es-CO"/>
        </w:rPr>
        <w:t xml:space="preserve">, siempre que el mismo no se encuentre expresamente a cargo de la </w:t>
      </w:r>
      <w:r w:rsidR="006B01B2" w:rsidRPr="005234F0">
        <w:rPr>
          <w:rFonts w:ascii="Verdana" w:hAnsi="Verdana" w:cs="Arial"/>
          <w:lang w:val="es-ES_tradnl" w:eastAsia="es-CO"/>
        </w:rPr>
        <w:t>E</w:t>
      </w:r>
      <w:r w:rsidRPr="005234F0">
        <w:rPr>
          <w:rFonts w:ascii="Verdana" w:hAnsi="Verdana" w:cs="Arial"/>
          <w:lang w:val="es-ES_tradnl" w:eastAsia="es-CO"/>
        </w:rPr>
        <w:t xml:space="preserve">ntidad. </w:t>
      </w:r>
    </w:p>
    <w:p w14:paraId="488C7F53" w14:textId="77777777" w:rsidR="00B81B1F" w:rsidRPr="005234F0" w:rsidRDefault="00B81B1F" w:rsidP="007C702A">
      <w:pPr>
        <w:rPr>
          <w:rFonts w:ascii="Verdana" w:hAnsi="Verdana" w:cs="Arial"/>
          <w:lang w:val="es-ES_tradnl" w:eastAsia="es-CO"/>
        </w:rPr>
      </w:pPr>
    </w:p>
    <w:p w14:paraId="50FD7216" w14:textId="77777777" w:rsidR="00545461" w:rsidRPr="005234F0" w:rsidRDefault="006E6D9B" w:rsidP="007C702A">
      <w:pPr>
        <w:rPr>
          <w:rFonts w:ascii="Verdana" w:hAnsi="Verdana" w:cs="Arial"/>
          <w:lang w:val="es-ES_tradnl" w:eastAsia="es-CO"/>
        </w:rPr>
      </w:pPr>
      <w:r w:rsidRPr="005234F0">
        <w:rPr>
          <w:rFonts w:ascii="Verdana" w:hAnsi="Verdana" w:cs="Arial"/>
          <w:lang w:val="es-ES_tradnl" w:eastAsia="es-CO"/>
        </w:rPr>
        <w:t xml:space="preserve">De acuerdo con </w:t>
      </w:r>
      <w:r w:rsidR="006B01B2" w:rsidRPr="005234F0">
        <w:rPr>
          <w:rFonts w:ascii="Verdana" w:hAnsi="Verdana" w:cs="Arial"/>
          <w:lang w:val="es-ES_tradnl" w:eastAsia="es-CO"/>
        </w:rPr>
        <w:t xml:space="preserve">el </w:t>
      </w:r>
      <w:r w:rsidR="00C61BDB" w:rsidRPr="005234F0">
        <w:rPr>
          <w:rFonts w:ascii="Verdana" w:hAnsi="Verdana" w:cs="Arial"/>
          <w:lang w:val="es-ES_tradnl" w:eastAsia="es-CO"/>
        </w:rPr>
        <w:t>proce</w:t>
      </w:r>
      <w:r w:rsidR="00190D93" w:rsidRPr="005234F0">
        <w:rPr>
          <w:rFonts w:ascii="Verdana" w:hAnsi="Verdana" w:cs="Arial"/>
          <w:lang w:val="es-ES_tradnl" w:eastAsia="es-CO"/>
        </w:rPr>
        <w:t xml:space="preserve">so </w:t>
      </w:r>
      <w:r w:rsidR="00545461" w:rsidRPr="005234F0">
        <w:rPr>
          <w:rFonts w:ascii="Verdana" w:hAnsi="Verdana" w:cs="Arial"/>
          <w:lang w:val="es-ES_tradnl" w:eastAsia="es-CO"/>
        </w:rPr>
        <w:t xml:space="preserve">de la referencia, </w:t>
      </w:r>
      <w:r w:rsidR="00FE0128" w:rsidRPr="005234F0">
        <w:rPr>
          <w:rFonts w:ascii="Verdana" w:hAnsi="Verdana" w:cs="Arial"/>
          <w:lang w:val="es-ES_tradnl" w:eastAsia="es-CO"/>
        </w:rPr>
        <w:t xml:space="preserve">se </w:t>
      </w:r>
      <w:r w:rsidR="00545461" w:rsidRPr="005234F0">
        <w:rPr>
          <w:rFonts w:ascii="Verdana" w:hAnsi="Verdana" w:cs="Arial"/>
          <w:lang w:val="es-ES_tradnl" w:eastAsia="es-CO"/>
        </w:rPr>
        <w:t xml:space="preserve">establece la tipificación, estimación y asignación de los </w:t>
      </w:r>
      <w:r w:rsidR="00CB6E87" w:rsidRPr="005234F0">
        <w:rPr>
          <w:rFonts w:ascii="Verdana" w:hAnsi="Verdana" w:cs="Arial"/>
          <w:lang w:val="es-ES_tradnl" w:eastAsia="es-CO"/>
        </w:rPr>
        <w:t>R</w:t>
      </w:r>
      <w:r w:rsidR="00545461" w:rsidRPr="005234F0">
        <w:rPr>
          <w:rFonts w:ascii="Verdana" w:hAnsi="Verdana" w:cs="Arial"/>
          <w:lang w:val="es-ES_tradnl" w:eastAsia="es-CO"/>
        </w:rPr>
        <w:t xml:space="preserve">iesgos previsibles que puedan afectar el </w:t>
      </w:r>
      <w:r w:rsidR="006B01B2" w:rsidRPr="005234F0">
        <w:rPr>
          <w:rFonts w:ascii="Verdana" w:hAnsi="Verdana" w:cs="Arial"/>
          <w:lang w:val="es-ES_tradnl" w:eastAsia="es-CO"/>
        </w:rPr>
        <w:t>P</w:t>
      </w:r>
      <w:r w:rsidR="00C61BDB" w:rsidRPr="005234F0">
        <w:rPr>
          <w:rFonts w:ascii="Verdana" w:hAnsi="Verdana" w:cs="Arial"/>
          <w:lang w:val="es-ES_tradnl" w:eastAsia="es-CO"/>
        </w:rPr>
        <w:t>roce</w:t>
      </w:r>
      <w:r w:rsidR="00190D93" w:rsidRPr="005234F0">
        <w:rPr>
          <w:rFonts w:ascii="Verdana" w:hAnsi="Verdana" w:cs="Arial"/>
          <w:lang w:val="es-ES_tradnl" w:eastAsia="es-CO"/>
        </w:rPr>
        <w:t>so</w:t>
      </w:r>
      <w:r w:rsidR="006B01B2" w:rsidRPr="005234F0">
        <w:rPr>
          <w:rFonts w:ascii="Verdana" w:hAnsi="Verdana" w:cs="Arial"/>
          <w:lang w:val="es-ES_tradnl" w:eastAsia="es-CO"/>
        </w:rPr>
        <w:t xml:space="preserve"> de Contratación</w:t>
      </w:r>
      <w:r w:rsidR="00545461" w:rsidRPr="005234F0">
        <w:rPr>
          <w:rFonts w:ascii="Verdana" w:hAnsi="Verdana" w:cs="Arial"/>
          <w:lang w:val="es-ES_tradnl" w:eastAsia="es-CO"/>
        </w:rPr>
        <w:t>.</w:t>
      </w:r>
    </w:p>
    <w:p w14:paraId="260E9527" w14:textId="77777777" w:rsidR="009C4E02" w:rsidRPr="005234F0" w:rsidRDefault="009C4E02" w:rsidP="009C4E02">
      <w:pPr>
        <w:rPr>
          <w:rFonts w:ascii="Verdana" w:hAnsi="Verdana" w:cs="Arial"/>
          <w:lang w:val="es-ES_tradnl" w:eastAsia="es-CO"/>
        </w:rPr>
      </w:pPr>
    </w:p>
    <w:p w14:paraId="187CC6DF" w14:textId="77777777" w:rsidR="009C4E02" w:rsidRPr="005234F0" w:rsidRDefault="009C4E02" w:rsidP="009C4E02">
      <w:pPr>
        <w:rPr>
          <w:rFonts w:ascii="Verdana" w:hAnsi="Verdana" w:cs="Arial"/>
          <w:lang w:val="es-ES_tradnl" w:eastAsia="es-CO"/>
        </w:rPr>
      </w:pPr>
      <w:r w:rsidRPr="005234F0">
        <w:rPr>
          <w:rFonts w:ascii="Verdana" w:hAnsi="Verdana" w:cs="Arial"/>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05E61A5A" w14:textId="77777777" w:rsidR="009C4E02" w:rsidRPr="005234F0" w:rsidRDefault="009C4E02" w:rsidP="007C702A">
      <w:pPr>
        <w:rPr>
          <w:rFonts w:ascii="Verdana" w:hAnsi="Verdana" w:cs="Arial"/>
          <w:lang w:val="es-ES_tradnl" w:eastAsia="es-CO"/>
        </w:rPr>
      </w:pPr>
    </w:p>
    <w:p w14:paraId="678DB128" w14:textId="77777777" w:rsidR="0032129A" w:rsidRPr="005234F0" w:rsidRDefault="0032129A" w:rsidP="00D70D7B">
      <w:pPr>
        <w:spacing w:after="100" w:afterAutospacing="1"/>
        <w:rPr>
          <w:rFonts w:ascii="Verdana" w:eastAsia="SimSun" w:hAnsi="Verdana" w:cs="Arial"/>
          <w:b/>
          <w:kern w:val="3"/>
          <w:highlight w:val="lightGray"/>
          <w:u w:val="single"/>
          <w:lang w:eastAsia="zh-CN" w:bidi="hi-IN"/>
        </w:rPr>
      </w:pPr>
    </w:p>
    <w:p w14:paraId="41D229CB" w14:textId="77777777" w:rsidR="0034606D" w:rsidRPr="005234F0" w:rsidRDefault="0034606D" w:rsidP="001246B3">
      <w:pPr>
        <w:rPr>
          <w:rFonts w:ascii="Verdana" w:eastAsia="SimSun" w:hAnsi="Verdana" w:cs="Arial"/>
          <w:b/>
          <w:kern w:val="3"/>
          <w:u w:val="single"/>
          <w:lang w:eastAsia="zh-CN" w:bidi="hi-IN"/>
        </w:rPr>
      </w:pPr>
    </w:p>
    <w:p w14:paraId="369A178E" w14:textId="77777777" w:rsidR="0058222E" w:rsidRPr="005234F0" w:rsidRDefault="00815604" w:rsidP="00D70D7B">
      <w:pPr>
        <w:spacing w:after="100" w:afterAutospacing="1"/>
        <w:rPr>
          <w:rFonts w:ascii="Verdana" w:eastAsia="SimSun" w:hAnsi="Verdana" w:cs="Arial"/>
          <w:kern w:val="3"/>
          <w:lang w:eastAsia="zh-CN" w:bidi="hi-IN"/>
        </w:rPr>
      </w:pPr>
      <w:r w:rsidRPr="005234F0">
        <w:rPr>
          <w:rFonts w:ascii="Verdana" w:eastAsia="SimSun" w:hAnsi="Verdana" w:cs="Arial"/>
          <w:b/>
          <w:kern w:val="3"/>
          <w:u w:val="single"/>
          <w:lang w:eastAsia="zh-CN" w:bidi="hi-IN"/>
        </w:rPr>
        <w:t>Matriz de Riesgos</w:t>
      </w:r>
    </w:p>
    <w:p w14:paraId="50866F03" w14:textId="77777777" w:rsidR="00815604" w:rsidRPr="005234F0" w:rsidRDefault="00815604" w:rsidP="00D70D7B">
      <w:pPr>
        <w:spacing w:after="100" w:afterAutospacing="1"/>
        <w:rPr>
          <w:rFonts w:ascii="Verdana" w:eastAsia="SimSun" w:hAnsi="Verdana" w:cs="Arial"/>
          <w:kern w:val="3"/>
          <w:sz w:val="20"/>
          <w:szCs w:val="20"/>
          <w:lang w:eastAsia="zh-CN" w:bidi="hi-IN"/>
        </w:rPr>
      </w:pPr>
    </w:p>
    <w:tbl>
      <w:tblPr>
        <w:tblStyle w:val="Tablaconcuadrcula"/>
        <w:tblW w:w="5000" w:type="pct"/>
        <w:tblLayout w:type="fixed"/>
        <w:tblLook w:val="04A0" w:firstRow="1" w:lastRow="0" w:firstColumn="1" w:lastColumn="0" w:noHBand="0" w:noVBand="1"/>
      </w:tblPr>
      <w:tblGrid>
        <w:gridCol w:w="461"/>
        <w:gridCol w:w="894"/>
        <w:gridCol w:w="750"/>
        <w:gridCol w:w="1039"/>
        <w:gridCol w:w="1226"/>
        <w:gridCol w:w="1745"/>
        <w:gridCol w:w="1370"/>
        <w:gridCol w:w="462"/>
        <w:gridCol w:w="433"/>
        <w:gridCol w:w="548"/>
        <w:gridCol w:w="606"/>
        <w:gridCol w:w="1183"/>
        <w:gridCol w:w="1745"/>
        <w:gridCol w:w="462"/>
        <w:gridCol w:w="433"/>
        <w:gridCol w:w="548"/>
        <w:gridCol w:w="606"/>
        <w:gridCol w:w="462"/>
        <w:gridCol w:w="981"/>
        <w:gridCol w:w="952"/>
        <w:gridCol w:w="1010"/>
        <w:gridCol w:w="1082"/>
      </w:tblGrid>
      <w:tr w:rsidR="0076567A" w:rsidRPr="005234F0" w14:paraId="1CB218DD" w14:textId="77777777" w:rsidTr="0076567A">
        <w:trPr>
          <w:cantSplit/>
          <w:trHeight w:val="1212"/>
          <w:tblHeader/>
        </w:trPr>
        <w:tc>
          <w:tcPr>
            <w:tcW w:w="461" w:type="dxa"/>
            <w:vMerge w:val="restart"/>
            <w:shd w:val="clear" w:color="auto" w:fill="4D4D4D"/>
            <w:textDirection w:val="btLr"/>
          </w:tcPr>
          <w:p w14:paraId="505DAA6B"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No.</w:t>
            </w:r>
          </w:p>
        </w:tc>
        <w:tc>
          <w:tcPr>
            <w:tcW w:w="893" w:type="dxa"/>
            <w:vMerge w:val="restart"/>
            <w:shd w:val="clear" w:color="auto" w:fill="4D4D4D"/>
            <w:textDirection w:val="btLr"/>
          </w:tcPr>
          <w:p w14:paraId="345FAD07"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Clase</w:t>
            </w:r>
          </w:p>
        </w:tc>
        <w:tc>
          <w:tcPr>
            <w:tcW w:w="749" w:type="dxa"/>
            <w:vMerge w:val="restart"/>
            <w:shd w:val="clear" w:color="auto" w:fill="4D4D4D"/>
            <w:textDirection w:val="btLr"/>
          </w:tcPr>
          <w:p w14:paraId="557DBD6F"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Fuente</w:t>
            </w:r>
          </w:p>
        </w:tc>
        <w:tc>
          <w:tcPr>
            <w:tcW w:w="1037" w:type="dxa"/>
            <w:vMerge w:val="restart"/>
            <w:shd w:val="clear" w:color="auto" w:fill="4D4D4D"/>
            <w:textDirection w:val="btLr"/>
          </w:tcPr>
          <w:p w14:paraId="53D927A3"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Etapa</w:t>
            </w:r>
          </w:p>
        </w:tc>
        <w:tc>
          <w:tcPr>
            <w:tcW w:w="1224" w:type="dxa"/>
            <w:vMerge w:val="restart"/>
            <w:shd w:val="clear" w:color="auto" w:fill="4D4D4D"/>
            <w:textDirection w:val="btLr"/>
          </w:tcPr>
          <w:p w14:paraId="4CD269A9"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Tipo</w:t>
            </w:r>
          </w:p>
        </w:tc>
        <w:tc>
          <w:tcPr>
            <w:tcW w:w="1742" w:type="dxa"/>
            <w:vMerge w:val="restart"/>
            <w:shd w:val="clear" w:color="auto" w:fill="4D4D4D"/>
            <w:textDirection w:val="btLr"/>
          </w:tcPr>
          <w:p w14:paraId="3F2C633E"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Descripción</w:t>
            </w:r>
          </w:p>
          <w:p w14:paraId="24E81C1D"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(Qué puede pasar y como puede ocurrir)</w:t>
            </w:r>
          </w:p>
          <w:p w14:paraId="778B4F29"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p>
        </w:tc>
        <w:tc>
          <w:tcPr>
            <w:tcW w:w="1368" w:type="dxa"/>
            <w:vMerge w:val="restart"/>
            <w:shd w:val="clear" w:color="auto" w:fill="4D4D4D"/>
            <w:textDirection w:val="btLr"/>
          </w:tcPr>
          <w:p w14:paraId="3668D4CD"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Consecuencia de la ocurrencia del evento</w:t>
            </w:r>
          </w:p>
        </w:tc>
        <w:tc>
          <w:tcPr>
            <w:tcW w:w="461" w:type="dxa"/>
            <w:vMerge w:val="restart"/>
            <w:shd w:val="clear" w:color="auto" w:fill="4D4D4D"/>
            <w:textDirection w:val="btLr"/>
          </w:tcPr>
          <w:p w14:paraId="6EB88E84"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Probabilidad</w:t>
            </w:r>
          </w:p>
        </w:tc>
        <w:tc>
          <w:tcPr>
            <w:tcW w:w="432" w:type="dxa"/>
            <w:vMerge w:val="restart"/>
            <w:shd w:val="clear" w:color="auto" w:fill="4D4D4D"/>
            <w:textDirection w:val="btLr"/>
          </w:tcPr>
          <w:p w14:paraId="39405A2F"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Impacto</w:t>
            </w:r>
          </w:p>
        </w:tc>
        <w:tc>
          <w:tcPr>
            <w:tcW w:w="547" w:type="dxa"/>
            <w:vMerge w:val="restart"/>
            <w:shd w:val="clear" w:color="auto" w:fill="4D4D4D"/>
            <w:textDirection w:val="btLr"/>
          </w:tcPr>
          <w:p w14:paraId="74D09D34"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 xml:space="preserve">Valoración del </w:t>
            </w:r>
            <w:r w:rsidR="00F46773" w:rsidRPr="005234F0">
              <w:rPr>
                <w:rFonts w:ascii="Verdana" w:eastAsia="SimSun" w:hAnsi="Verdana" w:cs="Arial"/>
                <w:b/>
                <w:kern w:val="3"/>
                <w:sz w:val="12"/>
                <w:szCs w:val="20"/>
                <w:lang w:eastAsia="zh-CN" w:bidi="hi-IN"/>
              </w:rPr>
              <w:t>R</w:t>
            </w:r>
            <w:r w:rsidRPr="005234F0">
              <w:rPr>
                <w:rFonts w:ascii="Verdana" w:eastAsia="SimSun" w:hAnsi="Verdana" w:cs="Arial"/>
                <w:b/>
                <w:kern w:val="3"/>
                <w:sz w:val="12"/>
                <w:szCs w:val="20"/>
                <w:lang w:eastAsia="zh-CN" w:bidi="hi-IN"/>
              </w:rPr>
              <w:t>iesgo</w:t>
            </w:r>
          </w:p>
        </w:tc>
        <w:tc>
          <w:tcPr>
            <w:tcW w:w="605" w:type="dxa"/>
            <w:vMerge w:val="restart"/>
            <w:shd w:val="clear" w:color="auto" w:fill="4D4D4D"/>
            <w:textDirection w:val="btLr"/>
          </w:tcPr>
          <w:p w14:paraId="022BD5D2" w14:textId="77777777" w:rsidR="0076567A" w:rsidRPr="005234F0" w:rsidRDefault="0076567A" w:rsidP="004D7C35">
            <w:pPr>
              <w:spacing w:afterAutospacing="1"/>
              <w:ind w:left="113" w:right="113"/>
              <w:jc w:val="center"/>
              <w:rPr>
                <w:rFonts w:ascii="Verdana" w:eastAsia="SimSun" w:hAnsi="Verdana" w:cs="Arial"/>
                <w:kern w:val="3"/>
                <w:sz w:val="16"/>
                <w:szCs w:val="20"/>
                <w:lang w:eastAsia="zh-CN" w:bidi="hi-IN"/>
              </w:rPr>
            </w:pPr>
            <w:r w:rsidRPr="005234F0">
              <w:rPr>
                <w:rFonts w:ascii="Verdana" w:eastAsia="SimSun" w:hAnsi="Verdana" w:cs="Arial"/>
                <w:b/>
                <w:kern w:val="3"/>
                <w:sz w:val="12"/>
                <w:szCs w:val="20"/>
                <w:lang w:eastAsia="zh-CN" w:bidi="hi-IN"/>
              </w:rPr>
              <w:t>Categoría</w:t>
            </w:r>
          </w:p>
        </w:tc>
        <w:tc>
          <w:tcPr>
            <w:tcW w:w="1181" w:type="dxa"/>
            <w:vMerge w:val="restart"/>
            <w:shd w:val="clear" w:color="auto" w:fill="BFBFBF" w:themeFill="background1" w:themeFillShade="BF"/>
            <w:textDirection w:val="btLr"/>
          </w:tcPr>
          <w:p w14:paraId="66B68B90"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¿A quién se le asigna?</w:t>
            </w:r>
          </w:p>
        </w:tc>
        <w:tc>
          <w:tcPr>
            <w:tcW w:w="1742" w:type="dxa"/>
            <w:vMerge w:val="restart"/>
            <w:shd w:val="clear" w:color="auto" w:fill="BFBFBF" w:themeFill="background1" w:themeFillShade="BF"/>
            <w:textDirection w:val="btLr"/>
          </w:tcPr>
          <w:p w14:paraId="04150EF3"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Tratamiento/Controles a ser implementados</w:t>
            </w:r>
          </w:p>
        </w:tc>
        <w:tc>
          <w:tcPr>
            <w:tcW w:w="605" w:type="dxa"/>
            <w:gridSpan w:val="4"/>
            <w:shd w:val="clear" w:color="auto" w:fill="BFBFBF" w:themeFill="background1" w:themeFillShade="BF"/>
          </w:tcPr>
          <w:p w14:paraId="36EB3F8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p>
          <w:p w14:paraId="79F0907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p>
          <w:p w14:paraId="1CE39D3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Impacto después del tratamiento</w:t>
            </w:r>
          </w:p>
        </w:tc>
        <w:tc>
          <w:tcPr>
            <w:tcW w:w="461" w:type="dxa"/>
            <w:vMerge w:val="restart"/>
            <w:shd w:val="clear" w:color="auto" w:fill="BFBFBF" w:themeFill="background1" w:themeFillShade="BF"/>
            <w:textDirection w:val="btLr"/>
          </w:tcPr>
          <w:p w14:paraId="6314365A"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¿Afecta la ejecución del contrato?</w:t>
            </w:r>
          </w:p>
        </w:tc>
        <w:tc>
          <w:tcPr>
            <w:tcW w:w="979" w:type="dxa"/>
            <w:vMerge w:val="restart"/>
            <w:shd w:val="clear" w:color="auto" w:fill="BFBFBF" w:themeFill="background1" w:themeFillShade="BF"/>
            <w:textDirection w:val="btLr"/>
          </w:tcPr>
          <w:p w14:paraId="19760AF1" w14:textId="77777777" w:rsidR="0076567A" w:rsidRPr="005234F0" w:rsidRDefault="0076567A" w:rsidP="004D7C35">
            <w:pPr>
              <w:spacing w:afterAutospacing="1"/>
              <w:ind w:left="113" w:right="113"/>
              <w:jc w:val="center"/>
              <w:rPr>
                <w:rFonts w:ascii="Verdana" w:eastAsia="SimSun" w:hAnsi="Verdana" w:cs="Arial"/>
                <w:b/>
                <w:kern w:val="3"/>
                <w:sz w:val="14"/>
                <w:szCs w:val="14"/>
                <w:lang w:eastAsia="zh-CN" w:bidi="hi-IN"/>
              </w:rPr>
            </w:pPr>
            <w:r w:rsidRPr="005234F0">
              <w:rPr>
                <w:rFonts w:ascii="Verdana" w:eastAsia="SimSun" w:hAnsi="Verdana" w:cs="Arial"/>
                <w:b/>
                <w:kern w:val="3"/>
                <w:sz w:val="12"/>
                <w:szCs w:val="14"/>
                <w:lang w:eastAsia="zh-CN" w:bidi="hi-IN"/>
              </w:rPr>
              <w:t>Persona responsable por implementar el tratamiento</w:t>
            </w:r>
          </w:p>
        </w:tc>
        <w:tc>
          <w:tcPr>
            <w:tcW w:w="950" w:type="dxa"/>
            <w:vMerge w:val="restart"/>
            <w:shd w:val="clear" w:color="auto" w:fill="BFBFBF" w:themeFill="background1" w:themeFillShade="BF"/>
            <w:textDirection w:val="btLr"/>
          </w:tcPr>
          <w:p w14:paraId="608E76C5" w14:textId="77777777" w:rsidR="0076567A" w:rsidRPr="005234F0" w:rsidRDefault="0076567A" w:rsidP="004D7C35">
            <w:pPr>
              <w:spacing w:afterAutospacing="1"/>
              <w:ind w:left="113" w:right="113"/>
              <w:jc w:val="center"/>
              <w:rPr>
                <w:rFonts w:ascii="Verdana" w:eastAsia="SimSun" w:hAnsi="Verdana" w:cs="Arial"/>
                <w:b/>
                <w:kern w:val="3"/>
                <w:sz w:val="14"/>
                <w:szCs w:val="14"/>
                <w:lang w:eastAsia="zh-CN" w:bidi="hi-IN"/>
              </w:rPr>
            </w:pPr>
            <w:r w:rsidRPr="005234F0">
              <w:rPr>
                <w:rFonts w:ascii="Verdana" w:eastAsia="SimSun" w:hAnsi="Verdana" w:cs="Arial"/>
                <w:b/>
                <w:kern w:val="3"/>
                <w:sz w:val="12"/>
                <w:szCs w:val="14"/>
                <w:lang w:eastAsia="zh-CN" w:bidi="hi-IN"/>
              </w:rPr>
              <w:t>Fecha estimada en que se completa el tratamiento</w:t>
            </w:r>
          </w:p>
        </w:tc>
        <w:tc>
          <w:tcPr>
            <w:tcW w:w="1080" w:type="dxa"/>
            <w:gridSpan w:val="2"/>
            <w:shd w:val="clear" w:color="auto" w:fill="BFBFBF" w:themeFill="background1" w:themeFillShade="BF"/>
          </w:tcPr>
          <w:p w14:paraId="546F5EB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p>
          <w:p w14:paraId="4F92B6E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p>
          <w:p w14:paraId="4A7F9CE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Monitoreo y revisión</w:t>
            </w:r>
          </w:p>
        </w:tc>
      </w:tr>
      <w:tr w:rsidR="0076567A" w:rsidRPr="005234F0" w14:paraId="57B61462" w14:textId="77777777" w:rsidTr="0076567A">
        <w:trPr>
          <w:cantSplit/>
          <w:trHeight w:val="2063"/>
          <w:tblHeader/>
        </w:trPr>
        <w:tc>
          <w:tcPr>
            <w:tcW w:w="421" w:type="dxa"/>
            <w:vMerge/>
            <w:shd w:val="clear" w:color="auto" w:fill="4D4D4D"/>
            <w:textDirection w:val="btLr"/>
          </w:tcPr>
          <w:p w14:paraId="7770A7CE"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21" w:type="dxa"/>
            <w:vMerge/>
            <w:shd w:val="clear" w:color="auto" w:fill="4D4D4D"/>
            <w:textDirection w:val="btLr"/>
          </w:tcPr>
          <w:p w14:paraId="37E27BA7"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22" w:type="dxa"/>
            <w:vMerge/>
            <w:shd w:val="clear" w:color="auto" w:fill="4D4D4D"/>
            <w:textDirection w:val="btLr"/>
          </w:tcPr>
          <w:p w14:paraId="06AE8C37"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2" w:type="dxa"/>
            <w:vMerge/>
            <w:shd w:val="clear" w:color="auto" w:fill="4D4D4D"/>
            <w:textDirection w:val="btLr"/>
          </w:tcPr>
          <w:p w14:paraId="7145C596"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1" w:type="dxa"/>
            <w:vMerge/>
            <w:shd w:val="clear" w:color="auto" w:fill="4D4D4D"/>
            <w:textDirection w:val="btLr"/>
          </w:tcPr>
          <w:p w14:paraId="1CBA00C2"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641" w:type="dxa"/>
            <w:vMerge/>
            <w:shd w:val="clear" w:color="auto" w:fill="4D4D4D"/>
            <w:textDirection w:val="btLr"/>
          </w:tcPr>
          <w:p w14:paraId="26BBD04B"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48" w:type="dxa"/>
            <w:vMerge/>
            <w:shd w:val="clear" w:color="auto" w:fill="4D4D4D"/>
            <w:textDirection w:val="btLr"/>
          </w:tcPr>
          <w:p w14:paraId="0E32A178"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4" w:type="dxa"/>
            <w:vMerge/>
            <w:shd w:val="clear" w:color="auto" w:fill="4D4D4D"/>
            <w:textDirection w:val="btLr"/>
          </w:tcPr>
          <w:p w14:paraId="4769325D"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5" w:type="dxa"/>
            <w:vMerge/>
            <w:shd w:val="clear" w:color="auto" w:fill="4D4D4D"/>
            <w:textDirection w:val="btLr"/>
          </w:tcPr>
          <w:p w14:paraId="29BDF559"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4" w:type="dxa"/>
            <w:vMerge/>
            <w:shd w:val="clear" w:color="auto" w:fill="4D4D4D"/>
            <w:textDirection w:val="btLr"/>
          </w:tcPr>
          <w:p w14:paraId="777A2FD2"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4" w:type="dxa"/>
            <w:vMerge/>
            <w:shd w:val="clear" w:color="auto" w:fill="4D4D4D"/>
            <w:textDirection w:val="btLr"/>
          </w:tcPr>
          <w:p w14:paraId="258978FC" w14:textId="77777777" w:rsidR="0076567A" w:rsidRPr="005234F0" w:rsidRDefault="0076567A" w:rsidP="004D7C35">
            <w:pPr>
              <w:spacing w:after="100" w:afterAutospacing="1"/>
              <w:ind w:left="113" w:right="113"/>
              <w:jc w:val="center"/>
              <w:rPr>
                <w:rFonts w:ascii="Verdana" w:eastAsia="SimSun" w:hAnsi="Verdana" w:cs="Arial"/>
                <w:kern w:val="3"/>
                <w:sz w:val="16"/>
                <w:szCs w:val="20"/>
                <w:lang w:eastAsia="zh-CN" w:bidi="hi-IN"/>
              </w:rPr>
            </w:pPr>
          </w:p>
        </w:tc>
        <w:tc>
          <w:tcPr>
            <w:tcW w:w="411" w:type="dxa"/>
            <w:vMerge/>
            <w:shd w:val="clear" w:color="auto" w:fill="BFBFBF" w:themeFill="background1" w:themeFillShade="BF"/>
            <w:textDirection w:val="btLr"/>
          </w:tcPr>
          <w:p w14:paraId="25F33264" w14:textId="77777777" w:rsidR="0076567A" w:rsidRPr="005234F0"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543" w:type="dxa"/>
            <w:vMerge/>
            <w:shd w:val="clear" w:color="auto" w:fill="BFBFBF" w:themeFill="background1" w:themeFillShade="BF"/>
            <w:textDirection w:val="btLr"/>
          </w:tcPr>
          <w:p w14:paraId="7DE0EDCE" w14:textId="77777777" w:rsidR="0076567A" w:rsidRPr="005234F0"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461" w:type="dxa"/>
            <w:shd w:val="clear" w:color="auto" w:fill="BFBFBF" w:themeFill="background1" w:themeFillShade="BF"/>
            <w:textDirection w:val="btLr"/>
          </w:tcPr>
          <w:p w14:paraId="391002FB"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Probabilidad</w:t>
            </w:r>
          </w:p>
        </w:tc>
        <w:tc>
          <w:tcPr>
            <w:tcW w:w="432" w:type="dxa"/>
            <w:shd w:val="clear" w:color="auto" w:fill="BFBFBF" w:themeFill="background1" w:themeFillShade="BF"/>
            <w:textDirection w:val="btLr"/>
          </w:tcPr>
          <w:p w14:paraId="364F1680"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Impacto</w:t>
            </w:r>
          </w:p>
        </w:tc>
        <w:tc>
          <w:tcPr>
            <w:tcW w:w="547" w:type="dxa"/>
            <w:shd w:val="clear" w:color="auto" w:fill="BFBFBF" w:themeFill="background1" w:themeFillShade="BF"/>
            <w:textDirection w:val="btLr"/>
          </w:tcPr>
          <w:p w14:paraId="131EF2A3"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Valoración del Riesgo</w:t>
            </w:r>
          </w:p>
        </w:tc>
        <w:tc>
          <w:tcPr>
            <w:tcW w:w="605" w:type="dxa"/>
            <w:shd w:val="clear" w:color="auto" w:fill="BFBFBF" w:themeFill="background1" w:themeFillShade="BF"/>
            <w:textDirection w:val="btLr"/>
          </w:tcPr>
          <w:p w14:paraId="254F0B4B"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Categoría</w:t>
            </w:r>
          </w:p>
        </w:tc>
        <w:tc>
          <w:tcPr>
            <w:tcW w:w="411" w:type="dxa"/>
            <w:vMerge/>
            <w:shd w:val="clear" w:color="auto" w:fill="BFBFBF" w:themeFill="background1" w:themeFillShade="BF"/>
            <w:textDirection w:val="btLr"/>
          </w:tcPr>
          <w:p w14:paraId="6470F8F0" w14:textId="77777777" w:rsidR="0076567A" w:rsidRPr="005234F0"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448" w:type="dxa"/>
            <w:vMerge/>
            <w:shd w:val="clear" w:color="auto" w:fill="BFBFBF" w:themeFill="background1" w:themeFillShade="BF"/>
            <w:textDirection w:val="btLr"/>
          </w:tcPr>
          <w:p w14:paraId="5D0AEDF8" w14:textId="77777777" w:rsidR="0076567A" w:rsidRPr="005234F0"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456" w:type="dxa"/>
            <w:vMerge/>
            <w:shd w:val="clear" w:color="auto" w:fill="BFBFBF" w:themeFill="background1" w:themeFillShade="BF"/>
            <w:textDirection w:val="btLr"/>
          </w:tcPr>
          <w:p w14:paraId="07583AAF" w14:textId="77777777" w:rsidR="0076567A" w:rsidRPr="005234F0" w:rsidRDefault="0076567A" w:rsidP="004D7C35">
            <w:pPr>
              <w:spacing w:after="100" w:afterAutospacing="1"/>
              <w:ind w:left="113" w:right="113"/>
              <w:jc w:val="center"/>
              <w:rPr>
                <w:rFonts w:ascii="Verdana" w:eastAsia="SimSun" w:hAnsi="Verdana" w:cs="Arial"/>
                <w:b/>
                <w:kern w:val="3"/>
                <w:sz w:val="16"/>
                <w:szCs w:val="20"/>
                <w:lang w:eastAsia="zh-CN" w:bidi="hi-IN"/>
              </w:rPr>
            </w:pPr>
          </w:p>
        </w:tc>
        <w:tc>
          <w:tcPr>
            <w:tcW w:w="1008" w:type="dxa"/>
            <w:shd w:val="clear" w:color="auto" w:fill="BFBFBF" w:themeFill="background1" w:themeFillShade="BF"/>
            <w:textDirection w:val="btLr"/>
          </w:tcPr>
          <w:p w14:paraId="5ECFFB27" w14:textId="77777777" w:rsidR="0076567A" w:rsidRPr="005234F0" w:rsidRDefault="0076567A" w:rsidP="004D7C35">
            <w:pPr>
              <w:spacing w:afterAutospacing="1"/>
              <w:ind w:left="113" w:right="113"/>
              <w:jc w:val="center"/>
              <w:rPr>
                <w:rFonts w:ascii="Verdana" w:eastAsia="SimSun" w:hAnsi="Verdana" w:cs="Arial"/>
                <w:b/>
                <w:kern w:val="3"/>
                <w:sz w:val="14"/>
                <w:szCs w:val="14"/>
                <w:lang w:eastAsia="zh-CN" w:bidi="hi-IN"/>
              </w:rPr>
            </w:pPr>
            <w:r w:rsidRPr="005234F0">
              <w:rPr>
                <w:rFonts w:ascii="Verdana" w:eastAsia="SimSun" w:hAnsi="Verdana" w:cs="Arial"/>
                <w:b/>
                <w:kern w:val="3"/>
                <w:sz w:val="12"/>
                <w:szCs w:val="14"/>
                <w:lang w:eastAsia="zh-CN" w:bidi="hi-IN"/>
              </w:rPr>
              <w:t>¿Cómo se realiza el monitoreo?</w:t>
            </w:r>
          </w:p>
        </w:tc>
        <w:tc>
          <w:tcPr>
            <w:tcW w:w="1080" w:type="dxa"/>
            <w:shd w:val="clear" w:color="auto" w:fill="BFBFBF" w:themeFill="background1" w:themeFillShade="BF"/>
            <w:textDirection w:val="btLr"/>
          </w:tcPr>
          <w:p w14:paraId="6BE2EE1E"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Periodicidad</w:t>
            </w:r>
          </w:p>
          <w:p w14:paraId="7BD5E4C3" w14:textId="77777777" w:rsidR="0076567A" w:rsidRPr="005234F0" w:rsidRDefault="0076567A" w:rsidP="004D7C35">
            <w:pPr>
              <w:spacing w:afterAutospacing="1"/>
              <w:ind w:left="113" w:right="113"/>
              <w:jc w:val="center"/>
              <w:rPr>
                <w:rFonts w:ascii="Verdana" w:eastAsia="SimSun" w:hAnsi="Verdana" w:cs="Arial"/>
                <w:b/>
                <w:kern w:val="3"/>
                <w:sz w:val="16"/>
                <w:szCs w:val="20"/>
                <w:lang w:eastAsia="zh-CN" w:bidi="hi-IN"/>
              </w:rPr>
            </w:pPr>
            <w:r w:rsidRPr="005234F0">
              <w:rPr>
                <w:rFonts w:ascii="Verdana" w:eastAsia="SimSun" w:hAnsi="Verdana" w:cs="Arial"/>
                <w:b/>
                <w:kern w:val="3"/>
                <w:sz w:val="12"/>
                <w:szCs w:val="20"/>
                <w:lang w:eastAsia="zh-CN" w:bidi="hi-IN"/>
              </w:rPr>
              <w:t>¿Cuándo?</w:t>
            </w:r>
          </w:p>
        </w:tc>
      </w:tr>
      <w:tr w:rsidR="0076567A" w:rsidRPr="005234F0" w14:paraId="1AD96293" w14:textId="77777777" w:rsidTr="0076567A">
        <w:trPr>
          <w:trHeight w:val="466"/>
        </w:trPr>
        <w:tc>
          <w:tcPr>
            <w:tcW w:w="461" w:type="dxa"/>
            <w:vAlign w:val="center"/>
          </w:tcPr>
          <w:p w14:paraId="7F38E41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893" w:type="dxa"/>
            <w:vAlign w:val="center"/>
          </w:tcPr>
          <w:p w14:paraId="449252A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3C7A329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6F3240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28BA906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Ambientales</w:t>
            </w:r>
          </w:p>
        </w:tc>
        <w:tc>
          <w:tcPr>
            <w:tcW w:w="1742" w:type="dxa"/>
            <w:vAlign w:val="center"/>
          </w:tcPr>
          <w:p w14:paraId="1842105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Afectaciones ambientales a causa de inadecuadas prácticas o como resultado del proyecto mismo.</w:t>
            </w:r>
          </w:p>
        </w:tc>
        <w:tc>
          <w:tcPr>
            <w:tcW w:w="1368" w:type="dxa"/>
            <w:vAlign w:val="center"/>
          </w:tcPr>
          <w:p w14:paraId="397A96E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Imposición de sanciones, reclamaciones por parte de terceros y mayor onerosidad.</w:t>
            </w:r>
          </w:p>
        </w:tc>
        <w:tc>
          <w:tcPr>
            <w:tcW w:w="461" w:type="dxa"/>
            <w:vAlign w:val="center"/>
          </w:tcPr>
          <w:p w14:paraId="2EFCE57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36FB677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65BBF46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769CD10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790C457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66D30375"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Evaluación del impacto ambiental, identificar prácticas o procedimientos inadecuados, uso racional de materiales, estipulación contractual que obligue al proveedor a tener planes de contingencia para estos eventos.</w:t>
            </w:r>
          </w:p>
        </w:tc>
        <w:tc>
          <w:tcPr>
            <w:tcW w:w="461" w:type="dxa"/>
            <w:vAlign w:val="center"/>
          </w:tcPr>
          <w:p w14:paraId="4838961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3DE3C4F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6608A0F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7414A82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784D53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DF547A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Supervisor</w:t>
            </w:r>
          </w:p>
        </w:tc>
        <w:tc>
          <w:tcPr>
            <w:tcW w:w="950" w:type="dxa"/>
            <w:vAlign w:val="center"/>
          </w:tcPr>
          <w:p w14:paraId="65C97D0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finalizar la obra o proyecto.</w:t>
            </w:r>
          </w:p>
        </w:tc>
        <w:tc>
          <w:tcPr>
            <w:tcW w:w="1008" w:type="dxa"/>
            <w:vAlign w:val="center"/>
          </w:tcPr>
          <w:p w14:paraId="7DCE15F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Reportes de la situación ambiental en la obra.</w:t>
            </w:r>
          </w:p>
        </w:tc>
        <w:tc>
          <w:tcPr>
            <w:tcW w:w="1080" w:type="dxa"/>
            <w:vAlign w:val="center"/>
          </w:tcPr>
          <w:p w14:paraId="662E575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6240671C" w14:textId="77777777" w:rsidTr="0076567A">
        <w:trPr>
          <w:trHeight w:val="466"/>
        </w:trPr>
        <w:tc>
          <w:tcPr>
            <w:tcW w:w="461" w:type="dxa"/>
            <w:vAlign w:val="center"/>
          </w:tcPr>
          <w:p w14:paraId="20A75D3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893" w:type="dxa"/>
            <w:vAlign w:val="center"/>
          </w:tcPr>
          <w:p w14:paraId="4FAF1F0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0C47386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34B728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2074835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Ambientales</w:t>
            </w:r>
          </w:p>
        </w:tc>
        <w:tc>
          <w:tcPr>
            <w:tcW w:w="1742" w:type="dxa"/>
            <w:vAlign w:val="center"/>
          </w:tcPr>
          <w:p w14:paraId="30DFC7EC"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Riesgos derivados de las obligaciones que emanan de las licencias ambientales, de los planes de manejo ambiental, tasas retributivas y compensatorias, obligaciones de mitigación, tareas de monitoreo, control y seguimiento.</w:t>
            </w:r>
          </w:p>
        </w:tc>
        <w:tc>
          <w:tcPr>
            <w:tcW w:w="1368" w:type="dxa"/>
            <w:vAlign w:val="center"/>
          </w:tcPr>
          <w:p w14:paraId="1405735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Imposición de multas y sanciones por parte de la autoridad ambiental.</w:t>
            </w:r>
          </w:p>
        </w:tc>
        <w:tc>
          <w:tcPr>
            <w:tcW w:w="461" w:type="dxa"/>
            <w:vAlign w:val="center"/>
          </w:tcPr>
          <w:p w14:paraId="30278D5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7865A17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6DF1074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52B245E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C2F9D0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69A82301"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Seguimiento y verificación por parte del Interventor a la gestión documentada del contratista para la obtención de licencias, permisos y autorizaciones ambientales, así como el cumplimiento de los mismos.</w:t>
            </w:r>
          </w:p>
        </w:tc>
        <w:tc>
          <w:tcPr>
            <w:tcW w:w="461" w:type="dxa"/>
            <w:vAlign w:val="center"/>
          </w:tcPr>
          <w:p w14:paraId="7253DB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160BD97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FA3545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17E890B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003710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F14D3A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4D08253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obtenida la licencia y/o permisos y/o autorizaciones ambientales.</w:t>
            </w:r>
          </w:p>
        </w:tc>
        <w:tc>
          <w:tcPr>
            <w:tcW w:w="1008" w:type="dxa"/>
            <w:vAlign w:val="center"/>
          </w:tcPr>
          <w:p w14:paraId="4C88019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del cumplimiento de las normas ambientales y de las obligaciones ambientales del contratista, mediante informes de interventoría.</w:t>
            </w:r>
          </w:p>
        </w:tc>
        <w:tc>
          <w:tcPr>
            <w:tcW w:w="1080" w:type="dxa"/>
            <w:vAlign w:val="center"/>
          </w:tcPr>
          <w:p w14:paraId="18B13B6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Semanal</w:t>
            </w:r>
          </w:p>
        </w:tc>
      </w:tr>
      <w:tr w:rsidR="0076567A" w:rsidRPr="005234F0" w14:paraId="72C33BEF" w14:textId="77777777" w:rsidTr="0076567A">
        <w:trPr>
          <w:trHeight w:val="466"/>
        </w:trPr>
        <w:tc>
          <w:tcPr>
            <w:tcW w:w="461" w:type="dxa"/>
            <w:vAlign w:val="center"/>
          </w:tcPr>
          <w:p w14:paraId="5BC079B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893" w:type="dxa"/>
            <w:vAlign w:val="center"/>
          </w:tcPr>
          <w:p w14:paraId="0209FB1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3F3194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301E2DF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0D60D7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Ambientales</w:t>
            </w:r>
          </w:p>
        </w:tc>
        <w:tc>
          <w:tcPr>
            <w:tcW w:w="1742" w:type="dxa"/>
            <w:vAlign w:val="center"/>
          </w:tcPr>
          <w:p w14:paraId="7ECE37B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Posibilidad de hallazgos físicos de origen geológico, arqueológico u otros, en el desarrollo de las obras.</w:t>
            </w:r>
          </w:p>
        </w:tc>
        <w:tc>
          <w:tcPr>
            <w:tcW w:w="1368" w:type="dxa"/>
            <w:vAlign w:val="center"/>
          </w:tcPr>
          <w:p w14:paraId="483C198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Suspensión y sobrecostos en la ejecución del contrato.</w:t>
            </w:r>
          </w:p>
        </w:tc>
        <w:tc>
          <w:tcPr>
            <w:tcW w:w="461" w:type="dxa"/>
            <w:vAlign w:val="center"/>
          </w:tcPr>
          <w:p w14:paraId="44AC5D2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237DBC5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29AE368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1B6EE7B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08BBDE9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A57773D"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El contratista deberá elaborar y tramitar al programa de arqueología preventiva de acuerdo con la normatividad o requerimientos de la entidad, gestionarlo durante la ejecución de obra. Se precisa que el contratista asume el deber de reporte inmediato y de protección del hallazgo; la gestión ante el Instituto Colombiano de Antropología e Historia y los mayores tiempos derivados de la suspensión que ordene la autoridad competente se asignan a la Entidad Estatal.</w:t>
            </w:r>
          </w:p>
        </w:tc>
        <w:tc>
          <w:tcPr>
            <w:tcW w:w="461" w:type="dxa"/>
            <w:vAlign w:val="center"/>
          </w:tcPr>
          <w:p w14:paraId="788628F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4DDE625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676FC94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5</w:t>
            </w:r>
          </w:p>
        </w:tc>
        <w:tc>
          <w:tcPr>
            <w:tcW w:w="605" w:type="dxa"/>
            <w:vAlign w:val="center"/>
          </w:tcPr>
          <w:p w14:paraId="46894D3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1C63CEB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BFECC0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38E5F83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Al finalizar la obra.</w:t>
            </w:r>
          </w:p>
        </w:tc>
        <w:tc>
          <w:tcPr>
            <w:tcW w:w="1008" w:type="dxa"/>
            <w:vAlign w:val="center"/>
          </w:tcPr>
          <w:p w14:paraId="696F4CD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 los resultados que arroje el programa de arqueología.</w:t>
            </w:r>
          </w:p>
        </w:tc>
        <w:tc>
          <w:tcPr>
            <w:tcW w:w="1080" w:type="dxa"/>
            <w:vAlign w:val="center"/>
          </w:tcPr>
          <w:p w14:paraId="6DE484B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Cuando se presente el evento</w:t>
            </w:r>
          </w:p>
        </w:tc>
      </w:tr>
      <w:tr w:rsidR="0076567A" w:rsidRPr="005234F0" w14:paraId="46045516" w14:textId="77777777" w:rsidTr="0076567A">
        <w:trPr>
          <w:trHeight w:val="466"/>
        </w:trPr>
        <w:tc>
          <w:tcPr>
            <w:tcW w:w="461" w:type="dxa"/>
            <w:vAlign w:val="center"/>
          </w:tcPr>
          <w:p w14:paraId="46DF448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893" w:type="dxa"/>
            <w:vAlign w:val="center"/>
          </w:tcPr>
          <w:p w14:paraId="7E54968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E1FAEA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707D29F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CBEEF8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De la Naturaleza</w:t>
            </w:r>
          </w:p>
        </w:tc>
        <w:tc>
          <w:tcPr>
            <w:tcW w:w="1742" w:type="dxa"/>
            <w:vAlign w:val="center"/>
          </w:tcPr>
          <w:p w14:paraId="13F6B92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Condiciones climáticas o ambientales extremas tales como: Fuertes lluvias, terremotos, huracanes, tornados, volcanes, inundaciones marinas, inundaciones fluviales, deslizamientos exorbitantes, tsunamis vientos exorbitantes, </w:t>
            </w:r>
            <w:r w:rsidRPr="005234F0">
              <w:rPr>
                <w:rFonts w:ascii="Verdana" w:hAnsi="Verdana"/>
                <w:sz w:val="12"/>
              </w:rPr>
              <w:lastRenderedPageBreak/>
              <w:t>incendios no provocados y/o demás fuerzas de la naturaleza.</w:t>
            </w:r>
          </w:p>
        </w:tc>
        <w:tc>
          <w:tcPr>
            <w:tcW w:w="1368" w:type="dxa"/>
            <w:vAlign w:val="center"/>
          </w:tcPr>
          <w:p w14:paraId="7B2AA53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1. Retrasos en la ejecución del contrato, reprogramación de cronogramas y posible ampliación de los plazos de ejecución. 2. Pérdida de materiales o </w:t>
            </w:r>
            <w:r w:rsidRPr="005234F0">
              <w:rPr>
                <w:rFonts w:ascii="Verdana" w:hAnsi="Verdana"/>
                <w:sz w:val="12"/>
              </w:rPr>
              <w:lastRenderedPageBreak/>
              <w:t>bienes de la obra. 3. Daños en las actividades ya ejecutadas del proyecto y de la maquinaría del equipo o riesgos para los trabajadores. 4. Posible suspensión del contrato. 5. Posibles sobrecostos del contrato.</w:t>
            </w:r>
          </w:p>
        </w:tc>
        <w:tc>
          <w:tcPr>
            <w:tcW w:w="461" w:type="dxa"/>
            <w:vAlign w:val="center"/>
          </w:tcPr>
          <w:p w14:paraId="2E12610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w:t>
            </w:r>
          </w:p>
        </w:tc>
        <w:tc>
          <w:tcPr>
            <w:tcW w:w="432" w:type="dxa"/>
            <w:vAlign w:val="center"/>
          </w:tcPr>
          <w:p w14:paraId="12219FE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2F00A15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463A251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3FAE2D8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1814D6FB"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Permanente revisión de los informes meteorológicos para verificar las programaciones de las actividades de la obra. 2. Desarrollar plan de contingencia.</w:t>
            </w:r>
          </w:p>
        </w:tc>
        <w:tc>
          <w:tcPr>
            <w:tcW w:w="461" w:type="dxa"/>
            <w:vAlign w:val="center"/>
          </w:tcPr>
          <w:p w14:paraId="72880D3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68709D8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4357F8B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5</w:t>
            </w:r>
          </w:p>
        </w:tc>
        <w:tc>
          <w:tcPr>
            <w:tcW w:w="605" w:type="dxa"/>
            <w:vAlign w:val="center"/>
          </w:tcPr>
          <w:p w14:paraId="20ED78E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5144B38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3A8FC7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Contratista/Entidad Estatal</w:t>
            </w:r>
          </w:p>
        </w:tc>
        <w:tc>
          <w:tcPr>
            <w:tcW w:w="950" w:type="dxa"/>
            <w:vAlign w:val="center"/>
          </w:tcPr>
          <w:p w14:paraId="14E95B3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finalizar la obra o proyecto.</w:t>
            </w:r>
          </w:p>
        </w:tc>
        <w:tc>
          <w:tcPr>
            <w:tcW w:w="1008" w:type="dxa"/>
            <w:vAlign w:val="center"/>
          </w:tcPr>
          <w:p w14:paraId="575BF5A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1. Implementación de medidas preventivas, correctivas o de mitigación, retroalimentación en los </w:t>
            </w:r>
            <w:r w:rsidRPr="005234F0">
              <w:rPr>
                <w:rFonts w:ascii="Verdana" w:hAnsi="Verdana"/>
                <w:sz w:val="12"/>
              </w:rPr>
              <w:lastRenderedPageBreak/>
              <w:t>procedimientos adelantados. 2. Seguimiento por parte del Interventor/Supervisor.</w:t>
            </w:r>
          </w:p>
        </w:tc>
        <w:tc>
          <w:tcPr>
            <w:tcW w:w="1080" w:type="dxa"/>
            <w:vAlign w:val="center"/>
          </w:tcPr>
          <w:p w14:paraId="7DEB46B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En el desarrollo de la obra</w:t>
            </w:r>
          </w:p>
        </w:tc>
      </w:tr>
      <w:tr w:rsidR="0076567A" w:rsidRPr="005234F0" w14:paraId="7172D26C" w14:textId="77777777" w:rsidTr="0076567A">
        <w:trPr>
          <w:trHeight w:val="466"/>
        </w:trPr>
        <w:tc>
          <w:tcPr>
            <w:tcW w:w="461" w:type="dxa"/>
            <w:vAlign w:val="center"/>
          </w:tcPr>
          <w:p w14:paraId="2F4103D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w:t>
            </w:r>
          </w:p>
        </w:tc>
        <w:tc>
          <w:tcPr>
            <w:tcW w:w="893" w:type="dxa"/>
            <w:vAlign w:val="center"/>
          </w:tcPr>
          <w:p w14:paraId="6C3CF03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78D89F7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296B3DB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22BCEC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De la Naturaleza</w:t>
            </w:r>
          </w:p>
        </w:tc>
        <w:tc>
          <w:tcPr>
            <w:tcW w:w="1742" w:type="dxa"/>
            <w:vAlign w:val="center"/>
          </w:tcPr>
          <w:p w14:paraId="35A889B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Problemas generados a causa de terrenos inestables, por colapso de árboles, rocas, piedras y riesgos generados por excavaciones a cielo abierto que pueden requerir de tratamiento especial de refuerzo, soporte, drenajes, contenciones para dar estabilidad a sitios.</w:t>
            </w:r>
          </w:p>
        </w:tc>
        <w:tc>
          <w:tcPr>
            <w:tcW w:w="1368" w:type="dxa"/>
            <w:vAlign w:val="center"/>
          </w:tcPr>
          <w:p w14:paraId="1DB776F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Aumento de costos por necesidad de mayores cantidades de materiales y/o insumos para el proyecto.</w:t>
            </w:r>
          </w:p>
        </w:tc>
        <w:tc>
          <w:tcPr>
            <w:tcW w:w="461" w:type="dxa"/>
            <w:vAlign w:val="center"/>
          </w:tcPr>
          <w:p w14:paraId="225B9A8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2F43FAB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5DF732B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6F61CC0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15DD2D2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611A9194"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Monitoreo de la zona a intervenir por parte del especialista en geotecnia vial o de pavimentos para recomendar medidas preventivas, correctivas o de mitigación de las inestabilidades observadas. Atención inmediata de las emergencias dando prioridad a las obras de </w:t>
            </w:r>
            <w:proofErr w:type="spellStart"/>
            <w:r w:rsidRPr="005234F0">
              <w:rPr>
                <w:rFonts w:ascii="Verdana" w:hAnsi="Verdana"/>
                <w:sz w:val="12"/>
              </w:rPr>
              <w:t>transitabilidad</w:t>
            </w:r>
            <w:proofErr w:type="spellEnd"/>
            <w:r w:rsidRPr="005234F0">
              <w:rPr>
                <w:rFonts w:ascii="Verdana" w:hAnsi="Verdana"/>
                <w:sz w:val="12"/>
              </w:rPr>
              <w:t xml:space="preserve"> y seguridad vial. Se precisa que el contratista asume el </w:t>
            </w:r>
            <w:proofErr w:type="spellStart"/>
            <w:r w:rsidRPr="005234F0">
              <w:rPr>
                <w:rFonts w:ascii="Verdana" w:hAnsi="Verdana"/>
                <w:sz w:val="12"/>
              </w:rPr>
              <w:t>álea</w:t>
            </w:r>
            <w:proofErr w:type="spellEnd"/>
            <w:r w:rsidRPr="005234F0">
              <w:rPr>
                <w:rFonts w:ascii="Verdana" w:hAnsi="Verdana"/>
                <w:sz w:val="12"/>
              </w:rPr>
              <w:t xml:space="preserve"> ordinaria propia de la actividad; la variación de las condiciones del terreno que exceda de manera sustancial lo consignado en los estudios entregados por la Entidad Estatal se rige por el Riesgo No. 59.</w:t>
            </w:r>
          </w:p>
        </w:tc>
        <w:tc>
          <w:tcPr>
            <w:tcW w:w="461" w:type="dxa"/>
            <w:vAlign w:val="center"/>
          </w:tcPr>
          <w:p w14:paraId="534FB52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33E48F1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6251AEC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72AC0C0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D5701D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DEDD10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Contratista</w:t>
            </w:r>
          </w:p>
        </w:tc>
        <w:tc>
          <w:tcPr>
            <w:tcW w:w="950" w:type="dxa"/>
            <w:vAlign w:val="center"/>
          </w:tcPr>
          <w:p w14:paraId="47779C3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Al finalizar la obra.</w:t>
            </w:r>
          </w:p>
        </w:tc>
        <w:tc>
          <w:tcPr>
            <w:tcW w:w="1008" w:type="dxa"/>
            <w:vAlign w:val="center"/>
          </w:tcPr>
          <w:p w14:paraId="52B0615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1. Seguimiento por parte del supervisor, si es necesario participación de la administración, comités técnicos, etc. 2. Seguimiento a implementación de medidas preventivas, correctivas o de mitigación.</w:t>
            </w:r>
          </w:p>
        </w:tc>
        <w:tc>
          <w:tcPr>
            <w:tcW w:w="1080" w:type="dxa"/>
            <w:vAlign w:val="center"/>
          </w:tcPr>
          <w:p w14:paraId="53940AE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4CC23914" w14:textId="77777777" w:rsidTr="0076567A">
        <w:trPr>
          <w:trHeight w:val="466"/>
        </w:trPr>
        <w:tc>
          <w:tcPr>
            <w:tcW w:w="461" w:type="dxa"/>
            <w:vAlign w:val="center"/>
          </w:tcPr>
          <w:p w14:paraId="5CFF744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893" w:type="dxa"/>
            <w:vAlign w:val="center"/>
          </w:tcPr>
          <w:p w14:paraId="4F1C386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8ADCB1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E55509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7A01171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Económicos</w:t>
            </w:r>
          </w:p>
        </w:tc>
        <w:tc>
          <w:tcPr>
            <w:tcW w:w="1742" w:type="dxa"/>
            <w:vAlign w:val="center"/>
          </w:tcPr>
          <w:p w14:paraId="16DF47E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Desabastecimiento de materia prima (insumos o materiales) para la ejecución de la obra u objeto contractual.</w:t>
            </w:r>
          </w:p>
        </w:tc>
        <w:tc>
          <w:tcPr>
            <w:tcW w:w="1368" w:type="dxa"/>
            <w:vAlign w:val="center"/>
          </w:tcPr>
          <w:p w14:paraId="0ED59F6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Sobrecostos en la ejecución del contrato, reclamaciones de carácter civil, administrativo o penal, retrasos o </w:t>
            </w:r>
            <w:r w:rsidRPr="005234F0">
              <w:rPr>
                <w:rFonts w:ascii="Verdana" w:hAnsi="Verdana"/>
                <w:sz w:val="12"/>
              </w:rPr>
              <w:lastRenderedPageBreak/>
              <w:t>incumplimiento del objeto contractual.</w:t>
            </w:r>
          </w:p>
        </w:tc>
        <w:tc>
          <w:tcPr>
            <w:tcW w:w="461" w:type="dxa"/>
            <w:vAlign w:val="center"/>
          </w:tcPr>
          <w:p w14:paraId="3451781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w:t>
            </w:r>
          </w:p>
        </w:tc>
        <w:tc>
          <w:tcPr>
            <w:tcW w:w="432" w:type="dxa"/>
            <w:vAlign w:val="center"/>
          </w:tcPr>
          <w:p w14:paraId="3478778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0C8F1F5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69B2DCA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0DC87A9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5F12DC79"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Análisis y seguimiento de precios de los insumos, identificar insumos o materiales de mercados internacionales, evaluar métodos de entrega y abastecimiento </w:t>
            </w:r>
            <w:r w:rsidRPr="005234F0">
              <w:rPr>
                <w:rFonts w:ascii="Verdana" w:hAnsi="Verdana"/>
                <w:sz w:val="12"/>
              </w:rPr>
              <w:lastRenderedPageBreak/>
              <w:t>alternativos. 2. Estipulación contractual que obligue al contratista tener planes de contingencia para estos eventos y que determine la aplicación de fórmulas de reajuste de precios.</w:t>
            </w:r>
          </w:p>
        </w:tc>
        <w:tc>
          <w:tcPr>
            <w:tcW w:w="461" w:type="dxa"/>
            <w:vAlign w:val="center"/>
          </w:tcPr>
          <w:p w14:paraId="71A0F8F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477B91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6A7CE11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53D3C0E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7D9BB1A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8FA86A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1E0C25E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liquidación del contrato.</w:t>
            </w:r>
          </w:p>
        </w:tc>
        <w:tc>
          <w:tcPr>
            <w:tcW w:w="1008" w:type="dxa"/>
            <w:vAlign w:val="center"/>
          </w:tcPr>
          <w:p w14:paraId="5317177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Análisis de precios, monitoreo del mercado teniendo en cuenta estadísticas y variaciones </w:t>
            </w:r>
            <w:r w:rsidRPr="005234F0">
              <w:rPr>
                <w:rFonts w:ascii="Verdana" w:hAnsi="Verdana"/>
                <w:sz w:val="12"/>
              </w:rPr>
              <w:lastRenderedPageBreak/>
              <w:t>previsibles en los precios de los insumos, fluctuaciones de las divisas y condiciones socio-políticas que puedan afectar la macroeconomía global.</w:t>
            </w:r>
          </w:p>
        </w:tc>
        <w:tc>
          <w:tcPr>
            <w:tcW w:w="1080" w:type="dxa"/>
            <w:vAlign w:val="center"/>
          </w:tcPr>
          <w:p w14:paraId="37EAFB9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Mensual</w:t>
            </w:r>
          </w:p>
        </w:tc>
      </w:tr>
      <w:tr w:rsidR="0076567A" w:rsidRPr="005234F0" w14:paraId="3441ACAC" w14:textId="77777777" w:rsidTr="0076567A">
        <w:trPr>
          <w:trHeight w:val="466"/>
        </w:trPr>
        <w:tc>
          <w:tcPr>
            <w:tcW w:w="461" w:type="dxa"/>
            <w:vAlign w:val="center"/>
          </w:tcPr>
          <w:p w14:paraId="521485B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7</w:t>
            </w:r>
          </w:p>
        </w:tc>
        <w:tc>
          <w:tcPr>
            <w:tcW w:w="893" w:type="dxa"/>
            <w:vAlign w:val="center"/>
          </w:tcPr>
          <w:p w14:paraId="785A81F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338BB5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7277037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Selección</w:t>
            </w:r>
          </w:p>
        </w:tc>
        <w:tc>
          <w:tcPr>
            <w:tcW w:w="1224" w:type="dxa"/>
            <w:vAlign w:val="center"/>
          </w:tcPr>
          <w:p w14:paraId="5ACDD64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Económicos</w:t>
            </w:r>
          </w:p>
        </w:tc>
        <w:tc>
          <w:tcPr>
            <w:tcW w:w="1742" w:type="dxa"/>
            <w:vAlign w:val="center"/>
          </w:tcPr>
          <w:p w14:paraId="25A27C5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Ofrecimiento económico con precios artificialmente bajos o por debajo del presupuesto oficial.</w:t>
            </w:r>
          </w:p>
        </w:tc>
        <w:tc>
          <w:tcPr>
            <w:tcW w:w="1368" w:type="dxa"/>
            <w:vAlign w:val="center"/>
          </w:tcPr>
          <w:p w14:paraId="658A17C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Sobrecostos por parte de la Entidad Estatal, distorsiones del mercado.</w:t>
            </w:r>
          </w:p>
        </w:tc>
        <w:tc>
          <w:tcPr>
            <w:tcW w:w="461" w:type="dxa"/>
            <w:vAlign w:val="center"/>
          </w:tcPr>
          <w:p w14:paraId="7DBF5A9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3103A4F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73DC0AC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5B95F12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225100A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18936D0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Solicitud de justificación de la oferta, aporte por parte del proponente de certificado de experiencia y ejecución de contrato.</w:t>
            </w:r>
          </w:p>
        </w:tc>
        <w:tc>
          <w:tcPr>
            <w:tcW w:w="461" w:type="dxa"/>
            <w:vAlign w:val="center"/>
          </w:tcPr>
          <w:p w14:paraId="6AC95A6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499E5DF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5B869A5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55DB4FB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98D4EE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1D19F68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08143CE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Selección del oferente o adjudicación del contrato.</w:t>
            </w:r>
          </w:p>
        </w:tc>
        <w:tc>
          <w:tcPr>
            <w:tcW w:w="1008" w:type="dxa"/>
            <w:vAlign w:val="center"/>
          </w:tcPr>
          <w:p w14:paraId="0B70BD1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Análisis comparativo de precios.</w:t>
            </w:r>
          </w:p>
        </w:tc>
        <w:tc>
          <w:tcPr>
            <w:tcW w:w="1080" w:type="dxa"/>
            <w:vAlign w:val="center"/>
          </w:tcPr>
          <w:p w14:paraId="7F13C38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Plazo del cronograma del proceso de selección</w:t>
            </w:r>
          </w:p>
        </w:tc>
      </w:tr>
      <w:tr w:rsidR="0076567A" w:rsidRPr="005234F0" w14:paraId="2AEEFCDA" w14:textId="77777777" w:rsidTr="0076567A">
        <w:trPr>
          <w:trHeight w:val="466"/>
        </w:trPr>
        <w:tc>
          <w:tcPr>
            <w:tcW w:w="461" w:type="dxa"/>
            <w:vAlign w:val="center"/>
          </w:tcPr>
          <w:p w14:paraId="568A220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8</w:t>
            </w:r>
          </w:p>
        </w:tc>
        <w:tc>
          <w:tcPr>
            <w:tcW w:w="893" w:type="dxa"/>
            <w:vAlign w:val="center"/>
          </w:tcPr>
          <w:p w14:paraId="0C47E40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3D0280B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41170A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4C1AC38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Económicos</w:t>
            </w:r>
          </w:p>
        </w:tc>
        <w:tc>
          <w:tcPr>
            <w:tcW w:w="1742" w:type="dxa"/>
            <w:vAlign w:val="center"/>
          </w:tcPr>
          <w:p w14:paraId="39CAFEBC"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Inflación, fluctuación de precios generando ajustes durante la ejecución del contrato en el costo de insumos, tarifas, jornales, materiales, asesorías, honorarios, etc., regulados y no regulados por el Gobierno.</w:t>
            </w:r>
          </w:p>
        </w:tc>
        <w:tc>
          <w:tcPr>
            <w:tcW w:w="1368" w:type="dxa"/>
            <w:vAlign w:val="center"/>
          </w:tcPr>
          <w:p w14:paraId="3B9B481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Afectación del equilibrio económico del contrato a causa del incremento del precio de mano de obra, bienes y servicios necesarios, generando retrasos en la ejecución.</w:t>
            </w:r>
          </w:p>
        </w:tc>
        <w:tc>
          <w:tcPr>
            <w:tcW w:w="461" w:type="dxa"/>
            <w:vAlign w:val="center"/>
          </w:tcPr>
          <w:p w14:paraId="4F29735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043BD54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0671255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DB21E5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7543087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7A85F53"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Recopilación de comportamiento histórico de precios, revisión de las especificaciones técnicas del objeto con el fin de encontrar bienes o servicios sustitutos que no afecten en gran manera la ejecución.</w:t>
            </w:r>
          </w:p>
        </w:tc>
        <w:tc>
          <w:tcPr>
            <w:tcW w:w="461" w:type="dxa"/>
            <w:vAlign w:val="center"/>
          </w:tcPr>
          <w:p w14:paraId="015DBF8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0488953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06D191F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30DA539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2C47BC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06CE7E9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3ADBC1F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Fin etapa planeación.</w:t>
            </w:r>
          </w:p>
        </w:tc>
        <w:tc>
          <w:tcPr>
            <w:tcW w:w="1008" w:type="dxa"/>
            <w:vAlign w:val="center"/>
          </w:tcPr>
          <w:p w14:paraId="1BAC3F4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Análisis de precios, teniendo en cuenta estadísticas y variaciones previsibles.</w:t>
            </w:r>
          </w:p>
        </w:tc>
        <w:tc>
          <w:tcPr>
            <w:tcW w:w="1080" w:type="dxa"/>
            <w:vAlign w:val="center"/>
          </w:tcPr>
          <w:p w14:paraId="3A03480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499E1C0D" w14:textId="77777777" w:rsidTr="0076567A">
        <w:trPr>
          <w:trHeight w:val="466"/>
        </w:trPr>
        <w:tc>
          <w:tcPr>
            <w:tcW w:w="461" w:type="dxa"/>
            <w:vAlign w:val="center"/>
          </w:tcPr>
          <w:p w14:paraId="2D66F58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9</w:t>
            </w:r>
          </w:p>
        </w:tc>
        <w:tc>
          <w:tcPr>
            <w:tcW w:w="893" w:type="dxa"/>
            <w:vAlign w:val="center"/>
          </w:tcPr>
          <w:p w14:paraId="61E6676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5F19C41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7A839E5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w:t>
            </w:r>
          </w:p>
        </w:tc>
        <w:tc>
          <w:tcPr>
            <w:tcW w:w="1224" w:type="dxa"/>
            <w:vAlign w:val="center"/>
          </w:tcPr>
          <w:p w14:paraId="265F15A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Económicos/Operacionales</w:t>
            </w:r>
          </w:p>
        </w:tc>
        <w:tc>
          <w:tcPr>
            <w:tcW w:w="1742" w:type="dxa"/>
            <w:vAlign w:val="center"/>
          </w:tcPr>
          <w:p w14:paraId="28CD6BA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Especificaciones técnicas/pliego de condiciones/términos de referencias/estudios previos deficientes o poco detallados de los bienes o servicios a contratar.</w:t>
            </w:r>
          </w:p>
        </w:tc>
        <w:tc>
          <w:tcPr>
            <w:tcW w:w="1368" w:type="dxa"/>
            <w:vAlign w:val="center"/>
          </w:tcPr>
          <w:p w14:paraId="6BA88970"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1. Proyección inadecuada de los diferentes costos que se tuvieron en cuenta al momento de la presentación de la oferta, recibo de insumos, bienes o servicios no acordes con los requerimientos de la Entidad Estatal. 2. Posibles demanda de terceros. 3. </w:t>
            </w:r>
            <w:r w:rsidRPr="005234F0">
              <w:rPr>
                <w:rFonts w:ascii="Verdana" w:hAnsi="Verdana"/>
                <w:sz w:val="12"/>
              </w:rPr>
              <w:lastRenderedPageBreak/>
              <w:t>Impacto en el equilibrio económico del contrato. 4. Retrasos en el proceso de selección o en la ejecución del contrato. 5. Aversión hacia el proyecto por parte de diferentes actores del sistema de compra pública.</w:t>
            </w:r>
          </w:p>
        </w:tc>
        <w:tc>
          <w:tcPr>
            <w:tcW w:w="461" w:type="dxa"/>
            <w:vAlign w:val="center"/>
          </w:tcPr>
          <w:p w14:paraId="3BAD73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082FA35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269ABB7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916A32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47E616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4F6C1392"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Identificar políticas gubernamentales (por ejemplo, desarrollo económico, abastecimiento, etc.) que se aplican al contrato y asegurar su cumplimiento. 2. Elaboración y revisión de sólidos análisis de mercado donde se realice un amplio comparativo de precios entre por lo menos tres posibles contratistas, sumado a </w:t>
            </w:r>
            <w:r w:rsidRPr="005234F0">
              <w:rPr>
                <w:rFonts w:ascii="Verdana" w:hAnsi="Verdana"/>
                <w:sz w:val="12"/>
              </w:rPr>
              <w:lastRenderedPageBreak/>
              <w:t>una revisión de históricos del objeto de vigencias anteriores y a una detallada de ficha técnica e especificaciones y sus implicaciones al momento de presentar la ofertas. 3. Mantener las partes interesadas informadas. 4. Informar a la industria con la mayor antelación posible y considerar la realización de una presentación del proyecto. 5. Publicación de todos los documentos del proceso en SECOP en las diferentes etapas contractuales, con el fin de dar a conocer a todos los interesados toda la trazabilidad del proceso de contratación y así promover la transparencia del mismo. 6. Desarrollar una planeación del proyecto en el nivel detalle apropiado.</w:t>
            </w:r>
          </w:p>
        </w:tc>
        <w:tc>
          <w:tcPr>
            <w:tcW w:w="461" w:type="dxa"/>
            <w:vAlign w:val="center"/>
          </w:tcPr>
          <w:p w14:paraId="0037AFB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735DCE7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0C7494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285430E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0E488E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1A64B2E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242F149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entregada la obra a entera satisfacción.</w:t>
            </w:r>
          </w:p>
        </w:tc>
        <w:tc>
          <w:tcPr>
            <w:tcW w:w="1008" w:type="dxa"/>
            <w:vAlign w:val="center"/>
          </w:tcPr>
          <w:p w14:paraId="3D36B1B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Supervisión del análisis de mercado, pliego de condiciones, estudios previos, etc. Y control de la ejecución de los ítems de obra o los requeridos según el objeto de contratación </w:t>
            </w:r>
            <w:r w:rsidRPr="005234F0">
              <w:rPr>
                <w:rFonts w:ascii="Verdana" w:hAnsi="Verdana"/>
                <w:sz w:val="12"/>
              </w:rPr>
              <w:lastRenderedPageBreak/>
              <w:t>con la calidad requerida.</w:t>
            </w:r>
          </w:p>
        </w:tc>
        <w:tc>
          <w:tcPr>
            <w:tcW w:w="1080" w:type="dxa"/>
            <w:vAlign w:val="center"/>
          </w:tcPr>
          <w:p w14:paraId="764B80E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En hito(s) de la contratación</w:t>
            </w:r>
          </w:p>
        </w:tc>
      </w:tr>
      <w:tr w:rsidR="0076567A" w:rsidRPr="005234F0" w14:paraId="6DE93E29" w14:textId="77777777" w:rsidTr="0076567A">
        <w:trPr>
          <w:trHeight w:val="466"/>
        </w:trPr>
        <w:tc>
          <w:tcPr>
            <w:tcW w:w="461" w:type="dxa"/>
            <w:vAlign w:val="center"/>
          </w:tcPr>
          <w:p w14:paraId="51A706A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10</w:t>
            </w:r>
          </w:p>
        </w:tc>
        <w:tc>
          <w:tcPr>
            <w:tcW w:w="893" w:type="dxa"/>
            <w:vAlign w:val="center"/>
          </w:tcPr>
          <w:p w14:paraId="0FB6E5A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7695C96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6B5B7C8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Planeación/Selección</w:t>
            </w:r>
          </w:p>
        </w:tc>
        <w:tc>
          <w:tcPr>
            <w:tcW w:w="1224" w:type="dxa"/>
            <w:vAlign w:val="center"/>
          </w:tcPr>
          <w:p w14:paraId="2FC555A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4072F4C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Intereses particulares o favorecimiento a terceros para obtener la adjudicación del contrato.</w:t>
            </w:r>
          </w:p>
        </w:tc>
        <w:tc>
          <w:tcPr>
            <w:tcW w:w="1368" w:type="dxa"/>
            <w:vAlign w:val="center"/>
          </w:tcPr>
          <w:p w14:paraId="15264B3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1. Investigación penal y disciplinaria, no consecución del objeto contractual, declaratoria de inhabilidad sobreviniente. 2. Posible revocatoria del acto de adjudicación cuando este se haya obtenido por “medios ilegales”. 3. Suspensión del contrato (obra u objeto contractual </w:t>
            </w:r>
            <w:r w:rsidRPr="005234F0">
              <w:rPr>
                <w:rFonts w:ascii="Verdana" w:hAnsi="Verdana"/>
                <w:sz w:val="12"/>
              </w:rPr>
              <w:lastRenderedPageBreak/>
              <w:t>inconcluso). 4. Demanda por parte de terceros.</w:t>
            </w:r>
          </w:p>
        </w:tc>
        <w:tc>
          <w:tcPr>
            <w:tcW w:w="461" w:type="dxa"/>
            <w:vAlign w:val="center"/>
          </w:tcPr>
          <w:p w14:paraId="792068A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6B5BA92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367633B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6FAB8E0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374C7D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52232B31"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Suscripción de compromiso anticorrupción por parte del proponente en el que manifiesta el conocimiento de la ley nacional y sus consecuencias, socialización con sus socios, colaboradores, trabajadores y agentes. 2. Establecer veedurías y auditorías con peritos que den fe de su adecuada o anómala gestión, estudio de las ofertas o propuestas no </w:t>
            </w:r>
            <w:r w:rsidRPr="005234F0">
              <w:rPr>
                <w:rFonts w:ascii="Verdana" w:hAnsi="Verdana"/>
                <w:sz w:val="12"/>
              </w:rPr>
              <w:lastRenderedPageBreak/>
              <w:t>solo por la optimización de precios, sino además por la experiencia del proponente.</w:t>
            </w:r>
          </w:p>
        </w:tc>
        <w:tc>
          <w:tcPr>
            <w:tcW w:w="461" w:type="dxa"/>
            <w:vAlign w:val="center"/>
          </w:tcPr>
          <w:p w14:paraId="2A3CD77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7B22897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770115B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7FA9F14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5992F3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50B6354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7926401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liquidación de contrato.</w:t>
            </w:r>
          </w:p>
        </w:tc>
        <w:tc>
          <w:tcPr>
            <w:tcW w:w="1008" w:type="dxa"/>
            <w:vAlign w:val="center"/>
          </w:tcPr>
          <w:p w14:paraId="4B7518F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Revisión de los documentos precontractuales y estricta evaluación durante el proceso de selección.</w:t>
            </w:r>
          </w:p>
        </w:tc>
        <w:tc>
          <w:tcPr>
            <w:tcW w:w="1080" w:type="dxa"/>
            <w:vAlign w:val="center"/>
          </w:tcPr>
          <w:p w14:paraId="664B32D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53F92B8B" w14:textId="77777777" w:rsidTr="0076567A">
        <w:trPr>
          <w:trHeight w:val="466"/>
        </w:trPr>
        <w:tc>
          <w:tcPr>
            <w:tcW w:w="461" w:type="dxa"/>
            <w:vAlign w:val="center"/>
          </w:tcPr>
          <w:p w14:paraId="28029A9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11</w:t>
            </w:r>
          </w:p>
        </w:tc>
        <w:tc>
          <w:tcPr>
            <w:tcW w:w="893" w:type="dxa"/>
            <w:vAlign w:val="center"/>
          </w:tcPr>
          <w:p w14:paraId="06F24C4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865386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7E32985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60C482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50380F1A"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Incumplimiento o retrasos en el pago (salarios, honorarios, prestaciones sociales, indemnizaciones laborales), por parte del contratista, a proveedores/subcontratistas en relación con compras, alquileres, servicios, contratos, etc.</w:t>
            </w:r>
          </w:p>
        </w:tc>
        <w:tc>
          <w:tcPr>
            <w:tcW w:w="1368" w:type="dxa"/>
            <w:vAlign w:val="center"/>
          </w:tcPr>
          <w:p w14:paraId="11A82EB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Afectación financiera del contrato. 3. Demanda/denuncias laborales. 4. Paros, huelgas, etc. por parte de los afectados. 5. Abandono de los puestos o sitios de trabajo.</w:t>
            </w:r>
          </w:p>
        </w:tc>
        <w:tc>
          <w:tcPr>
            <w:tcW w:w="461" w:type="dxa"/>
            <w:vAlign w:val="center"/>
          </w:tcPr>
          <w:p w14:paraId="7C13F26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2447127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559B35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3E5B397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CB7FCF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49708A2A"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Iniciar los procesos administrativos para que el contratista cumpla con las obligaciones del objeto contractual.</w:t>
            </w:r>
          </w:p>
        </w:tc>
        <w:tc>
          <w:tcPr>
            <w:tcW w:w="461" w:type="dxa"/>
            <w:vAlign w:val="center"/>
          </w:tcPr>
          <w:p w14:paraId="7D713F7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7C9C28F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0DDBA3A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3E22327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0F7795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0F6E49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Supervisor</w:t>
            </w:r>
          </w:p>
        </w:tc>
        <w:tc>
          <w:tcPr>
            <w:tcW w:w="950" w:type="dxa"/>
            <w:vAlign w:val="center"/>
          </w:tcPr>
          <w:p w14:paraId="4AAC0A2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reinicien actividades en la obra.</w:t>
            </w:r>
          </w:p>
        </w:tc>
        <w:tc>
          <w:tcPr>
            <w:tcW w:w="1008" w:type="dxa"/>
            <w:vAlign w:val="center"/>
          </w:tcPr>
          <w:p w14:paraId="450DAAA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por parte del Interventor/Supervisor.</w:t>
            </w:r>
          </w:p>
        </w:tc>
        <w:tc>
          <w:tcPr>
            <w:tcW w:w="1080" w:type="dxa"/>
            <w:vAlign w:val="center"/>
          </w:tcPr>
          <w:p w14:paraId="385946A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Diariamente</w:t>
            </w:r>
          </w:p>
        </w:tc>
      </w:tr>
      <w:tr w:rsidR="0076567A" w:rsidRPr="005234F0" w14:paraId="18046096" w14:textId="77777777" w:rsidTr="0076567A">
        <w:trPr>
          <w:trHeight w:val="466"/>
        </w:trPr>
        <w:tc>
          <w:tcPr>
            <w:tcW w:w="461" w:type="dxa"/>
            <w:vAlign w:val="center"/>
          </w:tcPr>
          <w:p w14:paraId="1908656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12</w:t>
            </w:r>
          </w:p>
        </w:tc>
        <w:tc>
          <w:tcPr>
            <w:tcW w:w="893" w:type="dxa"/>
            <w:vAlign w:val="center"/>
          </w:tcPr>
          <w:p w14:paraId="7226646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45E68A4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38547F8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CACD91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2E116E5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Cambios en las fuentes de materiales autorizadas. Hace referencia al riesgo en cuanto a calidad y cantidad del material, explotación y su distancia de acarreo.</w:t>
            </w:r>
          </w:p>
        </w:tc>
        <w:tc>
          <w:tcPr>
            <w:tcW w:w="1368" w:type="dxa"/>
            <w:vAlign w:val="center"/>
          </w:tcPr>
          <w:p w14:paraId="6DC407A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Incumplimiento o retraso del contrato. 2. Impacto financiero del contrato.</w:t>
            </w:r>
          </w:p>
        </w:tc>
        <w:tc>
          <w:tcPr>
            <w:tcW w:w="461" w:type="dxa"/>
            <w:vAlign w:val="center"/>
          </w:tcPr>
          <w:p w14:paraId="1465928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17B2A28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3B10EC7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34C03D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663B556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0D48EAAD"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En la fase precontractual, le corresponde al interesado o proponente verificar en la región del proyecto las fuentes de materiales a emplear para la presentación de una propuesta acorde con las obras a ejecutar. 2. En la fase contractual, verificación del cumplimiento de especificaciones técnicas de los materiales.</w:t>
            </w:r>
          </w:p>
        </w:tc>
        <w:tc>
          <w:tcPr>
            <w:tcW w:w="461" w:type="dxa"/>
            <w:vAlign w:val="center"/>
          </w:tcPr>
          <w:p w14:paraId="415FAB8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0E44ABE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B84279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17EFC8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64DEB3E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EA9353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4C6B0F3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superar el evento.</w:t>
            </w:r>
          </w:p>
        </w:tc>
        <w:tc>
          <w:tcPr>
            <w:tcW w:w="1008" w:type="dxa"/>
            <w:vAlign w:val="center"/>
          </w:tcPr>
          <w:p w14:paraId="423480F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por parte del Interventor/ Supervisor.</w:t>
            </w:r>
          </w:p>
        </w:tc>
        <w:tc>
          <w:tcPr>
            <w:tcW w:w="1080" w:type="dxa"/>
            <w:vAlign w:val="center"/>
          </w:tcPr>
          <w:p w14:paraId="7344231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7A1F4A66" w14:textId="77777777" w:rsidTr="0076567A">
        <w:trPr>
          <w:trHeight w:val="466"/>
        </w:trPr>
        <w:tc>
          <w:tcPr>
            <w:tcW w:w="461" w:type="dxa"/>
            <w:vAlign w:val="center"/>
          </w:tcPr>
          <w:p w14:paraId="7AFA2BF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13</w:t>
            </w:r>
          </w:p>
        </w:tc>
        <w:tc>
          <w:tcPr>
            <w:tcW w:w="893" w:type="dxa"/>
            <w:vAlign w:val="center"/>
          </w:tcPr>
          <w:p w14:paraId="6A74810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1287110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62A4524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4F5D58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760E2E9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Accidentes laborales, muerte, lesiones, incidentes y/o daños a la integridad física, mental o moral que sufra el contratista, su equipo de trabajo o terceros durante la ejecución del contrato.</w:t>
            </w:r>
          </w:p>
        </w:tc>
        <w:tc>
          <w:tcPr>
            <w:tcW w:w="1368" w:type="dxa"/>
            <w:vAlign w:val="center"/>
          </w:tcPr>
          <w:p w14:paraId="191DD1F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1. Retrasos en la ejecución del contrato, reprogramación de cronogramas y posible ampliación de los plazos de ejecución. 2. Posible suspensión </w:t>
            </w:r>
            <w:r w:rsidRPr="005234F0">
              <w:rPr>
                <w:rFonts w:ascii="Verdana" w:hAnsi="Verdana"/>
                <w:sz w:val="12"/>
              </w:rPr>
              <w:lastRenderedPageBreak/>
              <w:t>del contrato. 3. Sobrecostos al presupuesto del proyecto. 4. Lesiones o afectaciones que impliquen indemnizaciones a las personas afectadas.</w:t>
            </w:r>
          </w:p>
        </w:tc>
        <w:tc>
          <w:tcPr>
            <w:tcW w:w="461" w:type="dxa"/>
            <w:vAlign w:val="center"/>
          </w:tcPr>
          <w:p w14:paraId="280D91E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w:t>
            </w:r>
          </w:p>
        </w:tc>
        <w:tc>
          <w:tcPr>
            <w:tcW w:w="432" w:type="dxa"/>
            <w:vAlign w:val="center"/>
          </w:tcPr>
          <w:p w14:paraId="2BA23CB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09FFA8A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2FF69BD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2C43F6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5DC1E94D"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Establecer y hacer seguimiento a los protocolos de seguridad ocupacional en el desarrollo de las actividades del contrato. 2. Cumplir las políticas de seguridad ocupacional y de seguridad en el </w:t>
            </w:r>
            <w:r w:rsidRPr="005234F0">
              <w:rPr>
                <w:rFonts w:ascii="Verdana" w:hAnsi="Verdana"/>
                <w:sz w:val="12"/>
              </w:rPr>
              <w:lastRenderedPageBreak/>
              <w:t>trabajo. 3. Disponer de planes de contingencia efectivos ante estas eventualidades. 4. Mantener vigente el amparo de salarios e indemnizaciones laborales. 5. En caso de ser necesario, se puede recurrir a hacer efectiva la garantía de responsabilidad civil extracontractual.</w:t>
            </w:r>
          </w:p>
        </w:tc>
        <w:tc>
          <w:tcPr>
            <w:tcW w:w="461" w:type="dxa"/>
            <w:vAlign w:val="center"/>
          </w:tcPr>
          <w:p w14:paraId="73200B5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2F60A0D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2907187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0428E8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6463CB0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6371C06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w:t>
            </w:r>
          </w:p>
        </w:tc>
        <w:tc>
          <w:tcPr>
            <w:tcW w:w="950" w:type="dxa"/>
            <w:vAlign w:val="center"/>
          </w:tcPr>
          <w:p w14:paraId="1DEE69D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5E5E0DD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Seguimiento de protocolos, procedimientos de seguridad y verificación respecto de las medidas </w:t>
            </w:r>
            <w:r w:rsidRPr="005234F0">
              <w:rPr>
                <w:rFonts w:ascii="Verdana" w:hAnsi="Verdana"/>
                <w:sz w:val="12"/>
              </w:rPr>
              <w:lastRenderedPageBreak/>
              <w:t>de seguridad en cada etapa.</w:t>
            </w:r>
          </w:p>
        </w:tc>
        <w:tc>
          <w:tcPr>
            <w:tcW w:w="1080" w:type="dxa"/>
            <w:vAlign w:val="center"/>
          </w:tcPr>
          <w:p w14:paraId="5946545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Permanente</w:t>
            </w:r>
          </w:p>
        </w:tc>
      </w:tr>
      <w:tr w:rsidR="0076567A" w:rsidRPr="005234F0" w14:paraId="02A87A8A" w14:textId="77777777" w:rsidTr="0076567A">
        <w:trPr>
          <w:trHeight w:val="466"/>
        </w:trPr>
        <w:tc>
          <w:tcPr>
            <w:tcW w:w="461" w:type="dxa"/>
            <w:vAlign w:val="center"/>
          </w:tcPr>
          <w:p w14:paraId="1D762A5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14</w:t>
            </w:r>
          </w:p>
        </w:tc>
        <w:tc>
          <w:tcPr>
            <w:tcW w:w="893" w:type="dxa"/>
            <w:vAlign w:val="center"/>
          </w:tcPr>
          <w:p w14:paraId="5943D64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1A8026E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41604B5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w:t>
            </w:r>
          </w:p>
        </w:tc>
        <w:tc>
          <w:tcPr>
            <w:tcW w:w="1224" w:type="dxa"/>
            <w:vAlign w:val="center"/>
          </w:tcPr>
          <w:p w14:paraId="2637655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36382D9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Desistimiento sin justa causa por parte del contratista para la legalización del contrato.</w:t>
            </w:r>
          </w:p>
        </w:tc>
        <w:tc>
          <w:tcPr>
            <w:tcW w:w="1368" w:type="dxa"/>
            <w:vAlign w:val="center"/>
          </w:tcPr>
          <w:p w14:paraId="243A22B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No se realiza el proceso de contratación. 2. Reprogramación de cronogramas para el proceso de contratación. 3. En caso de ser necesario, hacer efectiva la garantía de seriedad de la oferta.</w:t>
            </w:r>
          </w:p>
        </w:tc>
        <w:tc>
          <w:tcPr>
            <w:tcW w:w="461" w:type="dxa"/>
            <w:vAlign w:val="center"/>
          </w:tcPr>
          <w:p w14:paraId="6553BCE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5882904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23E5F3F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47CE4F4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50C5631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3F773795"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Establecer plazos claros en el pliego de condiciones de modo que se cumplan los requisitos de perfeccionamiento, legalización y ejecución del contrato. 2. Requerir continuamente al adjudicatario durante la etapa precontractual que allegue la documentación y sus pólizas. 3. De ser posible, gestionar la cesión del contrato. 4. De ser necesario y en los casos que aplique, se puede hacer efectiva la póliza de cumplimiento.</w:t>
            </w:r>
          </w:p>
        </w:tc>
        <w:tc>
          <w:tcPr>
            <w:tcW w:w="461" w:type="dxa"/>
            <w:vAlign w:val="center"/>
          </w:tcPr>
          <w:p w14:paraId="5B9C1AE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0EC01C1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B020C2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1898E25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C2F5FC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007AE03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Contratista/Entidad Estatal</w:t>
            </w:r>
          </w:p>
        </w:tc>
        <w:tc>
          <w:tcPr>
            <w:tcW w:w="950" w:type="dxa"/>
            <w:vAlign w:val="center"/>
          </w:tcPr>
          <w:p w14:paraId="04F76B6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 o se haga efectiva la garantía de seriedad de la oferta.</w:t>
            </w:r>
          </w:p>
        </w:tc>
        <w:tc>
          <w:tcPr>
            <w:tcW w:w="1008" w:type="dxa"/>
            <w:vAlign w:val="center"/>
          </w:tcPr>
          <w:p w14:paraId="22E1143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 la legalización y perfeccionamiento del contrato por parte de la oficina de contratación de la Entidad Estatal.</w:t>
            </w:r>
          </w:p>
        </w:tc>
        <w:tc>
          <w:tcPr>
            <w:tcW w:w="1080" w:type="dxa"/>
            <w:vAlign w:val="center"/>
          </w:tcPr>
          <w:p w14:paraId="2FD111E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hito(s) de la contratación</w:t>
            </w:r>
          </w:p>
        </w:tc>
      </w:tr>
      <w:tr w:rsidR="0076567A" w:rsidRPr="005234F0" w14:paraId="2003A703" w14:textId="77777777" w:rsidTr="0076567A">
        <w:trPr>
          <w:trHeight w:val="466"/>
        </w:trPr>
        <w:tc>
          <w:tcPr>
            <w:tcW w:w="461" w:type="dxa"/>
            <w:vAlign w:val="center"/>
          </w:tcPr>
          <w:p w14:paraId="1471B10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15</w:t>
            </w:r>
          </w:p>
        </w:tc>
        <w:tc>
          <w:tcPr>
            <w:tcW w:w="893" w:type="dxa"/>
            <w:vAlign w:val="center"/>
          </w:tcPr>
          <w:p w14:paraId="68A10DC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59B902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BF546E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w:t>
            </w:r>
          </w:p>
        </w:tc>
        <w:tc>
          <w:tcPr>
            <w:tcW w:w="1224" w:type="dxa"/>
            <w:vAlign w:val="center"/>
          </w:tcPr>
          <w:p w14:paraId="4BAE3B5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7626C17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No se presenten las garantías requeridas en los documentos del proceso de contratación o que su presentación sea tardía o incompleta.</w:t>
            </w:r>
          </w:p>
        </w:tc>
        <w:tc>
          <w:tcPr>
            <w:tcW w:w="1368" w:type="dxa"/>
            <w:vAlign w:val="center"/>
          </w:tcPr>
          <w:p w14:paraId="47D88B5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No se realiza el proceso de contratación. 2. Retrasos en la ejecución del contrato y/o programación de cronogramas para el proceso de contratación. 3. En caso de ser necesario, hacer efectiva la garantía de seriedad de la oferta.</w:t>
            </w:r>
          </w:p>
        </w:tc>
        <w:tc>
          <w:tcPr>
            <w:tcW w:w="461" w:type="dxa"/>
            <w:vAlign w:val="center"/>
          </w:tcPr>
          <w:p w14:paraId="5966100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3B818F5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746502A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622398C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0AA921E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15855376"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Establecer plazos claros en el pliego de condiciones de modo que se cumplan los requisitos de perfeccionamiento, legalización y ejecución del contrato. 2. Requerir continuamente al adjudicatario durante la etapa precontractual que allegue la documentación y sus pólizas.</w:t>
            </w:r>
          </w:p>
        </w:tc>
        <w:tc>
          <w:tcPr>
            <w:tcW w:w="461" w:type="dxa"/>
            <w:vAlign w:val="center"/>
          </w:tcPr>
          <w:p w14:paraId="36DF9B7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3B5C675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62F5748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7D837B6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8216ED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75A5FAE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Contratista/Entidad Estatal</w:t>
            </w:r>
          </w:p>
        </w:tc>
        <w:tc>
          <w:tcPr>
            <w:tcW w:w="950" w:type="dxa"/>
            <w:vAlign w:val="center"/>
          </w:tcPr>
          <w:p w14:paraId="7B97771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 o se haga efectiva la garantía de seriedad de la oferta.</w:t>
            </w:r>
          </w:p>
        </w:tc>
        <w:tc>
          <w:tcPr>
            <w:tcW w:w="1008" w:type="dxa"/>
            <w:vAlign w:val="center"/>
          </w:tcPr>
          <w:p w14:paraId="7CC07AE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 la legalización y perfeccionamiento del contrato por parte de la oficina de contratación de la Entidad Estatal.</w:t>
            </w:r>
          </w:p>
        </w:tc>
        <w:tc>
          <w:tcPr>
            <w:tcW w:w="1080" w:type="dxa"/>
            <w:vAlign w:val="center"/>
          </w:tcPr>
          <w:p w14:paraId="7F37F01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hito(s) de la contratación</w:t>
            </w:r>
          </w:p>
        </w:tc>
      </w:tr>
      <w:tr w:rsidR="0076567A" w:rsidRPr="005234F0" w14:paraId="13ECB73D" w14:textId="77777777" w:rsidTr="0076567A">
        <w:trPr>
          <w:trHeight w:val="466"/>
        </w:trPr>
        <w:tc>
          <w:tcPr>
            <w:tcW w:w="461" w:type="dxa"/>
            <w:vAlign w:val="center"/>
          </w:tcPr>
          <w:p w14:paraId="472AD82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16</w:t>
            </w:r>
          </w:p>
        </w:tc>
        <w:tc>
          <w:tcPr>
            <w:tcW w:w="893" w:type="dxa"/>
            <w:vAlign w:val="center"/>
          </w:tcPr>
          <w:p w14:paraId="51B36DF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6B8E8B1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567B2D4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Selección</w:t>
            </w:r>
          </w:p>
        </w:tc>
        <w:tc>
          <w:tcPr>
            <w:tcW w:w="1224" w:type="dxa"/>
            <w:vAlign w:val="center"/>
          </w:tcPr>
          <w:p w14:paraId="4E84C58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569B740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Declaratoria de desierto del proceso de selección.</w:t>
            </w:r>
          </w:p>
        </w:tc>
        <w:tc>
          <w:tcPr>
            <w:tcW w:w="1368" w:type="dxa"/>
            <w:vAlign w:val="center"/>
          </w:tcPr>
          <w:p w14:paraId="24BE5D00"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No cumplimiento de los requerimientos de la entidad estatal en los tiempos establecidos. No se satisface la necesidad que se requiere con el proceso de contratación. 2. Posible costo social por la no ejecución del proceso de contratación; así como un costo de oportunidad que afectaría reputacional y económicamente a la Entidad Estatal.</w:t>
            </w:r>
          </w:p>
        </w:tc>
        <w:tc>
          <w:tcPr>
            <w:tcW w:w="461" w:type="dxa"/>
            <w:vAlign w:val="center"/>
          </w:tcPr>
          <w:p w14:paraId="36028E8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1B22E6D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24FE0A5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40DE7AD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321BC43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6E43C666"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Estimación adecuada de las necesidades de la entidad, a través del análisis de conveniencia y oportunidad, especialmente en los temas técnicos y financieros, los cuales dependerán de la realización de un análisis del sector de fondo que permita verificar el mercado y así garantizar la pluralidad de oferentes. 2. Socialización del proceso de contratación y determinación de criterios de selección que permitan pluralidad de proponentes.</w:t>
            </w:r>
          </w:p>
        </w:tc>
        <w:tc>
          <w:tcPr>
            <w:tcW w:w="461" w:type="dxa"/>
            <w:vAlign w:val="center"/>
          </w:tcPr>
          <w:p w14:paraId="391F356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7D4FD40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A8612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0473DEC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6C35519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54876ED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6AB3DA1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w:t>
            </w:r>
          </w:p>
        </w:tc>
        <w:tc>
          <w:tcPr>
            <w:tcW w:w="1008" w:type="dxa"/>
            <w:vAlign w:val="center"/>
          </w:tcPr>
          <w:p w14:paraId="10C26FB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 los requisitos técnicos, jurídicos y financieros establecidos para el proceso de selección, acompañando en todo momento la evaluación de las ofertas presentadas.</w:t>
            </w:r>
          </w:p>
        </w:tc>
        <w:tc>
          <w:tcPr>
            <w:tcW w:w="1080" w:type="dxa"/>
            <w:vAlign w:val="center"/>
          </w:tcPr>
          <w:p w14:paraId="0E454EC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la etapa de selección</w:t>
            </w:r>
          </w:p>
        </w:tc>
      </w:tr>
      <w:tr w:rsidR="0076567A" w:rsidRPr="005234F0" w14:paraId="3407C9FF" w14:textId="77777777" w:rsidTr="0076567A">
        <w:trPr>
          <w:trHeight w:val="466"/>
        </w:trPr>
        <w:tc>
          <w:tcPr>
            <w:tcW w:w="461" w:type="dxa"/>
            <w:vAlign w:val="center"/>
          </w:tcPr>
          <w:p w14:paraId="7B3E4B7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17</w:t>
            </w:r>
          </w:p>
        </w:tc>
        <w:tc>
          <w:tcPr>
            <w:tcW w:w="893" w:type="dxa"/>
            <w:vAlign w:val="center"/>
          </w:tcPr>
          <w:p w14:paraId="1FE1154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18FB108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72B4DD0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w:t>
            </w:r>
          </w:p>
        </w:tc>
        <w:tc>
          <w:tcPr>
            <w:tcW w:w="1224" w:type="dxa"/>
            <w:vAlign w:val="center"/>
          </w:tcPr>
          <w:p w14:paraId="1F916B2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28C7B35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Reclamos de proponentes/terceros sobre la selección del oferente.</w:t>
            </w:r>
          </w:p>
        </w:tc>
        <w:tc>
          <w:tcPr>
            <w:tcW w:w="1368" w:type="dxa"/>
            <w:vAlign w:val="center"/>
          </w:tcPr>
          <w:p w14:paraId="103909F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Demanda de terceros. La estructuración y selección del proceso de contratación genera controversias que terminan en reclamaciones. 3. Pérdida en la integridad y confidencialidad de la información.</w:t>
            </w:r>
          </w:p>
        </w:tc>
        <w:tc>
          <w:tcPr>
            <w:tcW w:w="461" w:type="dxa"/>
            <w:vAlign w:val="center"/>
          </w:tcPr>
          <w:p w14:paraId="773F58D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5440E8D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5931F9F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6D50565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3E0D5C5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219C3E83"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Verificar que se haya establecido con claridad, precisión, sin ambigüedades y de acuerdo con los presupuestos legales, los requisitos habilitantes. Así como establecer si existen o no proponentes que cumplan con los mismos. 2. Identificar políticas y normas gubernamentales (por ejemplo, desarrollo económico, abastecimiento, etc.) que podrían aplicar al proceso de contratación y asegurar su cumplimiento. 3. Comprobar la pertinencia de la modalidad de contratación frente a la relación tiempo - coste esperada y la exigencia </w:t>
            </w:r>
            <w:r w:rsidRPr="005234F0">
              <w:rPr>
                <w:rFonts w:ascii="Verdana" w:hAnsi="Verdana"/>
                <w:sz w:val="12"/>
              </w:rPr>
              <w:lastRenderedPageBreak/>
              <w:t>legal para el caso. 4. Publicar oportunamente las respuestas objetivas y bien fundamentadas a las observaciones y reclamaciones.</w:t>
            </w:r>
          </w:p>
        </w:tc>
        <w:tc>
          <w:tcPr>
            <w:tcW w:w="461" w:type="dxa"/>
            <w:vAlign w:val="center"/>
          </w:tcPr>
          <w:p w14:paraId="0216F75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461A9C1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05E30B0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7229FE6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010A0F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28FCC3F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03F7454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w:t>
            </w:r>
          </w:p>
        </w:tc>
        <w:tc>
          <w:tcPr>
            <w:tcW w:w="1008" w:type="dxa"/>
            <w:vAlign w:val="center"/>
          </w:tcPr>
          <w:p w14:paraId="4028BCF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 los requisitos técnicos, jurídicos y financieros establecidos para el proceso de selección, acompañando en todo momento la evaluación de las ofertas presentadas.</w:t>
            </w:r>
          </w:p>
        </w:tc>
        <w:tc>
          <w:tcPr>
            <w:tcW w:w="1080" w:type="dxa"/>
            <w:vAlign w:val="center"/>
          </w:tcPr>
          <w:p w14:paraId="75E6D86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la etapa de selección</w:t>
            </w:r>
          </w:p>
        </w:tc>
      </w:tr>
      <w:tr w:rsidR="0076567A" w:rsidRPr="005234F0" w14:paraId="0CEF2D1B" w14:textId="77777777" w:rsidTr="0076567A">
        <w:trPr>
          <w:trHeight w:val="466"/>
        </w:trPr>
        <w:tc>
          <w:tcPr>
            <w:tcW w:w="461" w:type="dxa"/>
            <w:vAlign w:val="center"/>
          </w:tcPr>
          <w:p w14:paraId="29DCFD8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18</w:t>
            </w:r>
          </w:p>
        </w:tc>
        <w:tc>
          <w:tcPr>
            <w:tcW w:w="893" w:type="dxa"/>
            <w:vAlign w:val="center"/>
          </w:tcPr>
          <w:p w14:paraId="1DF5E46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7D471EA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C6FB61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Selección</w:t>
            </w:r>
          </w:p>
        </w:tc>
        <w:tc>
          <w:tcPr>
            <w:tcW w:w="1224" w:type="dxa"/>
            <w:vAlign w:val="center"/>
          </w:tcPr>
          <w:p w14:paraId="54A9B73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0DE6CCE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Riesgo de colusión, en el cual dos o más oferentes realizan acuerdos de manera fraudulenta con el fin de lograr que el proceso se adjudique a un proponente en particular.</w:t>
            </w:r>
          </w:p>
        </w:tc>
        <w:tc>
          <w:tcPr>
            <w:tcW w:w="1368" w:type="dxa"/>
            <w:vAlign w:val="center"/>
          </w:tcPr>
          <w:p w14:paraId="6A4F0FB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Investigaciones disciplinarias y fiscales. 2. Errónea selección del contratista. 3. Poca participación de proponentes. 4. Se compromete el principio de selección objetiva y consecuentemente la calidad del contratista, generando la posibilidad de no entrega de la obra con las condiciones técnicas requeridas.</w:t>
            </w:r>
          </w:p>
        </w:tc>
        <w:tc>
          <w:tcPr>
            <w:tcW w:w="461" w:type="dxa"/>
            <w:vAlign w:val="center"/>
          </w:tcPr>
          <w:p w14:paraId="761B6F0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157EF6D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42D0A93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59F785C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07D4205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6FE9D63D"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Comprobar la pertinencia de la modalidad de contratación frente a la relación tiempo - coste esperada y la exigencia legal para el caso. 2. Asegurar que el proceso de selección del contratista cumple con los parámetros legales y buenas prácticas para ser un proceso transparente. En caso que se considere, se puede involucrar a la Oficina de Control Interno y convocar a las veedurías ciudadanas. 3. Solidez en el estudio de mercado y adecuada redacción de los documentos del proceso teniendo en cuenta las condiciones del mercado. 4. Establecimiento de condiciones de selección que garanticen pluralidad de oferentes y seguimiento a las observaciones presentadas para realizar la denuncia oportunamente ante la autoridad competente.</w:t>
            </w:r>
          </w:p>
        </w:tc>
        <w:tc>
          <w:tcPr>
            <w:tcW w:w="461" w:type="dxa"/>
            <w:vAlign w:val="center"/>
          </w:tcPr>
          <w:p w14:paraId="78CCCF2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6434FCA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FCCECD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53A6654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187E34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452610A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6058A60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w:t>
            </w:r>
          </w:p>
        </w:tc>
        <w:tc>
          <w:tcPr>
            <w:tcW w:w="1008" w:type="dxa"/>
            <w:vAlign w:val="center"/>
          </w:tcPr>
          <w:p w14:paraId="43E788C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Mediante un continuo seguimiento a los documentos del proceso y con comparaciones de las ofertas presentadas.</w:t>
            </w:r>
          </w:p>
        </w:tc>
        <w:tc>
          <w:tcPr>
            <w:tcW w:w="1080" w:type="dxa"/>
            <w:vAlign w:val="center"/>
          </w:tcPr>
          <w:p w14:paraId="247739B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hito(s) de la contratación</w:t>
            </w:r>
          </w:p>
        </w:tc>
      </w:tr>
      <w:tr w:rsidR="0076567A" w:rsidRPr="005234F0" w14:paraId="2BC7E840" w14:textId="77777777" w:rsidTr="0076567A">
        <w:trPr>
          <w:trHeight w:val="466"/>
        </w:trPr>
        <w:tc>
          <w:tcPr>
            <w:tcW w:w="461" w:type="dxa"/>
            <w:vAlign w:val="center"/>
          </w:tcPr>
          <w:p w14:paraId="4EA21AA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19</w:t>
            </w:r>
          </w:p>
        </w:tc>
        <w:tc>
          <w:tcPr>
            <w:tcW w:w="893" w:type="dxa"/>
            <w:vAlign w:val="center"/>
          </w:tcPr>
          <w:p w14:paraId="3BE6760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34BBFB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5C05C38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642A6D1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4AA8699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Ejecución de mayores cantidades de obra no autorizadas, por materiales y/o procedimientos constructivos inadecuados, y/o por </w:t>
            </w:r>
            <w:r w:rsidRPr="005234F0">
              <w:rPr>
                <w:rFonts w:ascii="Verdana" w:hAnsi="Verdana"/>
                <w:sz w:val="12"/>
              </w:rPr>
              <w:lastRenderedPageBreak/>
              <w:t>deficiente programación de ejecución de las obras.</w:t>
            </w:r>
          </w:p>
        </w:tc>
        <w:tc>
          <w:tcPr>
            <w:tcW w:w="1368" w:type="dxa"/>
            <w:vAlign w:val="center"/>
          </w:tcPr>
          <w:p w14:paraId="39E7BC5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1. Retrasos en la ejecución del contrato, reprogramación de cronogramas y posible ampliación de los plazos de </w:t>
            </w:r>
            <w:r w:rsidRPr="005234F0">
              <w:rPr>
                <w:rFonts w:ascii="Verdana" w:hAnsi="Verdana"/>
                <w:sz w:val="12"/>
              </w:rPr>
              <w:lastRenderedPageBreak/>
              <w:t>ejecución. 2. Posible suspensión del contrato. 3. Incumplimiento parcial o total del contrato. 4. Sobrecostos al presupuesto del proyecto.</w:t>
            </w:r>
          </w:p>
        </w:tc>
        <w:tc>
          <w:tcPr>
            <w:tcW w:w="461" w:type="dxa"/>
            <w:vAlign w:val="center"/>
          </w:tcPr>
          <w:p w14:paraId="0A304FF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7A775BD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500C178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7AEFAC1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57AB1AC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5A2FCF9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Interventoría permanente en la ejecución de las obras, para controlar obras autorizadas, materiales, procedimientos constructivos, ajustados </w:t>
            </w:r>
            <w:r w:rsidRPr="005234F0">
              <w:rPr>
                <w:rFonts w:ascii="Verdana" w:hAnsi="Verdana"/>
                <w:sz w:val="12"/>
              </w:rPr>
              <w:lastRenderedPageBreak/>
              <w:t>a las obras requeridas y especificaciones técnicas contractuales.</w:t>
            </w:r>
          </w:p>
        </w:tc>
        <w:tc>
          <w:tcPr>
            <w:tcW w:w="461" w:type="dxa"/>
            <w:vAlign w:val="center"/>
          </w:tcPr>
          <w:p w14:paraId="773A9DC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1EC3CCA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588F427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0AF6A01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2691ED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05D0578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24BA857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229F4BF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Control permanente por parte del Interventor de la ejecución de las obras </w:t>
            </w:r>
            <w:r w:rsidRPr="005234F0">
              <w:rPr>
                <w:rFonts w:ascii="Verdana" w:hAnsi="Verdana"/>
                <w:sz w:val="12"/>
              </w:rPr>
              <w:lastRenderedPageBreak/>
              <w:t>requeridas del proyecto y del cumplimiento de especificaciones técnicas.</w:t>
            </w:r>
          </w:p>
        </w:tc>
        <w:tc>
          <w:tcPr>
            <w:tcW w:w="1080" w:type="dxa"/>
            <w:vAlign w:val="center"/>
          </w:tcPr>
          <w:p w14:paraId="5432613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Mensual</w:t>
            </w:r>
          </w:p>
        </w:tc>
      </w:tr>
      <w:tr w:rsidR="0076567A" w:rsidRPr="005234F0" w14:paraId="717B0300" w14:textId="77777777" w:rsidTr="0076567A">
        <w:trPr>
          <w:trHeight w:val="466"/>
        </w:trPr>
        <w:tc>
          <w:tcPr>
            <w:tcW w:w="461" w:type="dxa"/>
            <w:vAlign w:val="center"/>
          </w:tcPr>
          <w:p w14:paraId="2F25A95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20</w:t>
            </w:r>
          </w:p>
        </w:tc>
        <w:tc>
          <w:tcPr>
            <w:tcW w:w="893" w:type="dxa"/>
            <w:vAlign w:val="center"/>
          </w:tcPr>
          <w:p w14:paraId="52DED42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497EFDE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7DF067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3207FFF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77F450F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Ejecución de mayores cantidades de obra por reparaciones y/o adecuaciones sin que sea constitutivo de incumplimiento por parte del contratista. Son los efectos derivados de los cambios en las condiciones técnicas que incrementen o disminuyan las cantidades previstas para la ejecución de las obras.</w:t>
            </w:r>
          </w:p>
        </w:tc>
        <w:tc>
          <w:tcPr>
            <w:tcW w:w="1368" w:type="dxa"/>
            <w:vAlign w:val="center"/>
          </w:tcPr>
          <w:p w14:paraId="72D22B0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Ajustes en las cantidades de obra requeridas en el proyecto. 3. Sobrecostos al presupuesto del proyecto.</w:t>
            </w:r>
          </w:p>
        </w:tc>
        <w:tc>
          <w:tcPr>
            <w:tcW w:w="461" w:type="dxa"/>
            <w:vAlign w:val="center"/>
          </w:tcPr>
          <w:p w14:paraId="03CA9B8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0EBCF24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01A7EAD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21E8C11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7943CB9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38E7704F"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Estipulación contractual que indique que la Entidad pagará lo correspondiente a los precios de los ítems contractuales que se utilicen para su ejecución, esto es a los precios del concreto, acero, pavimento y otros ítems que se utilicen y sean requeridos en las obras. Para los que no se puedan ejecutar con los ítems del contrato, debe presentarse el respectivo Análisis de Precios Unitarios para el trámite correspondiente.</w:t>
            </w:r>
          </w:p>
        </w:tc>
        <w:tc>
          <w:tcPr>
            <w:tcW w:w="461" w:type="dxa"/>
            <w:vAlign w:val="center"/>
          </w:tcPr>
          <w:p w14:paraId="21CC6B5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3A3E4D2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0323CB7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0F420B7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73BFCA7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FC8664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6609245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entregada la obra a entera satisfacción.</w:t>
            </w:r>
          </w:p>
        </w:tc>
        <w:tc>
          <w:tcPr>
            <w:tcW w:w="1008" w:type="dxa"/>
            <w:vAlign w:val="center"/>
          </w:tcPr>
          <w:p w14:paraId="07C3CFF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Análisis de cantidades.</w:t>
            </w:r>
          </w:p>
        </w:tc>
        <w:tc>
          <w:tcPr>
            <w:tcW w:w="1080" w:type="dxa"/>
            <w:vAlign w:val="center"/>
          </w:tcPr>
          <w:p w14:paraId="7E0DC63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57BE1EC3" w14:textId="77777777" w:rsidTr="0076567A">
        <w:trPr>
          <w:trHeight w:val="466"/>
        </w:trPr>
        <w:tc>
          <w:tcPr>
            <w:tcW w:w="461" w:type="dxa"/>
            <w:vAlign w:val="center"/>
          </w:tcPr>
          <w:p w14:paraId="172F061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21</w:t>
            </w:r>
          </w:p>
        </w:tc>
        <w:tc>
          <w:tcPr>
            <w:tcW w:w="893" w:type="dxa"/>
            <w:vAlign w:val="center"/>
          </w:tcPr>
          <w:p w14:paraId="020A952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6B07B98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22644B4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CA8C33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7156592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Daños a edificaciones aledañas y/o al espacio público por efecto de las actividades de obra ejecutadas.</w:t>
            </w:r>
          </w:p>
        </w:tc>
        <w:tc>
          <w:tcPr>
            <w:tcW w:w="1368" w:type="dxa"/>
            <w:vAlign w:val="center"/>
          </w:tcPr>
          <w:p w14:paraId="18A6A89A"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Afectación financiera del contrato. 3. Posibles demandas de terceros.</w:t>
            </w:r>
          </w:p>
        </w:tc>
        <w:tc>
          <w:tcPr>
            <w:tcW w:w="461" w:type="dxa"/>
            <w:vAlign w:val="center"/>
          </w:tcPr>
          <w:p w14:paraId="4C9ECC6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0315391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603B990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696B209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4DCE8A1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07955008"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Realizar los ajustes y reparaciones necesarias al espacio afectado.</w:t>
            </w:r>
          </w:p>
        </w:tc>
        <w:tc>
          <w:tcPr>
            <w:tcW w:w="461" w:type="dxa"/>
            <w:vAlign w:val="center"/>
          </w:tcPr>
          <w:p w14:paraId="062C000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610AAE9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1D8B5B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21C005A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EA6696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1259C8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950" w:type="dxa"/>
            <w:vAlign w:val="center"/>
          </w:tcPr>
          <w:p w14:paraId="0AF2F5A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Máximo hasta la terminación del contrato.</w:t>
            </w:r>
          </w:p>
        </w:tc>
        <w:tc>
          <w:tcPr>
            <w:tcW w:w="1008" w:type="dxa"/>
            <w:vAlign w:val="center"/>
          </w:tcPr>
          <w:p w14:paraId="25C614B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La interventoría contratada realizará la verificación de la ejecución y se elaborará el acta de vecindad donde se reciban a satisfacción las obras por parte de la parte afectada (vecina, espacio </w:t>
            </w:r>
            <w:r w:rsidRPr="005234F0">
              <w:rPr>
                <w:rFonts w:ascii="Verdana" w:hAnsi="Verdana"/>
                <w:sz w:val="12"/>
              </w:rPr>
              <w:lastRenderedPageBreak/>
              <w:t>público, etc.).</w:t>
            </w:r>
          </w:p>
        </w:tc>
        <w:tc>
          <w:tcPr>
            <w:tcW w:w="1080" w:type="dxa"/>
            <w:vAlign w:val="center"/>
          </w:tcPr>
          <w:p w14:paraId="3B160B5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Mensual</w:t>
            </w:r>
          </w:p>
        </w:tc>
      </w:tr>
      <w:tr w:rsidR="0076567A" w:rsidRPr="005234F0" w14:paraId="2E579291" w14:textId="77777777" w:rsidTr="0076567A">
        <w:trPr>
          <w:trHeight w:val="466"/>
        </w:trPr>
        <w:tc>
          <w:tcPr>
            <w:tcW w:w="461" w:type="dxa"/>
            <w:vAlign w:val="center"/>
          </w:tcPr>
          <w:p w14:paraId="33AEF8F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22</w:t>
            </w:r>
          </w:p>
        </w:tc>
        <w:tc>
          <w:tcPr>
            <w:tcW w:w="893" w:type="dxa"/>
            <w:vAlign w:val="center"/>
          </w:tcPr>
          <w:p w14:paraId="5A927C5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0B9EB0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77B47C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F7EB43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0AD501B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Inestabilidad o mala calidad de la obra. El proveedor no cuenta con el personal idóneo y/o no entrega los bienes y/o servicios de acuerdo con las especificaciones técnicas definidas en los documentos del proceso y/o el proveedor no ejecuta las actividades y obligaciones contractuales de manera satisfactoria.</w:t>
            </w:r>
          </w:p>
        </w:tc>
        <w:tc>
          <w:tcPr>
            <w:tcW w:w="1368" w:type="dxa"/>
            <w:vAlign w:val="center"/>
          </w:tcPr>
          <w:p w14:paraId="28AFB1D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Incumplimiento total o parcial del contrato. 2. En caso de ser necesario, la Entidad Estatal podrá hacer efectiva la garantía de cumplimiento bajo el amparo de la estabilidad y calidad de la obra.</w:t>
            </w:r>
          </w:p>
        </w:tc>
        <w:tc>
          <w:tcPr>
            <w:tcW w:w="461" w:type="dxa"/>
            <w:vAlign w:val="center"/>
          </w:tcPr>
          <w:p w14:paraId="7746F9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78D9910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4D9E439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4B94B82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36A5D8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4292F35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Estricto y permanente acompañamiento y seguimiento por parte del supervisor/interventor en el desarrollo de las reparaciones requeridas, exigiendo el cumplimiento de las obligaciones del contratista, recurriendo de ser necesario a las medidas sancionatorias. 2. Elaboración de actas de entrega a satisfacción de los servicios contemplados en el objeto contractual. 3. Aplicación de la garantía de cumplimiento bajo el amparo de la estabilidad y calidad de la obra.</w:t>
            </w:r>
          </w:p>
        </w:tc>
        <w:tc>
          <w:tcPr>
            <w:tcW w:w="461" w:type="dxa"/>
            <w:vAlign w:val="center"/>
          </w:tcPr>
          <w:p w14:paraId="1A8D13C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313CEA0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08EBBB0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5671FDB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6E20167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600AFF7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20F84F0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70FC999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Control permanente por parte del Interventor de la ejecución del proyecto. Atención oportuna de los procesos administrativos y judiciales que sean requeridos ya sea en la etapa contractual o </w:t>
            </w:r>
            <w:proofErr w:type="spellStart"/>
            <w:r w:rsidRPr="005234F0">
              <w:rPr>
                <w:rFonts w:ascii="Verdana" w:hAnsi="Verdana"/>
                <w:sz w:val="12"/>
              </w:rPr>
              <w:t>postcontractual</w:t>
            </w:r>
            <w:proofErr w:type="spellEnd"/>
            <w:r w:rsidRPr="005234F0">
              <w:rPr>
                <w:rFonts w:ascii="Verdana" w:hAnsi="Verdana"/>
                <w:sz w:val="12"/>
              </w:rPr>
              <w:t>.</w:t>
            </w:r>
          </w:p>
        </w:tc>
        <w:tc>
          <w:tcPr>
            <w:tcW w:w="1080" w:type="dxa"/>
            <w:vAlign w:val="center"/>
          </w:tcPr>
          <w:p w14:paraId="259DB5E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Permanente en la ejecución de la obra y cuando se requiera en la etapa </w:t>
            </w:r>
            <w:proofErr w:type="spellStart"/>
            <w:r w:rsidRPr="005234F0">
              <w:rPr>
                <w:rFonts w:ascii="Verdana" w:hAnsi="Verdana"/>
                <w:sz w:val="12"/>
              </w:rPr>
              <w:t>postcontractual</w:t>
            </w:r>
            <w:proofErr w:type="spellEnd"/>
          </w:p>
        </w:tc>
      </w:tr>
      <w:tr w:rsidR="0076567A" w:rsidRPr="005234F0" w14:paraId="55CBE440" w14:textId="77777777" w:rsidTr="0076567A">
        <w:trPr>
          <w:trHeight w:val="466"/>
        </w:trPr>
        <w:tc>
          <w:tcPr>
            <w:tcW w:w="461" w:type="dxa"/>
            <w:vAlign w:val="center"/>
          </w:tcPr>
          <w:p w14:paraId="709E9AF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23</w:t>
            </w:r>
          </w:p>
        </w:tc>
        <w:tc>
          <w:tcPr>
            <w:tcW w:w="893" w:type="dxa"/>
            <w:vAlign w:val="center"/>
          </w:tcPr>
          <w:p w14:paraId="0FACE5B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76F505B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0E99A8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CD9B42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16E16C8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Retrasos o no liquidación del contrato por causas técnicas o jurídicas.</w:t>
            </w:r>
          </w:p>
        </w:tc>
        <w:tc>
          <w:tcPr>
            <w:tcW w:w="1368" w:type="dxa"/>
            <w:vAlign w:val="center"/>
          </w:tcPr>
          <w:p w14:paraId="610E270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Incumplimiento de los términos legales (artículo 60 de la Ley 80 de 1993) para liquidar y posible pérdida de competencia. 2. Liquidación unilateral o solicitud de liquidación judicial.</w:t>
            </w:r>
          </w:p>
        </w:tc>
        <w:tc>
          <w:tcPr>
            <w:tcW w:w="461" w:type="dxa"/>
            <w:vAlign w:val="center"/>
          </w:tcPr>
          <w:p w14:paraId="76FC0E2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3EB813D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547" w:type="dxa"/>
            <w:vAlign w:val="center"/>
          </w:tcPr>
          <w:p w14:paraId="36DDC39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74A589A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0D9F2AB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E371809"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Seguimiento al cumplimiento de obligaciones del contrato, documentación del cumplimiento de obligaciones técnicas y jurídicas. 2. Control del estado de los contratos en el que se registre información de cada contrato y se reporte la fecha de vencimiento de plazos y términos.</w:t>
            </w:r>
          </w:p>
        </w:tc>
        <w:tc>
          <w:tcPr>
            <w:tcW w:w="461" w:type="dxa"/>
            <w:vAlign w:val="center"/>
          </w:tcPr>
          <w:p w14:paraId="12A1CB6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6405798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4114DA1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58002D6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9D9A77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4DFAA08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w:t>
            </w:r>
          </w:p>
        </w:tc>
        <w:tc>
          <w:tcPr>
            <w:tcW w:w="950" w:type="dxa"/>
            <w:vAlign w:val="center"/>
          </w:tcPr>
          <w:p w14:paraId="22EC3CA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liquidación del contrato.</w:t>
            </w:r>
          </w:p>
        </w:tc>
        <w:tc>
          <w:tcPr>
            <w:tcW w:w="1008" w:type="dxa"/>
            <w:vAlign w:val="center"/>
          </w:tcPr>
          <w:p w14:paraId="5BDF603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por parte de la supervisión.</w:t>
            </w:r>
          </w:p>
        </w:tc>
        <w:tc>
          <w:tcPr>
            <w:tcW w:w="1080" w:type="dxa"/>
            <w:vAlign w:val="center"/>
          </w:tcPr>
          <w:p w14:paraId="237B8C8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el término de ejecución del contrato y hasta el vencimiento del plazo conferido por la Ley para liquidar</w:t>
            </w:r>
          </w:p>
        </w:tc>
      </w:tr>
      <w:tr w:rsidR="0076567A" w:rsidRPr="005234F0" w14:paraId="7C37BE4C" w14:textId="77777777" w:rsidTr="0076567A">
        <w:trPr>
          <w:trHeight w:val="466"/>
        </w:trPr>
        <w:tc>
          <w:tcPr>
            <w:tcW w:w="461" w:type="dxa"/>
            <w:vAlign w:val="center"/>
          </w:tcPr>
          <w:p w14:paraId="0A003BB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24</w:t>
            </w:r>
          </w:p>
        </w:tc>
        <w:tc>
          <w:tcPr>
            <w:tcW w:w="893" w:type="dxa"/>
            <w:vAlign w:val="center"/>
          </w:tcPr>
          <w:p w14:paraId="4600053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09D4129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27DA63B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02FCE5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450C23F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Falta de interventoría de obra.</w:t>
            </w:r>
          </w:p>
        </w:tc>
        <w:tc>
          <w:tcPr>
            <w:tcW w:w="1368" w:type="dxa"/>
            <w:vAlign w:val="center"/>
          </w:tcPr>
          <w:p w14:paraId="7DCDA42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Imposibilidad del inicio del contrato de obra, lo cual conlleva a retrasos en la ejecución del contrato, reprogramación de cronogramas y posible ampliación </w:t>
            </w:r>
            <w:r w:rsidRPr="005234F0">
              <w:rPr>
                <w:rFonts w:ascii="Verdana" w:hAnsi="Verdana"/>
                <w:sz w:val="12"/>
              </w:rPr>
              <w:lastRenderedPageBreak/>
              <w:t>de los plazos de ejecución.</w:t>
            </w:r>
          </w:p>
        </w:tc>
        <w:tc>
          <w:tcPr>
            <w:tcW w:w="461" w:type="dxa"/>
            <w:vAlign w:val="center"/>
          </w:tcPr>
          <w:p w14:paraId="5520904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1</w:t>
            </w:r>
          </w:p>
        </w:tc>
        <w:tc>
          <w:tcPr>
            <w:tcW w:w="432" w:type="dxa"/>
            <w:vAlign w:val="center"/>
          </w:tcPr>
          <w:p w14:paraId="5D4C526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54022C5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726C915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A0FF71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61861FD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Requerir a la dependencia responsable (oficina de contratación) la agilidad en el proceso de selección de la interventoría. 2. Realizar una correcta planeación del proceso de selección de la interventoría, </w:t>
            </w:r>
            <w:r w:rsidRPr="005234F0">
              <w:rPr>
                <w:rFonts w:ascii="Verdana" w:hAnsi="Verdana"/>
                <w:sz w:val="12"/>
              </w:rPr>
              <w:lastRenderedPageBreak/>
              <w:t>donde la estructuración del mismo obedezca a las características propias del mercado nacional e internacional, con costos actualizados. Adicionalmente es importante implementar requisitos habilitantes que concuerden con la naturaleza del proyecto.</w:t>
            </w:r>
          </w:p>
        </w:tc>
        <w:tc>
          <w:tcPr>
            <w:tcW w:w="461" w:type="dxa"/>
            <w:vAlign w:val="center"/>
          </w:tcPr>
          <w:p w14:paraId="717F6A3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4019CEC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391DFD8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4E9348E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0361B11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5D3CF5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39C7275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publique y adjudique el proceso de interventoría.</w:t>
            </w:r>
          </w:p>
        </w:tc>
        <w:tc>
          <w:tcPr>
            <w:tcW w:w="1008" w:type="dxa"/>
            <w:vAlign w:val="center"/>
          </w:tcPr>
          <w:p w14:paraId="283CCE1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Se debe llevar a cabo un acucioso seguimiento a los requisitos técnicos, jurídicos y financieros </w:t>
            </w:r>
            <w:r w:rsidRPr="005234F0">
              <w:rPr>
                <w:rFonts w:ascii="Verdana" w:hAnsi="Verdana"/>
                <w:sz w:val="12"/>
              </w:rPr>
              <w:lastRenderedPageBreak/>
              <w:t>establecidos para el proceso de selección, acompañando en todo momento la evaluación de las ofertas presentadas.</w:t>
            </w:r>
          </w:p>
        </w:tc>
        <w:tc>
          <w:tcPr>
            <w:tcW w:w="1080" w:type="dxa"/>
            <w:vAlign w:val="center"/>
          </w:tcPr>
          <w:p w14:paraId="3FBACC2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Hasta la celebración del contrato de interventoría</w:t>
            </w:r>
          </w:p>
        </w:tc>
      </w:tr>
      <w:tr w:rsidR="0076567A" w:rsidRPr="005234F0" w14:paraId="6F9E4F5A" w14:textId="77777777" w:rsidTr="0076567A">
        <w:trPr>
          <w:trHeight w:val="466"/>
        </w:trPr>
        <w:tc>
          <w:tcPr>
            <w:tcW w:w="461" w:type="dxa"/>
            <w:vAlign w:val="center"/>
          </w:tcPr>
          <w:p w14:paraId="018C75A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25</w:t>
            </w:r>
          </w:p>
        </w:tc>
        <w:tc>
          <w:tcPr>
            <w:tcW w:w="893" w:type="dxa"/>
            <w:vAlign w:val="center"/>
          </w:tcPr>
          <w:p w14:paraId="048A4DE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8DA6BC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7E65C21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Contratación/Ejecución</w:t>
            </w:r>
          </w:p>
        </w:tc>
        <w:tc>
          <w:tcPr>
            <w:tcW w:w="1224" w:type="dxa"/>
            <w:vAlign w:val="center"/>
          </w:tcPr>
          <w:p w14:paraId="20D3AC3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7381CAB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Disolución del consorcio, unión temporal y/o empresas que contratan con la Entidad Estatal.</w:t>
            </w:r>
          </w:p>
        </w:tc>
        <w:tc>
          <w:tcPr>
            <w:tcW w:w="1368" w:type="dxa"/>
            <w:vAlign w:val="center"/>
          </w:tcPr>
          <w:p w14:paraId="554A8C1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Incumplimiento total o parcial del contrato. 2. Retrasos en la ejecución del contrato. 3. Posible suspensión del contrato.</w:t>
            </w:r>
          </w:p>
        </w:tc>
        <w:tc>
          <w:tcPr>
            <w:tcW w:w="461" w:type="dxa"/>
            <w:vAlign w:val="center"/>
          </w:tcPr>
          <w:p w14:paraId="27EC74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35390E3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68E34C8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72FC2DE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F7B27E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42B7A3E9"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En caso de disolución del consorcio o unión temporal, el contratista deberá resolver la contingencia cediendo el contrato o la participación de alguno de los integrantes, sin afectar el desarrollo de la ejecución del contrato. En caso que no se pueda ceder, se podrá hacer efectiva la garantía de cumplimiento y la entidad realizará la liquidación unilateral del contrato e iniciará un nuevo proceso para terminar el objeto contractual.</w:t>
            </w:r>
          </w:p>
        </w:tc>
        <w:tc>
          <w:tcPr>
            <w:tcW w:w="461" w:type="dxa"/>
            <w:vAlign w:val="center"/>
          </w:tcPr>
          <w:p w14:paraId="1A18024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261D29F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47DF314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5872877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CC4118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8E09F4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6C4BA56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liquidación de contrato.</w:t>
            </w:r>
          </w:p>
        </w:tc>
        <w:tc>
          <w:tcPr>
            <w:tcW w:w="1008" w:type="dxa"/>
            <w:vAlign w:val="center"/>
          </w:tcPr>
          <w:p w14:paraId="2D158A9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por parte del Interventor/Supervisor.</w:t>
            </w:r>
          </w:p>
        </w:tc>
        <w:tc>
          <w:tcPr>
            <w:tcW w:w="1080" w:type="dxa"/>
            <w:vAlign w:val="center"/>
          </w:tcPr>
          <w:p w14:paraId="2E723D1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Cuando se presente el evento</w:t>
            </w:r>
          </w:p>
        </w:tc>
      </w:tr>
      <w:tr w:rsidR="0076567A" w:rsidRPr="005234F0" w14:paraId="3456488F" w14:textId="77777777" w:rsidTr="0076567A">
        <w:trPr>
          <w:trHeight w:val="466"/>
        </w:trPr>
        <w:tc>
          <w:tcPr>
            <w:tcW w:w="461" w:type="dxa"/>
            <w:vAlign w:val="center"/>
          </w:tcPr>
          <w:p w14:paraId="2757322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26</w:t>
            </w:r>
          </w:p>
        </w:tc>
        <w:tc>
          <w:tcPr>
            <w:tcW w:w="893" w:type="dxa"/>
            <w:vAlign w:val="center"/>
          </w:tcPr>
          <w:p w14:paraId="572B986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3E833F0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4C16AB1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CAD80B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4730E37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Posibilidad de hallazgos de redes y o estructuras no identificadas, que deban ser trasladadas o acondicionadas según la necesidad del proyecto.</w:t>
            </w:r>
          </w:p>
        </w:tc>
        <w:tc>
          <w:tcPr>
            <w:tcW w:w="1368" w:type="dxa"/>
            <w:vAlign w:val="center"/>
          </w:tcPr>
          <w:p w14:paraId="39945D3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Sobrecostos o sobre plazos derivados del traslado de redes no identificadas.</w:t>
            </w:r>
          </w:p>
        </w:tc>
        <w:tc>
          <w:tcPr>
            <w:tcW w:w="461" w:type="dxa"/>
            <w:vAlign w:val="center"/>
          </w:tcPr>
          <w:p w14:paraId="0BCA192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63328EE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25A2240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584D7CD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2FBAD21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D1BA177"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Realizar estudios y diseños teniendo en cuenta catastro de redes y diseños existentes que puedan afectar el desarrollo del proyecto. Se precisa que las redes o estructuras no identificadas en la información entregada por la Entidad Estatal y por las empresas de servicios públicos, así como los tiempos de traslado que dependan del operador del servicio, </w:t>
            </w:r>
            <w:r w:rsidRPr="005234F0">
              <w:rPr>
                <w:rFonts w:ascii="Verdana" w:hAnsi="Verdana"/>
                <w:sz w:val="12"/>
              </w:rPr>
              <w:lastRenderedPageBreak/>
              <w:t>se asignan a la Entidad Estatal.</w:t>
            </w:r>
          </w:p>
        </w:tc>
        <w:tc>
          <w:tcPr>
            <w:tcW w:w="461" w:type="dxa"/>
            <w:vAlign w:val="center"/>
          </w:tcPr>
          <w:p w14:paraId="180E208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7102D42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1490BDD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0FCFE8C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622D87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1D623F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3F2EAE6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Al finalizar la obra.</w:t>
            </w:r>
          </w:p>
        </w:tc>
        <w:tc>
          <w:tcPr>
            <w:tcW w:w="1008" w:type="dxa"/>
            <w:vAlign w:val="center"/>
          </w:tcPr>
          <w:p w14:paraId="7CE62A1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La interventoría deberá realizar el seguimiento durante la etapa de diseño cuando se realice el replanteo y localización, además de tener un control y seguimiento </w:t>
            </w:r>
            <w:r w:rsidRPr="005234F0">
              <w:rPr>
                <w:rFonts w:ascii="Verdana" w:hAnsi="Verdana"/>
                <w:sz w:val="12"/>
              </w:rPr>
              <w:lastRenderedPageBreak/>
              <w:t>durante la ejecución de las redes del proyecto.</w:t>
            </w:r>
          </w:p>
        </w:tc>
        <w:tc>
          <w:tcPr>
            <w:tcW w:w="1080" w:type="dxa"/>
            <w:vAlign w:val="center"/>
          </w:tcPr>
          <w:p w14:paraId="24E9B1C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Permanente</w:t>
            </w:r>
          </w:p>
        </w:tc>
      </w:tr>
      <w:tr w:rsidR="0076567A" w:rsidRPr="005234F0" w14:paraId="49A2EC41" w14:textId="77777777" w:rsidTr="0076567A">
        <w:trPr>
          <w:trHeight w:val="466"/>
        </w:trPr>
        <w:tc>
          <w:tcPr>
            <w:tcW w:w="461" w:type="dxa"/>
            <w:vAlign w:val="center"/>
          </w:tcPr>
          <w:p w14:paraId="6D2A55F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27</w:t>
            </w:r>
          </w:p>
        </w:tc>
        <w:tc>
          <w:tcPr>
            <w:tcW w:w="893" w:type="dxa"/>
            <w:vAlign w:val="center"/>
          </w:tcPr>
          <w:p w14:paraId="0C2FB6A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1D7FC04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4900047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w:t>
            </w:r>
          </w:p>
        </w:tc>
        <w:tc>
          <w:tcPr>
            <w:tcW w:w="1224" w:type="dxa"/>
            <w:vAlign w:val="center"/>
          </w:tcPr>
          <w:p w14:paraId="20B8043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4E85F07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Demoras en trámites precontractuales, por falta disponibilidad presupuestal, por no presentación a tiempo del estudio previo o por valor de convenio que no satisface la expectativa del contratista.</w:t>
            </w:r>
          </w:p>
        </w:tc>
        <w:tc>
          <w:tcPr>
            <w:tcW w:w="1368" w:type="dxa"/>
            <w:vAlign w:val="center"/>
          </w:tcPr>
          <w:p w14:paraId="0367F50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No suscripción del contrato y/o declaratoria de desierto del proceso. 2. No se satisfacen las necesidades de la Entidad Estatal (misión, objetivos y/o metas institucionales). 3. Posible costo social por la no ejecución del proceso de contratación; así como un costo de oportunidad que afectaría reputacional y económicamente a la Entidad Estatal.</w:t>
            </w:r>
          </w:p>
        </w:tc>
        <w:tc>
          <w:tcPr>
            <w:tcW w:w="461" w:type="dxa"/>
            <w:vAlign w:val="center"/>
          </w:tcPr>
          <w:p w14:paraId="4630E76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5D2A92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453DF73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7541D55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79A34F9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09302E0B"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Estimación adecuada de las necesidades de la entidad, a través del análisis de conveniencia y oportunidad, especialmente en los temas técnicos y financieros, los cuales dependerán de la realización de un análisis del sector de fondo que permita verificar el mercado y así garantizar la pluralidad de oferentes. 2. Seguimiento de cronogramas del proceso de contratación. 3. Revisión exhaustiva del estudio previo y análisis del sector por parte de la dependencia correspondiente.</w:t>
            </w:r>
          </w:p>
        </w:tc>
        <w:tc>
          <w:tcPr>
            <w:tcW w:w="461" w:type="dxa"/>
            <w:vAlign w:val="center"/>
          </w:tcPr>
          <w:p w14:paraId="186310A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2B83649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6AB5A62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55B3143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21B156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7410528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313ADD8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finalización del plazo de ejecución.</w:t>
            </w:r>
          </w:p>
        </w:tc>
        <w:tc>
          <w:tcPr>
            <w:tcW w:w="1008" w:type="dxa"/>
            <w:vAlign w:val="center"/>
          </w:tcPr>
          <w:p w14:paraId="3A51982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Control de tiempos, calidad y completitud de estudios previos y demás documentos precontractuales.</w:t>
            </w:r>
          </w:p>
        </w:tc>
        <w:tc>
          <w:tcPr>
            <w:tcW w:w="1080" w:type="dxa"/>
            <w:vAlign w:val="center"/>
          </w:tcPr>
          <w:p w14:paraId="6747D42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etapa de planeación</w:t>
            </w:r>
          </w:p>
        </w:tc>
      </w:tr>
      <w:tr w:rsidR="0076567A" w:rsidRPr="005234F0" w14:paraId="2473C6AB" w14:textId="77777777" w:rsidTr="0076567A">
        <w:trPr>
          <w:trHeight w:val="466"/>
        </w:trPr>
        <w:tc>
          <w:tcPr>
            <w:tcW w:w="461" w:type="dxa"/>
            <w:vAlign w:val="center"/>
          </w:tcPr>
          <w:p w14:paraId="0A4E5EC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28</w:t>
            </w:r>
          </w:p>
        </w:tc>
        <w:tc>
          <w:tcPr>
            <w:tcW w:w="893" w:type="dxa"/>
            <w:vAlign w:val="center"/>
          </w:tcPr>
          <w:p w14:paraId="7B96674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4052C7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586CB7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F39251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4E51DE4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Deficiente interventoría, por autorizar y/o aprobar la ejecución de obras que contravienen los cálculos y/o estudios y/o diseños aprobados; por autorizar y/o aprobar la construcción de obras con cálculos y/o estudios y/o diseños deficientes realizados por el contratista de obra.</w:t>
            </w:r>
          </w:p>
        </w:tc>
        <w:tc>
          <w:tcPr>
            <w:tcW w:w="1368" w:type="dxa"/>
            <w:vAlign w:val="center"/>
          </w:tcPr>
          <w:p w14:paraId="35C8C5F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Obras deficientes, ya sea en calidad, estabilidad, durabilidad y/o funcionalidad.</w:t>
            </w:r>
          </w:p>
        </w:tc>
        <w:tc>
          <w:tcPr>
            <w:tcW w:w="461" w:type="dxa"/>
            <w:vAlign w:val="center"/>
          </w:tcPr>
          <w:p w14:paraId="725FB12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5C1D15B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62D7E06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0EC7D89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3CCA2D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1742" w:type="dxa"/>
            <w:vAlign w:val="center"/>
          </w:tcPr>
          <w:p w14:paraId="7C8F3232"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Validación de la información recolectada con el supervisor del contrato con relación a los informes mensuales, donde se evidencien los avances y adelantos relacionados con la ejecución de la interventoría; para tal efecto el contratista deberá ajustar, cambiar los conceptos cuantas veces sea necesario hasta alcanzar su cumplimiento técnico. 2. Con base en estudios y diseños confiables autorizar las obras respectivas; en caso de </w:t>
            </w:r>
            <w:r w:rsidRPr="005234F0">
              <w:rPr>
                <w:rFonts w:ascii="Verdana" w:hAnsi="Verdana"/>
                <w:sz w:val="12"/>
              </w:rPr>
              <w:lastRenderedPageBreak/>
              <w:t>requerirse algún ajuste a los mismos por imprevistos encontrados en la ejecución de las obras, justificar, soportar y documentar técnicamente los cambios requeridos. 3. Realizar seguimiento permanente y revisión detallada por parte del interventor con sus especialistas de estudios y diseños y/o elaboración de estudios complementarios, para evitar que resulten deficientes y/o incompletos y/o adversos para el proyecto.</w:t>
            </w:r>
          </w:p>
        </w:tc>
        <w:tc>
          <w:tcPr>
            <w:tcW w:w="461" w:type="dxa"/>
            <w:vAlign w:val="center"/>
          </w:tcPr>
          <w:p w14:paraId="1C85953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4BB9110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15CE208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1FC32B6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D65872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AFFCB5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2228F4C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finalización del plazo de ejecución.</w:t>
            </w:r>
          </w:p>
        </w:tc>
        <w:tc>
          <w:tcPr>
            <w:tcW w:w="1008" w:type="dxa"/>
            <w:vAlign w:val="center"/>
          </w:tcPr>
          <w:p w14:paraId="1843D2F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y revisión del cumplimiento de requisitos técnicos.</w:t>
            </w:r>
          </w:p>
        </w:tc>
        <w:tc>
          <w:tcPr>
            <w:tcW w:w="1080" w:type="dxa"/>
            <w:vAlign w:val="center"/>
          </w:tcPr>
          <w:p w14:paraId="7D00D83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Semanal</w:t>
            </w:r>
          </w:p>
        </w:tc>
      </w:tr>
      <w:tr w:rsidR="0076567A" w:rsidRPr="005234F0" w14:paraId="4800D82B" w14:textId="77777777" w:rsidTr="0076567A">
        <w:trPr>
          <w:trHeight w:val="466"/>
        </w:trPr>
        <w:tc>
          <w:tcPr>
            <w:tcW w:w="461" w:type="dxa"/>
            <w:vAlign w:val="center"/>
          </w:tcPr>
          <w:p w14:paraId="08995E5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29</w:t>
            </w:r>
          </w:p>
        </w:tc>
        <w:tc>
          <w:tcPr>
            <w:tcW w:w="893" w:type="dxa"/>
            <w:vAlign w:val="center"/>
          </w:tcPr>
          <w:p w14:paraId="7EC62A9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35CD90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BFE598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7BD592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5612D19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Demoras en los trámites de importación de insumos y/o materiales requeridos y todos aquellos procedimientos necesarios para la entrega y puesta en marcha de la obra.</w:t>
            </w:r>
          </w:p>
        </w:tc>
        <w:tc>
          <w:tcPr>
            <w:tcW w:w="1368" w:type="dxa"/>
            <w:vAlign w:val="center"/>
          </w:tcPr>
          <w:p w14:paraId="2B004BB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Posibles sobrecostos al proyecto.</w:t>
            </w:r>
          </w:p>
        </w:tc>
        <w:tc>
          <w:tcPr>
            <w:tcW w:w="461" w:type="dxa"/>
            <w:vAlign w:val="center"/>
          </w:tcPr>
          <w:p w14:paraId="4564FFC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4EB612E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3A00AB1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46B09CD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007EF91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2226DEA5"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Contar con el personal capacitado en la supervisión del proceso de importación y/o trámites necesarios para el desarrollo de la obra.</w:t>
            </w:r>
          </w:p>
        </w:tc>
        <w:tc>
          <w:tcPr>
            <w:tcW w:w="461" w:type="dxa"/>
            <w:vAlign w:val="center"/>
          </w:tcPr>
          <w:p w14:paraId="48381A0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2B4AC1A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6DF46D5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5514D4D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B3520C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60375DB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950" w:type="dxa"/>
            <w:vAlign w:val="center"/>
          </w:tcPr>
          <w:p w14:paraId="471407A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6675A1D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Reuniones constantes entre las partes interesadas en el proceso de importación y trámites.</w:t>
            </w:r>
          </w:p>
        </w:tc>
        <w:tc>
          <w:tcPr>
            <w:tcW w:w="1080" w:type="dxa"/>
            <w:vAlign w:val="center"/>
          </w:tcPr>
          <w:p w14:paraId="49CFE7E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5107F861" w14:textId="77777777" w:rsidTr="0076567A">
        <w:trPr>
          <w:trHeight w:val="466"/>
        </w:trPr>
        <w:tc>
          <w:tcPr>
            <w:tcW w:w="461" w:type="dxa"/>
            <w:vAlign w:val="center"/>
          </w:tcPr>
          <w:p w14:paraId="6371D37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30</w:t>
            </w:r>
          </w:p>
        </w:tc>
        <w:tc>
          <w:tcPr>
            <w:tcW w:w="893" w:type="dxa"/>
            <w:vAlign w:val="center"/>
          </w:tcPr>
          <w:p w14:paraId="20CB7BD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395BA72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C27484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A0D64F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Operacionales/Financieros</w:t>
            </w:r>
          </w:p>
        </w:tc>
        <w:tc>
          <w:tcPr>
            <w:tcW w:w="1742" w:type="dxa"/>
            <w:vAlign w:val="center"/>
          </w:tcPr>
          <w:p w14:paraId="4EE87F3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Acciones de fraude en el manejo de recursos y/o insumos destinados a las obras por parte del contratista, ya sea en aspectos financieros, facturaciones o en la calidad y cantidad de materiales sin justificar.</w:t>
            </w:r>
          </w:p>
        </w:tc>
        <w:tc>
          <w:tcPr>
            <w:tcW w:w="1368" w:type="dxa"/>
            <w:vAlign w:val="center"/>
          </w:tcPr>
          <w:p w14:paraId="48659FD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Suspensión o terminación del contrato. 2. Incumplimiento total o parcial del contrato. 3. En caso de ser necesario, la Entidad Estatal podrá hacer efectiva la garantía de cumplimiento.</w:t>
            </w:r>
          </w:p>
        </w:tc>
        <w:tc>
          <w:tcPr>
            <w:tcW w:w="461" w:type="dxa"/>
            <w:vAlign w:val="center"/>
          </w:tcPr>
          <w:p w14:paraId="7DB12DA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11305A6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0707C31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4FD4BF6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2FC0593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1742" w:type="dxa"/>
            <w:vAlign w:val="center"/>
          </w:tcPr>
          <w:p w14:paraId="012A872B"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Aplicación de las garantías de cumplimiento (declaratoria de incumplimiento, caducidad del contrato, imposición de multas y efectividad de la cláusula penal). 2. Suscripción de compromiso anticorrupción por parte del proponente en el que manifiesta el conocimiento de la ley nacional y sus consecuencias, </w:t>
            </w:r>
            <w:r w:rsidRPr="005234F0">
              <w:rPr>
                <w:rFonts w:ascii="Verdana" w:hAnsi="Verdana"/>
                <w:sz w:val="12"/>
              </w:rPr>
              <w:lastRenderedPageBreak/>
              <w:t>socialización con sus socios, colaboradores, trabajadores y agentes. 3. Establecer veedurías y auditorías con peritos que den fe de su adecuada o anómala gestión, suscribir pactos o compromisos de integridad, estudio de las ofertas o propuestas no solo por la optimización de precios, sino además por calidad, desempeño y ejecución final de la obra o servicio.</w:t>
            </w:r>
          </w:p>
        </w:tc>
        <w:tc>
          <w:tcPr>
            <w:tcW w:w="461" w:type="dxa"/>
            <w:vAlign w:val="center"/>
          </w:tcPr>
          <w:p w14:paraId="5790325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51E83CE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557439B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66D5E66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6F4287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FC09E5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2B8846C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261016D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Supervisión de cada una de las actuaciones de los participantes de las obras.</w:t>
            </w:r>
          </w:p>
        </w:tc>
        <w:tc>
          <w:tcPr>
            <w:tcW w:w="1080" w:type="dxa"/>
            <w:vAlign w:val="center"/>
          </w:tcPr>
          <w:p w14:paraId="5248E1B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34197D41" w14:textId="77777777" w:rsidTr="0076567A">
        <w:trPr>
          <w:trHeight w:val="466"/>
        </w:trPr>
        <w:tc>
          <w:tcPr>
            <w:tcW w:w="461" w:type="dxa"/>
            <w:vAlign w:val="center"/>
          </w:tcPr>
          <w:p w14:paraId="39D0855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31</w:t>
            </w:r>
          </w:p>
        </w:tc>
        <w:tc>
          <w:tcPr>
            <w:tcW w:w="893" w:type="dxa"/>
            <w:vAlign w:val="center"/>
          </w:tcPr>
          <w:p w14:paraId="0F984E3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60FD9E9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7CBA2EC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Todas</w:t>
            </w:r>
          </w:p>
        </w:tc>
        <w:tc>
          <w:tcPr>
            <w:tcW w:w="1224" w:type="dxa"/>
            <w:vAlign w:val="center"/>
          </w:tcPr>
          <w:p w14:paraId="0DA1179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w:t>
            </w:r>
          </w:p>
        </w:tc>
        <w:tc>
          <w:tcPr>
            <w:tcW w:w="1742" w:type="dxa"/>
            <w:vAlign w:val="center"/>
          </w:tcPr>
          <w:p w14:paraId="781264B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Cambios regulatorios de carácter normativo nacional y/o distrital que afecten el proyecto o las condiciones para la adquisición o la prestación del servicio, incluyendo cualquier creación, supresión y modificación tributaria, arancelaria que se presente desde el momento de la presentación de la propuesta hasta la terminación de la ejecución del contrato.</w:t>
            </w:r>
          </w:p>
        </w:tc>
        <w:tc>
          <w:tcPr>
            <w:tcW w:w="1368" w:type="dxa"/>
            <w:vAlign w:val="center"/>
          </w:tcPr>
          <w:p w14:paraId="74AE225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Sobrecostos de carácter tributario que puedan generar un incremento en las estimaciones de la estructuración del proyecto, bien o servicio lo que impide su finalización con los recursos presupuestados, afectando a cualquiera o a las dos partes del contrato.</w:t>
            </w:r>
          </w:p>
        </w:tc>
        <w:tc>
          <w:tcPr>
            <w:tcW w:w="461" w:type="dxa"/>
            <w:vAlign w:val="center"/>
          </w:tcPr>
          <w:p w14:paraId="5768FCA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71B1C61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4C0A6E3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47336E5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B1C5C6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A1133EF"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Realizar análisis de sensibilidad a posibles cambios en las condiciones regulatorias para evaluar como estos pueden afectar las estimaciones presupuestarias del proyecto. Las partes deben conocer acatar e implementar la normatividad técnica vigente o aceptar el riesgo y verificar las condiciones del contrato.</w:t>
            </w:r>
          </w:p>
        </w:tc>
        <w:tc>
          <w:tcPr>
            <w:tcW w:w="461" w:type="dxa"/>
            <w:vAlign w:val="center"/>
          </w:tcPr>
          <w:p w14:paraId="710215D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780DA86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3F0297F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618DA8A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28B6C5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09C88B3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950" w:type="dxa"/>
            <w:vAlign w:val="center"/>
          </w:tcPr>
          <w:p w14:paraId="6D90B01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Al terminar la ejecución del contrato.</w:t>
            </w:r>
          </w:p>
        </w:tc>
        <w:tc>
          <w:tcPr>
            <w:tcW w:w="1008" w:type="dxa"/>
            <w:vAlign w:val="center"/>
          </w:tcPr>
          <w:p w14:paraId="62C1362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Estar al día con la vigencia de la normatividad que regula la materia y las reformas presentadas.</w:t>
            </w:r>
          </w:p>
        </w:tc>
        <w:tc>
          <w:tcPr>
            <w:tcW w:w="1080" w:type="dxa"/>
            <w:vAlign w:val="center"/>
          </w:tcPr>
          <w:p w14:paraId="29476C7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Mensual/Cada vez que se produzca un cambio en la normatividad</w:t>
            </w:r>
          </w:p>
        </w:tc>
      </w:tr>
      <w:tr w:rsidR="0076567A" w:rsidRPr="005234F0" w14:paraId="25212172" w14:textId="77777777" w:rsidTr="0076567A">
        <w:trPr>
          <w:trHeight w:val="466"/>
        </w:trPr>
        <w:tc>
          <w:tcPr>
            <w:tcW w:w="461" w:type="dxa"/>
            <w:vAlign w:val="center"/>
          </w:tcPr>
          <w:p w14:paraId="50E706E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32</w:t>
            </w:r>
          </w:p>
        </w:tc>
        <w:tc>
          <w:tcPr>
            <w:tcW w:w="893" w:type="dxa"/>
            <w:vAlign w:val="center"/>
          </w:tcPr>
          <w:p w14:paraId="4A0068B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CBD1E8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4E49CF4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0A2B32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Regulatorios/Financieros</w:t>
            </w:r>
          </w:p>
        </w:tc>
        <w:tc>
          <w:tcPr>
            <w:tcW w:w="1742" w:type="dxa"/>
            <w:vAlign w:val="center"/>
          </w:tcPr>
          <w:p w14:paraId="7CBF0A5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Cambios en estudios y/o diseños (posterior a la firma del contrato) por deficiencia de los mismos, actualizaciones de normativa técnica (NSR, norma urbana aprobada en el Plan Parcial, entre otras), entre otros factores que sean necesarios e indispensables considerar para garantizar la estabilidad, </w:t>
            </w:r>
            <w:r w:rsidRPr="005234F0">
              <w:rPr>
                <w:rFonts w:ascii="Verdana" w:hAnsi="Verdana"/>
                <w:sz w:val="12"/>
              </w:rPr>
              <w:lastRenderedPageBreak/>
              <w:t>funcionalidad, eficacia y/o eficiencia de la obra.</w:t>
            </w:r>
          </w:p>
        </w:tc>
        <w:tc>
          <w:tcPr>
            <w:tcW w:w="1368" w:type="dxa"/>
            <w:vAlign w:val="center"/>
          </w:tcPr>
          <w:p w14:paraId="47FCE0DC"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1. Retrasos en la ejecución del contrato, reprogramación de cronogramas y posible ampliación de los plazos de ejecución. 2. Incremento costos en la mano de obra, bienes o servicios, etc.</w:t>
            </w:r>
          </w:p>
        </w:tc>
        <w:tc>
          <w:tcPr>
            <w:tcW w:w="461" w:type="dxa"/>
            <w:vAlign w:val="center"/>
          </w:tcPr>
          <w:p w14:paraId="4B4B25E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1CFAABF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57A33B4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2C250C6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458779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70F0EF5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Reajustes a las condiciones iníciales del contrato y técnicas del proyecto, revisión y control de las posibles modificaciones en el proyecto. 2. Realizar seguimiento a los proyectos de norma, decreto o Ley que pueda generar la ocurrencia de este evento. 3. Implementación de las normas aplicables </w:t>
            </w:r>
            <w:r w:rsidRPr="005234F0">
              <w:rPr>
                <w:rFonts w:ascii="Verdana" w:hAnsi="Verdana"/>
                <w:sz w:val="12"/>
              </w:rPr>
              <w:lastRenderedPageBreak/>
              <w:t>vigentes al proceso contractual.</w:t>
            </w:r>
          </w:p>
        </w:tc>
        <w:tc>
          <w:tcPr>
            <w:tcW w:w="461" w:type="dxa"/>
            <w:vAlign w:val="center"/>
          </w:tcPr>
          <w:p w14:paraId="6619BBE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0449B5A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1AC9A3E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44A09FA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611A2E0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46574C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Estatal/Interventor</w:t>
            </w:r>
          </w:p>
        </w:tc>
        <w:tc>
          <w:tcPr>
            <w:tcW w:w="950" w:type="dxa"/>
            <w:vAlign w:val="center"/>
          </w:tcPr>
          <w:p w14:paraId="033DB7C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Al finalizar la obra.</w:t>
            </w:r>
          </w:p>
        </w:tc>
        <w:tc>
          <w:tcPr>
            <w:tcW w:w="1008" w:type="dxa"/>
            <w:vAlign w:val="center"/>
          </w:tcPr>
          <w:p w14:paraId="71C0440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Evaluar la variación de las actividades presupuestadas, mediante un continuo monitoreo de las normas técnicas que rigen la materia </w:t>
            </w:r>
            <w:r w:rsidRPr="005234F0">
              <w:rPr>
                <w:rFonts w:ascii="Verdana" w:hAnsi="Verdana"/>
                <w:sz w:val="12"/>
              </w:rPr>
              <w:lastRenderedPageBreak/>
              <w:t>durante la ejecución del proyecto.</w:t>
            </w:r>
          </w:p>
        </w:tc>
        <w:tc>
          <w:tcPr>
            <w:tcW w:w="1080" w:type="dxa"/>
            <w:vAlign w:val="center"/>
          </w:tcPr>
          <w:p w14:paraId="77FFA31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Cuando se requiera el tratamiento</w:t>
            </w:r>
          </w:p>
        </w:tc>
      </w:tr>
      <w:tr w:rsidR="0076567A" w:rsidRPr="005234F0" w14:paraId="0CD431CF" w14:textId="77777777" w:rsidTr="0076567A">
        <w:trPr>
          <w:trHeight w:val="466"/>
        </w:trPr>
        <w:tc>
          <w:tcPr>
            <w:tcW w:w="461" w:type="dxa"/>
            <w:vAlign w:val="center"/>
          </w:tcPr>
          <w:p w14:paraId="030CD5C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33</w:t>
            </w:r>
          </w:p>
        </w:tc>
        <w:tc>
          <w:tcPr>
            <w:tcW w:w="893" w:type="dxa"/>
            <w:vAlign w:val="center"/>
          </w:tcPr>
          <w:p w14:paraId="1E71F21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1460F1B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6625BB0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Selección</w:t>
            </w:r>
          </w:p>
        </w:tc>
        <w:tc>
          <w:tcPr>
            <w:tcW w:w="1224" w:type="dxa"/>
            <w:vAlign w:val="center"/>
          </w:tcPr>
          <w:p w14:paraId="50856C5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Regulatorios/Financieros</w:t>
            </w:r>
          </w:p>
        </w:tc>
        <w:tc>
          <w:tcPr>
            <w:tcW w:w="1742" w:type="dxa"/>
            <w:vAlign w:val="center"/>
          </w:tcPr>
          <w:p w14:paraId="299AFDA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Falta de capacidad de la Entidad Estatal para promover y adelantar la selección del contratista, incluyendo el riesgo de optar por una modalidad de contratación no adecuada para el bien o servicio necesitado, seleccionar aquellos que no cumplan con la totalidad de las condiciones, jurídicas, técnicas o financieras y/o requisitos habilitantes o se encuentren incursos en alguna inhabilidad o incompatibilidad</w:t>
            </w:r>
          </w:p>
        </w:tc>
        <w:tc>
          <w:tcPr>
            <w:tcW w:w="1368" w:type="dxa"/>
            <w:vAlign w:val="center"/>
          </w:tcPr>
          <w:p w14:paraId="3A02EA8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Declaración de desierta del proceso. 2. Investigaciones disciplinarias y fiscales. 3. Errónea selección del contratista. 4. Poca participación de proponentes.</w:t>
            </w:r>
          </w:p>
        </w:tc>
        <w:tc>
          <w:tcPr>
            <w:tcW w:w="461" w:type="dxa"/>
            <w:vAlign w:val="center"/>
          </w:tcPr>
          <w:p w14:paraId="1CEB3F1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07E0223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3C8E193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269F60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611048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75E669AE"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Conformar un equipo capacitado en todos los aspectos (jurídicos, técnicos, financieros, etc.) para evaluar las ofertas y seleccionar apropiadamente al contratista. 2. Asegurar que el proceso de selección del contratista cumple con los parámetros legales y buenas prácticas para ser un proceso transparente. 3. Establecimiento de condiciones de selección que garanticen pluralidad de oferentes. 4. Análisis y consideración de las observaciones presentadas por los posibles interesados, así como revisión de invitación para verificar que las mismas sean claras, precisas y no induzcan a error. 5. Comprobar la pertinencia de la modalidad de contratación frente a la relación tiempo - coste esperada y la exigencia legal para el caso.</w:t>
            </w:r>
          </w:p>
        </w:tc>
        <w:tc>
          <w:tcPr>
            <w:tcW w:w="461" w:type="dxa"/>
            <w:vAlign w:val="center"/>
          </w:tcPr>
          <w:p w14:paraId="2371277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4704697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0F4F7EA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77BBC1B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7904320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No</w:t>
            </w:r>
          </w:p>
        </w:tc>
        <w:tc>
          <w:tcPr>
            <w:tcW w:w="979" w:type="dxa"/>
            <w:vAlign w:val="center"/>
          </w:tcPr>
          <w:p w14:paraId="3100CDC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950" w:type="dxa"/>
            <w:vAlign w:val="center"/>
          </w:tcPr>
          <w:p w14:paraId="06E40A6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Una vez se legalice contrato.</w:t>
            </w:r>
          </w:p>
        </w:tc>
        <w:tc>
          <w:tcPr>
            <w:tcW w:w="1008" w:type="dxa"/>
            <w:vAlign w:val="center"/>
          </w:tcPr>
          <w:p w14:paraId="75704F4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Mediante la verificación de la formación y experiencia del equipo evaluador y revisión de estudios previos.</w:t>
            </w:r>
          </w:p>
        </w:tc>
        <w:tc>
          <w:tcPr>
            <w:tcW w:w="1080" w:type="dxa"/>
            <w:vAlign w:val="center"/>
          </w:tcPr>
          <w:p w14:paraId="709E87F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la etapa de planeación y selección del contratista</w:t>
            </w:r>
          </w:p>
        </w:tc>
      </w:tr>
      <w:tr w:rsidR="0076567A" w:rsidRPr="005234F0" w14:paraId="2032242B" w14:textId="77777777" w:rsidTr="0076567A">
        <w:trPr>
          <w:trHeight w:val="466"/>
        </w:trPr>
        <w:tc>
          <w:tcPr>
            <w:tcW w:w="461" w:type="dxa"/>
            <w:vAlign w:val="center"/>
          </w:tcPr>
          <w:p w14:paraId="4387828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34</w:t>
            </w:r>
          </w:p>
        </w:tc>
        <w:tc>
          <w:tcPr>
            <w:tcW w:w="893" w:type="dxa"/>
            <w:vAlign w:val="center"/>
          </w:tcPr>
          <w:p w14:paraId="40A754F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6E72DB4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4753D77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67DB69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Regulatorios/Operacionales</w:t>
            </w:r>
          </w:p>
        </w:tc>
        <w:tc>
          <w:tcPr>
            <w:tcW w:w="1742" w:type="dxa"/>
            <w:vAlign w:val="center"/>
          </w:tcPr>
          <w:p w14:paraId="4FD287D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Demoras/falta de gestión en la entrega de información o permisos/autorizaciones (no ambientales) por parte de un tercero o de entidades públicas que generan inoportunidad en el cumplimiento del contrato.</w:t>
            </w:r>
          </w:p>
        </w:tc>
        <w:tc>
          <w:tcPr>
            <w:tcW w:w="1368" w:type="dxa"/>
            <w:vAlign w:val="center"/>
          </w:tcPr>
          <w:p w14:paraId="5AB1F39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1. Retrasos en la ejecución del contrato, reprogramación de cronogramas y posible ampliación de los plazos de ejecución. 2. Posibles sobrecostos al </w:t>
            </w:r>
            <w:r w:rsidRPr="005234F0">
              <w:rPr>
                <w:rFonts w:ascii="Verdana" w:hAnsi="Verdana"/>
                <w:sz w:val="12"/>
              </w:rPr>
              <w:lastRenderedPageBreak/>
              <w:t>presupuesto del proyecto.</w:t>
            </w:r>
          </w:p>
        </w:tc>
        <w:tc>
          <w:tcPr>
            <w:tcW w:w="461" w:type="dxa"/>
            <w:vAlign w:val="center"/>
          </w:tcPr>
          <w:p w14:paraId="77DA88F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15C59D3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592DEC7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51D5CA7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1C49E9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3F0476D2"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Verificar los tiempos de respuesta de las entidades públicas o terceros involucrados en el proyecto con el objeto de no perjudicar los tiempos de ejecución contractual. Se precisa que la demora imputable a la autoridad </w:t>
            </w:r>
            <w:r w:rsidRPr="005234F0">
              <w:rPr>
                <w:rFonts w:ascii="Verdana" w:hAnsi="Verdana"/>
                <w:sz w:val="12"/>
              </w:rPr>
              <w:lastRenderedPageBreak/>
              <w:t>competente o a un tercero, y no a la gestión del contratista, se asigna a la Entidad Estatal conforme al Riesgo No. 55.</w:t>
            </w:r>
          </w:p>
        </w:tc>
        <w:tc>
          <w:tcPr>
            <w:tcW w:w="461" w:type="dxa"/>
            <w:vAlign w:val="center"/>
          </w:tcPr>
          <w:p w14:paraId="294F351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5EB3EB2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3750009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332A1A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86F66F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04CEFF6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Supervisor/Interventor/Contratista</w:t>
            </w:r>
          </w:p>
        </w:tc>
        <w:tc>
          <w:tcPr>
            <w:tcW w:w="950" w:type="dxa"/>
            <w:vAlign w:val="center"/>
          </w:tcPr>
          <w:p w14:paraId="142815A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60D3E40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Monitoreo por parte de interventoría de los tiempos establecidos para la gestión de los permisos.</w:t>
            </w:r>
          </w:p>
        </w:tc>
        <w:tc>
          <w:tcPr>
            <w:tcW w:w="1080" w:type="dxa"/>
            <w:vAlign w:val="center"/>
          </w:tcPr>
          <w:p w14:paraId="3BE01FD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5736608A" w14:textId="77777777" w:rsidTr="0076567A">
        <w:trPr>
          <w:trHeight w:val="466"/>
        </w:trPr>
        <w:tc>
          <w:tcPr>
            <w:tcW w:w="461" w:type="dxa"/>
            <w:vAlign w:val="center"/>
          </w:tcPr>
          <w:p w14:paraId="3EA24DC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35</w:t>
            </w:r>
          </w:p>
        </w:tc>
        <w:tc>
          <w:tcPr>
            <w:tcW w:w="893" w:type="dxa"/>
            <w:vAlign w:val="center"/>
          </w:tcPr>
          <w:p w14:paraId="738EA20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1EC005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15D5592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34C90CD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1FFDB93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Cambios en la situación política y/o alteraciones de orden público como: huelgas, manifestaciones, disturbios, asonadas, paros, actos terroristas, entre otros hechos que tengan impacto en el área de influencia de las obras.</w:t>
            </w:r>
          </w:p>
        </w:tc>
        <w:tc>
          <w:tcPr>
            <w:tcW w:w="1368" w:type="dxa"/>
            <w:vAlign w:val="center"/>
          </w:tcPr>
          <w:p w14:paraId="63B7668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Inconformidad de contratistas. 3. Sobrecostos al presupuesto del proyecto. 4. Posible pérdida de bienes/materiales de construcción de la obra. 5. Posibles daños en la obras del proyecto y/o a los trabajadores.</w:t>
            </w:r>
          </w:p>
        </w:tc>
        <w:tc>
          <w:tcPr>
            <w:tcW w:w="461" w:type="dxa"/>
            <w:vAlign w:val="center"/>
          </w:tcPr>
          <w:p w14:paraId="0DE4D99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1F7CC84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111B414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5DA313B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5437F05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010B9DBC"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Recopilar antecedentes e información estadística a partir de fuentes oficiales durante la etapa precontractual y contractual, sobre la posibilidad de ocurrencia de hechos de alteraciones de orden público en la zona de influencia de las obras con el fin de advertir oportunamente sobre su interferencia con el proyecto y tomar </w:t>
            </w:r>
            <w:proofErr w:type="gramStart"/>
            <w:r w:rsidRPr="005234F0">
              <w:rPr>
                <w:rFonts w:ascii="Verdana" w:hAnsi="Verdana"/>
                <w:sz w:val="12"/>
              </w:rPr>
              <w:t>las medidas tendiente</w:t>
            </w:r>
            <w:proofErr w:type="gramEnd"/>
            <w:r w:rsidRPr="005234F0">
              <w:rPr>
                <w:rFonts w:ascii="Verdana" w:hAnsi="Verdana"/>
                <w:sz w:val="12"/>
              </w:rPr>
              <w:t xml:space="preserve"> a mitigar el impacto. 2. Informar a las autoridades competentes la novedad sobre orden público en la zona de influencia de las obras y proteger a sus colaboradores y los bienes puestos al servicio del contrato. De ser necesario, el contratante realizará la solicitud a las autoridades a fin de que se llegue a soluciones que permitan la continuidad en la ejecución del contrato. El contratista de Obra e Interventor deberán adoptar medidas de contingencia para superar los atrasos. 3. Elaboración e implementación de </w:t>
            </w:r>
            <w:r w:rsidRPr="005234F0">
              <w:rPr>
                <w:rFonts w:ascii="Verdana" w:hAnsi="Verdana"/>
                <w:sz w:val="12"/>
              </w:rPr>
              <w:lastRenderedPageBreak/>
              <w:t>planes de contingencia, por parte del contratista y seguimiento por parte del contratante.</w:t>
            </w:r>
          </w:p>
        </w:tc>
        <w:tc>
          <w:tcPr>
            <w:tcW w:w="461" w:type="dxa"/>
            <w:vAlign w:val="center"/>
          </w:tcPr>
          <w:p w14:paraId="35AEF94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149D292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6C4089B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02F1304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79D660D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04F2AA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6822FDF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21769FC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Mediante una continua comunicación entre el contratista/interventor/supervisor y a partir de la información obtenida al respecto de los sucesos con el fin de definir acciones de mitigación que garanticen la ejecución del proyecto.</w:t>
            </w:r>
          </w:p>
        </w:tc>
        <w:tc>
          <w:tcPr>
            <w:tcW w:w="1080" w:type="dxa"/>
            <w:vAlign w:val="center"/>
          </w:tcPr>
          <w:p w14:paraId="5EDCC9C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la etapa de planeación y ejecución cuando se presente el evento</w:t>
            </w:r>
          </w:p>
        </w:tc>
      </w:tr>
      <w:tr w:rsidR="0076567A" w:rsidRPr="005234F0" w14:paraId="36FED52C" w14:textId="77777777" w:rsidTr="0076567A">
        <w:trPr>
          <w:trHeight w:val="466"/>
        </w:trPr>
        <w:tc>
          <w:tcPr>
            <w:tcW w:w="461" w:type="dxa"/>
            <w:vAlign w:val="center"/>
          </w:tcPr>
          <w:p w14:paraId="5C22684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36</w:t>
            </w:r>
          </w:p>
        </w:tc>
        <w:tc>
          <w:tcPr>
            <w:tcW w:w="893" w:type="dxa"/>
            <w:vAlign w:val="center"/>
          </w:tcPr>
          <w:p w14:paraId="2F070C9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3C7BABF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F800C4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E63BD7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73681E3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Situaciones de inseguridad social y/o antecedentes de delincuencia en el área de influencia de las obras.</w:t>
            </w:r>
          </w:p>
        </w:tc>
        <w:tc>
          <w:tcPr>
            <w:tcW w:w="1368" w:type="dxa"/>
            <w:vAlign w:val="center"/>
          </w:tcPr>
          <w:p w14:paraId="7C5C600C"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Posible pérdida de bienes/materiales de construcción de la obra. 3. Posibles daños a trabajadores en la zona de obras del proyecto.</w:t>
            </w:r>
          </w:p>
        </w:tc>
        <w:tc>
          <w:tcPr>
            <w:tcW w:w="461" w:type="dxa"/>
            <w:vAlign w:val="center"/>
          </w:tcPr>
          <w:p w14:paraId="7EDDA99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18BEE73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6EB9AE4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645EDC1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262D33B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F26E96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Recopilar antecedentes e información estadística a partir de fuentes oficiales durante la etapa precontractual y contractual, sobre la posibilidad de ocurrencia de incidentes de inseguridad en la zona de obras con el fin de advertir oportunamente sobre su interferencia con el proyecto y tomar </w:t>
            </w:r>
            <w:proofErr w:type="gramStart"/>
            <w:r w:rsidRPr="005234F0">
              <w:rPr>
                <w:rFonts w:ascii="Verdana" w:hAnsi="Verdana"/>
                <w:sz w:val="12"/>
              </w:rPr>
              <w:t>las medidas tendiente</w:t>
            </w:r>
            <w:proofErr w:type="gramEnd"/>
            <w:r w:rsidRPr="005234F0">
              <w:rPr>
                <w:rFonts w:ascii="Verdana" w:hAnsi="Verdana"/>
                <w:sz w:val="12"/>
              </w:rPr>
              <w:t xml:space="preserve"> a mitigar el impacto. 2. Establecer medidas de seguridad en la zona de obras, asegurando los materiales y/o bienes. En caso de ser necesario, solicitar el apoyo interinstitucional con autoridades competentes.</w:t>
            </w:r>
          </w:p>
        </w:tc>
        <w:tc>
          <w:tcPr>
            <w:tcW w:w="461" w:type="dxa"/>
            <w:vAlign w:val="center"/>
          </w:tcPr>
          <w:p w14:paraId="02D3CA3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120063C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33FFFEE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7EE2538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BAA848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67AB3B3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2F0C40D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042156D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Mediante una continua comunicación entre el contratista/interventor/supervisor y a partir de la información obtenida al respecto de los sucesos con el fin de definir acciones de mitigación que garanticen la ejecución del proyecto.</w:t>
            </w:r>
          </w:p>
        </w:tc>
        <w:tc>
          <w:tcPr>
            <w:tcW w:w="1080" w:type="dxa"/>
            <w:vAlign w:val="center"/>
          </w:tcPr>
          <w:p w14:paraId="0E0D804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Cuando se presente el evento</w:t>
            </w:r>
          </w:p>
        </w:tc>
      </w:tr>
      <w:tr w:rsidR="0076567A" w:rsidRPr="005234F0" w14:paraId="1F1B40F9" w14:textId="77777777" w:rsidTr="0076567A">
        <w:trPr>
          <w:trHeight w:val="466"/>
        </w:trPr>
        <w:tc>
          <w:tcPr>
            <w:tcW w:w="461" w:type="dxa"/>
            <w:vAlign w:val="center"/>
          </w:tcPr>
          <w:p w14:paraId="6944C75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37</w:t>
            </w:r>
          </w:p>
        </w:tc>
        <w:tc>
          <w:tcPr>
            <w:tcW w:w="893" w:type="dxa"/>
            <w:vAlign w:val="center"/>
          </w:tcPr>
          <w:p w14:paraId="0EA0EE1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EDB924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588742B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8169A8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763219A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No aplicación durante la ejecución del contrato de las políticas públicas de la Entidad Estatal contratante, de otras Entidad Estatales o del Gobierno establecidas en los documentos del proceso de contratación.</w:t>
            </w:r>
          </w:p>
        </w:tc>
        <w:tc>
          <w:tcPr>
            <w:tcW w:w="1368" w:type="dxa"/>
            <w:vAlign w:val="center"/>
          </w:tcPr>
          <w:p w14:paraId="7B0F373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Incumplimiento de los fines institucionales. 2. Aplicación de garantías en los casos que aplique.</w:t>
            </w:r>
          </w:p>
        </w:tc>
        <w:tc>
          <w:tcPr>
            <w:tcW w:w="461" w:type="dxa"/>
            <w:vAlign w:val="center"/>
          </w:tcPr>
          <w:p w14:paraId="11C63C7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7D0B0C2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547" w:type="dxa"/>
            <w:vAlign w:val="center"/>
          </w:tcPr>
          <w:p w14:paraId="2BDD38D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605" w:type="dxa"/>
            <w:vAlign w:val="center"/>
          </w:tcPr>
          <w:p w14:paraId="60DA447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3081FB4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0590948E"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Revisar que los documentos del proceso de contratación estén alineados con los objetivos de </w:t>
            </w:r>
            <w:proofErr w:type="gramStart"/>
            <w:r w:rsidRPr="005234F0">
              <w:rPr>
                <w:rFonts w:ascii="Verdana" w:hAnsi="Verdana"/>
                <w:sz w:val="12"/>
              </w:rPr>
              <w:t>las política pública de la Entidad Estatal contratante, otras Entidad Estatales</w:t>
            </w:r>
            <w:proofErr w:type="gramEnd"/>
            <w:r w:rsidRPr="005234F0">
              <w:rPr>
                <w:rFonts w:ascii="Verdana" w:hAnsi="Verdana"/>
                <w:sz w:val="12"/>
              </w:rPr>
              <w:t xml:space="preserve"> regulatorias o del Gobierno en general.</w:t>
            </w:r>
          </w:p>
        </w:tc>
        <w:tc>
          <w:tcPr>
            <w:tcW w:w="461" w:type="dxa"/>
            <w:vAlign w:val="center"/>
          </w:tcPr>
          <w:p w14:paraId="169FB7F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086086C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547" w:type="dxa"/>
            <w:vAlign w:val="center"/>
          </w:tcPr>
          <w:p w14:paraId="7A1F14D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605" w:type="dxa"/>
            <w:vAlign w:val="center"/>
          </w:tcPr>
          <w:p w14:paraId="156EB3A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2EECEC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E7FA29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718CCC0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417BEE3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Seguimientos periódicos de verificación sobre el cumplimiento de las políticas públicas.</w:t>
            </w:r>
          </w:p>
        </w:tc>
        <w:tc>
          <w:tcPr>
            <w:tcW w:w="1080" w:type="dxa"/>
            <w:vAlign w:val="center"/>
          </w:tcPr>
          <w:p w14:paraId="4A6EFE3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0502F6C4" w14:textId="77777777" w:rsidTr="0076567A">
        <w:trPr>
          <w:trHeight w:val="466"/>
        </w:trPr>
        <w:tc>
          <w:tcPr>
            <w:tcW w:w="461" w:type="dxa"/>
            <w:vAlign w:val="center"/>
          </w:tcPr>
          <w:p w14:paraId="739864C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38</w:t>
            </w:r>
          </w:p>
        </w:tc>
        <w:tc>
          <w:tcPr>
            <w:tcW w:w="893" w:type="dxa"/>
            <w:vAlign w:val="center"/>
          </w:tcPr>
          <w:p w14:paraId="385E00D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95382A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3C7801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789697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6D9ED64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Deficiente implementación de protocolos de bioseguridad para el COVID-19 y/o falta de elementos de protección personal EPP que generen el contagio del </w:t>
            </w:r>
            <w:r w:rsidRPr="005234F0">
              <w:rPr>
                <w:rFonts w:ascii="Verdana" w:hAnsi="Verdana"/>
                <w:sz w:val="12"/>
              </w:rPr>
              <w:lastRenderedPageBreak/>
              <w:t>virus entre el personal de obra.</w:t>
            </w:r>
          </w:p>
        </w:tc>
        <w:tc>
          <w:tcPr>
            <w:tcW w:w="1368" w:type="dxa"/>
            <w:vAlign w:val="center"/>
          </w:tcPr>
          <w:p w14:paraId="018F9E3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1. Aparición o nuevos brotes virus Covid-19. 2. Retrasos en la ejecución del contrato, reprogramación de cronogramas y </w:t>
            </w:r>
            <w:r w:rsidRPr="005234F0">
              <w:rPr>
                <w:rFonts w:ascii="Verdana" w:hAnsi="Verdana"/>
                <w:sz w:val="12"/>
              </w:rPr>
              <w:lastRenderedPageBreak/>
              <w:t>posible ampliación de los plazos de ejecución. 3. Posible suspensión del contrato. 4. Baja productividad laboral. 5. Incumplimiento parcial o total del contrato. 6. Sobrecostos al presupuesto del proyecto.</w:t>
            </w:r>
          </w:p>
        </w:tc>
        <w:tc>
          <w:tcPr>
            <w:tcW w:w="461" w:type="dxa"/>
            <w:vAlign w:val="center"/>
          </w:tcPr>
          <w:p w14:paraId="7DB65D6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582A310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547" w:type="dxa"/>
            <w:vAlign w:val="center"/>
          </w:tcPr>
          <w:p w14:paraId="65A8B60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145C49D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33899D6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4167C877"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Exigir y verificar el cumplimiento del suministro y disponibilidad de los elementos de protección personal para cumplir con los protocolos de bioseguridad conforme </w:t>
            </w:r>
            <w:r w:rsidRPr="005234F0">
              <w:rPr>
                <w:rFonts w:ascii="Verdana" w:hAnsi="Verdana"/>
                <w:sz w:val="12"/>
              </w:rPr>
              <w:lastRenderedPageBreak/>
              <w:t>con la normatividad establecida para la prevención y mitigación del contagio. 2. Suspensión de las actividades para evitar y prevenir contagios y realización de pruebas clínicas.</w:t>
            </w:r>
          </w:p>
        </w:tc>
        <w:tc>
          <w:tcPr>
            <w:tcW w:w="461" w:type="dxa"/>
            <w:vAlign w:val="center"/>
          </w:tcPr>
          <w:p w14:paraId="45824D7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32E32FC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0AC420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7B6CE4F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1B99F3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C1254B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w:t>
            </w:r>
          </w:p>
        </w:tc>
        <w:tc>
          <w:tcPr>
            <w:tcW w:w="950" w:type="dxa"/>
            <w:vAlign w:val="center"/>
          </w:tcPr>
          <w:p w14:paraId="6648F51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17EFD3C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Respetar todos los protocolos de bioseguridad y realizar estricto control de </w:t>
            </w:r>
            <w:r w:rsidRPr="005234F0">
              <w:rPr>
                <w:rFonts w:ascii="Verdana" w:hAnsi="Verdana"/>
                <w:sz w:val="12"/>
              </w:rPr>
              <w:lastRenderedPageBreak/>
              <w:t>accesos de personal interno y ajeno a la obra.</w:t>
            </w:r>
          </w:p>
        </w:tc>
        <w:tc>
          <w:tcPr>
            <w:tcW w:w="1080" w:type="dxa"/>
            <w:vAlign w:val="center"/>
          </w:tcPr>
          <w:p w14:paraId="669BE09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Cuando se presente el evento</w:t>
            </w:r>
          </w:p>
        </w:tc>
      </w:tr>
      <w:tr w:rsidR="0076567A" w:rsidRPr="005234F0" w14:paraId="01257A56" w14:textId="77777777" w:rsidTr="0076567A">
        <w:trPr>
          <w:trHeight w:val="466"/>
        </w:trPr>
        <w:tc>
          <w:tcPr>
            <w:tcW w:w="461" w:type="dxa"/>
            <w:vAlign w:val="center"/>
          </w:tcPr>
          <w:p w14:paraId="5DC179B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39</w:t>
            </w:r>
          </w:p>
        </w:tc>
        <w:tc>
          <w:tcPr>
            <w:tcW w:w="893" w:type="dxa"/>
            <w:vAlign w:val="center"/>
          </w:tcPr>
          <w:p w14:paraId="6268653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5A00884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178478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E5D1A6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34CAADC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Emergencias sanitarias consecuencias de epidemias o pandemias.</w:t>
            </w:r>
          </w:p>
        </w:tc>
        <w:tc>
          <w:tcPr>
            <w:tcW w:w="1368" w:type="dxa"/>
            <w:vAlign w:val="center"/>
          </w:tcPr>
          <w:p w14:paraId="5E793BE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Posible suspensión del contrato. 3. Incumplimiento parcial o total del contrato. 4. Sobrecostos al presupuesto del proyecto.</w:t>
            </w:r>
          </w:p>
        </w:tc>
        <w:tc>
          <w:tcPr>
            <w:tcW w:w="461" w:type="dxa"/>
            <w:vAlign w:val="center"/>
          </w:tcPr>
          <w:p w14:paraId="6BFCD95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5E2C0F6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5B574F2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3F84BDF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6277D5E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A5551AA"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Implementar todos los controles de bioseguridad necesarios establecidos por las autoridades. 2. En caso crítico se puede optar por la suspensión de las actividades para evitar y prevenir contagios y realización de pruebas clínicas.</w:t>
            </w:r>
          </w:p>
        </w:tc>
        <w:tc>
          <w:tcPr>
            <w:tcW w:w="461" w:type="dxa"/>
            <w:vAlign w:val="center"/>
          </w:tcPr>
          <w:p w14:paraId="262AA55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4D152E5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409F29C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35137CC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7A6E04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67F77CB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1C77EEF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401750F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al cumplimiento de las normas de bioseguridad establecidas para la posible emergencia sanitaria.</w:t>
            </w:r>
          </w:p>
        </w:tc>
        <w:tc>
          <w:tcPr>
            <w:tcW w:w="1080" w:type="dxa"/>
            <w:vAlign w:val="center"/>
          </w:tcPr>
          <w:p w14:paraId="59893E3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4CC26FF7" w14:textId="77777777" w:rsidTr="0076567A">
        <w:trPr>
          <w:trHeight w:val="466"/>
        </w:trPr>
        <w:tc>
          <w:tcPr>
            <w:tcW w:w="461" w:type="dxa"/>
            <w:vAlign w:val="center"/>
          </w:tcPr>
          <w:p w14:paraId="15D2F65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40</w:t>
            </w:r>
          </w:p>
        </w:tc>
        <w:tc>
          <w:tcPr>
            <w:tcW w:w="893" w:type="dxa"/>
            <w:vAlign w:val="center"/>
          </w:tcPr>
          <w:p w14:paraId="5941D4F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D9470F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52BDC84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5B9603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43AD646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Invasiones u ocupaciones ilegales en la zona de obras.</w:t>
            </w:r>
          </w:p>
        </w:tc>
        <w:tc>
          <w:tcPr>
            <w:tcW w:w="1368" w:type="dxa"/>
            <w:vAlign w:val="center"/>
          </w:tcPr>
          <w:p w14:paraId="6DF1299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Sobrecostos al presupuesto del proyecto. 3. Paros, huelgas y/o disturbios por parte de la población de invasores.</w:t>
            </w:r>
          </w:p>
        </w:tc>
        <w:tc>
          <w:tcPr>
            <w:tcW w:w="461" w:type="dxa"/>
            <w:vAlign w:val="center"/>
          </w:tcPr>
          <w:p w14:paraId="57D4865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0F3218A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0FE8E49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749521A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8381BF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3B95C3F3"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Implementar acercamiento y trabajo social con la comunidad, llegar acuerdos entre las partes interesadas con el fin de mitigar la probabilidad de la ocurrencia de acciones por vías de hecho por parte de las personas que sientan vulnerados sus derechos o no se sientan tenidos en cuenta en el desarrollo del proyecto.</w:t>
            </w:r>
          </w:p>
        </w:tc>
        <w:tc>
          <w:tcPr>
            <w:tcW w:w="461" w:type="dxa"/>
            <w:vAlign w:val="center"/>
          </w:tcPr>
          <w:p w14:paraId="7B8B065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1F7FE36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084369C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D3E4AE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79CBE4D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E1802E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1A33FAE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572D8FD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1. Mediante una continua comunicación entre el contratista/interventor/supervisor y a partir de la información obtenida al respecto de los sucesos con el fin de definir acciones de mitigación que garanticen la </w:t>
            </w:r>
            <w:r w:rsidRPr="005234F0">
              <w:rPr>
                <w:rFonts w:ascii="Verdana" w:hAnsi="Verdana"/>
                <w:sz w:val="12"/>
              </w:rPr>
              <w:lastRenderedPageBreak/>
              <w:t>ejecución del proyecto. 2. Comités sociales de seguimiento y reuniones con la comunidad.</w:t>
            </w:r>
          </w:p>
        </w:tc>
        <w:tc>
          <w:tcPr>
            <w:tcW w:w="1080" w:type="dxa"/>
            <w:vAlign w:val="center"/>
          </w:tcPr>
          <w:p w14:paraId="09F3103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En la etapa de planeación y ejecución cuando se presente el evento</w:t>
            </w:r>
          </w:p>
        </w:tc>
      </w:tr>
      <w:tr w:rsidR="0076567A" w:rsidRPr="005234F0" w14:paraId="183C40DD" w14:textId="77777777" w:rsidTr="0076567A">
        <w:trPr>
          <w:trHeight w:val="466"/>
        </w:trPr>
        <w:tc>
          <w:tcPr>
            <w:tcW w:w="461" w:type="dxa"/>
            <w:vAlign w:val="center"/>
          </w:tcPr>
          <w:p w14:paraId="5A4E29F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41</w:t>
            </w:r>
          </w:p>
        </w:tc>
        <w:tc>
          <w:tcPr>
            <w:tcW w:w="893" w:type="dxa"/>
            <w:vAlign w:val="center"/>
          </w:tcPr>
          <w:p w14:paraId="03AD2E1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25CE132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DC0AC9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13AAAB6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Sociales/Políticos</w:t>
            </w:r>
          </w:p>
        </w:tc>
        <w:tc>
          <w:tcPr>
            <w:tcW w:w="1742" w:type="dxa"/>
            <w:vAlign w:val="center"/>
          </w:tcPr>
          <w:p w14:paraId="157F247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Solicitudes y/o derechos de petición por parte de autoridades municipales o por la comunidad cercana a la zona de obras por inconformidad en proceso de socialización del proyecto y ejecución de la obra.</w:t>
            </w:r>
          </w:p>
        </w:tc>
        <w:tc>
          <w:tcPr>
            <w:tcW w:w="1368" w:type="dxa"/>
            <w:vAlign w:val="center"/>
          </w:tcPr>
          <w:p w14:paraId="49A738C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Sobrecostos al presupuesto del proyecto. 3. Paros, huelgas y/o disturbios por parte de la comunidad aledaña.</w:t>
            </w:r>
          </w:p>
        </w:tc>
        <w:tc>
          <w:tcPr>
            <w:tcW w:w="461" w:type="dxa"/>
            <w:vAlign w:val="center"/>
          </w:tcPr>
          <w:p w14:paraId="2F3A300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6651D23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547" w:type="dxa"/>
            <w:vAlign w:val="center"/>
          </w:tcPr>
          <w:p w14:paraId="6BFB497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605" w:type="dxa"/>
            <w:vAlign w:val="center"/>
          </w:tcPr>
          <w:p w14:paraId="223F771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Bajo</w:t>
            </w:r>
          </w:p>
        </w:tc>
        <w:tc>
          <w:tcPr>
            <w:tcW w:w="1181" w:type="dxa"/>
            <w:vAlign w:val="center"/>
          </w:tcPr>
          <w:p w14:paraId="77C85AD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5C51A765"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1. Socialización del proyecto para conocimiento de autoridades y comunidad. 2. Atención a las inconformidades de la comunidad de modo que se mitiguen las afectaciones al proyecto tanto técnicas, como en costos y tiempo. 3. Seguimiento a la ejecución del contrato, incrementando inspecciones y revisiones para asegurar el cumplimiento del mismo.</w:t>
            </w:r>
          </w:p>
        </w:tc>
        <w:tc>
          <w:tcPr>
            <w:tcW w:w="461" w:type="dxa"/>
            <w:vAlign w:val="center"/>
          </w:tcPr>
          <w:p w14:paraId="438FBE0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7C79374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14A95D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3563BE2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E830F4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4EEBFB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Contratista/Interventor/Supervisor</w:t>
            </w:r>
          </w:p>
        </w:tc>
        <w:tc>
          <w:tcPr>
            <w:tcW w:w="950" w:type="dxa"/>
            <w:vAlign w:val="center"/>
          </w:tcPr>
          <w:p w14:paraId="263E631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426B5FD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1. Comités sociales de seguimiento y reuniones extraordinarias con la comunidad. 2. Retroalimentación en los procedimientos adelantados por los responsables del tratamiento.</w:t>
            </w:r>
          </w:p>
        </w:tc>
        <w:tc>
          <w:tcPr>
            <w:tcW w:w="1080" w:type="dxa"/>
            <w:vAlign w:val="center"/>
          </w:tcPr>
          <w:p w14:paraId="2C496F3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 la etapa de planeación y ejecución cuando se presente el evento</w:t>
            </w:r>
          </w:p>
        </w:tc>
      </w:tr>
      <w:tr w:rsidR="0076567A" w:rsidRPr="005234F0" w14:paraId="306E1F92" w14:textId="77777777" w:rsidTr="0076567A">
        <w:trPr>
          <w:trHeight w:val="466"/>
        </w:trPr>
        <w:tc>
          <w:tcPr>
            <w:tcW w:w="461" w:type="dxa"/>
            <w:vAlign w:val="center"/>
          </w:tcPr>
          <w:p w14:paraId="5A91146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42</w:t>
            </w:r>
          </w:p>
        </w:tc>
        <w:tc>
          <w:tcPr>
            <w:tcW w:w="893" w:type="dxa"/>
            <w:vAlign w:val="center"/>
          </w:tcPr>
          <w:p w14:paraId="0AC7D2F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2EF5F02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C0AE38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38C6B5D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Tecnológicos</w:t>
            </w:r>
          </w:p>
        </w:tc>
        <w:tc>
          <w:tcPr>
            <w:tcW w:w="1742" w:type="dxa"/>
            <w:vAlign w:val="center"/>
          </w:tcPr>
          <w:p w14:paraId="3A39C04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Fallas o errores en los sistemas de comunicación de voz y datos.</w:t>
            </w:r>
          </w:p>
        </w:tc>
        <w:tc>
          <w:tcPr>
            <w:tcW w:w="1368" w:type="dxa"/>
            <w:vAlign w:val="center"/>
          </w:tcPr>
          <w:p w14:paraId="549179B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Deficiente comunicación entre las partes interesadas. 2. Retrasos en la ejecución del contrato.</w:t>
            </w:r>
          </w:p>
        </w:tc>
        <w:tc>
          <w:tcPr>
            <w:tcW w:w="461" w:type="dxa"/>
            <w:vAlign w:val="center"/>
          </w:tcPr>
          <w:p w14:paraId="6BF673B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1</w:t>
            </w:r>
          </w:p>
        </w:tc>
        <w:tc>
          <w:tcPr>
            <w:tcW w:w="432" w:type="dxa"/>
            <w:vAlign w:val="center"/>
          </w:tcPr>
          <w:p w14:paraId="68C1E2F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712DBDA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02D297C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64155F9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2300395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Requerir el soporte técnico correspondiente de los sistemas de comunicación.</w:t>
            </w:r>
          </w:p>
        </w:tc>
        <w:tc>
          <w:tcPr>
            <w:tcW w:w="461" w:type="dxa"/>
            <w:vAlign w:val="center"/>
          </w:tcPr>
          <w:p w14:paraId="5AA3714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4B3E7C8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373B190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713D372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5478CF4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9B5561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Supervisor</w:t>
            </w:r>
          </w:p>
        </w:tc>
        <w:tc>
          <w:tcPr>
            <w:tcW w:w="950" w:type="dxa"/>
            <w:vAlign w:val="center"/>
          </w:tcPr>
          <w:p w14:paraId="7CB3EAF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1D4A24A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periódica de los sistemas o medios de información para el desarrollo del contrato.</w:t>
            </w:r>
          </w:p>
        </w:tc>
        <w:tc>
          <w:tcPr>
            <w:tcW w:w="1080" w:type="dxa"/>
            <w:vAlign w:val="center"/>
          </w:tcPr>
          <w:p w14:paraId="406CFE8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537CCA0B" w14:textId="77777777" w:rsidTr="0076567A">
        <w:trPr>
          <w:trHeight w:val="466"/>
        </w:trPr>
        <w:tc>
          <w:tcPr>
            <w:tcW w:w="461" w:type="dxa"/>
            <w:vAlign w:val="center"/>
          </w:tcPr>
          <w:p w14:paraId="0BBDEE4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43</w:t>
            </w:r>
          </w:p>
        </w:tc>
        <w:tc>
          <w:tcPr>
            <w:tcW w:w="893" w:type="dxa"/>
            <w:vAlign w:val="center"/>
          </w:tcPr>
          <w:p w14:paraId="106B8D5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0918F64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1DACCED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9871DA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Tecnológicos</w:t>
            </w:r>
          </w:p>
        </w:tc>
        <w:tc>
          <w:tcPr>
            <w:tcW w:w="1742" w:type="dxa"/>
            <w:vAlign w:val="center"/>
          </w:tcPr>
          <w:p w14:paraId="1F88DDC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Suspensión de servicios públicos, ya sea por causas externas o por la ejecución del contrato.</w:t>
            </w:r>
          </w:p>
        </w:tc>
        <w:tc>
          <w:tcPr>
            <w:tcW w:w="1368" w:type="dxa"/>
            <w:vAlign w:val="center"/>
          </w:tcPr>
          <w:p w14:paraId="60B0831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1. Retrasos en la ejecución del contrato, reprogramación de cronogramas y posible ampliación de los plazos de ejecución. 2. Posible suspensión del contrato. 3. Sobrecostos al presupuesto del proyecto. 4. Incumplimiento </w:t>
            </w:r>
            <w:r w:rsidRPr="005234F0">
              <w:rPr>
                <w:rFonts w:ascii="Verdana" w:hAnsi="Verdana"/>
                <w:sz w:val="12"/>
              </w:rPr>
              <w:lastRenderedPageBreak/>
              <w:t>parcial o total del contrato.</w:t>
            </w:r>
          </w:p>
        </w:tc>
        <w:tc>
          <w:tcPr>
            <w:tcW w:w="461" w:type="dxa"/>
            <w:vAlign w:val="center"/>
          </w:tcPr>
          <w:p w14:paraId="6EA1EFD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557B90F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0075C0B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406F8DB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29C7FC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18DE8927"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1. Gestionar ante las autoridades correspondientes el restablecimiento del servicio público afectado. 2. Alquiler/Adquisición de planta eléctrica como recurso de emergencia de energía. 3. Si el riesgo se causó por la ejecución del contrato, el contratista debe verificar el estado actual de las redes de servicios </w:t>
            </w:r>
            <w:r w:rsidRPr="005234F0">
              <w:rPr>
                <w:rFonts w:ascii="Verdana" w:hAnsi="Verdana"/>
                <w:sz w:val="12"/>
              </w:rPr>
              <w:lastRenderedPageBreak/>
              <w:t>públicos con las empresas prestadoras de los mismos para intervenirlas. Se precisa que la suspensión de servicios públicos por causas externas no imputables al contratista se asigna a la Entidad Estatal; el contratista asume únicamente la derivada de la ejecución del contrato o de su propia gestión.</w:t>
            </w:r>
          </w:p>
        </w:tc>
        <w:tc>
          <w:tcPr>
            <w:tcW w:w="461" w:type="dxa"/>
            <w:vAlign w:val="center"/>
          </w:tcPr>
          <w:p w14:paraId="2C4055D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3B28F2B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2CF339E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0A0054D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9C294D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8D5D24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950" w:type="dxa"/>
            <w:vAlign w:val="center"/>
          </w:tcPr>
          <w:p w14:paraId="4DF1C30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4ED351A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del cumplimiento de pagos a servicios públicos y supervisión de la necesidad de requerir plantas eléctricas.</w:t>
            </w:r>
          </w:p>
        </w:tc>
        <w:tc>
          <w:tcPr>
            <w:tcW w:w="1080" w:type="dxa"/>
            <w:vAlign w:val="center"/>
          </w:tcPr>
          <w:p w14:paraId="1BEFA43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42364754" w14:textId="77777777" w:rsidTr="0076567A">
        <w:trPr>
          <w:trHeight w:val="466"/>
        </w:trPr>
        <w:tc>
          <w:tcPr>
            <w:tcW w:w="461" w:type="dxa"/>
            <w:vAlign w:val="center"/>
          </w:tcPr>
          <w:p w14:paraId="755FFAE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44</w:t>
            </w:r>
          </w:p>
        </w:tc>
        <w:tc>
          <w:tcPr>
            <w:tcW w:w="893" w:type="dxa"/>
            <w:vAlign w:val="center"/>
          </w:tcPr>
          <w:p w14:paraId="7E2A951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42A66D5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5BDA8A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7FBE6C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Tecnológicos</w:t>
            </w:r>
          </w:p>
        </w:tc>
        <w:tc>
          <w:tcPr>
            <w:tcW w:w="1742" w:type="dxa"/>
            <w:vAlign w:val="center"/>
          </w:tcPr>
          <w:p w14:paraId="75D177D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Obsolescencia tecnológica (equipos de construcción dañados, poco eficientes, etc.).</w:t>
            </w:r>
          </w:p>
        </w:tc>
        <w:tc>
          <w:tcPr>
            <w:tcW w:w="1368" w:type="dxa"/>
            <w:vAlign w:val="center"/>
          </w:tcPr>
          <w:p w14:paraId="7FF0917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1. Retrasos en la ejecución del contrato, reprogramación de cronogramas y posible ampliación de los plazos de ejecución. 2. Sobrecostos al presupuesto del proyecto.</w:t>
            </w:r>
          </w:p>
        </w:tc>
        <w:tc>
          <w:tcPr>
            <w:tcW w:w="461" w:type="dxa"/>
            <w:vAlign w:val="center"/>
          </w:tcPr>
          <w:p w14:paraId="4B0921A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385BD52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360D5E2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9E223A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337FD3C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49EC6603"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Revisar la calidad de los equipos de construcción, mediante pruebas y controles de verificación antes del desarrollo de los trabajos. El contratista debe revisar los certificados de calibración de los equipos.</w:t>
            </w:r>
          </w:p>
        </w:tc>
        <w:tc>
          <w:tcPr>
            <w:tcW w:w="461" w:type="dxa"/>
            <w:vAlign w:val="center"/>
          </w:tcPr>
          <w:p w14:paraId="0D12707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1770290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44E25E5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3B4ADC7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41F7BFE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889ED7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950" w:type="dxa"/>
            <w:vAlign w:val="center"/>
          </w:tcPr>
          <w:p w14:paraId="3E68B5D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 la terminación de la ejecución del contrato.</w:t>
            </w:r>
          </w:p>
        </w:tc>
        <w:tc>
          <w:tcPr>
            <w:tcW w:w="1008" w:type="dxa"/>
            <w:vAlign w:val="center"/>
          </w:tcPr>
          <w:p w14:paraId="5213F1D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 la calidad y eficiencia de los trabajos de los equipos.</w:t>
            </w:r>
          </w:p>
        </w:tc>
        <w:tc>
          <w:tcPr>
            <w:tcW w:w="1080" w:type="dxa"/>
            <w:vAlign w:val="center"/>
          </w:tcPr>
          <w:p w14:paraId="6232641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Permanente</w:t>
            </w:r>
          </w:p>
        </w:tc>
      </w:tr>
      <w:tr w:rsidR="0076567A" w:rsidRPr="005234F0" w14:paraId="22E1CD41" w14:textId="77777777" w:rsidTr="0076567A">
        <w:trPr>
          <w:trHeight w:val="466"/>
        </w:trPr>
        <w:tc>
          <w:tcPr>
            <w:tcW w:w="461" w:type="dxa"/>
            <w:vAlign w:val="center"/>
          </w:tcPr>
          <w:p w14:paraId="375B493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45</w:t>
            </w:r>
          </w:p>
        </w:tc>
        <w:tc>
          <w:tcPr>
            <w:tcW w:w="893" w:type="dxa"/>
            <w:vAlign w:val="center"/>
          </w:tcPr>
          <w:p w14:paraId="4414ABC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680FDC1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437B71E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71CD044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612915F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Variación de las condiciones del mercado financiero entre la presentación de la oferta y el pago del financiamiento de proveedor, de manera que el costo efectivo de los recursos con los que el contratista financia la obra resulte superior a la tasa de interés ofertada.</w:t>
            </w:r>
          </w:p>
        </w:tc>
        <w:tc>
          <w:tcPr>
            <w:tcW w:w="1368" w:type="dxa"/>
            <w:vAlign w:val="center"/>
          </w:tcPr>
          <w:p w14:paraId="003BA0C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Mayor onerosidad para el contratista, solicitudes de restablecimiento del equilibrio económico, eventual desfinanciación de la obra y retraso o suspensión de la ejecución.</w:t>
            </w:r>
          </w:p>
        </w:tc>
        <w:tc>
          <w:tcPr>
            <w:tcW w:w="461" w:type="dxa"/>
            <w:vAlign w:val="center"/>
          </w:tcPr>
          <w:p w14:paraId="0A93F78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698B5B2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22347AA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5251B8D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42C48E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51F67082"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La tasa de interés ofrecida por el proponente constituye un techo fijo e inmodificable durante todo el plazo de la operación, conforme al Formulario Económico. El proponente debe considerar dentro de su oferta las condiciones de fondeo de los recursos. No procede el traslado a la Entidad Estatal de mayores costos financieros derivados de la variación de las tasas de mercado.</w:t>
            </w:r>
          </w:p>
        </w:tc>
        <w:tc>
          <w:tcPr>
            <w:tcW w:w="461" w:type="dxa"/>
            <w:vAlign w:val="center"/>
          </w:tcPr>
          <w:p w14:paraId="7646FED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1CAB999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7E2FBF5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08CD7BF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4E19DEF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518C807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 / Supervisor designado por la Secretaría Distrital de Hacienda</w:t>
            </w:r>
          </w:p>
        </w:tc>
        <w:tc>
          <w:tcPr>
            <w:tcW w:w="950" w:type="dxa"/>
            <w:vAlign w:val="center"/>
          </w:tcPr>
          <w:p w14:paraId="1628B53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extinción total de la obligación.</w:t>
            </w:r>
          </w:p>
        </w:tc>
        <w:tc>
          <w:tcPr>
            <w:tcW w:w="1008" w:type="dxa"/>
            <w:vAlign w:val="center"/>
          </w:tcPr>
          <w:p w14:paraId="32BDA97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 la liquidación de intereses contra la tasa techo ofertada.</w:t>
            </w:r>
          </w:p>
        </w:tc>
        <w:tc>
          <w:tcPr>
            <w:tcW w:w="1080" w:type="dxa"/>
            <w:vAlign w:val="center"/>
          </w:tcPr>
          <w:p w14:paraId="311C39C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Trimestral</w:t>
            </w:r>
          </w:p>
        </w:tc>
      </w:tr>
      <w:tr w:rsidR="0076567A" w:rsidRPr="005234F0" w14:paraId="06A9EF32" w14:textId="77777777" w:rsidTr="0076567A">
        <w:trPr>
          <w:trHeight w:val="466"/>
        </w:trPr>
        <w:tc>
          <w:tcPr>
            <w:tcW w:w="461" w:type="dxa"/>
            <w:vAlign w:val="center"/>
          </w:tcPr>
          <w:p w14:paraId="4B8C0C6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46</w:t>
            </w:r>
          </w:p>
        </w:tc>
        <w:tc>
          <w:tcPr>
            <w:tcW w:w="893" w:type="dxa"/>
            <w:vAlign w:val="center"/>
          </w:tcPr>
          <w:p w14:paraId="56C4CAC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6A4C5D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A4742E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6ADEFB7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0762437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Menor recaudo o insuficiencia de las rentas comprometidas como fuente de pago de la operación —Impuesto de </w:t>
            </w:r>
            <w:r w:rsidRPr="005234F0">
              <w:rPr>
                <w:rFonts w:ascii="Verdana" w:hAnsi="Verdana"/>
                <w:sz w:val="12"/>
              </w:rPr>
              <w:lastRenderedPageBreak/>
              <w:t>Industria y Comercio y Sistema General de Participaciones – Propósito General— frente al servicio de la deuda proyectado.</w:t>
            </w:r>
          </w:p>
        </w:tc>
        <w:tc>
          <w:tcPr>
            <w:tcW w:w="1368" w:type="dxa"/>
            <w:vAlign w:val="center"/>
          </w:tcPr>
          <w:p w14:paraId="5FC25B3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Incumplimiento en el pago de los instalamentos, causación de intereses de mora, </w:t>
            </w:r>
            <w:r w:rsidRPr="005234F0">
              <w:rPr>
                <w:rFonts w:ascii="Verdana" w:hAnsi="Verdana"/>
                <w:sz w:val="12"/>
              </w:rPr>
              <w:lastRenderedPageBreak/>
              <w:t>deterioro de los indicadores de capacidad de pago del Distrito y eventual suspensión de la ejecución.</w:t>
            </w:r>
          </w:p>
        </w:tc>
        <w:tc>
          <w:tcPr>
            <w:tcW w:w="461" w:type="dxa"/>
            <w:vAlign w:val="center"/>
          </w:tcPr>
          <w:p w14:paraId="3E32D91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3FBE844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0AE61BA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8BF601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0D5E8F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4957DFD7"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Certificación de la Secretaría Distrital de Hacienda sobre suficiencia de los flujos con fundamento en el </w:t>
            </w:r>
            <w:r w:rsidRPr="005234F0">
              <w:rPr>
                <w:rFonts w:ascii="Verdana" w:hAnsi="Verdana"/>
                <w:sz w:val="12"/>
              </w:rPr>
              <w:lastRenderedPageBreak/>
              <w:t>Marco Fiscal de Mediano Plazo 2026-2035; incorporación del servicio de la deuda al presupuesto de cada anualidad; seguimiento al comportamiento del recaudo de las rentas comprometidas y previsión de fuentes alternas de pago debidamente autorizadas.</w:t>
            </w:r>
          </w:p>
        </w:tc>
        <w:tc>
          <w:tcPr>
            <w:tcW w:w="461" w:type="dxa"/>
            <w:vAlign w:val="center"/>
          </w:tcPr>
          <w:p w14:paraId="4B33223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03B422B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30A3DF8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9C3283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6EEAAE9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C38537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Secretaría Distrital de Hacienda</w:t>
            </w:r>
          </w:p>
        </w:tc>
        <w:tc>
          <w:tcPr>
            <w:tcW w:w="950" w:type="dxa"/>
            <w:vAlign w:val="center"/>
          </w:tcPr>
          <w:p w14:paraId="57E78F4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extinción total de la obligación.</w:t>
            </w:r>
          </w:p>
        </w:tc>
        <w:tc>
          <w:tcPr>
            <w:tcW w:w="1008" w:type="dxa"/>
            <w:vAlign w:val="center"/>
          </w:tcPr>
          <w:p w14:paraId="6971028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 xml:space="preserve">Informe de comportamiento del recaudo de las rentas </w:t>
            </w:r>
            <w:r w:rsidRPr="005234F0">
              <w:rPr>
                <w:rFonts w:ascii="Verdana" w:hAnsi="Verdana"/>
                <w:sz w:val="12"/>
              </w:rPr>
              <w:lastRenderedPageBreak/>
              <w:t>comprometidas y de cobertura del servicio de la deuda.</w:t>
            </w:r>
          </w:p>
        </w:tc>
        <w:tc>
          <w:tcPr>
            <w:tcW w:w="1080" w:type="dxa"/>
            <w:vAlign w:val="center"/>
          </w:tcPr>
          <w:p w14:paraId="2F7A6CB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Trimestral</w:t>
            </w:r>
          </w:p>
        </w:tc>
      </w:tr>
      <w:tr w:rsidR="0076567A" w:rsidRPr="005234F0" w14:paraId="626A0270" w14:textId="77777777" w:rsidTr="0076567A">
        <w:trPr>
          <w:trHeight w:val="466"/>
        </w:trPr>
        <w:tc>
          <w:tcPr>
            <w:tcW w:w="461" w:type="dxa"/>
            <w:vAlign w:val="center"/>
          </w:tcPr>
          <w:p w14:paraId="4049F98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47</w:t>
            </w:r>
          </w:p>
        </w:tc>
        <w:tc>
          <w:tcPr>
            <w:tcW w:w="893" w:type="dxa"/>
            <w:vAlign w:val="center"/>
          </w:tcPr>
          <w:p w14:paraId="70F76C6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F060DD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64D14D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62671D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Económicos/Financieros</w:t>
            </w:r>
          </w:p>
        </w:tc>
        <w:tc>
          <w:tcPr>
            <w:tcW w:w="1742" w:type="dxa"/>
            <w:vAlign w:val="center"/>
          </w:tcPr>
          <w:p w14:paraId="1BEA6C9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Variación de la Tasa Representativa del Mercado que incida sobre el costo de insumos, equipos, sistemas o componentes importados incluidos en el presupuesto oficial, así como sobre la regla de conversión prevista para la evaluación económica de las ofertas.</w:t>
            </w:r>
          </w:p>
        </w:tc>
        <w:tc>
          <w:tcPr>
            <w:tcW w:w="1368" w:type="dxa"/>
            <w:vAlign w:val="center"/>
          </w:tcPr>
          <w:p w14:paraId="0B53F59C"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Mayor valor de los insumos importados, alteración de la estructura de costos del contratista y reclamaciones por restablecimiento del equilibrio económico del contrato.</w:t>
            </w:r>
          </w:p>
        </w:tc>
        <w:tc>
          <w:tcPr>
            <w:tcW w:w="461" w:type="dxa"/>
            <w:vAlign w:val="center"/>
          </w:tcPr>
          <w:p w14:paraId="2F02099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7C37786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7712828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C27163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28B2DD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506A7B5A"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El proponente debe considerar la variación cambiaria dentro de su oferta y del componente de imprevistos del AIU. La fuente y la fecha de la TRM aplicable se encuentran predeterminadas de manera objetiva en los documentos del proceso y no dependen de decisión discrecional de la Entidad Estatal ni de la fecha efectiva de realización de la audiencia.</w:t>
            </w:r>
          </w:p>
        </w:tc>
        <w:tc>
          <w:tcPr>
            <w:tcW w:w="461" w:type="dxa"/>
            <w:vAlign w:val="center"/>
          </w:tcPr>
          <w:p w14:paraId="200B1B4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6521C4E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B8CFEB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4B153A1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0861EB8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F967BB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 / Interventor</w:t>
            </w:r>
          </w:p>
        </w:tc>
        <w:tc>
          <w:tcPr>
            <w:tcW w:w="950" w:type="dxa"/>
            <w:vAlign w:val="center"/>
          </w:tcPr>
          <w:p w14:paraId="3B148F6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terminación de la ejecución de la obra.</w:t>
            </w:r>
          </w:p>
        </w:tc>
        <w:tc>
          <w:tcPr>
            <w:tcW w:w="1008" w:type="dxa"/>
            <w:vAlign w:val="center"/>
          </w:tcPr>
          <w:p w14:paraId="1ECECC5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 la aplicación de la regla de TRM y seguimiento a las importaciones asociadas al contrato.</w:t>
            </w:r>
          </w:p>
        </w:tc>
        <w:tc>
          <w:tcPr>
            <w:tcW w:w="1080" w:type="dxa"/>
            <w:vAlign w:val="center"/>
          </w:tcPr>
          <w:p w14:paraId="7E8228F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33FBD424" w14:textId="77777777" w:rsidTr="0076567A">
        <w:trPr>
          <w:trHeight w:val="466"/>
        </w:trPr>
        <w:tc>
          <w:tcPr>
            <w:tcW w:w="461" w:type="dxa"/>
            <w:vAlign w:val="center"/>
          </w:tcPr>
          <w:p w14:paraId="17EC6ED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48</w:t>
            </w:r>
          </w:p>
        </w:tc>
        <w:tc>
          <w:tcPr>
            <w:tcW w:w="893" w:type="dxa"/>
            <w:vAlign w:val="center"/>
          </w:tcPr>
          <w:p w14:paraId="6463D92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658ECB3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215F3B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0F336FF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435A8728"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Insuficiencia de capital de trabajo del contratista para financiar la ejecución de la obra durante el periodo de gracia previsto, al no haberse pactado anticipo ni pago contra avance de obra dentro del esquema de financiamiento de proveedor.</w:t>
            </w:r>
          </w:p>
        </w:tc>
        <w:tc>
          <w:tcPr>
            <w:tcW w:w="1368" w:type="dxa"/>
            <w:vAlign w:val="center"/>
          </w:tcPr>
          <w:p w14:paraId="02FFE71F"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Retrasos en la ejecución, suspensión de frentes de obra, incumplimiento del cronograma y eventual declaratoria de incumplimiento contractual.</w:t>
            </w:r>
          </w:p>
        </w:tc>
        <w:tc>
          <w:tcPr>
            <w:tcW w:w="461" w:type="dxa"/>
            <w:vAlign w:val="center"/>
          </w:tcPr>
          <w:p w14:paraId="2E523EB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243CE40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4F03A59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59F4B10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B3745B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w:t>
            </w:r>
          </w:p>
        </w:tc>
        <w:tc>
          <w:tcPr>
            <w:tcW w:w="1742" w:type="dxa"/>
            <w:vAlign w:val="center"/>
          </w:tcPr>
          <w:p w14:paraId="327A227F"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Acreditación de los indicadores de capital de trabajo, liquidez y nivel de endeudamiento previstos en la Matriz 2 de los Documentos Tipo; exigencia de la garantía de cumplimiento; presentación del plan de inversión y del flujo de caja del proyecto y su seguimiento por parte de la interventoría.</w:t>
            </w:r>
          </w:p>
        </w:tc>
        <w:tc>
          <w:tcPr>
            <w:tcW w:w="461" w:type="dxa"/>
            <w:vAlign w:val="center"/>
          </w:tcPr>
          <w:p w14:paraId="128A31A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5A9F095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2236214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5</w:t>
            </w:r>
          </w:p>
        </w:tc>
        <w:tc>
          <w:tcPr>
            <w:tcW w:w="605" w:type="dxa"/>
            <w:vAlign w:val="center"/>
          </w:tcPr>
          <w:p w14:paraId="11A67B8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3ADCC2E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22D025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 Supervisor</w:t>
            </w:r>
          </w:p>
        </w:tc>
        <w:tc>
          <w:tcPr>
            <w:tcW w:w="950" w:type="dxa"/>
            <w:vAlign w:val="center"/>
          </w:tcPr>
          <w:p w14:paraId="53C06E5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toda la ejecución de la obra.</w:t>
            </w:r>
          </w:p>
        </w:tc>
        <w:tc>
          <w:tcPr>
            <w:tcW w:w="1008" w:type="dxa"/>
            <w:vAlign w:val="center"/>
          </w:tcPr>
          <w:p w14:paraId="1856078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al flujo de caja y al avance físico-financiero frente al programado.</w:t>
            </w:r>
          </w:p>
        </w:tc>
        <w:tc>
          <w:tcPr>
            <w:tcW w:w="1080" w:type="dxa"/>
            <w:vAlign w:val="center"/>
          </w:tcPr>
          <w:p w14:paraId="376B8C8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4AF02E0E" w14:textId="77777777" w:rsidTr="0076567A">
        <w:trPr>
          <w:trHeight w:val="466"/>
        </w:trPr>
        <w:tc>
          <w:tcPr>
            <w:tcW w:w="461" w:type="dxa"/>
            <w:vAlign w:val="center"/>
          </w:tcPr>
          <w:p w14:paraId="5F06378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49</w:t>
            </w:r>
          </w:p>
        </w:tc>
        <w:tc>
          <w:tcPr>
            <w:tcW w:w="893" w:type="dxa"/>
            <w:vAlign w:val="center"/>
          </w:tcPr>
          <w:p w14:paraId="0C8D16B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BACB70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4BF5835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Planeación/Contratación</w:t>
            </w:r>
          </w:p>
        </w:tc>
        <w:tc>
          <w:tcPr>
            <w:tcW w:w="1224" w:type="dxa"/>
            <w:vAlign w:val="center"/>
          </w:tcPr>
          <w:p w14:paraId="24BD9D7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Financieros/Regulatorios</w:t>
            </w:r>
          </w:p>
        </w:tc>
        <w:tc>
          <w:tcPr>
            <w:tcW w:w="1742" w:type="dxa"/>
            <w:vAlign w:val="center"/>
          </w:tcPr>
          <w:p w14:paraId="194EC2C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No obtención, demora o condicionamiento de los requisitos propios de la operación de crédito </w:t>
            </w:r>
            <w:r w:rsidRPr="005234F0">
              <w:rPr>
                <w:rFonts w:ascii="Verdana" w:hAnsi="Verdana"/>
                <w:sz w:val="12"/>
              </w:rPr>
              <w:lastRenderedPageBreak/>
              <w:t>público territorial: concepto de capacidad de pago en los términos de la Ley 358 de 1997, autorizaciones de endeudamiento, aprobaciones del CONFIS Distrital y registro de la deuda ante el Ministerio de Hacienda y Crédito Público.</w:t>
            </w:r>
          </w:p>
        </w:tc>
        <w:tc>
          <w:tcPr>
            <w:tcW w:w="1368" w:type="dxa"/>
            <w:vAlign w:val="center"/>
          </w:tcPr>
          <w:p w14:paraId="7D9369B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Imposibilidad de perfeccionar o legalizar la operación, retraso </w:t>
            </w:r>
            <w:r w:rsidRPr="005234F0">
              <w:rPr>
                <w:rFonts w:ascii="Verdana" w:hAnsi="Verdana"/>
                <w:sz w:val="12"/>
              </w:rPr>
              <w:lastRenderedPageBreak/>
              <w:t>en el inicio de la ejecución y eventual necesidad de reestructurar el esquema de financiación del proyecto.</w:t>
            </w:r>
          </w:p>
        </w:tc>
        <w:tc>
          <w:tcPr>
            <w:tcW w:w="461" w:type="dxa"/>
            <w:vAlign w:val="center"/>
          </w:tcPr>
          <w:p w14:paraId="1B4B836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2</w:t>
            </w:r>
          </w:p>
        </w:tc>
        <w:tc>
          <w:tcPr>
            <w:tcW w:w="432" w:type="dxa"/>
            <w:vAlign w:val="center"/>
          </w:tcPr>
          <w:p w14:paraId="3AFBB0F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64C0212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9C4F54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5402F81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10F46CE4"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Verificación, previa a la apertura del proceso, del cumplimiento de los requisitos de </w:t>
            </w:r>
            <w:r w:rsidRPr="005234F0">
              <w:rPr>
                <w:rFonts w:ascii="Verdana" w:hAnsi="Verdana"/>
                <w:sz w:val="12"/>
              </w:rPr>
              <w:lastRenderedPageBreak/>
              <w:t>endeudamiento territorial que resulten aplicables; obtención de los conceptos y autorizaciones correspondientes; incorporación de los soportes al expediente electrónico del proceso.</w:t>
            </w:r>
          </w:p>
        </w:tc>
        <w:tc>
          <w:tcPr>
            <w:tcW w:w="461" w:type="dxa"/>
            <w:vAlign w:val="center"/>
          </w:tcPr>
          <w:p w14:paraId="0C0214D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46E61D7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0504981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C4BD05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2383C07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07A830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Secretaría Distrital de Hacienda</w:t>
            </w:r>
          </w:p>
        </w:tc>
        <w:tc>
          <w:tcPr>
            <w:tcW w:w="950" w:type="dxa"/>
            <w:vAlign w:val="center"/>
          </w:tcPr>
          <w:p w14:paraId="47022E9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del perfeccionamiento del contrato.</w:t>
            </w:r>
          </w:p>
        </w:tc>
        <w:tc>
          <w:tcPr>
            <w:tcW w:w="1008" w:type="dxa"/>
            <w:vAlign w:val="center"/>
          </w:tcPr>
          <w:p w14:paraId="39C2186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documental del cumplimient</w:t>
            </w:r>
            <w:r w:rsidRPr="005234F0">
              <w:rPr>
                <w:rFonts w:ascii="Verdana" w:hAnsi="Verdana"/>
                <w:sz w:val="12"/>
              </w:rPr>
              <w:lastRenderedPageBreak/>
              <w:t>o de los requisitos de la operación de crédito público.</w:t>
            </w:r>
          </w:p>
        </w:tc>
        <w:tc>
          <w:tcPr>
            <w:tcW w:w="1080" w:type="dxa"/>
            <w:vAlign w:val="center"/>
          </w:tcPr>
          <w:p w14:paraId="662F983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lastRenderedPageBreak/>
              <w:t>Por una sola vez, previo al perfeccionamiento</w:t>
            </w:r>
          </w:p>
        </w:tc>
      </w:tr>
      <w:tr w:rsidR="0076567A" w:rsidRPr="005234F0" w14:paraId="4BC45F3D" w14:textId="77777777" w:rsidTr="0076567A">
        <w:trPr>
          <w:trHeight w:val="466"/>
        </w:trPr>
        <w:tc>
          <w:tcPr>
            <w:tcW w:w="461" w:type="dxa"/>
            <w:vAlign w:val="center"/>
          </w:tcPr>
          <w:p w14:paraId="7B23BD61"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50</w:t>
            </w:r>
          </w:p>
        </w:tc>
        <w:tc>
          <w:tcPr>
            <w:tcW w:w="893" w:type="dxa"/>
            <w:vAlign w:val="center"/>
          </w:tcPr>
          <w:p w14:paraId="25251A7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B75142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75941774"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Contratación/Ejecución</w:t>
            </w:r>
          </w:p>
        </w:tc>
        <w:tc>
          <w:tcPr>
            <w:tcW w:w="1224" w:type="dxa"/>
            <w:vAlign w:val="center"/>
          </w:tcPr>
          <w:p w14:paraId="4D54A8D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Financieros/Regulatorios</w:t>
            </w:r>
          </w:p>
        </w:tc>
        <w:tc>
          <w:tcPr>
            <w:tcW w:w="1742" w:type="dxa"/>
            <w:vAlign w:val="center"/>
          </w:tcPr>
          <w:p w14:paraId="43DD0E2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Que la garantía o fuente de pago constituida sobre recursos del Sistema General de Participaciones resulte inaplicable o deba ser sustituida por efecto de las reglas de destinación específica e inembargabilidad previstas en la Ley 715 de 2001 y demás normas concordantes.</w:t>
            </w:r>
          </w:p>
        </w:tc>
        <w:tc>
          <w:tcPr>
            <w:tcW w:w="1368" w:type="dxa"/>
            <w:vAlign w:val="center"/>
          </w:tcPr>
          <w:p w14:paraId="1274B8C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Pérdida o sustitución de la fuente de pago, necesidad de modificar las condiciones financieras de la operación y eventual afectación de la ecuación económica del contrato.</w:t>
            </w:r>
          </w:p>
        </w:tc>
        <w:tc>
          <w:tcPr>
            <w:tcW w:w="461" w:type="dxa"/>
            <w:vAlign w:val="center"/>
          </w:tcPr>
          <w:p w14:paraId="22E240A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5CD718A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42D91A7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DD99E6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09F88D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4351D116"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Revisión jurídica y financiera de la estipulación de garantía antes de la apertura del proceso; ajuste o sustitución de las fuentes comprometidas de manera que correspondan estrictamente al régimen de destinación aplicable; concepto previo de la Secretaría Distrital de Hacienda sobre las rentas efectivamente </w:t>
            </w:r>
            <w:proofErr w:type="spellStart"/>
            <w:r w:rsidRPr="005234F0">
              <w:rPr>
                <w:rFonts w:ascii="Verdana" w:hAnsi="Verdana"/>
                <w:sz w:val="12"/>
              </w:rPr>
              <w:t>comprometibles</w:t>
            </w:r>
            <w:proofErr w:type="spellEnd"/>
            <w:r w:rsidRPr="005234F0">
              <w:rPr>
                <w:rFonts w:ascii="Verdana" w:hAnsi="Verdana"/>
                <w:sz w:val="12"/>
              </w:rPr>
              <w:t>.</w:t>
            </w:r>
          </w:p>
        </w:tc>
        <w:tc>
          <w:tcPr>
            <w:tcW w:w="461" w:type="dxa"/>
            <w:vAlign w:val="center"/>
          </w:tcPr>
          <w:p w14:paraId="34CF142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074604B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2430092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61DBA56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4265863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4BDB848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Secretaría Distrital de Hacienda / Oficina Jurídica</w:t>
            </w:r>
          </w:p>
        </w:tc>
        <w:tc>
          <w:tcPr>
            <w:tcW w:w="950" w:type="dxa"/>
            <w:vAlign w:val="center"/>
          </w:tcPr>
          <w:p w14:paraId="3F7771D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 la apertura del proceso de selección.</w:t>
            </w:r>
          </w:p>
        </w:tc>
        <w:tc>
          <w:tcPr>
            <w:tcW w:w="1008" w:type="dxa"/>
            <w:vAlign w:val="center"/>
          </w:tcPr>
          <w:p w14:paraId="64569C7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Revisión de la estipulación de garantía y de las fuentes de pago en los documentos definitivos.</w:t>
            </w:r>
          </w:p>
        </w:tc>
        <w:tc>
          <w:tcPr>
            <w:tcW w:w="1080" w:type="dxa"/>
            <w:vAlign w:val="center"/>
          </w:tcPr>
          <w:p w14:paraId="69BE7CB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Por una sola vez, previo a la apertura</w:t>
            </w:r>
          </w:p>
        </w:tc>
      </w:tr>
      <w:tr w:rsidR="0076567A" w:rsidRPr="005234F0" w14:paraId="590339F5" w14:textId="77777777" w:rsidTr="0076567A">
        <w:trPr>
          <w:trHeight w:val="466"/>
        </w:trPr>
        <w:tc>
          <w:tcPr>
            <w:tcW w:w="461" w:type="dxa"/>
            <w:vAlign w:val="center"/>
          </w:tcPr>
          <w:p w14:paraId="4786754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51</w:t>
            </w:r>
          </w:p>
        </w:tc>
        <w:tc>
          <w:tcPr>
            <w:tcW w:w="893" w:type="dxa"/>
            <w:vAlign w:val="center"/>
          </w:tcPr>
          <w:p w14:paraId="0C4F42D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General</w:t>
            </w:r>
          </w:p>
        </w:tc>
        <w:tc>
          <w:tcPr>
            <w:tcW w:w="749" w:type="dxa"/>
            <w:vAlign w:val="center"/>
          </w:tcPr>
          <w:p w14:paraId="57C44EE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2114E0F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39076223"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Financieros</w:t>
            </w:r>
          </w:p>
        </w:tc>
        <w:tc>
          <w:tcPr>
            <w:tcW w:w="1742" w:type="dxa"/>
            <w:vAlign w:val="center"/>
          </w:tcPr>
          <w:p w14:paraId="6B4C9C99"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Retraso o mora de la Entidad Estatal en el pago de los instalamentos pactados dentro del esquema de financiamiento de proveedor.</w:t>
            </w:r>
          </w:p>
        </w:tc>
        <w:tc>
          <w:tcPr>
            <w:tcW w:w="1368" w:type="dxa"/>
            <w:vAlign w:val="center"/>
          </w:tcPr>
          <w:p w14:paraId="7520892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Causación de intereses moratorios, reclamaciones del contratista, suspensión de la ejecución y mayor valor final de la operación.</w:t>
            </w:r>
          </w:p>
        </w:tc>
        <w:tc>
          <w:tcPr>
            <w:tcW w:w="461" w:type="dxa"/>
            <w:vAlign w:val="center"/>
          </w:tcPr>
          <w:p w14:paraId="7C3A627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66E0BCE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56BC015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w:t>
            </w:r>
          </w:p>
        </w:tc>
        <w:tc>
          <w:tcPr>
            <w:tcW w:w="605" w:type="dxa"/>
            <w:vAlign w:val="center"/>
          </w:tcPr>
          <w:p w14:paraId="058C90D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Medio</w:t>
            </w:r>
          </w:p>
        </w:tc>
        <w:tc>
          <w:tcPr>
            <w:tcW w:w="1181" w:type="dxa"/>
            <w:vAlign w:val="center"/>
          </w:tcPr>
          <w:p w14:paraId="7C9D7C5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40B72510"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Programación del servicio de la deuda dentro del presupuesto de cada vigencia; constitución oportuna de los registros presupuestales; trámite prioritario de las cuentas de cobro y seguimiento del calendario de pagos por parte del supervisor del contrato.</w:t>
            </w:r>
          </w:p>
        </w:tc>
        <w:tc>
          <w:tcPr>
            <w:tcW w:w="461" w:type="dxa"/>
            <w:vAlign w:val="center"/>
          </w:tcPr>
          <w:p w14:paraId="4D15B78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552F3C7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102E98F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605" w:type="dxa"/>
            <w:vAlign w:val="center"/>
          </w:tcPr>
          <w:p w14:paraId="66ADF98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Bajo</w:t>
            </w:r>
          </w:p>
        </w:tc>
        <w:tc>
          <w:tcPr>
            <w:tcW w:w="461" w:type="dxa"/>
            <w:vAlign w:val="center"/>
          </w:tcPr>
          <w:p w14:paraId="3B4A1DF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56D2F0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Secretaría Distrital de Hacienda / Supervisor</w:t>
            </w:r>
          </w:p>
        </w:tc>
        <w:tc>
          <w:tcPr>
            <w:tcW w:w="950" w:type="dxa"/>
            <w:vAlign w:val="center"/>
          </w:tcPr>
          <w:p w14:paraId="68B106C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Hasta la extinción total de la obligación.</w:t>
            </w:r>
          </w:p>
        </w:tc>
        <w:tc>
          <w:tcPr>
            <w:tcW w:w="1008" w:type="dxa"/>
            <w:vAlign w:val="center"/>
          </w:tcPr>
          <w:p w14:paraId="6A5D590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Seguimiento al calendario de pagos y a las órdenes de pago efectivamente tramitadas.</w:t>
            </w:r>
          </w:p>
        </w:tc>
        <w:tc>
          <w:tcPr>
            <w:tcW w:w="1080" w:type="dxa"/>
            <w:vAlign w:val="center"/>
          </w:tcPr>
          <w:p w14:paraId="1A2D5AD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Trimestral</w:t>
            </w:r>
          </w:p>
        </w:tc>
      </w:tr>
      <w:tr w:rsidR="0076567A" w:rsidRPr="005234F0" w14:paraId="336A9AFC" w14:textId="77777777" w:rsidTr="0076567A">
        <w:trPr>
          <w:trHeight w:val="466"/>
        </w:trPr>
        <w:tc>
          <w:tcPr>
            <w:tcW w:w="461" w:type="dxa"/>
            <w:vAlign w:val="center"/>
          </w:tcPr>
          <w:p w14:paraId="6BD340E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52</w:t>
            </w:r>
          </w:p>
        </w:tc>
        <w:tc>
          <w:tcPr>
            <w:tcW w:w="893" w:type="dxa"/>
            <w:vAlign w:val="center"/>
          </w:tcPr>
          <w:p w14:paraId="226D89A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F478EA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5739AB6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5A72B5B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Prediales</w:t>
            </w:r>
          </w:p>
        </w:tc>
        <w:tc>
          <w:tcPr>
            <w:tcW w:w="1742" w:type="dxa"/>
            <w:vAlign w:val="center"/>
          </w:tcPr>
          <w:p w14:paraId="7DB0FE2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Indisponibilidad, entrega tardía o entrega en condiciones distintas de las previstas, de los predios y sedes en los que se ejecutan las catorce intervenciones que integran el proyecto.</w:t>
            </w:r>
          </w:p>
        </w:tc>
        <w:tc>
          <w:tcPr>
            <w:tcW w:w="1368" w:type="dxa"/>
            <w:vAlign w:val="center"/>
          </w:tcPr>
          <w:p w14:paraId="0A12D02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Imposibilidad de iniciar o continuar los frentes de obra, reprogramación del cronograma, mayor permanencia en obra y reclamaciones </w:t>
            </w:r>
            <w:r w:rsidRPr="005234F0">
              <w:rPr>
                <w:rFonts w:ascii="Verdana" w:hAnsi="Verdana"/>
                <w:sz w:val="12"/>
              </w:rPr>
              <w:lastRenderedPageBreak/>
              <w:t>económicas del contratista.</w:t>
            </w:r>
          </w:p>
        </w:tc>
        <w:tc>
          <w:tcPr>
            <w:tcW w:w="461" w:type="dxa"/>
            <w:vAlign w:val="center"/>
          </w:tcPr>
          <w:p w14:paraId="0EC7FB4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w:t>
            </w:r>
          </w:p>
        </w:tc>
        <w:tc>
          <w:tcPr>
            <w:tcW w:w="432" w:type="dxa"/>
            <w:vAlign w:val="center"/>
          </w:tcPr>
          <w:p w14:paraId="28FF927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6FA361A8"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7</w:t>
            </w:r>
          </w:p>
        </w:tc>
        <w:tc>
          <w:tcPr>
            <w:tcW w:w="605" w:type="dxa"/>
            <w:vAlign w:val="center"/>
          </w:tcPr>
          <w:p w14:paraId="69E6563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486D400"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037FD12E"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Acreditación de la disponibilidad jurídica y material de cada predio antes de impartir la orden de inicio del frente correspondiente; vigencia de los convenios, comodatos o actas que habilitan la </w:t>
            </w:r>
            <w:r w:rsidRPr="005234F0">
              <w:rPr>
                <w:rFonts w:ascii="Verdana" w:hAnsi="Verdana"/>
                <w:sz w:val="12"/>
              </w:rPr>
              <w:lastRenderedPageBreak/>
              <w:t>intervención; suscripción de acta de entrega de cada sede con la entidad beneficiaria y con la interventoría.</w:t>
            </w:r>
          </w:p>
        </w:tc>
        <w:tc>
          <w:tcPr>
            <w:tcW w:w="461" w:type="dxa"/>
            <w:vAlign w:val="center"/>
          </w:tcPr>
          <w:p w14:paraId="598888A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65EE8E2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0BD0968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5</w:t>
            </w:r>
          </w:p>
        </w:tc>
        <w:tc>
          <w:tcPr>
            <w:tcW w:w="605" w:type="dxa"/>
            <w:vAlign w:val="center"/>
          </w:tcPr>
          <w:p w14:paraId="5C2BBED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15460DD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B8E882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Oficina para la Seguridad y la Convivencia Ciudadana / Secretaría Distrital de Obras Públicas</w:t>
            </w:r>
          </w:p>
        </w:tc>
        <w:tc>
          <w:tcPr>
            <w:tcW w:w="950" w:type="dxa"/>
            <w:vAlign w:val="center"/>
          </w:tcPr>
          <w:p w14:paraId="6609910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 la orden de inicio de cada frente de obra.</w:t>
            </w:r>
          </w:p>
        </w:tc>
        <w:tc>
          <w:tcPr>
            <w:tcW w:w="1008" w:type="dxa"/>
            <w:vAlign w:val="center"/>
          </w:tcPr>
          <w:p w14:paraId="180DFCC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del acta de disponibilidad y entrega de cada predio.</w:t>
            </w:r>
          </w:p>
        </w:tc>
        <w:tc>
          <w:tcPr>
            <w:tcW w:w="1080" w:type="dxa"/>
            <w:vAlign w:val="center"/>
          </w:tcPr>
          <w:p w14:paraId="6BA8524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Previo al inicio de cada frente de obra</w:t>
            </w:r>
          </w:p>
        </w:tc>
      </w:tr>
      <w:tr w:rsidR="0076567A" w:rsidRPr="005234F0" w14:paraId="10A8560F" w14:textId="77777777" w:rsidTr="0076567A">
        <w:trPr>
          <w:trHeight w:val="466"/>
        </w:trPr>
        <w:tc>
          <w:tcPr>
            <w:tcW w:w="461" w:type="dxa"/>
            <w:vAlign w:val="center"/>
          </w:tcPr>
          <w:p w14:paraId="1BC879C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53</w:t>
            </w:r>
          </w:p>
        </w:tc>
        <w:tc>
          <w:tcPr>
            <w:tcW w:w="893" w:type="dxa"/>
            <w:vAlign w:val="center"/>
          </w:tcPr>
          <w:p w14:paraId="74F5BFE1"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2CF181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2DDC263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71B2C91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Prediales/Regulatorios</w:t>
            </w:r>
          </w:p>
        </w:tc>
        <w:tc>
          <w:tcPr>
            <w:tcW w:w="1742" w:type="dxa"/>
            <w:vAlign w:val="center"/>
          </w:tcPr>
          <w:p w14:paraId="72DA8C7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Revocatoria, terminación, no prórroga o falta de perfeccionamiento de los convenios, comodatos, actas del Comité Distrital de Orden Público o demás instrumentos que habilitan al Distrito para invertir en inmuebles de propiedad de entidades del orden nacional —Armada Nacional, Ejército Nacional, Policía Metropolitana, Fiscalía General de la Nación y Migración Colombia—.</w:t>
            </w:r>
          </w:p>
        </w:tc>
        <w:tc>
          <w:tcPr>
            <w:tcW w:w="1368" w:type="dxa"/>
            <w:vAlign w:val="center"/>
          </w:tcPr>
          <w:p w14:paraId="454C9CB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Pérdida del título habilitante para ejecutar la obra sobre el predio, suspensión de la intervención, riesgo de observación fiscal por la inversión de recursos distritales y eventual necesidad de reprogramar o reubicar el frente de obra.</w:t>
            </w:r>
          </w:p>
        </w:tc>
        <w:tc>
          <w:tcPr>
            <w:tcW w:w="461" w:type="dxa"/>
            <w:vAlign w:val="center"/>
          </w:tcPr>
          <w:p w14:paraId="2724AAF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44C0809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2811915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4501C62B"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701C3A5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05F7B3FE"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Verificación previa de la existencia, vigencia y suficiencia del instrumento jurídico correspondiente a cada predio; incorporación de los soportes al expediente del proceso; seguimiento a los plazos de vigencia y trámite oportuno de las prórrogas que resulten necesarias.</w:t>
            </w:r>
          </w:p>
        </w:tc>
        <w:tc>
          <w:tcPr>
            <w:tcW w:w="461" w:type="dxa"/>
            <w:vAlign w:val="center"/>
          </w:tcPr>
          <w:p w14:paraId="0AC0BF5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1</w:t>
            </w:r>
          </w:p>
        </w:tc>
        <w:tc>
          <w:tcPr>
            <w:tcW w:w="432" w:type="dxa"/>
            <w:vAlign w:val="center"/>
          </w:tcPr>
          <w:p w14:paraId="1F7A0D1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28549E3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5147928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41CD355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884EEF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Oficina para la Seguridad y la Convivencia Ciudadana / Oficina Jurídica</w:t>
            </w:r>
          </w:p>
        </w:tc>
        <w:tc>
          <w:tcPr>
            <w:tcW w:w="950" w:type="dxa"/>
            <w:vAlign w:val="center"/>
          </w:tcPr>
          <w:p w14:paraId="1ED0BD8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 la orden de inicio de cada frente y durante toda la ejecución.</w:t>
            </w:r>
          </w:p>
        </w:tc>
        <w:tc>
          <w:tcPr>
            <w:tcW w:w="1008" w:type="dxa"/>
            <w:vAlign w:val="center"/>
          </w:tcPr>
          <w:p w14:paraId="490362E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Revisión periódica de la vigencia de los convenios, comodatos y actas por predio.</w:t>
            </w:r>
          </w:p>
        </w:tc>
        <w:tc>
          <w:tcPr>
            <w:tcW w:w="1080" w:type="dxa"/>
            <w:vAlign w:val="center"/>
          </w:tcPr>
          <w:p w14:paraId="21F6B5C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Semestral</w:t>
            </w:r>
          </w:p>
        </w:tc>
      </w:tr>
      <w:tr w:rsidR="0076567A" w:rsidRPr="005234F0" w14:paraId="47649C55" w14:textId="77777777" w:rsidTr="0076567A">
        <w:trPr>
          <w:trHeight w:val="466"/>
        </w:trPr>
        <w:tc>
          <w:tcPr>
            <w:tcW w:w="461" w:type="dxa"/>
            <w:vAlign w:val="center"/>
          </w:tcPr>
          <w:p w14:paraId="24FA2ADC"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54</w:t>
            </w:r>
          </w:p>
        </w:tc>
        <w:tc>
          <w:tcPr>
            <w:tcW w:w="893" w:type="dxa"/>
            <w:vAlign w:val="center"/>
          </w:tcPr>
          <w:p w14:paraId="2C4AF03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1EF6ED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97AF7C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2D81764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w:t>
            </w:r>
          </w:p>
        </w:tc>
        <w:tc>
          <w:tcPr>
            <w:tcW w:w="1742" w:type="dxa"/>
            <w:vAlign w:val="center"/>
          </w:tcPr>
          <w:p w14:paraId="5AA420F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Restricciones de acceso, ventanas horarias de trabajo, suspensiones temporales por razones operativas o de seguridad y reserva de la información técnica, derivadas de que las obras se ejecutan sobre instalaciones activas de organismos de seguridad y de justicia.</w:t>
            </w:r>
          </w:p>
        </w:tc>
        <w:tc>
          <w:tcPr>
            <w:tcW w:w="1368" w:type="dxa"/>
            <w:vAlign w:val="center"/>
          </w:tcPr>
          <w:p w14:paraId="659292E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Menor rendimiento de las cuadrillas, mayor permanencia en obra, reprogramación del cronograma y mayores costos de administración.</w:t>
            </w:r>
          </w:p>
        </w:tc>
        <w:tc>
          <w:tcPr>
            <w:tcW w:w="461" w:type="dxa"/>
            <w:vAlign w:val="center"/>
          </w:tcPr>
          <w:p w14:paraId="43199D13"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48ABCBD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01B83DE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42B298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56E5B1E8"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44E6FE27"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Protocolo de coordinación con la entidad beneficiaria de cada sede, suscrito antes del inicio del frente; programación de actividades dentro de las ventanas acordadas; acuerdos de confidencialidad y manejo de información sometida a reserva; registro en actas de las suspensiones ordenadas por la entidad beneficiaria y de su incidencia en el plazo.</w:t>
            </w:r>
          </w:p>
        </w:tc>
        <w:tc>
          <w:tcPr>
            <w:tcW w:w="461" w:type="dxa"/>
            <w:vAlign w:val="center"/>
          </w:tcPr>
          <w:p w14:paraId="6CB0F51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5BB71B7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1AA49EC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386C4B9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2D9D30D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026725B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 Supervisor / Entidad beneficiaria de la sede</w:t>
            </w:r>
          </w:p>
        </w:tc>
        <w:tc>
          <w:tcPr>
            <w:tcW w:w="950" w:type="dxa"/>
            <w:vAlign w:val="center"/>
          </w:tcPr>
          <w:p w14:paraId="4A1E71C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toda la ejecución de cada frente de obra.</w:t>
            </w:r>
          </w:p>
        </w:tc>
        <w:tc>
          <w:tcPr>
            <w:tcW w:w="1008" w:type="dxa"/>
            <w:vAlign w:val="center"/>
          </w:tcPr>
          <w:p w14:paraId="0D000E7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Actas de coordinación y registro documentado de las suspensiones operativas.</w:t>
            </w:r>
          </w:p>
        </w:tc>
        <w:tc>
          <w:tcPr>
            <w:tcW w:w="1080" w:type="dxa"/>
            <w:vAlign w:val="center"/>
          </w:tcPr>
          <w:p w14:paraId="563842B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Semanal</w:t>
            </w:r>
          </w:p>
        </w:tc>
      </w:tr>
      <w:tr w:rsidR="0076567A" w:rsidRPr="005234F0" w14:paraId="550870C3" w14:textId="77777777" w:rsidTr="0076567A">
        <w:trPr>
          <w:trHeight w:val="466"/>
        </w:trPr>
        <w:tc>
          <w:tcPr>
            <w:tcW w:w="461" w:type="dxa"/>
            <w:vAlign w:val="center"/>
          </w:tcPr>
          <w:p w14:paraId="79CE3CA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55</w:t>
            </w:r>
          </w:p>
        </w:tc>
        <w:tc>
          <w:tcPr>
            <w:tcW w:w="893" w:type="dxa"/>
            <w:vAlign w:val="center"/>
          </w:tcPr>
          <w:p w14:paraId="77F988F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3B09464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DD9C8B7"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56F5F3C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Regulatorios/Operacionales</w:t>
            </w:r>
          </w:p>
        </w:tc>
        <w:tc>
          <w:tcPr>
            <w:tcW w:w="1742" w:type="dxa"/>
            <w:vAlign w:val="center"/>
          </w:tcPr>
          <w:p w14:paraId="34966805"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 xml:space="preserve">Demora imputable a la autoridad competente o a un tercero —y no a la gestión del contratista— en la expedición de licencias urbanísticas, permisos de ocupación de cauce, autorizaciones </w:t>
            </w:r>
            <w:r w:rsidRPr="005234F0">
              <w:rPr>
                <w:rFonts w:ascii="Verdana" w:hAnsi="Verdana"/>
                <w:sz w:val="12"/>
              </w:rPr>
              <w:lastRenderedPageBreak/>
              <w:t>de la Dirección General Marítima, conceptos de la Corporación Autónoma Regional del Río Grande de la Magdalena, permisos de intervención del espacio público y demás autorizaciones no ambientales exigibles.</w:t>
            </w:r>
          </w:p>
        </w:tc>
        <w:tc>
          <w:tcPr>
            <w:tcW w:w="1368" w:type="dxa"/>
            <w:vAlign w:val="center"/>
          </w:tcPr>
          <w:p w14:paraId="09216747"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lastRenderedPageBreak/>
              <w:t xml:space="preserve">Retraso en el inicio o continuación de los frentes de obra, mayor permanencia, reprogramación del cronograma y reclamaciones por </w:t>
            </w:r>
            <w:r w:rsidRPr="005234F0">
              <w:rPr>
                <w:rFonts w:ascii="Verdana" w:hAnsi="Verdana"/>
                <w:sz w:val="12"/>
              </w:rPr>
              <w:lastRenderedPageBreak/>
              <w:t>mayores costos de administración.</w:t>
            </w:r>
          </w:p>
        </w:tc>
        <w:tc>
          <w:tcPr>
            <w:tcW w:w="461" w:type="dxa"/>
            <w:vAlign w:val="center"/>
          </w:tcPr>
          <w:p w14:paraId="6183D20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3</w:t>
            </w:r>
          </w:p>
        </w:tc>
        <w:tc>
          <w:tcPr>
            <w:tcW w:w="432" w:type="dxa"/>
            <w:vAlign w:val="center"/>
          </w:tcPr>
          <w:p w14:paraId="191C479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6CF2E31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CFEB98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132057A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5AD01CFA"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Identificación previa, sede por sede, de las licencias y permisos exigibles y del responsable de su trámite; radicación anticipada por parte de la Entidad Estatal de las </w:t>
            </w:r>
            <w:r w:rsidRPr="005234F0">
              <w:rPr>
                <w:rFonts w:ascii="Verdana" w:hAnsi="Verdana"/>
                <w:sz w:val="12"/>
              </w:rPr>
              <w:lastRenderedPageBreak/>
              <w:t>solicitudes que le corresponden; ampliación o suspensión del plazo contractual cuando la demora sea imputable a la autoridad competente y no al contratista; matriz de seguimiento de trámites con responsable y fecha de radicación.</w:t>
            </w:r>
          </w:p>
        </w:tc>
        <w:tc>
          <w:tcPr>
            <w:tcW w:w="461" w:type="dxa"/>
            <w:vAlign w:val="center"/>
          </w:tcPr>
          <w:p w14:paraId="7CF4853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4BA6E25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5C455A1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6B9E6A0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3755FBBD"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8A744DE"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Oficina para la Seguridad y la Convivencia Ciudadana / Interventor</w:t>
            </w:r>
          </w:p>
        </w:tc>
        <w:tc>
          <w:tcPr>
            <w:tcW w:w="950" w:type="dxa"/>
            <w:vAlign w:val="center"/>
          </w:tcPr>
          <w:p w14:paraId="4409F63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Desde la planeación y hasta la obtención del último permiso exigible.</w:t>
            </w:r>
          </w:p>
        </w:tc>
        <w:tc>
          <w:tcPr>
            <w:tcW w:w="1008" w:type="dxa"/>
            <w:vAlign w:val="center"/>
          </w:tcPr>
          <w:p w14:paraId="4D37F96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Matriz de seguimiento de licencias y permisos por sede.</w:t>
            </w:r>
          </w:p>
        </w:tc>
        <w:tc>
          <w:tcPr>
            <w:tcW w:w="1080" w:type="dxa"/>
            <w:vAlign w:val="center"/>
          </w:tcPr>
          <w:p w14:paraId="776767D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Quincenal</w:t>
            </w:r>
          </w:p>
        </w:tc>
      </w:tr>
      <w:tr w:rsidR="0076567A" w:rsidRPr="005234F0" w14:paraId="07EF5141" w14:textId="77777777" w:rsidTr="0076567A">
        <w:trPr>
          <w:trHeight w:val="466"/>
        </w:trPr>
        <w:tc>
          <w:tcPr>
            <w:tcW w:w="461" w:type="dxa"/>
            <w:vAlign w:val="center"/>
          </w:tcPr>
          <w:p w14:paraId="3FDABCD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56</w:t>
            </w:r>
          </w:p>
        </w:tc>
        <w:tc>
          <w:tcPr>
            <w:tcW w:w="893" w:type="dxa"/>
            <w:vAlign w:val="center"/>
          </w:tcPr>
          <w:p w14:paraId="458B28F8"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06AF9A0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19B4892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3DFFA1F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Ambientales/Regulatorios</w:t>
            </w:r>
          </w:p>
        </w:tc>
        <w:tc>
          <w:tcPr>
            <w:tcW w:w="1742" w:type="dxa"/>
            <w:vAlign w:val="center"/>
          </w:tcPr>
          <w:p w14:paraId="12F59564"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No obtención, negación o condicionamiento de la licencia ambiental, del permiso de ocupación de cauce, de la autorización de la Dirección General Marítima o del pronunciamiento de la Corporación Autónoma Regional del Río Grande de la Magdalena, requeridos para el muelle y el sector de zarpe previstos en la Estación de Guardacostas de Las Flores.</w:t>
            </w:r>
          </w:p>
        </w:tc>
        <w:tc>
          <w:tcPr>
            <w:tcW w:w="1368" w:type="dxa"/>
            <w:vAlign w:val="center"/>
          </w:tcPr>
          <w:p w14:paraId="7270DF30"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Imposibilidad de ejecutar el componente de muelle, necesidad de modificar el alcance o la solución técnica y eventual reducción del valor del contrato.</w:t>
            </w:r>
          </w:p>
        </w:tc>
        <w:tc>
          <w:tcPr>
            <w:tcW w:w="461" w:type="dxa"/>
            <w:vAlign w:val="center"/>
          </w:tcPr>
          <w:p w14:paraId="6F2F27A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7F11FFC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708E265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1862E37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24BCA3F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73EC32B8" w14:textId="7453AAD6"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Gestión de los trámites a cargo del contratista, con acompañamiento y respaldo institucional de la Entidad Estatal ante las autoridades competentes; prohibición expresa de iniciar el frente sin acreditación previa de los permisos ante la interventoría; previsión contractual de ajuste o exclusión del componente en caso de negación definitiva del permiso por la autoridad competente.</w:t>
            </w:r>
            <w:r w:rsidR="008600D6" w:rsidRPr="005234F0">
              <w:rPr>
                <w:rFonts w:ascii="Segoe UI" w:hAnsi="Segoe UI" w:cs="Segoe UI"/>
                <w:sz w:val="18"/>
                <w:szCs w:val="18"/>
              </w:rPr>
              <w:t xml:space="preserve"> </w:t>
            </w:r>
            <w:r w:rsidR="008600D6" w:rsidRPr="005234F0">
              <w:rPr>
                <w:rFonts w:ascii="Verdana" w:hAnsi="Verdana"/>
                <w:sz w:val="12"/>
              </w:rPr>
              <w:t xml:space="preserve">Corresponde al contratista adelantar la gestión técnica y documental necesaria para la obtención de los permisos y autorizaciones exigidos para la ejecución del componente de muelle, con acompañamiento institucional de la Entidad Estatal cuando así se requiera. El contratista asumirá las consecuencias derivadas de errores, omisiones o incumplimientos en la preparación o radicación de las solicitudes. No </w:t>
            </w:r>
            <w:r w:rsidR="008600D6" w:rsidRPr="005234F0">
              <w:rPr>
                <w:rFonts w:ascii="Verdana" w:hAnsi="Verdana"/>
                <w:sz w:val="12"/>
              </w:rPr>
              <w:lastRenderedPageBreak/>
              <w:t>obstante, la negativa, suspensión, condicionamiento o demora injustificada de la autoridad competente, cuando no sea imputable al contratista, constituirá un riesgo a cargo de la Entidad Estatal y podrá dar lugar a la adopción de medidas de reprogramación, suspensión, modificación o ajuste del alcance contractual según corresponda</w:t>
            </w:r>
          </w:p>
        </w:tc>
        <w:tc>
          <w:tcPr>
            <w:tcW w:w="461" w:type="dxa"/>
            <w:vAlign w:val="center"/>
          </w:tcPr>
          <w:p w14:paraId="4762A8D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2</w:t>
            </w:r>
          </w:p>
        </w:tc>
        <w:tc>
          <w:tcPr>
            <w:tcW w:w="432" w:type="dxa"/>
            <w:vAlign w:val="center"/>
          </w:tcPr>
          <w:p w14:paraId="2EF32A07"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41A008B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337A1FFB"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6F29A411"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B880FB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 / Interventor / Entidad Estatal</w:t>
            </w:r>
          </w:p>
        </w:tc>
        <w:tc>
          <w:tcPr>
            <w:tcW w:w="950" w:type="dxa"/>
            <w:vAlign w:val="center"/>
          </w:tcPr>
          <w:p w14:paraId="1DD0D7B3"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del inicio del frente de obra del muelle.</w:t>
            </w:r>
          </w:p>
        </w:tc>
        <w:tc>
          <w:tcPr>
            <w:tcW w:w="1008" w:type="dxa"/>
            <w:vAlign w:val="center"/>
          </w:tcPr>
          <w:p w14:paraId="6FEFA22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documental de los permisos ante la interventoría.</w:t>
            </w:r>
          </w:p>
        </w:tc>
        <w:tc>
          <w:tcPr>
            <w:tcW w:w="1080" w:type="dxa"/>
            <w:vAlign w:val="center"/>
          </w:tcPr>
          <w:p w14:paraId="572D825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 hasta la obtención de los permisos</w:t>
            </w:r>
          </w:p>
        </w:tc>
      </w:tr>
      <w:tr w:rsidR="0076567A" w:rsidRPr="005234F0" w14:paraId="2D501D29" w14:textId="77777777" w:rsidTr="0076567A">
        <w:trPr>
          <w:trHeight w:val="466"/>
        </w:trPr>
        <w:tc>
          <w:tcPr>
            <w:tcW w:w="461" w:type="dxa"/>
            <w:vAlign w:val="center"/>
          </w:tcPr>
          <w:p w14:paraId="030CDCD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57</w:t>
            </w:r>
          </w:p>
        </w:tc>
        <w:tc>
          <w:tcPr>
            <w:tcW w:w="893" w:type="dxa"/>
            <w:vAlign w:val="center"/>
          </w:tcPr>
          <w:p w14:paraId="1F800C3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0E61DFC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5BD34D9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54550B80"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Regulatorios</w:t>
            </w:r>
          </w:p>
        </w:tc>
        <w:tc>
          <w:tcPr>
            <w:tcW w:w="1742" w:type="dxa"/>
            <w:vAlign w:val="center"/>
          </w:tcPr>
          <w:p w14:paraId="5DA6FF52"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No obtención o demora de la autorización del Ministerio de Minas y Energía, del registro en el Sistema de Información de Combustibles Líquidos y del certificado de conformidad exigidos para la instalación de almacenamiento y suministro de combustibles líquidos prevista en el proyecto.</w:t>
            </w:r>
          </w:p>
        </w:tc>
        <w:tc>
          <w:tcPr>
            <w:tcW w:w="1368" w:type="dxa"/>
            <w:vAlign w:val="center"/>
          </w:tcPr>
          <w:p w14:paraId="6A9DD41D"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Imposibilidad de poner en operación la instalación, entrega de una obra construida sin habilitación de funcionamiento y eventual necesidad de modificar la solución técnica.</w:t>
            </w:r>
          </w:p>
        </w:tc>
        <w:tc>
          <w:tcPr>
            <w:tcW w:w="461" w:type="dxa"/>
            <w:vAlign w:val="center"/>
          </w:tcPr>
          <w:p w14:paraId="43DF48E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67FBD29A"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42CB493E"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0BC5AD9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39A01F37"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4EDA59C5"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Identificación previa de los requisitos técnicos y sectoriales aplicables; gestión de los trámites a cargo del contratista con acompañamiento de la Entidad Estatal; condicionamiento del recibo final del componente a la acreditación del registro sectorial y del certificado de conformidad ante la interventoría.</w:t>
            </w:r>
          </w:p>
        </w:tc>
        <w:tc>
          <w:tcPr>
            <w:tcW w:w="461" w:type="dxa"/>
            <w:vAlign w:val="center"/>
          </w:tcPr>
          <w:p w14:paraId="29B2BDC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49271B4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7C4EAEDC"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71972AF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4F5898C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14EAE48A"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Contratista / Interventor</w:t>
            </w:r>
          </w:p>
        </w:tc>
        <w:tc>
          <w:tcPr>
            <w:tcW w:w="950" w:type="dxa"/>
            <w:vAlign w:val="center"/>
          </w:tcPr>
          <w:p w14:paraId="124E4379"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del recibo final del componente.</w:t>
            </w:r>
          </w:p>
        </w:tc>
        <w:tc>
          <w:tcPr>
            <w:tcW w:w="1008" w:type="dxa"/>
            <w:vAlign w:val="center"/>
          </w:tcPr>
          <w:p w14:paraId="5F7F3B6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documental de autorizaciones, registro sectorial y certificado de conformidad.</w:t>
            </w:r>
          </w:p>
        </w:tc>
        <w:tc>
          <w:tcPr>
            <w:tcW w:w="1080" w:type="dxa"/>
            <w:vAlign w:val="center"/>
          </w:tcPr>
          <w:p w14:paraId="2F17562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r w:rsidR="0076567A" w:rsidRPr="005234F0" w14:paraId="0BAA219C" w14:textId="77777777" w:rsidTr="0076567A">
        <w:trPr>
          <w:trHeight w:val="466"/>
        </w:trPr>
        <w:tc>
          <w:tcPr>
            <w:tcW w:w="461" w:type="dxa"/>
            <w:vAlign w:val="center"/>
          </w:tcPr>
          <w:p w14:paraId="757B7A5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58</w:t>
            </w:r>
          </w:p>
        </w:tc>
        <w:tc>
          <w:tcPr>
            <w:tcW w:w="893" w:type="dxa"/>
            <w:vAlign w:val="center"/>
          </w:tcPr>
          <w:p w14:paraId="1D10801F"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1D0FE122"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053C8DD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Planeación/Ejecución</w:t>
            </w:r>
          </w:p>
        </w:tc>
        <w:tc>
          <w:tcPr>
            <w:tcW w:w="1224" w:type="dxa"/>
            <w:vAlign w:val="center"/>
          </w:tcPr>
          <w:p w14:paraId="7F1A9605"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Sociales/Regulatorios</w:t>
            </w:r>
          </w:p>
        </w:tc>
        <w:tc>
          <w:tcPr>
            <w:tcW w:w="1742" w:type="dxa"/>
            <w:vAlign w:val="center"/>
          </w:tcPr>
          <w:p w14:paraId="39FA360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Que se establezca la presencia de comunidades étnicas en el área de influencia de alguna de las intervenciones —particularmente en la franja ribereña del río Magdalena— y que, en consecuencia, resulte procedente adelantar el procedimiento de consulta previa.</w:t>
            </w:r>
          </w:p>
        </w:tc>
        <w:tc>
          <w:tcPr>
            <w:tcW w:w="1368" w:type="dxa"/>
            <w:vAlign w:val="center"/>
          </w:tcPr>
          <w:p w14:paraId="4EF68553"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Suspensión del frente de obra, necesidad de adelantar el procedimiento de consulta previa, retraso del cronograma y riesgo de acciones constitucionales.</w:t>
            </w:r>
          </w:p>
        </w:tc>
        <w:tc>
          <w:tcPr>
            <w:tcW w:w="461" w:type="dxa"/>
            <w:vAlign w:val="center"/>
          </w:tcPr>
          <w:p w14:paraId="6265AD7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2</w:t>
            </w:r>
          </w:p>
        </w:tc>
        <w:tc>
          <w:tcPr>
            <w:tcW w:w="432" w:type="dxa"/>
            <w:vAlign w:val="center"/>
          </w:tcPr>
          <w:p w14:paraId="71BDD40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4</w:t>
            </w:r>
          </w:p>
        </w:tc>
        <w:tc>
          <w:tcPr>
            <w:tcW w:w="547" w:type="dxa"/>
            <w:vAlign w:val="center"/>
          </w:tcPr>
          <w:p w14:paraId="1A7AEF4D"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793B14A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6A93D63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448D8832"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Solicitud y obtención de la certificación de presencia o no presencia de comunidades étnicas ante la Dirección de la Autoridad Nacional de Consulta Previa del Ministerio del Interior respecto de cada área de intervención que lo requiera; incorporación de la certificación al expediente del proceso; prohibición de iniciar actividades que requieran </w:t>
            </w:r>
            <w:r w:rsidRPr="005234F0">
              <w:rPr>
                <w:rFonts w:ascii="Verdana" w:hAnsi="Verdana"/>
                <w:sz w:val="12"/>
              </w:rPr>
              <w:lastRenderedPageBreak/>
              <w:t>pronunciamiento previo sin haberlo obtenido.</w:t>
            </w:r>
          </w:p>
        </w:tc>
        <w:tc>
          <w:tcPr>
            <w:tcW w:w="461" w:type="dxa"/>
            <w:vAlign w:val="center"/>
          </w:tcPr>
          <w:p w14:paraId="04AEB0F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lastRenderedPageBreak/>
              <w:t>1</w:t>
            </w:r>
          </w:p>
        </w:tc>
        <w:tc>
          <w:tcPr>
            <w:tcW w:w="432" w:type="dxa"/>
            <w:vAlign w:val="center"/>
          </w:tcPr>
          <w:p w14:paraId="3CC6F208"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3</w:t>
            </w:r>
          </w:p>
        </w:tc>
        <w:tc>
          <w:tcPr>
            <w:tcW w:w="547" w:type="dxa"/>
            <w:vAlign w:val="center"/>
          </w:tcPr>
          <w:p w14:paraId="373FE6A3"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297FCAD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26965D5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7187E9BC"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Oficina para la Seguridad y la Convivencia Ciudadana / Interventor</w:t>
            </w:r>
          </w:p>
        </w:tc>
        <w:tc>
          <w:tcPr>
            <w:tcW w:w="950" w:type="dxa"/>
            <w:vAlign w:val="center"/>
          </w:tcPr>
          <w:p w14:paraId="061EB94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Antes del inicio de las obras en el área correspondiente.</w:t>
            </w:r>
          </w:p>
        </w:tc>
        <w:tc>
          <w:tcPr>
            <w:tcW w:w="1008" w:type="dxa"/>
            <w:vAlign w:val="center"/>
          </w:tcPr>
          <w:p w14:paraId="63B776F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Verificación de la certificación expedida por el Ministerio del Interior.</w:t>
            </w:r>
          </w:p>
        </w:tc>
        <w:tc>
          <w:tcPr>
            <w:tcW w:w="1080" w:type="dxa"/>
            <w:vAlign w:val="center"/>
          </w:tcPr>
          <w:p w14:paraId="105AEFB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Por una sola vez, previo al inicio del frente</w:t>
            </w:r>
          </w:p>
        </w:tc>
      </w:tr>
      <w:tr w:rsidR="0076567A" w:rsidRPr="005234F0" w14:paraId="54CDDB8E" w14:textId="77777777" w:rsidTr="0076567A">
        <w:trPr>
          <w:trHeight w:val="466"/>
        </w:trPr>
        <w:tc>
          <w:tcPr>
            <w:tcW w:w="461" w:type="dxa"/>
            <w:vAlign w:val="center"/>
          </w:tcPr>
          <w:p w14:paraId="18D81C0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lastRenderedPageBreak/>
              <w:t>59</w:t>
            </w:r>
          </w:p>
        </w:tc>
        <w:tc>
          <w:tcPr>
            <w:tcW w:w="893" w:type="dxa"/>
            <w:vAlign w:val="center"/>
          </w:tcPr>
          <w:p w14:paraId="35B77DB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B5F0BDB"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Externo</w:t>
            </w:r>
          </w:p>
        </w:tc>
        <w:tc>
          <w:tcPr>
            <w:tcW w:w="1037" w:type="dxa"/>
            <w:vAlign w:val="center"/>
          </w:tcPr>
          <w:p w14:paraId="6856AEBE"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607A9539"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Operacionales/De la Naturaleza</w:t>
            </w:r>
          </w:p>
        </w:tc>
        <w:tc>
          <w:tcPr>
            <w:tcW w:w="1742" w:type="dxa"/>
            <w:vAlign w:val="center"/>
          </w:tcPr>
          <w:p w14:paraId="59BBA29E"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Condiciones del subsuelo sustancialmente distintas de las consignadas en el estudio de suelos entregado por la Entidad Estatal, que obliguen a modificar la solución de cimentación, las longitudes o diámetros de pilotes o los volúmenes de excavación previstos.</w:t>
            </w:r>
          </w:p>
        </w:tc>
        <w:tc>
          <w:tcPr>
            <w:tcW w:w="1368" w:type="dxa"/>
            <w:vAlign w:val="center"/>
          </w:tcPr>
          <w:p w14:paraId="0E5A6B5B"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Mayores cantidades de obra, cambios de especificación técnica, reprogramación del cronograma y mayor valor del contrato.</w:t>
            </w:r>
          </w:p>
        </w:tc>
        <w:tc>
          <w:tcPr>
            <w:tcW w:w="461" w:type="dxa"/>
            <w:vAlign w:val="center"/>
          </w:tcPr>
          <w:p w14:paraId="3DD5416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3939C602"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786E1529"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322ECF50"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48D40EF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Estatal/Contratista</w:t>
            </w:r>
          </w:p>
        </w:tc>
        <w:tc>
          <w:tcPr>
            <w:tcW w:w="1742" w:type="dxa"/>
            <w:vAlign w:val="center"/>
          </w:tcPr>
          <w:p w14:paraId="0A502BCD"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 xml:space="preserve">Entrega y publicación del estudio de suelos y de las memorias de cimentación junto con los documentos definitivos del proceso. El contratista asume el </w:t>
            </w:r>
            <w:proofErr w:type="spellStart"/>
            <w:r w:rsidRPr="005234F0">
              <w:rPr>
                <w:rFonts w:ascii="Verdana" w:hAnsi="Verdana"/>
                <w:sz w:val="12"/>
              </w:rPr>
              <w:t>álea</w:t>
            </w:r>
            <w:proofErr w:type="spellEnd"/>
            <w:r w:rsidRPr="005234F0">
              <w:rPr>
                <w:rFonts w:ascii="Verdana" w:hAnsi="Verdana"/>
                <w:sz w:val="12"/>
              </w:rPr>
              <w:t xml:space="preserve"> ordinaria propia de la actividad; la Entidad Estatal asume la variación que exceda de manera sustancial las condiciones consignadas en los estudios entregados. Verificación en obra mediante apiques y ensayos de laboratorio, con registro comparativo en actas.</w:t>
            </w:r>
          </w:p>
        </w:tc>
        <w:tc>
          <w:tcPr>
            <w:tcW w:w="461" w:type="dxa"/>
            <w:vAlign w:val="center"/>
          </w:tcPr>
          <w:p w14:paraId="40ACFECF"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47B832E6"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00858A62"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1E1A898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7B19BA4E"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250D40A1"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Interventor / Secretaría Distrital de Obras Públicas</w:t>
            </w:r>
          </w:p>
        </w:tc>
        <w:tc>
          <w:tcPr>
            <w:tcW w:w="950" w:type="dxa"/>
            <w:vAlign w:val="center"/>
          </w:tcPr>
          <w:p w14:paraId="08752D2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la ejecución de las actividades de cimentación y excavación.</w:t>
            </w:r>
          </w:p>
        </w:tc>
        <w:tc>
          <w:tcPr>
            <w:tcW w:w="1008" w:type="dxa"/>
            <w:vAlign w:val="center"/>
          </w:tcPr>
          <w:p w14:paraId="125190F4"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Ensayos de laboratorio, apiques y registro comparativo frente al estudio de suelos entregado.</w:t>
            </w:r>
          </w:p>
        </w:tc>
        <w:tc>
          <w:tcPr>
            <w:tcW w:w="1080" w:type="dxa"/>
            <w:vAlign w:val="center"/>
          </w:tcPr>
          <w:p w14:paraId="5E329012"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Por frente de obra, en etapa de cimentación</w:t>
            </w:r>
          </w:p>
        </w:tc>
      </w:tr>
      <w:tr w:rsidR="0076567A" w:rsidRPr="005234F0" w14:paraId="05FDC4F3" w14:textId="77777777" w:rsidTr="0076567A">
        <w:trPr>
          <w:trHeight w:val="466"/>
        </w:trPr>
        <w:tc>
          <w:tcPr>
            <w:tcW w:w="461" w:type="dxa"/>
            <w:vAlign w:val="center"/>
          </w:tcPr>
          <w:p w14:paraId="786CA854"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60</w:t>
            </w:r>
          </w:p>
        </w:tc>
        <w:tc>
          <w:tcPr>
            <w:tcW w:w="893" w:type="dxa"/>
            <w:vAlign w:val="center"/>
          </w:tcPr>
          <w:p w14:paraId="7B82A53C"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Específico</w:t>
            </w:r>
          </w:p>
        </w:tc>
        <w:tc>
          <w:tcPr>
            <w:tcW w:w="749" w:type="dxa"/>
            <w:vAlign w:val="center"/>
          </w:tcPr>
          <w:p w14:paraId="5E09DF6A"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Interno</w:t>
            </w:r>
          </w:p>
        </w:tc>
        <w:tc>
          <w:tcPr>
            <w:tcW w:w="1037" w:type="dxa"/>
            <w:vAlign w:val="center"/>
          </w:tcPr>
          <w:p w14:paraId="3BCCBFA6"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Ejecución</w:t>
            </w:r>
          </w:p>
        </w:tc>
        <w:tc>
          <w:tcPr>
            <w:tcW w:w="1224" w:type="dxa"/>
            <w:vAlign w:val="center"/>
          </w:tcPr>
          <w:p w14:paraId="38E10A7D" w14:textId="77777777" w:rsidR="0076567A" w:rsidRPr="005234F0" w:rsidRDefault="0076567A" w:rsidP="0076567A">
            <w:pPr>
              <w:spacing w:afterAutospacing="1"/>
              <w:jc w:val="left"/>
              <w:rPr>
                <w:rFonts w:ascii="Verdana" w:eastAsia="SimSun" w:hAnsi="Verdana" w:cs="Arial"/>
                <w:kern w:val="3"/>
                <w:sz w:val="16"/>
                <w:szCs w:val="20"/>
                <w:lang w:eastAsia="zh-CN" w:bidi="hi-IN"/>
              </w:rPr>
            </w:pPr>
            <w:r w:rsidRPr="005234F0">
              <w:rPr>
                <w:rFonts w:ascii="Verdana" w:hAnsi="Verdana"/>
                <w:sz w:val="12"/>
              </w:rPr>
              <w:t>Operacionales/Financieros</w:t>
            </w:r>
          </w:p>
        </w:tc>
        <w:tc>
          <w:tcPr>
            <w:tcW w:w="1742" w:type="dxa"/>
            <w:vAlign w:val="center"/>
          </w:tcPr>
          <w:p w14:paraId="2C5C2651"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Que el ajuste y/o complementación de los estudios y diseños Fase III previsto en el presupuesto oficial derive en modificaciones de alcance, cantidades o especificaciones superiores a las estimadas para dicha actividad.</w:t>
            </w:r>
          </w:p>
        </w:tc>
        <w:tc>
          <w:tcPr>
            <w:tcW w:w="1368" w:type="dxa"/>
            <w:vAlign w:val="center"/>
          </w:tcPr>
          <w:p w14:paraId="6636C126" w14:textId="77777777" w:rsidR="0076567A" w:rsidRPr="005234F0" w:rsidRDefault="0076567A" w:rsidP="0076567A">
            <w:pPr>
              <w:spacing w:afterAutospacing="1"/>
              <w:rPr>
                <w:rFonts w:ascii="Verdana" w:eastAsia="SimSun" w:hAnsi="Verdana" w:cs="Arial"/>
                <w:kern w:val="3"/>
                <w:sz w:val="16"/>
                <w:szCs w:val="20"/>
                <w:lang w:eastAsia="zh-CN" w:bidi="hi-IN"/>
              </w:rPr>
            </w:pPr>
            <w:r w:rsidRPr="005234F0">
              <w:rPr>
                <w:rFonts w:ascii="Verdana" w:hAnsi="Verdana"/>
                <w:sz w:val="12"/>
              </w:rPr>
              <w:t>Mayores cantidades de obra, necesidad de modificación o adición contractual, reprogramación del cronograma y cuestionamientos por deficiencias de planeación.</w:t>
            </w:r>
          </w:p>
        </w:tc>
        <w:tc>
          <w:tcPr>
            <w:tcW w:w="461" w:type="dxa"/>
            <w:vAlign w:val="center"/>
          </w:tcPr>
          <w:p w14:paraId="5D9CB2D5"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432" w:type="dxa"/>
            <w:vAlign w:val="center"/>
          </w:tcPr>
          <w:p w14:paraId="5F858206"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3</w:t>
            </w:r>
          </w:p>
        </w:tc>
        <w:tc>
          <w:tcPr>
            <w:tcW w:w="547" w:type="dxa"/>
            <w:vAlign w:val="center"/>
          </w:tcPr>
          <w:p w14:paraId="1FDA088F"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6</w:t>
            </w:r>
          </w:p>
        </w:tc>
        <w:tc>
          <w:tcPr>
            <w:tcW w:w="605" w:type="dxa"/>
            <w:vAlign w:val="center"/>
          </w:tcPr>
          <w:p w14:paraId="0A870A67" w14:textId="77777777" w:rsidR="0076567A" w:rsidRPr="005234F0" w:rsidRDefault="0076567A" w:rsidP="0076567A">
            <w:pPr>
              <w:spacing w:afterAutospacing="1"/>
              <w:jc w:val="center"/>
              <w:rPr>
                <w:rFonts w:ascii="Verdana" w:eastAsia="SimSun" w:hAnsi="Verdana" w:cs="Arial"/>
                <w:kern w:val="3"/>
                <w:sz w:val="16"/>
                <w:szCs w:val="20"/>
                <w:lang w:eastAsia="zh-CN" w:bidi="hi-IN"/>
              </w:rPr>
            </w:pPr>
            <w:r w:rsidRPr="005234F0">
              <w:rPr>
                <w:rFonts w:ascii="Verdana" w:hAnsi="Verdana"/>
                <w:sz w:val="12"/>
              </w:rPr>
              <w:t>Alto</w:t>
            </w:r>
          </w:p>
        </w:tc>
        <w:tc>
          <w:tcPr>
            <w:tcW w:w="1181" w:type="dxa"/>
            <w:vAlign w:val="center"/>
          </w:tcPr>
          <w:p w14:paraId="79A6CA96"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Entidad Estatal</w:t>
            </w:r>
          </w:p>
        </w:tc>
        <w:tc>
          <w:tcPr>
            <w:tcW w:w="1742" w:type="dxa"/>
            <w:vAlign w:val="center"/>
          </w:tcPr>
          <w:p w14:paraId="0EB6CD0A" w14:textId="77777777" w:rsidR="0076567A" w:rsidRPr="005234F0" w:rsidRDefault="0076567A" w:rsidP="0076567A">
            <w:pPr>
              <w:spacing w:afterAutospacing="1"/>
              <w:rPr>
                <w:rFonts w:ascii="Verdana" w:eastAsia="SimSun" w:hAnsi="Verdana" w:cs="Arial"/>
                <w:b/>
                <w:kern w:val="3"/>
                <w:sz w:val="16"/>
                <w:szCs w:val="20"/>
                <w:lang w:eastAsia="zh-CN" w:bidi="hi-IN"/>
              </w:rPr>
            </w:pPr>
            <w:r w:rsidRPr="005234F0">
              <w:rPr>
                <w:rFonts w:ascii="Verdana" w:hAnsi="Verdana"/>
                <w:sz w:val="12"/>
              </w:rPr>
              <w:t>Publicación de los estudios y diseños disponibles con los documentos definitivos del proceso; aprobación previa por la interventoría y por la Secretaría Distrital de Obras Públicas de todo ajuste de diseño; delimitación contractual del alcance de la partida de ajuste y complementación; registro documentado de cada cambio con su justificación técnica y su incidencia en cantidades y valor.</w:t>
            </w:r>
          </w:p>
        </w:tc>
        <w:tc>
          <w:tcPr>
            <w:tcW w:w="461" w:type="dxa"/>
            <w:vAlign w:val="center"/>
          </w:tcPr>
          <w:p w14:paraId="15E4A585"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432" w:type="dxa"/>
            <w:vAlign w:val="center"/>
          </w:tcPr>
          <w:p w14:paraId="7FAE8B39"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2</w:t>
            </w:r>
          </w:p>
        </w:tc>
        <w:tc>
          <w:tcPr>
            <w:tcW w:w="547" w:type="dxa"/>
            <w:vAlign w:val="center"/>
          </w:tcPr>
          <w:p w14:paraId="661FF47A"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4</w:t>
            </w:r>
          </w:p>
        </w:tc>
        <w:tc>
          <w:tcPr>
            <w:tcW w:w="605" w:type="dxa"/>
            <w:vAlign w:val="center"/>
          </w:tcPr>
          <w:p w14:paraId="72F2E660"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Medio</w:t>
            </w:r>
          </w:p>
        </w:tc>
        <w:tc>
          <w:tcPr>
            <w:tcW w:w="461" w:type="dxa"/>
            <w:vAlign w:val="center"/>
          </w:tcPr>
          <w:p w14:paraId="6B7CECF4" w14:textId="77777777" w:rsidR="0076567A" w:rsidRPr="005234F0" w:rsidRDefault="0076567A" w:rsidP="0076567A">
            <w:pPr>
              <w:spacing w:afterAutospacing="1"/>
              <w:jc w:val="center"/>
              <w:rPr>
                <w:rFonts w:ascii="Verdana" w:eastAsia="SimSun" w:hAnsi="Verdana" w:cs="Arial"/>
                <w:b/>
                <w:kern w:val="3"/>
                <w:sz w:val="16"/>
                <w:szCs w:val="20"/>
                <w:lang w:eastAsia="zh-CN" w:bidi="hi-IN"/>
              </w:rPr>
            </w:pPr>
            <w:r w:rsidRPr="005234F0">
              <w:rPr>
                <w:rFonts w:ascii="Verdana" w:hAnsi="Verdana"/>
                <w:sz w:val="12"/>
              </w:rPr>
              <w:t>Sí</w:t>
            </w:r>
          </w:p>
        </w:tc>
        <w:tc>
          <w:tcPr>
            <w:tcW w:w="979" w:type="dxa"/>
            <w:vAlign w:val="center"/>
          </w:tcPr>
          <w:p w14:paraId="329B450D"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Secretaría Distrital de Obras Públicas / Interventor</w:t>
            </w:r>
          </w:p>
        </w:tc>
        <w:tc>
          <w:tcPr>
            <w:tcW w:w="950" w:type="dxa"/>
            <w:vAlign w:val="center"/>
          </w:tcPr>
          <w:p w14:paraId="09B4D9AB"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Durante la ejecución del contrato.</w:t>
            </w:r>
          </w:p>
        </w:tc>
        <w:tc>
          <w:tcPr>
            <w:tcW w:w="1008" w:type="dxa"/>
            <w:vAlign w:val="center"/>
          </w:tcPr>
          <w:p w14:paraId="7A0F35B5"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Control de cambios de diseño aprobados y de su incidencia en cantidades y valor.</w:t>
            </w:r>
          </w:p>
        </w:tc>
        <w:tc>
          <w:tcPr>
            <w:tcW w:w="1080" w:type="dxa"/>
            <w:vAlign w:val="center"/>
          </w:tcPr>
          <w:p w14:paraId="348C509F" w14:textId="77777777" w:rsidR="0076567A" w:rsidRPr="005234F0" w:rsidRDefault="0076567A" w:rsidP="0076567A">
            <w:pPr>
              <w:spacing w:afterAutospacing="1"/>
              <w:jc w:val="left"/>
              <w:rPr>
                <w:rFonts w:ascii="Verdana" w:eastAsia="SimSun" w:hAnsi="Verdana" w:cs="Arial"/>
                <w:b/>
                <w:kern w:val="3"/>
                <w:sz w:val="16"/>
                <w:szCs w:val="20"/>
                <w:lang w:eastAsia="zh-CN" w:bidi="hi-IN"/>
              </w:rPr>
            </w:pPr>
            <w:r w:rsidRPr="005234F0">
              <w:rPr>
                <w:rFonts w:ascii="Verdana" w:hAnsi="Verdana"/>
                <w:sz w:val="12"/>
              </w:rPr>
              <w:t>Mensual</w:t>
            </w:r>
          </w:p>
        </w:tc>
      </w:tr>
    </w:tbl>
    <w:p w14:paraId="737941F1" w14:textId="77777777" w:rsidR="00815604" w:rsidRPr="005234F0" w:rsidRDefault="00815604" w:rsidP="004D7C35">
      <w:pPr>
        <w:spacing w:after="100" w:afterAutospacing="1"/>
        <w:jc w:val="center"/>
        <w:rPr>
          <w:rFonts w:ascii="Verdana" w:eastAsia="SimSun" w:hAnsi="Verdana" w:cs="Arial"/>
          <w:kern w:val="3"/>
          <w:sz w:val="20"/>
          <w:szCs w:val="20"/>
          <w:lang w:eastAsia="zh-CN" w:bidi="hi-IN"/>
        </w:rPr>
      </w:pPr>
    </w:p>
    <w:p w14:paraId="0DE3A614" w14:textId="77777777" w:rsidR="00D70D7B" w:rsidRPr="005234F0" w:rsidRDefault="00D70D7B" w:rsidP="00D70D7B">
      <w:pPr>
        <w:spacing w:after="100" w:afterAutospacing="1"/>
        <w:rPr>
          <w:rFonts w:ascii="Verdana" w:eastAsia="SimSun" w:hAnsi="Verdana" w:cs="Arial"/>
          <w:kern w:val="3"/>
          <w:sz w:val="20"/>
          <w:szCs w:val="20"/>
          <w:lang w:eastAsia="zh-CN" w:bidi="hi-IN"/>
        </w:rPr>
      </w:pPr>
    </w:p>
    <w:sectPr w:rsidR="00D70D7B" w:rsidRPr="005234F0" w:rsidSect="004B02DA">
      <w:headerReference w:type="default" r:id="rId11"/>
      <w:footerReference w:type="default" r:id="rId12"/>
      <w:pgSz w:w="20160" w:h="12240" w:orient="landscape" w:code="1"/>
      <w:pgMar w:top="576" w:right="576" w:bottom="576" w:left="576" w:header="426" w:footer="544"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BFCC22" w14:textId="77777777" w:rsidR="002A0AB5" w:rsidRDefault="002A0AB5" w:rsidP="00091875">
      <w:pPr>
        <w:spacing w:line="240" w:lineRule="auto"/>
      </w:pPr>
      <w:r>
        <w:separator/>
      </w:r>
    </w:p>
  </w:endnote>
  <w:endnote w:type="continuationSeparator" w:id="0">
    <w:p w14:paraId="04B4B1B7" w14:textId="77777777" w:rsidR="002A0AB5" w:rsidRDefault="002A0AB5" w:rsidP="00091875">
      <w:pPr>
        <w:spacing w:line="240" w:lineRule="auto"/>
      </w:pPr>
      <w:r>
        <w:continuationSeparator/>
      </w:r>
    </w:p>
  </w:endnote>
  <w:endnote w:type="continuationNotice" w:id="1">
    <w:p w14:paraId="1629D653" w14:textId="77777777" w:rsidR="002A0AB5" w:rsidRDefault="002A0A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2671562"/>
      <w:docPartObj>
        <w:docPartGallery w:val="Page Numbers (Bottom of Page)"/>
        <w:docPartUnique/>
      </w:docPartObj>
    </w:sdtPr>
    <w:sdtEndPr/>
    <w:sdtContent>
      <w:p w14:paraId="13EEDBFC" w14:textId="77777777" w:rsidR="00091875" w:rsidRPr="0034606D" w:rsidRDefault="0034606D" w:rsidP="0034606D">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C91E2C">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C91E2C">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962BF8" w14:textId="77777777" w:rsidR="002A0AB5" w:rsidRDefault="002A0AB5" w:rsidP="00091875">
      <w:pPr>
        <w:spacing w:line="240" w:lineRule="auto"/>
      </w:pPr>
      <w:r>
        <w:separator/>
      </w:r>
    </w:p>
  </w:footnote>
  <w:footnote w:type="continuationSeparator" w:id="0">
    <w:p w14:paraId="0FA1A0E1" w14:textId="77777777" w:rsidR="002A0AB5" w:rsidRDefault="002A0AB5" w:rsidP="00091875">
      <w:pPr>
        <w:spacing w:line="240" w:lineRule="auto"/>
      </w:pPr>
      <w:r>
        <w:continuationSeparator/>
      </w:r>
    </w:p>
  </w:footnote>
  <w:footnote w:type="continuationNotice" w:id="1">
    <w:p w14:paraId="5A898FBE" w14:textId="77777777" w:rsidR="002A0AB5" w:rsidRDefault="002A0AB5">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5ADECB" w14:textId="77777777" w:rsidR="000E5886" w:rsidRPr="000E5886" w:rsidRDefault="000E5886" w:rsidP="000E5886">
    <w:pPr>
      <w:pStyle w:val="Encabezado"/>
      <w:jc w:val="center"/>
      <w:rPr>
        <w:rFonts w:ascii="Verdana" w:hAnsi="Verdana" w:cs="Arial"/>
        <w:b/>
        <w:bCs/>
      </w:rPr>
    </w:pPr>
    <w:r w:rsidRPr="000E5886">
      <w:rPr>
        <w:rFonts w:ascii="Verdana" w:hAnsi="Verdana" w:cs="Arial"/>
        <w:b/>
        <w:bCs/>
      </w:rPr>
      <w:t>MATRIZ 3 - RIESGOS</w:t>
    </w:r>
  </w:p>
  <w:p w14:paraId="6B21F3FA" w14:textId="77777777" w:rsidR="00D5252D" w:rsidRPr="000E5886" w:rsidRDefault="000E5886" w:rsidP="000E5886">
    <w:pPr>
      <w:pStyle w:val="Encabezado"/>
      <w:tabs>
        <w:tab w:val="clear" w:pos="4419"/>
        <w:tab w:val="clear" w:pos="8838"/>
        <w:tab w:val="left" w:pos="3405"/>
      </w:tabs>
      <w:jc w:val="center"/>
      <w:rPr>
        <w:rFonts w:ascii="Verdana" w:hAnsi="Verdana"/>
        <w:sz w:val="32"/>
        <w:szCs w:val="32"/>
      </w:rPr>
    </w:pPr>
    <w:r w:rsidRPr="000E5886">
      <w:rPr>
        <w:rFonts w:ascii="Verdana" w:hAnsi="Verdana" w:cs="Arial"/>
        <w:b/>
      </w:rPr>
      <w:t>LICITACIÓN DE OBRA PÚBLICA DE INFRAESTRUCTURA SOCIAL</w:t>
    </w:r>
  </w:p>
  <w:p w14:paraId="10999CAF" w14:textId="77777777"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2F8"/>
    <w:rsid w:val="00010A03"/>
    <w:rsid w:val="000150D7"/>
    <w:rsid w:val="00033F45"/>
    <w:rsid w:val="00046B56"/>
    <w:rsid w:val="00091875"/>
    <w:rsid w:val="00097BB5"/>
    <w:rsid w:val="000A0BB9"/>
    <w:rsid w:val="000A2F3B"/>
    <w:rsid w:val="000C2AAE"/>
    <w:rsid w:val="000E204D"/>
    <w:rsid w:val="000E5886"/>
    <w:rsid w:val="00101037"/>
    <w:rsid w:val="00103B17"/>
    <w:rsid w:val="00106362"/>
    <w:rsid w:val="00112670"/>
    <w:rsid w:val="001246B3"/>
    <w:rsid w:val="00136C78"/>
    <w:rsid w:val="00145102"/>
    <w:rsid w:val="001477DE"/>
    <w:rsid w:val="00152EE9"/>
    <w:rsid w:val="0015658C"/>
    <w:rsid w:val="0015719E"/>
    <w:rsid w:val="00181D80"/>
    <w:rsid w:val="00190D93"/>
    <w:rsid w:val="001D1F23"/>
    <w:rsid w:val="001E7630"/>
    <w:rsid w:val="002303F7"/>
    <w:rsid w:val="00270401"/>
    <w:rsid w:val="00277255"/>
    <w:rsid w:val="002A0AB5"/>
    <w:rsid w:val="002A4F63"/>
    <w:rsid w:val="002C15DB"/>
    <w:rsid w:val="002C7E01"/>
    <w:rsid w:val="002D1AFB"/>
    <w:rsid w:val="0032129A"/>
    <w:rsid w:val="00326ACA"/>
    <w:rsid w:val="003322F8"/>
    <w:rsid w:val="0034606D"/>
    <w:rsid w:val="003516E6"/>
    <w:rsid w:val="0035415F"/>
    <w:rsid w:val="0035522B"/>
    <w:rsid w:val="003558EC"/>
    <w:rsid w:val="003674A4"/>
    <w:rsid w:val="00374B32"/>
    <w:rsid w:val="00375454"/>
    <w:rsid w:val="0039239D"/>
    <w:rsid w:val="003B7338"/>
    <w:rsid w:val="003E0614"/>
    <w:rsid w:val="003E331F"/>
    <w:rsid w:val="003E4428"/>
    <w:rsid w:val="003E6D71"/>
    <w:rsid w:val="003F50E3"/>
    <w:rsid w:val="00405EC2"/>
    <w:rsid w:val="004338C5"/>
    <w:rsid w:val="00462D6F"/>
    <w:rsid w:val="004A089E"/>
    <w:rsid w:val="004B02DA"/>
    <w:rsid w:val="004C3913"/>
    <w:rsid w:val="004D7C35"/>
    <w:rsid w:val="004E3B5C"/>
    <w:rsid w:val="004E5054"/>
    <w:rsid w:val="004F2908"/>
    <w:rsid w:val="004F5C6F"/>
    <w:rsid w:val="00507FAA"/>
    <w:rsid w:val="00511F46"/>
    <w:rsid w:val="00513343"/>
    <w:rsid w:val="00513E75"/>
    <w:rsid w:val="005234F0"/>
    <w:rsid w:val="00540CF2"/>
    <w:rsid w:val="00545461"/>
    <w:rsid w:val="00574071"/>
    <w:rsid w:val="005752CE"/>
    <w:rsid w:val="0058222E"/>
    <w:rsid w:val="00590DD8"/>
    <w:rsid w:val="005960B2"/>
    <w:rsid w:val="005E5030"/>
    <w:rsid w:val="00686C25"/>
    <w:rsid w:val="006A3288"/>
    <w:rsid w:val="006B01B2"/>
    <w:rsid w:val="006B4FEE"/>
    <w:rsid w:val="006C3AC4"/>
    <w:rsid w:val="006E6D9B"/>
    <w:rsid w:val="006F6287"/>
    <w:rsid w:val="007115DA"/>
    <w:rsid w:val="00721886"/>
    <w:rsid w:val="00725FED"/>
    <w:rsid w:val="00762556"/>
    <w:rsid w:val="007633A4"/>
    <w:rsid w:val="0076567A"/>
    <w:rsid w:val="00770FF9"/>
    <w:rsid w:val="00772290"/>
    <w:rsid w:val="0077727E"/>
    <w:rsid w:val="007B33E6"/>
    <w:rsid w:val="007C04E2"/>
    <w:rsid w:val="007C5B18"/>
    <w:rsid w:val="007C702A"/>
    <w:rsid w:val="007E1A1D"/>
    <w:rsid w:val="00805ECB"/>
    <w:rsid w:val="00815604"/>
    <w:rsid w:val="00833F3B"/>
    <w:rsid w:val="00841B5A"/>
    <w:rsid w:val="008532C2"/>
    <w:rsid w:val="008537E3"/>
    <w:rsid w:val="0085653A"/>
    <w:rsid w:val="0085672F"/>
    <w:rsid w:val="008600D6"/>
    <w:rsid w:val="008700A4"/>
    <w:rsid w:val="00874392"/>
    <w:rsid w:val="00885039"/>
    <w:rsid w:val="008C3AE4"/>
    <w:rsid w:val="008C48D9"/>
    <w:rsid w:val="008E39CA"/>
    <w:rsid w:val="008F49F3"/>
    <w:rsid w:val="00905D3B"/>
    <w:rsid w:val="009321E7"/>
    <w:rsid w:val="00933972"/>
    <w:rsid w:val="00937CF9"/>
    <w:rsid w:val="0095009A"/>
    <w:rsid w:val="009771DE"/>
    <w:rsid w:val="009771F1"/>
    <w:rsid w:val="009C4E02"/>
    <w:rsid w:val="009E77AD"/>
    <w:rsid w:val="009F3A90"/>
    <w:rsid w:val="00A03920"/>
    <w:rsid w:val="00A1437D"/>
    <w:rsid w:val="00A232B7"/>
    <w:rsid w:val="00A32DAE"/>
    <w:rsid w:val="00A33A30"/>
    <w:rsid w:val="00A411F2"/>
    <w:rsid w:val="00A4259F"/>
    <w:rsid w:val="00A802EF"/>
    <w:rsid w:val="00A84EAD"/>
    <w:rsid w:val="00A85E3E"/>
    <w:rsid w:val="00A9107A"/>
    <w:rsid w:val="00A92454"/>
    <w:rsid w:val="00A97889"/>
    <w:rsid w:val="00AB5F8B"/>
    <w:rsid w:val="00AE2ECB"/>
    <w:rsid w:val="00B26BD8"/>
    <w:rsid w:val="00B26E25"/>
    <w:rsid w:val="00B60C9E"/>
    <w:rsid w:val="00B74FD2"/>
    <w:rsid w:val="00B76DAD"/>
    <w:rsid w:val="00B773A4"/>
    <w:rsid w:val="00B81B1F"/>
    <w:rsid w:val="00B83621"/>
    <w:rsid w:val="00B8482F"/>
    <w:rsid w:val="00B91C28"/>
    <w:rsid w:val="00B920BC"/>
    <w:rsid w:val="00B92158"/>
    <w:rsid w:val="00B94790"/>
    <w:rsid w:val="00B9797D"/>
    <w:rsid w:val="00BA3870"/>
    <w:rsid w:val="00BC48AE"/>
    <w:rsid w:val="00BE0B22"/>
    <w:rsid w:val="00BE515D"/>
    <w:rsid w:val="00BF3A5C"/>
    <w:rsid w:val="00C11E71"/>
    <w:rsid w:val="00C36B0B"/>
    <w:rsid w:val="00C41C6F"/>
    <w:rsid w:val="00C53FEB"/>
    <w:rsid w:val="00C6090E"/>
    <w:rsid w:val="00C61BDB"/>
    <w:rsid w:val="00C71F76"/>
    <w:rsid w:val="00C91E2C"/>
    <w:rsid w:val="00C940AA"/>
    <w:rsid w:val="00C954B1"/>
    <w:rsid w:val="00CB6E87"/>
    <w:rsid w:val="00CB7D17"/>
    <w:rsid w:val="00CC0987"/>
    <w:rsid w:val="00CD4E92"/>
    <w:rsid w:val="00CF543A"/>
    <w:rsid w:val="00CF7B39"/>
    <w:rsid w:val="00D13765"/>
    <w:rsid w:val="00D5252D"/>
    <w:rsid w:val="00D66122"/>
    <w:rsid w:val="00D70D7B"/>
    <w:rsid w:val="00D802B8"/>
    <w:rsid w:val="00D86ECC"/>
    <w:rsid w:val="00DA2321"/>
    <w:rsid w:val="00DD4300"/>
    <w:rsid w:val="00DF421A"/>
    <w:rsid w:val="00E52F4D"/>
    <w:rsid w:val="00E56873"/>
    <w:rsid w:val="00E734B0"/>
    <w:rsid w:val="00E85C8E"/>
    <w:rsid w:val="00ED5E66"/>
    <w:rsid w:val="00F46773"/>
    <w:rsid w:val="00F6022F"/>
    <w:rsid w:val="00F63350"/>
    <w:rsid w:val="00F77C04"/>
    <w:rsid w:val="00F86A14"/>
    <w:rsid w:val="00FD3BD6"/>
    <w:rsid w:val="00FD3DFC"/>
    <w:rsid w:val="00FE0128"/>
    <w:rsid w:val="00FF37BF"/>
    <w:rsid w:val="120E0CB1"/>
    <w:rsid w:val="208A25DF"/>
    <w:rsid w:val="32C12A3F"/>
    <w:rsid w:val="38A4A234"/>
    <w:rsid w:val="4FC1D61E"/>
    <w:rsid w:val="5FB75BC8"/>
    <w:rsid w:val="6E6EA9A5"/>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96C1D3"/>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Puesto">
    <w:name w:val="Title"/>
    <w:basedOn w:val="Normal"/>
    <w:next w:val="ParrafoNmerado"/>
    <w:link w:val="Puest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PuestoCar">
    <w:name w:val="Puesto Car"/>
    <w:basedOn w:val="Fuentedeprrafopredeter"/>
    <w:link w:val="Puest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de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Cuadrculadetablaclara"/>
    <w:uiPriority w:val="99"/>
    <w:rsid w:val="00FD3DF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FD3DF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unhideWhenUsed/>
    <w:rsid w:val="008700A4"/>
    <w:rPr>
      <w:color w:val="605E5C"/>
      <w:shd w:val="clear" w:color="auto" w:fill="E1DFDD"/>
    </w:rPr>
  </w:style>
  <w:style w:type="character" w:customStyle="1" w:styleId="Mention">
    <w:name w:val="Mention"/>
    <w:basedOn w:val="Fuentedeprrafopredeter"/>
    <w:uiPriority w:val="99"/>
    <w:unhideWhenUsed/>
    <w:rsid w:val="008700A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E8B5B993-6E72-4903-BE0F-53B5C8DF69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FA063CEC-E24B-410B-9A7E-25055AE50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10504</Words>
  <Characters>57777</Characters>
  <Application>Microsoft Office Word</Application>
  <DocSecurity>0</DocSecurity>
  <Lines>481</Lines>
  <Paragraphs>136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68145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Cuenta Microsoft</cp:lastModifiedBy>
  <cp:revision>2</cp:revision>
  <cp:lastPrinted>2021-08-03T20:55:00Z</cp:lastPrinted>
  <dcterms:created xsi:type="dcterms:W3CDTF">2026-10-08T11:15:00Z</dcterms:created>
  <dcterms:modified xsi:type="dcterms:W3CDTF">2026-10-08T11:15:00Z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