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ind w:firstLine="708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ANEXO 4 — PACTO DE TRANSPARENCIA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El presente documento hace parte integral de los Documentos del Proceso y con la carta de presentación de la propuesta el proponente se compromete a: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after="0"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Cumplir estrictamente la Ley aplicable.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after="0"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Interpretar de buena fe las normas aplicables a los procesos de contratación de manera que siempre produzcan los efectos buscados por las mismas.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after="0"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 incurrir en faltas a la verdad o adulteración en los documentos o requisitos exigidos en el proceso de contratación.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after="0"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Igualmente se acepta que, durante la evaluación de las propuestas del proceso de contratación, primen los aspectos de fondo por encima de la forma, buscando siempre favorecer la libre competencia.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0"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0"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y/o obtener ventajas al presentar la respectiva propuesta. 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0"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 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0"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0"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after="0"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 utilizar en la etapa de verificación y evaluación de las propuestas, argumentos carentes de sustento probatorio para efectos de buscar la descalificación de competidores o la dilación del Proceso de selección.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after="0"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after="0"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after="0"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Solicitar o remitir a la Entidad, o a sus funcionarios y contratistas, cualquier información utilizando solamente los procesos y canales previstos en el Proceso de Contratación. 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after="0"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after="0"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after="0"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spacing w:after="0"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spacing w:after="0"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La Entidad siempre se manifestará sobre las inquietudes relacionadas con el Proceso de selección por los canales definidos en los documentos del Proceso. 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spacing w:after="0"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spacing w:after="0"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spacing w:after="0"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5840" w:w="12240" w:orient="portrait"/>
      <w:pgMar w:bottom="1418" w:top="1418" w:left="1701" w:right="170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both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2"/>
      <w:tblW w:w="2474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2474"/>
      <w:tblGridChange w:id="0">
        <w:tblGrid>
          <w:gridCol w:w="2474"/>
        </w:tblGrid>
      </w:tblGridChange>
    </w:tblGrid>
    <w:tr>
      <w:trPr>
        <w:cantSplit w:val="0"/>
        <w:trHeight w:val="340" w:hRule="atLeast"/>
        <w:tblHeader w:val="0"/>
      </w:trPr>
      <w:tc>
        <w:tcPr>
          <w:vAlign w:val="center"/>
        </w:tcPr>
        <w:p w:rsidR="00000000" w:rsidDel="00000000" w:rsidP="00000000" w:rsidRDefault="00000000" w:rsidRPr="00000000" w14:paraId="0000002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vertAlign w:val="baseline"/>
            </w:rPr>
          </w:pPr>
          <w:bookmarkStart w:colFirst="0" w:colLast="0" w:name="_heading=h.7bmr1q2e3jsf" w:id="0"/>
          <w:bookmarkEnd w:id="0"/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vertAlign w:val="baseline"/>
              <w:rtl w:val="0"/>
            </w:rPr>
            <w:t xml:space="preserve">IDU-SAMC-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6"/>
              <w:szCs w:val="16"/>
              <w:rtl w:val="0"/>
            </w:rPr>
            <w:t xml:space="preserve">DTAF-003-2026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8828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1927"/>
      <w:gridCol w:w="3455"/>
      <w:gridCol w:w="3446"/>
      <w:tblGridChange w:id="0">
        <w:tblGrid>
          <w:gridCol w:w="1927"/>
          <w:gridCol w:w="3455"/>
          <w:gridCol w:w="3446"/>
        </w:tblGrid>
      </w:tblGridChange>
    </w:tblGrid>
    <w:tr>
      <w:trPr>
        <w:cantSplit w:val="0"/>
        <w:trHeight w:val="567" w:hRule="atLeast"/>
        <w:tblHeader w:val="0"/>
      </w:trPr>
      <w:tc>
        <w:tcPr>
          <w:vMerge w:val="restart"/>
          <w:vAlign w:val="center"/>
        </w:tcPr>
        <w:p w:rsidR="00000000" w:rsidDel="00000000" w:rsidP="00000000" w:rsidRDefault="00000000" w:rsidRPr="00000000" w14:paraId="0000001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drawing>
              <wp:inline distB="0" distT="0" distL="0" distR="0">
                <wp:extent cx="1080000" cy="553758"/>
                <wp:effectExtent b="0" l="0" r="0" t="0"/>
                <wp:docPr descr="Logotipo, nombre de la empresa&#10;&#10;El contenido generado por IA puede ser incorrecto." id="318470841" name="image1.png"/>
                <a:graphic>
                  <a:graphicData uri="http://schemas.openxmlformats.org/drawingml/2006/picture">
                    <pic:pic>
                      <pic:nvPicPr>
                        <pic:cNvPr descr="Logotipo, nombre de la empresa&#10;&#10;El contenido generado por IA puede ser incorrecto.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gridSpan w:val="2"/>
          <w:vAlign w:val="center"/>
        </w:tcPr>
        <w:p w:rsidR="00000000" w:rsidDel="00000000" w:rsidP="00000000" w:rsidRDefault="00000000" w:rsidRPr="00000000" w14:paraId="0000001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PLIEGO IDU</w:t>
          </w:r>
        </w:p>
        <w:p w:rsidR="00000000" w:rsidDel="00000000" w:rsidP="00000000" w:rsidRDefault="00000000" w:rsidRPr="00000000" w14:paraId="0000001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SELECCIÓN ABREVIADA DE MENOR CUANTÍA</w:t>
          </w:r>
        </w:p>
        <w:p w:rsidR="00000000" w:rsidDel="00000000" w:rsidP="00000000" w:rsidRDefault="00000000" w:rsidRPr="00000000" w14:paraId="0000002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BIENES Y SERVICIOS</w:t>
          </w:r>
        </w:p>
      </w:tc>
    </w:tr>
    <w:tr>
      <w:trPr>
        <w:cantSplit w:val="0"/>
        <w:trHeight w:val="340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22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2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Página:</w:t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2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lowerRoman"/>
      <w:lvlText w:val="%1."/>
      <w:lvlJc w:val="right"/>
      <w:pPr>
        <w:ind w:left="502" w:hanging="360"/>
      </w:pPr>
      <w:rPr/>
    </w:lvl>
    <w:lvl w:ilvl="1">
      <w:start w:val="1"/>
      <w:numFmt w:val="lowerLetter"/>
      <w:lvlText w:val="%2."/>
      <w:lvlJc w:val="left"/>
      <w:pPr>
        <w:ind w:left="1156" w:hanging="360"/>
      </w:pPr>
      <w:rPr/>
    </w:lvl>
    <w:lvl w:ilvl="2">
      <w:start w:val="1"/>
      <w:numFmt w:val="lowerRoman"/>
      <w:lvlText w:val="%3."/>
      <w:lvlJc w:val="right"/>
      <w:pPr>
        <w:ind w:left="1876" w:hanging="180"/>
      </w:pPr>
      <w:rPr/>
    </w:lvl>
    <w:lvl w:ilvl="3">
      <w:start w:val="1"/>
      <w:numFmt w:val="decimal"/>
      <w:lvlText w:val="%4."/>
      <w:lvlJc w:val="left"/>
      <w:pPr>
        <w:ind w:left="2596" w:hanging="360"/>
      </w:pPr>
      <w:rPr/>
    </w:lvl>
    <w:lvl w:ilvl="4">
      <w:start w:val="1"/>
      <w:numFmt w:val="lowerLetter"/>
      <w:lvlText w:val="%5."/>
      <w:lvlJc w:val="left"/>
      <w:pPr>
        <w:ind w:left="3316" w:hanging="360"/>
      </w:pPr>
      <w:rPr/>
    </w:lvl>
    <w:lvl w:ilvl="5">
      <w:start w:val="1"/>
      <w:numFmt w:val="lowerRoman"/>
      <w:lvlText w:val="%6."/>
      <w:lvlJc w:val="right"/>
      <w:pPr>
        <w:ind w:left="4036" w:hanging="180"/>
      </w:pPr>
      <w:rPr/>
    </w:lvl>
    <w:lvl w:ilvl="6">
      <w:start w:val="1"/>
      <w:numFmt w:val="decimal"/>
      <w:lvlText w:val="%7."/>
      <w:lvlJc w:val="left"/>
      <w:pPr>
        <w:ind w:left="4756" w:hanging="360"/>
      </w:pPr>
      <w:rPr/>
    </w:lvl>
    <w:lvl w:ilvl="7">
      <w:start w:val="1"/>
      <w:numFmt w:val="lowerLetter"/>
      <w:lvlText w:val="%8."/>
      <w:lvlJc w:val="left"/>
      <w:pPr>
        <w:ind w:left="5476" w:hanging="360"/>
      </w:pPr>
      <w:rPr/>
    </w:lvl>
    <w:lvl w:ilvl="8">
      <w:start w:val="1"/>
      <w:numFmt w:val="lowerRoman"/>
      <w:lvlText w:val="%9."/>
      <w:lvlJc w:val="right"/>
      <w:pPr>
        <w:ind w:left="6196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D60C2A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D60C2A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D60C2A"/>
    <w:rPr>
      <w:b w:val="1"/>
      <w:bCs w:val="1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D60C2A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D60C2A"/>
    <w:rPr>
      <w:rFonts w:ascii="Segoe UI" w:cs="Segoe UI" w:hAnsi="Segoe UI"/>
      <w:sz w:val="18"/>
      <w:szCs w:val="18"/>
    </w:rPr>
  </w:style>
  <w:style w:type="paragraph" w:styleId="InviasNormal" w:customStyle="1">
    <w:name w:val="Invias Normal"/>
    <w:basedOn w:val="Normal"/>
    <w:link w:val="InviasNormalCar"/>
    <w:qFormat w:val="1"/>
    <w:rsid w:val="002B36E3"/>
    <w:pPr>
      <w:tabs>
        <w:tab w:val="left" w:pos="-142"/>
      </w:tabs>
      <w:autoSpaceDE w:val="0"/>
      <w:autoSpaceDN w:val="0"/>
      <w:adjustRightInd w:val="0"/>
      <w:spacing w:after="240" w:before="120" w:line="240" w:lineRule="auto"/>
      <w:jc w:val="both"/>
    </w:pPr>
    <w:rPr>
      <w:rFonts w:ascii="Arial" w:cs="Arial" w:eastAsia="Times New Roman" w:hAnsi="Arial"/>
      <w:szCs w:val="24"/>
      <w:lang w:eastAsia="es-ES"/>
    </w:rPr>
  </w:style>
  <w:style w:type="character" w:styleId="InviasNormalCar" w:customStyle="1">
    <w:name w:val="Invias Normal Car"/>
    <w:link w:val="InviasNormal"/>
    <w:rsid w:val="002B36E3"/>
    <w:rPr>
      <w:rFonts w:ascii="Arial" w:cs="Arial" w:eastAsia="Times New Roman" w:hAnsi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cs="Times New Roman" w:eastAsia="Times New Roman" w:hAnsi="Arial"/>
      <w:szCs w:val="24"/>
      <w:lang w:eastAsia="es-ES"/>
    </w:r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cs="Times New Roman" w:eastAsia="Times New Roman" w:hAnsi="Arial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 w:val="1"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6522CE"/>
  </w:style>
  <w:style w:type="table" w:styleId="Cuadrculadetablaclara1" w:customStyle="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paragraph" w:styleId="Revisin">
    <w:name w:val="Revision"/>
    <w:hidden w:val="1"/>
    <w:uiPriority w:val="99"/>
    <w:semiHidden w:val="1"/>
    <w:rsid w:val="00551C5B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8F0B6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9PPD2qzM+hatf1fqBCophxSFLA==">CgMxLjAyDmguN2JtcjFxMmUzanNmOAByITFod2xPMXNzT0NiSE1BQ2dLMUV3Q2xsN2lJYXhLbDluTA==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2022-08-02T17:22:00Z</dcterms:created>
  <dc:creator>Ana María Bonilla Prieto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2.29244E7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