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4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(CAPACIDAD FINANCIERA Y ORGANIZACIONAL PARA PERSONAS EXTRANJERAS SIN SUCURSAL O DOMICILIO EN COLOMBIA)</w:t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No.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IDU-SASI-DTAF-009-2026,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 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Renovación de la suscripción de la solución integral de Gestión de Ciberexposición y datos filtrados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460"/>
        <w:gridCol w:w="3689"/>
        <w:gridCol w:w="3689"/>
        <w:tblGridChange w:id="0">
          <w:tblGrid>
            <w:gridCol w:w="1460"/>
            <w:gridCol w:w="3689"/>
            <w:gridCol w:w="3689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b w:val="1"/>
                <w:bCs w:val="1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(identificación año)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o 31 de diciembre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de (identificación año),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[Ingrese justificación en caso de que la legislación propia del país de origen establezca una fecha de corte diferente a la prevista en este documento]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tasa representativa del mercado utilizada para la conversión de los Estados Financieros certificada por la Superintendencia Financiera de Colombia es la siguiente: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TRM del día de expedición de los Estados Financieros]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left="708" w:firstLine="0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4e4d4d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Cuenta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4e4d4d" w:val="clear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N°1 (Valor en pesos colombianos)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N°2 (Valor en pesos colombianos</w:t>
            </w:r>
          </w:p>
        </w:tc>
        <w:tc>
          <w:tcPr>
            <w:shd w:fill="4e4d4d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Gastos de intereses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*Si el proponente es plural y tiene más de tres participantes debe insertar las columnas adicionales en la tabla anterior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*Si el proponente es plural y tiene más de tres participantes debe insertar las columnas adicionales en la tabla anterior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765"/>
        <w:gridCol w:w="1765"/>
        <w:gridCol w:w="1766"/>
        <w:gridCol w:w="1766"/>
        <w:gridCol w:w="1766"/>
        <w:tblGridChange w:id="0">
          <w:tblGrid>
            <w:gridCol w:w="1765"/>
            <w:gridCol w:w="1765"/>
            <w:gridCol w:w="1766"/>
            <w:gridCol w:w="1766"/>
            <w:gridCol w:w="1766"/>
          </w:tblGrid>
        </w:tblGridChange>
      </w:tblGrid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Porcentaje de participación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Singular</w:t>
            </w:r>
          </w:p>
        </w:tc>
        <w:tc>
          <w:tcPr>
            <w:gridSpan w:val="3"/>
            <w:shd w:fill="4e4d4d" w:val="clear"/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Oferente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N°1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N°2</w:t>
            </w:r>
          </w:p>
        </w:tc>
        <w:tc>
          <w:tcPr>
            <w:shd w:fill="4e4d4d" w:val="clear"/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B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both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*Si el proponente es plural y tiene más de tres participantes debe insertar las columnas adicionales en la tabla anterior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Para acreditar la anterior información, adjunto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emitidos en 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C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D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E">
            <w:pPr>
              <w:jc w:val="right"/>
              <w:rPr>
                <w:rFonts w:ascii="Arial" w:cs="Arial" w:eastAsia="Arial" w:hAnsi="Arial"/>
                <w:color w:val="3b383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de persona natural o representante legal de persona jurídica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3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Nombre: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righ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7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2972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972"/>
      <w:tblGridChange w:id="0">
        <w:tblGrid>
          <w:gridCol w:w="2972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A7">
          <w:pPr>
            <w:jc w:val="both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20"/>
              <w:szCs w:val="20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9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9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9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9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A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,h Car1,h8 Car1,h9 Car1,h10 Car1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Estilo1" w:customStyle="1">
    <w:name w:val="Estilo1"/>
    <w:basedOn w:val="Ttulo2"/>
    <w:rsid w:val="00933FED"/>
    <w:pPr>
      <w:widowControl w:val="0"/>
      <w:numPr>
        <w:ilvl w:val="1"/>
        <w:numId w:val="6"/>
      </w:numPr>
      <w:tabs>
        <w:tab w:val="num" w:pos="360"/>
        <w:tab w:val="num" w:pos="1440"/>
      </w:tabs>
      <w:spacing w:after="240" w:before="0" w:line="240" w:lineRule="auto"/>
      <w:ind w:left="0" w:firstLine="0"/>
      <w:jc w:val="both"/>
    </w:pPr>
    <w:rPr>
      <w:rFonts w:ascii="Arial Narrow" w:cs="Times New Roman" w:eastAsia="Times New Roman" w:hAnsi="Arial Narrow"/>
      <w:b w:val="1"/>
      <w:i w:val="1"/>
      <w:iCs w:val="1"/>
      <w:smallCaps w:val="1"/>
      <w:color w:val="000000"/>
      <w:sz w:val="24"/>
      <w:szCs w:val="24"/>
      <w:u w:val="single"/>
      <w:lang w:eastAsia="es-ES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933FED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gWdc4YEy9PlUyYSnIeCCJqcvcQ==">CgMxLjA4AHIhMVVScnRBaXRKZFIxREptS1hyMVVpQTNxd180aDdmRlA4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2022-08-02T17:29:00Z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