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MATRIZ 4 – BIENES NACIONALES RELEVANTES </w:t>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w:t>
      </w:r>
    </w:p>
    <w:p w:rsidR="00000000" w:rsidDel="00000000" w:rsidP="00000000" w:rsidRDefault="00000000" w:rsidRPr="00000000" w14:paraId="0000000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cumplimiento de los referidos criterios, la Entidad Estatal deberá desarrollar la siguiente metodología para identificar los bienes nacionales relevantes para la ejecución del objeto a contratar: </w:t>
      </w:r>
    </w:p>
    <w:p w:rsidR="00000000" w:rsidDel="00000000" w:rsidP="00000000" w:rsidRDefault="00000000" w:rsidRPr="00000000" w14:paraId="000000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numPr>
          <w:ilvl w:val="0"/>
          <w:numId w:val="1"/>
        </w:numPr>
        <w:tabs>
          <w:tab w:val="left" w:leader="none" w:pos="1134"/>
        </w:tabs>
        <w:spacing w:after="0" w:line="240" w:lineRule="auto"/>
        <w:ind w:left="502" w:hanging="360"/>
        <w:jc w:val="both"/>
        <w:rPr>
          <w:color w:val="000000"/>
        </w:rPr>
      </w:pPr>
      <w:r w:rsidDel="00000000" w:rsidR="00000000" w:rsidRPr="00000000">
        <w:rPr>
          <w:rFonts w:ascii="Arial" w:cs="Arial" w:eastAsia="Arial" w:hAnsi="Arial"/>
          <w:color w:val="000000"/>
          <w:sz w:val="20"/>
          <w:szCs w:val="20"/>
          <w:rtl w:val="0"/>
        </w:rPr>
        <w:t xml:space="preserve">Identificar dentro del Presupuesto Oficial los bienes o insumos requeridos para la ejecución del proyecto.</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hanging="360"/>
        <w:jc w:val="both"/>
        <w:rPr>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Calcular el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 parcial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los bienes o insumos identificados, para lo cual se deberá multiplicar el valor unitario de cada uno por la cantidad requerida.</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hanging="360"/>
        <w:jc w:val="both"/>
        <w:rPr>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Calcular el</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valor total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realizando la sumatoria</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los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valores parciales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los bienes o insumos requeridos en el proyecto.</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hanging="360"/>
        <w:jc w:val="both"/>
        <w:rPr>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Determinar el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porcentaje de participación</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cada bien o insumo usando su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 parcial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divido por el </w:t>
      </w: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valor total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cociente que deberá ser multiplicado por cien (100). Para esto se aplicará la siguiente fórmula: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502" w:right="0"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tabs>
          <w:tab w:val="left" w:leader="none" w:pos="1134"/>
        </w:tabs>
        <w:spacing w:after="0" w:line="240" w:lineRule="auto"/>
        <w:ind w:left="502" w:firstLine="0"/>
        <w:jc w:val="center"/>
        <w:rPr>
          <w:rFonts w:ascii="Arial" w:cs="Arial" w:eastAsia="Arial" w:hAnsi="Arial"/>
          <w:i w:val="1"/>
          <w:iCs w:val="1"/>
          <w:color w:val="000000"/>
          <w:sz w:val="20"/>
          <w:szCs w:val="20"/>
        </w:rPr>
      </w:pPr>
      <w:r w:rsidDel="00000000" w:rsidR="00000000" w:rsidRPr="00000000">
        <w:rPr/>
        <w:drawing>
          <wp:inline distB="0" distT="0" distL="0" distR="0">
            <wp:extent cx="2681902" cy="431093"/>
            <wp:effectExtent b="0" l="0" r="0" t="0"/>
            <wp:docPr id="31847084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681902" cy="431093"/>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1"/>
        </w:numPr>
        <w:tabs>
          <w:tab w:val="left" w:leader="none" w:pos="1134"/>
        </w:tabs>
        <w:spacing w:after="0" w:line="240" w:lineRule="auto"/>
        <w:ind w:left="502" w:hanging="360"/>
        <w:jc w:val="both"/>
        <w:rPr>
          <w:color w:val="000000"/>
        </w:rPr>
      </w:pPr>
      <w:r w:rsidDel="00000000" w:rsidR="00000000" w:rsidRPr="00000000">
        <w:rPr>
          <w:rFonts w:ascii="Arial" w:cs="Arial" w:eastAsia="Arial" w:hAnsi="Arial"/>
          <w:color w:val="000000"/>
          <w:sz w:val="20"/>
          <w:szCs w:val="20"/>
          <w:rtl w:val="0"/>
        </w:rPr>
        <w:t xml:space="preserve">Determinar el</w:t>
      </w:r>
      <w:r w:rsidDel="00000000" w:rsidR="00000000" w:rsidRPr="00000000">
        <w:rPr>
          <w:rFonts w:ascii="Arial" w:cs="Arial" w:eastAsia="Arial" w:hAnsi="Arial"/>
          <w:b w:val="1"/>
          <w:bCs w:val="1"/>
          <w:i w:val="1"/>
          <w:iCs w:val="1"/>
          <w:color w:val="000000"/>
          <w:sz w:val="20"/>
          <w:szCs w:val="20"/>
          <w:rtl w:val="0"/>
        </w:rPr>
        <w:t xml:space="preserve"> porcentaje acumulado </w:t>
      </w:r>
      <w:r w:rsidDel="00000000" w:rsidR="00000000" w:rsidRPr="00000000">
        <w:rPr>
          <w:rFonts w:ascii="Arial" w:cs="Arial" w:eastAsia="Arial" w:hAnsi="Arial"/>
          <w:color w:val="000000"/>
          <w:sz w:val="20"/>
          <w:szCs w:val="20"/>
          <w:rtl w:val="0"/>
        </w:rPr>
        <w:t xml:space="preserve">entendido como la sumatoria de los porcentajes de participación definidos en el numeral anterior. Para lo cual, se sugiere, organizar los bienes en una tabla, en orden descendente según su </w:t>
      </w:r>
      <w:r w:rsidDel="00000000" w:rsidR="00000000" w:rsidRPr="00000000">
        <w:rPr>
          <w:rFonts w:ascii="Arial" w:cs="Arial" w:eastAsia="Arial" w:hAnsi="Arial"/>
          <w:b w:val="1"/>
          <w:bCs w:val="1"/>
          <w:i w:val="1"/>
          <w:iCs w:val="1"/>
          <w:color w:val="000000"/>
          <w:sz w:val="20"/>
          <w:szCs w:val="20"/>
          <w:rtl w:val="0"/>
        </w:rPr>
        <w:t xml:space="preserve">porcentaje de participación,</w:t>
      </w:r>
      <w:r w:rsidDel="00000000" w:rsidR="00000000" w:rsidRPr="00000000">
        <w:rPr>
          <w:rFonts w:ascii="Arial" w:cs="Arial" w:eastAsia="Arial" w:hAnsi="Arial"/>
          <w:color w:val="000000"/>
          <w:sz w:val="20"/>
          <w:szCs w:val="20"/>
          <w:rtl w:val="0"/>
        </w:rPr>
        <w:t xml:space="preserve"> disponiendo una fila por cada bien, una columna para el nombre o descripción del bien, otra para el </w:t>
      </w:r>
      <w:r w:rsidDel="00000000" w:rsidR="00000000" w:rsidRPr="00000000">
        <w:rPr>
          <w:rFonts w:ascii="Arial" w:cs="Arial" w:eastAsia="Arial" w:hAnsi="Arial"/>
          <w:b w:val="1"/>
          <w:bCs w:val="1"/>
          <w:i w:val="1"/>
          <w:iCs w:val="1"/>
          <w:color w:val="000000"/>
          <w:sz w:val="20"/>
          <w:szCs w:val="20"/>
          <w:rtl w:val="0"/>
        </w:rPr>
        <w:t xml:space="preserve">porcentaje de participación</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y otra en la que se consignará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p w:rsidR="00000000" w:rsidDel="00000000" w:rsidP="00000000" w:rsidRDefault="00000000" w:rsidRPr="00000000" w14:paraId="00000012">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 bien o insumo que tiene la mayor participación, es decir, el que ocupa el primer lugar en el listado, le corresponderá como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el valor asignado como </w:t>
      </w:r>
      <w:r w:rsidDel="00000000" w:rsidR="00000000" w:rsidRPr="00000000">
        <w:rPr>
          <w:rFonts w:ascii="Arial" w:cs="Arial" w:eastAsia="Arial" w:hAnsi="Arial"/>
          <w:b w:val="1"/>
          <w:bCs w:val="1"/>
          <w:i w:val="1"/>
          <w:iCs w:val="1"/>
          <w:color w:val="000000"/>
          <w:sz w:val="20"/>
          <w:szCs w:val="20"/>
          <w:rtl w:val="0"/>
        </w:rPr>
        <w:t xml:space="preserve">porcentaje de participación</w:t>
      </w:r>
      <w:r w:rsidDel="00000000" w:rsidR="00000000" w:rsidRPr="00000000">
        <w:rPr>
          <w:rFonts w:ascii="Arial" w:cs="Arial" w:eastAsia="Arial" w:hAnsi="Arial"/>
          <w:color w:val="000000"/>
          <w:sz w:val="20"/>
          <w:szCs w:val="20"/>
          <w:rtl w:val="0"/>
        </w:rPr>
        <w:t xml:space="preserve">. Para el segundo bien el </w:t>
      </w:r>
      <w:r w:rsidDel="00000000" w:rsidR="00000000" w:rsidRPr="00000000">
        <w:rPr>
          <w:rFonts w:ascii="Arial" w:cs="Arial" w:eastAsia="Arial" w:hAnsi="Arial"/>
          <w:b w:val="1"/>
          <w:bCs w:val="1"/>
          <w:i w:val="1"/>
          <w:iCs w:val="1"/>
          <w:color w:val="000000"/>
          <w:sz w:val="20"/>
          <w:szCs w:val="20"/>
          <w:rtl w:val="0"/>
        </w:rPr>
        <w:t xml:space="preserve">porcentaje acumulado </w:t>
      </w:r>
      <w:r w:rsidDel="00000000" w:rsidR="00000000" w:rsidRPr="00000000">
        <w:rPr>
          <w:rFonts w:ascii="Arial" w:cs="Arial" w:eastAsia="Arial" w:hAnsi="Arial"/>
          <w:color w:val="000000"/>
          <w:sz w:val="20"/>
          <w:szCs w:val="20"/>
          <w:rtl w:val="0"/>
        </w:rPr>
        <w:t xml:space="preserve">será la suma de su porcentaje de participación con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asignado al bien que lo antecede en el listado. Del mismo modo, para el tercer bien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será la suma de su porcentaje de participación con el </w:t>
      </w:r>
      <w:r w:rsidDel="00000000" w:rsidR="00000000" w:rsidRPr="00000000">
        <w:rPr>
          <w:rFonts w:ascii="Arial" w:cs="Arial" w:eastAsia="Arial" w:hAnsi="Arial"/>
          <w:b w:val="1"/>
          <w:bCs w:val="1"/>
          <w:i w:val="1"/>
          <w:iCs w:val="1"/>
          <w:color w:val="000000"/>
          <w:sz w:val="20"/>
          <w:szCs w:val="20"/>
          <w:rtl w:val="0"/>
        </w:rPr>
        <w:t xml:space="preserve">porcentaje acumulado</w:t>
      </w:r>
      <w:r w:rsidDel="00000000" w:rsidR="00000000" w:rsidRPr="00000000">
        <w:rPr>
          <w:rFonts w:ascii="Arial" w:cs="Arial" w:eastAsia="Arial" w:hAnsi="Arial"/>
          <w:color w:val="000000"/>
          <w:sz w:val="20"/>
          <w:szCs w:val="20"/>
          <w:rtl w:val="0"/>
        </w:rPr>
        <w:t xml:space="preserve"> calculado para el anterior bien, y así sucesivamente deberá procederse respecto de los demás bienes hasta completar todos los porcentajes acumulados. Para mayor claridad se aplicará la siguiente fórmula.</w:t>
      </w:r>
    </w:p>
    <w:p w:rsidR="00000000" w:rsidDel="00000000" w:rsidP="00000000" w:rsidRDefault="00000000" w:rsidRPr="00000000" w14:paraId="00000014">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5">
      <w:pPr>
        <w:tabs>
          <w:tab w:val="left" w:leader="none" w:pos="1134"/>
        </w:tabs>
        <w:spacing w:after="0" w:line="240" w:lineRule="auto"/>
        <w:ind w:left="502" w:firstLine="0"/>
        <w:jc w:val="center"/>
        <w:rPr>
          <w:rFonts w:ascii="Arial" w:cs="Arial" w:eastAsia="Arial" w:hAnsi="Arial"/>
          <w:color w:val="000000"/>
          <w:sz w:val="20"/>
          <w:szCs w:val="20"/>
        </w:rPr>
      </w:pPr>
      <w:r w:rsidDel="00000000" w:rsidR="00000000" w:rsidRPr="00000000">
        <w:rPr/>
        <w:drawing>
          <wp:inline distB="0" distT="0" distL="0" distR="0">
            <wp:extent cx="3057525" cy="511810"/>
            <wp:effectExtent b="0" l="0" r="0" t="0"/>
            <wp:docPr descr="Dibujo de una persona&#10;&#10;Descripción generada automáticamente con confianza media" id="318470843" name="image3.png"/>
            <a:graphic>
              <a:graphicData uri="http://schemas.openxmlformats.org/drawingml/2006/picture">
                <pic:pic>
                  <pic:nvPicPr>
                    <pic:cNvPr descr="Dibujo de una persona&#10;&#10;Descripción generada automáticamente con confianza media" id="0" name="image3.png"/>
                    <pic:cNvPicPr preferRelativeResize="0"/>
                  </pic:nvPicPr>
                  <pic:blipFill>
                    <a:blip r:embed="rId8"/>
                    <a:srcRect b="0" l="0" r="0" t="0"/>
                    <a:stretch>
                      <a:fillRect/>
                    </a:stretch>
                  </pic:blipFill>
                  <pic:spPr>
                    <a:xfrm>
                      <a:off x="0" y="0"/>
                      <a:ext cx="3057525" cy="51181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tabs>
          <w:tab w:val="left" w:leader="none" w:pos="1134"/>
        </w:tabs>
        <w:spacing w:after="0" w:line="240" w:lineRule="auto"/>
        <w:ind w:left="502" w:firstLine="0"/>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7">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w:t>
      </w:r>
      <m:oMath>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participacion (%)</m:t>
            </m:r>
          </m:e>
          <m:sub>
            <m:r>
              <w:rPr>
                <w:rFonts w:ascii="Cambria Math" w:cs="Cambria Math" w:eastAsia="Cambria Math" w:hAnsi="Cambria Math"/>
                <w:color w:val="000000"/>
                <w:sz w:val="20"/>
                <w:szCs w:val="20"/>
              </w:rPr>
              <m:t xml:space="preserve">i</m:t>
            </m:r>
          </m:sub>
        </m:sSub>
      </m:oMath>
      <w:r w:rsidDel="00000000" w:rsidR="00000000" w:rsidRPr="00000000">
        <w:rPr>
          <w:rFonts w:ascii="Arial" w:cs="Arial" w:eastAsia="Arial" w:hAnsi="Arial"/>
          <w:color w:val="000000"/>
          <w:sz w:val="20"/>
          <w:szCs w:val="20"/>
          <w:rtl w:val="0"/>
        </w:rPr>
        <w:t xml:space="preserve"> son las frecuencias acumuladas o porcentaje de participación (%) calculado.</w:t>
      </w:r>
    </w:p>
    <w:p w:rsidR="00000000" w:rsidDel="00000000" w:rsidP="00000000" w:rsidRDefault="00000000" w:rsidRPr="00000000" w14:paraId="00000018">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9">
      <w:pPr>
        <w:numPr>
          <w:ilvl w:val="0"/>
          <w:numId w:val="1"/>
        </w:numPr>
        <w:tabs>
          <w:tab w:val="left" w:leader="none" w:pos="1134"/>
        </w:tabs>
        <w:spacing w:after="0" w:line="240" w:lineRule="auto"/>
        <w:ind w:left="502" w:hanging="360"/>
        <w:jc w:val="both"/>
        <w:rPr>
          <w:color w:val="000000"/>
        </w:rPr>
      </w:pPr>
      <w:r w:rsidDel="00000000" w:rsidR="00000000" w:rsidRPr="00000000">
        <w:rPr>
          <w:rFonts w:ascii="Arial" w:cs="Arial" w:eastAsia="Arial" w:hAnsi="Arial"/>
          <w:color w:val="000000"/>
          <w:sz w:val="20"/>
          <w:szCs w:val="20"/>
          <w:rtl w:val="0"/>
        </w:rPr>
        <w:t xml:space="preserve">Identificar los bienes o insumos cuyo porcentaje acumulado esté dentro del ochenta por ciento (80%) o un valor aproximado por debajo.</w:t>
      </w:r>
    </w:p>
    <w:p w:rsidR="00000000" w:rsidDel="00000000" w:rsidP="00000000" w:rsidRDefault="00000000" w:rsidRPr="00000000" w14:paraId="0000001A">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B">
      <w:pPr>
        <w:numPr>
          <w:ilvl w:val="0"/>
          <w:numId w:val="1"/>
        </w:numPr>
        <w:tabs>
          <w:tab w:val="left" w:leader="none" w:pos="1134"/>
        </w:tabs>
        <w:spacing w:after="0" w:line="240" w:lineRule="auto"/>
        <w:ind w:left="502" w:hanging="360"/>
        <w:jc w:val="both"/>
        <w:rPr>
          <w:color w:val="000000"/>
        </w:rPr>
      </w:pPr>
      <w:r w:rsidDel="00000000" w:rsidR="00000000" w:rsidRPr="00000000">
        <w:rPr>
          <w:rFonts w:ascii="Arial" w:cs="Arial" w:eastAsia="Arial" w:hAnsi="Arial"/>
          <w:color w:val="000000"/>
          <w:sz w:val="20"/>
          <w:szCs w:val="20"/>
          <w:rtl w:val="0"/>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rsidR="00000000" w:rsidDel="00000000" w:rsidP="00000000" w:rsidRDefault="00000000" w:rsidRPr="00000000" w14:paraId="0000001C">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D">
      <w:pPr>
        <w:numPr>
          <w:ilvl w:val="0"/>
          <w:numId w:val="1"/>
        </w:numPr>
        <w:tabs>
          <w:tab w:val="left" w:leader="none" w:pos="1134"/>
        </w:tabs>
        <w:spacing w:after="0" w:line="240" w:lineRule="auto"/>
        <w:ind w:left="502" w:hanging="360"/>
        <w:jc w:val="both"/>
        <w:rPr>
          <w:color w:val="000000"/>
        </w:rPr>
      </w:pPr>
      <w:r w:rsidDel="00000000" w:rsidR="00000000" w:rsidRPr="00000000">
        <w:rPr>
          <w:rFonts w:ascii="Arial" w:cs="Arial" w:eastAsia="Arial" w:hAnsi="Arial"/>
          <w:color w:val="000000"/>
          <w:sz w:val="20"/>
          <w:szCs w:val="20"/>
          <w:rtl w:val="0"/>
        </w:rPr>
        <w:t xml:space="preserve">Los bienes relevantes serán aquellos cuyo porcentaje de participación sea igual o superior al promedio calculado en el paso anterior. </w:t>
      </w:r>
    </w:p>
    <w:p w:rsidR="00000000" w:rsidDel="00000000" w:rsidP="00000000" w:rsidRDefault="00000000" w:rsidRPr="00000000" w14:paraId="0000001E">
      <w:pPr>
        <w:tabs>
          <w:tab w:val="left" w:leader="none" w:pos="1134"/>
        </w:tabs>
        <w:spacing w:after="0" w:line="240" w:lineRule="auto"/>
        <w:ind w:left="502"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F">
      <w:pPr>
        <w:numPr>
          <w:ilvl w:val="0"/>
          <w:numId w:val="1"/>
        </w:numPr>
        <w:tabs>
          <w:tab w:val="left" w:leader="none" w:pos="1134"/>
        </w:tabs>
        <w:spacing w:after="0" w:line="240" w:lineRule="auto"/>
        <w:ind w:left="502" w:hanging="360"/>
        <w:jc w:val="both"/>
        <w:rPr>
          <w:color w:val="000000"/>
        </w:rPr>
      </w:pPr>
      <w:r w:rsidDel="00000000" w:rsidR="00000000" w:rsidRPr="00000000">
        <w:rPr>
          <w:rFonts w:ascii="Arial" w:cs="Arial" w:eastAsia="Arial" w:hAnsi="Arial"/>
          <w:color w:val="000000"/>
          <w:sz w:val="20"/>
          <w:szCs w:val="20"/>
          <w:rtl w:val="0"/>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numPr>
          <w:ilvl w:val="0"/>
          <w:numId w:val="1"/>
        </w:numPr>
        <w:spacing w:after="0" w:line="240" w:lineRule="auto"/>
        <w:ind w:left="502" w:hanging="360"/>
        <w:jc w:val="both"/>
        <w:rPr/>
      </w:pPr>
      <w:r w:rsidDel="00000000" w:rsidR="00000000" w:rsidRPr="00000000">
        <w:rPr>
          <w:rFonts w:ascii="Arial" w:cs="Arial" w:eastAsia="Arial" w:hAnsi="Arial"/>
          <w:color w:val="000000"/>
          <w:sz w:val="20"/>
          <w:szCs w:val="20"/>
          <w:rtl w:val="0"/>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conformidad con el numeral 4.4.1</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Fonts w:ascii="Arial" w:cs="Arial" w:eastAsia="Arial" w:hAnsi="Arial"/>
          <w:color w:val="000000"/>
          <w:sz w:val="20"/>
          <w:szCs w:val="20"/>
          <w:rtl w:val="0"/>
        </w:rPr>
        <w:t xml:space="preserve">del pliego de condiciones. </w:t>
      </w:r>
      <w:r w:rsidDel="00000000" w:rsidR="00000000" w:rsidRPr="00000000">
        <w:rPr>
          <w:rtl w:val="0"/>
        </w:rPr>
      </w:r>
    </w:p>
    <w:p w:rsidR="00000000" w:rsidDel="00000000" w:rsidP="00000000" w:rsidRDefault="00000000" w:rsidRPr="00000000" w14:paraId="00000022">
      <w:pPr>
        <w:spacing w:after="0" w:line="240" w:lineRule="auto"/>
        <w:ind w:left="142" w:firstLine="0"/>
        <w:jc w:val="both"/>
        <w:rPr>
          <w:rFonts w:ascii="Arial" w:cs="Arial" w:eastAsia="Arial" w:hAnsi="Arial"/>
          <w:sz w:val="20"/>
          <w:szCs w:val="20"/>
        </w:rPr>
      </w:pPr>
      <w:r w:rsidDel="00000000" w:rsidR="00000000" w:rsidRPr="00000000">
        <w:rPr>
          <w:rtl w:val="0"/>
        </w:rPr>
      </w:r>
    </w:p>
    <w:sectPr>
      <w:headerReference r:id="rId9" w:type="default"/>
      <w:foot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2"/>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alyv0z7qqgva" w:id="0"/>
          <w:bookmarkEnd w:id="0"/>
          <w:r w:rsidDel="00000000" w:rsidR="00000000" w:rsidRPr="00000000">
            <w:rPr>
              <w:rFonts w:ascii="Arial" w:cs="Arial" w:eastAsia="Arial" w:hAnsi="Arial"/>
              <w:b w:val="1"/>
              <w:bCs w:val="1"/>
              <w:sz w:val="16"/>
              <w:szCs w:val="16"/>
              <w:rtl w:val="0"/>
            </w:rPr>
            <w:t xml:space="preserve">IDU-SASI-DTAF-009-2026</w:t>
          </w:r>
          <w:r w:rsidDel="00000000" w:rsidR="00000000" w:rsidRPr="00000000">
            <w:rPr>
              <w:rtl w:val="0"/>
            </w:rPr>
          </w:r>
        </w:p>
      </w:tc>
    </w:tr>
  </w:tb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1"/>
      <w:tblW w:w="9016.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67"/>
      <w:gridCol w:w="3529"/>
      <w:gridCol w:w="3520"/>
      <w:tblGridChange w:id="0">
        <w:tblGrid>
          <w:gridCol w:w="1967"/>
          <w:gridCol w:w="3529"/>
          <w:gridCol w:w="3520"/>
        </w:tblGrid>
      </w:tblGridChange>
    </w:tblGrid>
    <w:tr>
      <w:trPr>
        <w:cantSplit w:val="0"/>
        <w:trHeight w:val="567" w:hRule="atLeast"/>
        <w:tblHeader w:val="0"/>
      </w:trPr>
      <w:tc>
        <w:tcPr>
          <w:vMerge w:val="restart"/>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2"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02" w:hanging="360"/>
      </w:pPr>
      <w:rPr>
        <w:rFonts w:ascii="Arial" w:cs="Arial" w:eastAsia="Arial" w:hAnsi="Arial"/>
        <w:b w:val="1"/>
        <w:bCs w:val="1"/>
        <w:i w:val="0"/>
        <w:iCs w:val="0"/>
        <w:sz w:val="20"/>
        <w:szCs w:val="20"/>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basedOn w:val="Normal"/>
    <w:uiPriority w:val="34"/>
    <w:qFormat w:val="1"/>
    <w:rsid w:val="00AD46BF"/>
    <w:pPr>
      <w:spacing w:after="0" w:line="240" w:lineRule="auto"/>
      <w:ind w:left="720"/>
      <w:contextualSpacing w:val="1"/>
      <w:jc w:val="both"/>
    </w:pPr>
    <w:rPr>
      <w:rFonts w:ascii="Arial" w:hAnsi="Arial"/>
      <w:sz w:val="20"/>
      <w:lang w:val="es-MX"/>
    </w:rPr>
  </w:style>
  <w:style w:type="paragraph" w:styleId="Encabezado">
    <w:name w:val="header"/>
    <w:aliases w:val="h,h8,h9,h10,h18"/>
    <w:basedOn w:val="Normal"/>
    <w:link w:val="EncabezadoCar"/>
    <w:uiPriority w:val="99"/>
    <w:unhideWhenUsed w:val="1"/>
    <w:rsid w:val="002867D6"/>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val="1"/>
    <w:rsid w:val="002867D6"/>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2867D6"/>
  </w:style>
  <w:style w:type="table" w:styleId="Cuadrculadetablaclara11" w:customStyle="1">
    <w:name w:val="Cuadrícula de tabla clara11"/>
    <w:basedOn w:val="Tablanormal"/>
    <w:next w:val="Tablaconcuadrculaclara"/>
    <w:uiPriority w:val="99"/>
    <w:rsid w:val="002867D6"/>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2867D6"/>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Cuadrculadetablaclara1" w:customStyle="1">
    <w:name w:val="Cuadrícula de tabla clara1"/>
    <w:basedOn w:val="Tablanormal"/>
    <w:next w:val="Tablaconcuadrculaclara"/>
    <w:uiPriority w:val="99"/>
    <w:rsid w:val="00921956"/>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
    <w:name w:val="Table Grid"/>
    <w:basedOn w:val="Tablanormal"/>
    <w:uiPriority w:val="39"/>
    <w:rsid w:val="00DA7577"/>
    <w:pPr>
      <w:spacing w:after="0" w:line="240" w:lineRule="auto"/>
    </w:pPr>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e9cUel29B5G2/HY5QFOkycWOAw==">CgMxLjAyDmguYWx5djB6N3FxZ3ZhOAByITFzMWhOaGMxNjFsZmswUGs1b3EwVU9mWVg2NXphVEJGRw==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2022-08-02T17:35:00Z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