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065CD">
      <w:pPr>
        <w:spacing w:line="240" w:lineRule="auto"/>
        <w:jc w:val="center"/>
        <w:rPr>
          <w:rFonts w:ascii="Century Gothic" w:hAnsi="Century Gothic" w:eastAsia="Times New Roman" w:cs="Arial"/>
          <w:b/>
          <w:bCs/>
          <w:sz w:val="20"/>
          <w:szCs w:val="20"/>
          <w:lang w:eastAsia="es-CO"/>
        </w:rPr>
      </w:pPr>
      <w:r>
        <w:rPr>
          <w:rFonts w:ascii="Century Gothic" w:hAnsi="Century Gothic" w:eastAsia="Times New Roman" w:cs="Arial"/>
          <w:b/>
          <w:bCs/>
          <w:sz w:val="20"/>
          <w:szCs w:val="20"/>
          <w:lang w:eastAsia="es-CO"/>
        </w:rPr>
        <w:t>ANEXO No. 1 ESPECIFICACIONES TÉCNICAS</w:t>
      </w:r>
    </w:p>
    <w:p w14:paraId="7AEADA01">
      <w:pPr>
        <w:pStyle w:val="19"/>
        <w:rPr>
          <w:rFonts w:ascii="Century Gothic" w:hAnsi="Century Gothic"/>
          <w:sz w:val="20"/>
          <w:szCs w:val="20"/>
        </w:rPr>
      </w:pPr>
      <w:r>
        <w:rPr>
          <w:rFonts w:ascii="Century Gothic" w:hAnsi="Century Gothic"/>
          <w:b/>
          <w:sz w:val="20"/>
          <w:szCs w:val="20"/>
        </w:rPr>
        <w:t>PROCESO DE SELECCIÓN:</w:t>
      </w:r>
      <w:r>
        <w:rPr>
          <w:rFonts w:ascii="Century Gothic" w:hAnsi="Century Gothic"/>
          <w:sz w:val="20"/>
          <w:szCs w:val="20"/>
        </w:rPr>
        <w:t xml:space="preserve"> LICITACIÓN PÚBLICA No. No. LP-OBRA-SP-043- 2026</w:t>
      </w:r>
    </w:p>
    <w:p w14:paraId="5DA2DE0C">
      <w:pPr>
        <w:pStyle w:val="19"/>
        <w:rPr>
          <w:rFonts w:ascii="Century Gothic" w:hAnsi="Century Gothic"/>
          <w:sz w:val="20"/>
          <w:szCs w:val="20"/>
        </w:rPr>
      </w:pPr>
      <w:r>
        <w:rPr>
          <w:rFonts w:ascii="Century Gothic" w:hAnsi="Century Gothic"/>
          <w:b/>
          <w:sz w:val="20"/>
          <w:szCs w:val="20"/>
        </w:rPr>
        <w:t>OBJETO:</w:t>
      </w:r>
      <w:r>
        <w:rPr>
          <w:rFonts w:ascii="Century Gothic" w:hAnsi="Century Gothic"/>
          <w:sz w:val="20"/>
          <w:szCs w:val="20"/>
        </w:rPr>
        <w:t xml:space="preserve"> RECUPERACIÓN Y CONSERVACIÓN DE ÁREAS DE IMPORTANCIA ESTRATÉGICA DE LA ZONA DE INFLUENCIA DEL COMPLEJO CENAGOSO DE CASCALOA DE MAGANGUÉ, BOLÍVAR. </w:t>
      </w:r>
    </w:p>
    <w:p w14:paraId="462D4D1E">
      <w:pPr>
        <w:pStyle w:val="19"/>
        <w:rPr>
          <w:rFonts w:ascii="Century Gothic" w:hAnsi="Century Gothic"/>
          <w:sz w:val="20"/>
          <w:szCs w:val="20"/>
        </w:rPr>
      </w:pPr>
      <w:r>
        <w:rPr>
          <w:rFonts w:ascii="Century Gothic" w:hAnsi="Century Gothic"/>
          <w:b/>
          <w:sz w:val="20"/>
          <w:szCs w:val="20"/>
        </w:rPr>
        <w:t>LOCALIZACIÓN:</w:t>
      </w:r>
      <w:r>
        <w:rPr>
          <w:rFonts w:ascii="Century Gothic" w:hAnsi="Century Gothic"/>
          <w:sz w:val="20"/>
          <w:szCs w:val="20"/>
        </w:rPr>
        <w:t xml:space="preserve"> Municipio de Magangué, Departamento de Bolívar (Complejo Hídrico de Cascaloa) </w:t>
      </w:r>
    </w:p>
    <w:p w14:paraId="5F2B4A69">
      <w:pPr>
        <w:spacing w:line="240" w:lineRule="auto"/>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ASPECTOS GENERALES Y CONDICIONES TÉCNICAS DE EJECUCIÓN</w:t>
      </w:r>
    </w:p>
    <w:p w14:paraId="2909BB3A">
      <w:pPr>
        <w:spacing w:line="240" w:lineRule="auto"/>
        <w:jc w:val="both"/>
        <w:rPr>
          <w:rFonts w:ascii="Century Gothic" w:hAnsi="Century Gothic" w:eastAsia="Times New Roman" w:cs="Arial"/>
          <w:sz w:val="20"/>
          <w:szCs w:val="20"/>
          <w:lang w:eastAsia="es-CO"/>
        </w:rPr>
      </w:pPr>
      <w:r>
        <w:rPr>
          <w:rFonts w:ascii="Century Gothic" w:hAnsi="Century Gothic" w:eastAsia="Times New Roman" w:cs="Arial"/>
          <w:sz w:val="20"/>
          <w:szCs w:val="20"/>
          <w:lang w:eastAsia="es-CO"/>
        </w:rPr>
        <w:t xml:space="preserve">El presente documento contiene las </w:t>
      </w:r>
      <w:r>
        <w:rPr>
          <w:rFonts w:ascii="Century Gothic" w:hAnsi="Century Gothic" w:eastAsia="Times New Roman" w:cs="Arial"/>
          <w:b/>
          <w:bCs/>
          <w:sz w:val="20"/>
          <w:szCs w:val="20"/>
          <w:lang w:eastAsia="es-CO"/>
        </w:rPr>
        <w:t xml:space="preserve">Especificaciones Técnicas </w:t>
      </w:r>
      <w:r>
        <w:rPr>
          <w:rFonts w:ascii="Century Gothic" w:hAnsi="Century Gothic" w:eastAsia="Times New Roman" w:cs="Arial"/>
          <w:sz w:val="20"/>
          <w:szCs w:val="20"/>
          <w:lang w:eastAsia="es-CO"/>
        </w:rPr>
        <w:t xml:space="preserve">que regirán la ejecución de las actividades de intervención civil, hidráulica, logística y social del proyecto. El Contratista seleccionado se obliga a ejecutar la totalidad de los ítems a los precios unitarios estipulados en su formulario de oferta y de acuerdo con los rendimientos, materiales y equipos consignados en sus </w:t>
      </w:r>
      <w:r>
        <w:rPr>
          <w:rFonts w:ascii="Century Gothic" w:hAnsi="Century Gothic" w:eastAsia="Times New Roman" w:cs="Arial"/>
          <w:b/>
          <w:bCs/>
          <w:sz w:val="20"/>
          <w:szCs w:val="20"/>
          <w:lang w:eastAsia="es-CO"/>
        </w:rPr>
        <w:t>Análisis de Precios Unitarios (APU)</w:t>
      </w:r>
      <w:r>
        <w:rPr>
          <w:rFonts w:ascii="Century Gothic" w:hAnsi="Century Gothic" w:eastAsia="Times New Roman" w:cs="Arial"/>
          <w:sz w:val="20"/>
          <w:szCs w:val="20"/>
          <w:lang w:eastAsia="es-CO"/>
        </w:rPr>
        <w:t>.</w:t>
      </w:r>
    </w:p>
    <w:p w14:paraId="0BB47B23">
      <w:pPr>
        <w:spacing w:after="0" w:line="240" w:lineRule="auto"/>
        <w:jc w:val="both"/>
        <w:rPr>
          <w:rFonts w:ascii="Century Gothic" w:hAnsi="Century Gothic" w:eastAsia="Times New Roman" w:cs="Arial"/>
          <w:sz w:val="20"/>
          <w:szCs w:val="20"/>
          <w:lang w:eastAsia="es-CO"/>
        </w:rPr>
      </w:pPr>
      <w:r>
        <w:rPr>
          <w:rFonts w:ascii="Century Gothic" w:hAnsi="Century Gothic" w:eastAsia="Times New Roman" w:cs="Arial"/>
          <w:sz w:val="20"/>
          <w:szCs w:val="20"/>
          <w:lang w:eastAsia="es-CO"/>
        </w:rPr>
        <w:t xml:space="preserve">Todas las actividades deberán ser aprobadas, medidas y recibidas a satisfacción por la </w:t>
      </w:r>
      <w:r>
        <w:rPr>
          <w:rFonts w:ascii="Century Gothic" w:hAnsi="Century Gothic" w:eastAsia="Times New Roman" w:cs="Arial"/>
          <w:b/>
          <w:bCs/>
          <w:sz w:val="20"/>
          <w:szCs w:val="20"/>
          <w:lang w:eastAsia="es-CO"/>
        </w:rPr>
        <w:t xml:space="preserve">Interventoría </w:t>
      </w:r>
      <w:r>
        <w:rPr>
          <w:rFonts w:ascii="Century Gothic" w:hAnsi="Century Gothic" w:eastAsia="Times New Roman" w:cs="Arial"/>
          <w:sz w:val="20"/>
          <w:szCs w:val="20"/>
          <w:lang w:eastAsia="es-CO"/>
        </w:rPr>
        <w:t>asignada por la Entidad, de conformidad con las directrices del Plan de Manejo Ambiental (PMA) y las normas ambientales vigentes. Las especificaciones aquí descritas son mínimas e indispensables; el contratista no podrá alegar desconocimiento de las condiciones geográficas y multimodales (terrestres y fluviales) de la zona de influencia del Complejo Cenagoso de Cascaloa para justificar incumplimientos en los rendimientos pactados.</w:t>
      </w:r>
    </w:p>
    <w:p w14:paraId="5B6F9FA5">
      <w:pPr>
        <w:spacing w:after="0" w:line="240" w:lineRule="auto"/>
        <w:jc w:val="both"/>
        <w:rPr>
          <w:rFonts w:ascii="Century Gothic" w:hAnsi="Century Gothic" w:eastAsia="Times New Roman" w:cs="Arial"/>
          <w:sz w:val="20"/>
          <w:szCs w:val="20"/>
          <w:lang w:eastAsia="es-CO"/>
        </w:rPr>
      </w:pPr>
    </w:p>
    <w:p w14:paraId="2B9587CE">
      <w:pPr>
        <w:spacing w:line="240" w:lineRule="auto"/>
        <w:jc w:val="both"/>
        <w:rPr>
          <w:rFonts w:ascii="Century Gothic" w:hAnsi="Century Gothic" w:eastAsia="Times New Roman" w:cs="Arial"/>
          <w:b/>
          <w:bCs/>
          <w:sz w:val="20"/>
          <w:szCs w:val="20"/>
          <w:lang w:eastAsia="es-CO"/>
        </w:rPr>
      </w:pPr>
      <w:r>
        <w:rPr>
          <w:rFonts w:ascii="Century Gothic" w:hAnsi="Century Gothic" w:eastAsia="Times New Roman" w:cs="Arial"/>
          <w:b/>
          <w:bCs/>
          <w:sz w:val="20"/>
          <w:szCs w:val="20"/>
          <w:lang w:eastAsia="es-CO"/>
        </w:rPr>
        <w:t>I TRANSPORTE, MOVILIZACIÓN Y DESMOVILIZACIÓN DE EQUIPOS AL SITIO DE LA OBRA</w:t>
      </w:r>
    </w:p>
    <w:p w14:paraId="333A5756">
      <w:pPr>
        <w:numPr>
          <w:ilvl w:val="0"/>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1. Descripción:</w:t>
      </w:r>
      <w:r>
        <w:rPr>
          <w:rFonts w:ascii="Century Gothic" w:hAnsi="Century Gothic" w:eastAsia="Times New Roman" w:cs="Arial"/>
          <w:sz w:val="20"/>
          <w:szCs w:val="20"/>
          <w:lang w:eastAsia="es-CO"/>
        </w:rPr>
        <w:t xml:space="preserve"> Esta actividad consiste en las operaciones logísticas necesarias para el traslado, transporte, cargue, descargue, montaje, desmontaje y retiro definitivo de la maquinaria pesada, equipos menores, herramientas y materiales requeridos para la ejecución del proyecto, desde su lugar de origen hasta las zonas específicas de intervención en el Complejo Cenagoso de Cascaloa (zona rural y costera del municipio de Magangué, Bolívar) y su posterior desmovilización una vez finalizadas las obras.</w:t>
      </w:r>
    </w:p>
    <w:p w14:paraId="7F3B9D16">
      <w:pPr>
        <w:numPr>
          <w:ilvl w:val="0"/>
          <w:numId w:val="1"/>
        </w:numPr>
        <w:spacing w:after="0" w:line="240" w:lineRule="auto"/>
        <w:ind w:left="-3"/>
        <w:jc w:val="both"/>
        <w:rPr>
          <w:rFonts w:ascii="Century Gothic" w:hAnsi="Century Gothic" w:eastAsia="Times New Roman" w:cs="Arial"/>
          <w:sz w:val="20"/>
          <w:szCs w:val="20"/>
          <w:lang w:eastAsia="es-CO"/>
        </w:rPr>
      </w:pPr>
    </w:p>
    <w:p w14:paraId="1F491D59">
      <w:pPr>
        <w:numPr>
          <w:ilvl w:val="0"/>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2. Materiales y Equipos:</w:t>
      </w:r>
      <w:r>
        <w:rPr>
          <w:rFonts w:ascii="Century Gothic" w:hAnsi="Century Gothic" w:eastAsia="Times New Roman" w:cs="Arial"/>
          <w:sz w:val="20"/>
          <w:szCs w:val="20"/>
          <w:lang w:eastAsia="es-CO"/>
        </w:rPr>
        <w:t xml:space="preserve"> Para el cumplimiento de esta actividad, el Contratista deberá garantizar de forma obligatoria la disponibilidad y uso de los siguientes medios de transporte multimodal, de acuerdo con los rendimientos e insumos contemplados en el Análisis de Precios Unitarios (APU):</w:t>
      </w:r>
    </w:p>
    <w:p w14:paraId="61A5FAF2">
      <w:pPr>
        <w:numPr>
          <w:ilvl w:val="1"/>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Transporte Terrestre:</w:t>
      </w:r>
      <w:r>
        <w:rPr>
          <w:rFonts w:ascii="Century Gothic" w:hAnsi="Century Gothic" w:eastAsia="Times New Roman" w:cs="Arial"/>
          <w:sz w:val="20"/>
          <w:szCs w:val="20"/>
          <w:lang w:eastAsia="es-CO"/>
        </w:rPr>
        <w:t xml:space="preserve"> Vehículo tipo </w:t>
      </w:r>
      <w:r>
        <w:rPr>
          <w:rFonts w:ascii="Century Gothic" w:hAnsi="Century Gothic" w:eastAsia="Times New Roman" w:cs="Arial"/>
          <w:b/>
          <w:bCs/>
          <w:sz w:val="20"/>
          <w:szCs w:val="20"/>
          <w:lang w:eastAsia="es-CO"/>
        </w:rPr>
        <w:t>Camabaja</w:t>
      </w:r>
      <w:r>
        <w:rPr>
          <w:rFonts w:ascii="Century Gothic" w:hAnsi="Century Gothic" w:eastAsia="Times New Roman" w:cs="Arial"/>
          <w:sz w:val="20"/>
          <w:szCs w:val="20"/>
          <w:lang w:eastAsia="es-CO"/>
        </w:rPr>
        <w:t xml:space="preserve"> con la capacidad de tonelaje adecuada para el transporte seguro de maquinaria pesada. Deberá contar con </w:t>
      </w:r>
      <w:r>
        <w:rPr>
          <w:rFonts w:ascii="Century Gothic" w:hAnsi="Century Gothic" w:eastAsia="Times New Roman" w:cs="Arial"/>
          <w:b/>
          <w:bCs/>
          <w:sz w:val="20"/>
          <w:szCs w:val="20"/>
          <w:lang w:eastAsia="es-CO"/>
        </w:rPr>
        <w:t>Automotor Escolta</w:t>
      </w:r>
      <w:r>
        <w:rPr>
          <w:rFonts w:ascii="Century Gothic" w:hAnsi="Century Gothic" w:eastAsia="Times New Roman" w:cs="Arial"/>
          <w:sz w:val="20"/>
          <w:szCs w:val="20"/>
          <w:lang w:eastAsia="es-CO"/>
        </w:rPr>
        <w:t xml:space="preserve"> (vehículo de apoyo) debidamente señalizado de acuerdo con las normas de tránsito vigentes para carga extrapesada o extradimensionada en vías nacionales y departamentales.</w:t>
      </w:r>
    </w:p>
    <w:p w14:paraId="4B61BCFB">
      <w:pPr>
        <w:numPr>
          <w:ilvl w:val="1"/>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Transporte Acuático:</w:t>
      </w:r>
      <w:r>
        <w:rPr>
          <w:rFonts w:ascii="Century Gothic" w:hAnsi="Century Gothic" w:eastAsia="Times New Roman" w:cs="Arial"/>
          <w:sz w:val="20"/>
          <w:szCs w:val="20"/>
          <w:lang w:eastAsia="es-CO"/>
        </w:rPr>
        <w:t xml:space="preserve"> Embarcación tipo </w:t>
      </w:r>
      <w:r>
        <w:rPr>
          <w:rFonts w:ascii="Century Gothic" w:hAnsi="Century Gothic" w:eastAsia="Times New Roman" w:cs="Arial"/>
          <w:b/>
          <w:bCs/>
          <w:sz w:val="20"/>
          <w:szCs w:val="20"/>
          <w:lang w:eastAsia="es-CO"/>
        </w:rPr>
        <w:t>Bongo</w:t>
      </w:r>
      <w:r>
        <w:rPr>
          <w:rFonts w:ascii="Century Gothic" w:hAnsi="Century Gothic" w:eastAsia="Times New Roman" w:cs="Arial"/>
          <w:sz w:val="20"/>
          <w:szCs w:val="20"/>
          <w:lang w:eastAsia="es-CO"/>
        </w:rPr>
        <w:t xml:space="preserve"> (planchón o barcaza de carga fluvial) apta para el traslado seguro de maquinaria y materiales sobre los cuerpos de agua del complejo cenagoso. Asimismo, se requiere un </w:t>
      </w:r>
      <w:r>
        <w:rPr>
          <w:rFonts w:ascii="Century Gothic" w:hAnsi="Century Gothic" w:eastAsia="Times New Roman" w:cs="Arial"/>
          <w:b/>
          <w:bCs/>
          <w:sz w:val="20"/>
          <w:szCs w:val="20"/>
          <w:lang w:eastAsia="es-CO"/>
        </w:rPr>
        <w:t>Bote con motor fuera de borda</w:t>
      </w:r>
      <w:r>
        <w:rPr>
          <w:rFonts w:ascii="Century Gothic" w:hAnsi="Century Gothic" w:eastAsia="Times New Roman" w:cs="Arial"/>
          <w:sz w:val="20"/>
          <w:szCs w:val="20"/>
          <w:lang w:eastAsia="es-CO"/>
        </w:rPr>
        <w:t xml:space="preserve"> para el apoyo logístico, transporte del personal operativo de amarre y maniobras de remolque o guía fluvial.</w:t>
      </w:r>
    </w:p>
    <w:p w14:paraId="19540500">
      <w:pPr>
        <w:numPr>
          <w:ilvl w:val="0"/>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3. Procedimiento de Ejecución:</w:t>
      </w:r>
      <w:r>
        <w:rPr>
          <w:rFonts w:ascii="Century Gothic" w:hAnsi="Century Gothic" w:eastAsia="Times New Roman" w:cs="Arial"/>
          <w:sz w:val="20"/>
          <w:szCs w:val="20"/>
          <w:lang w:eastAsia="es-CO"/>
        </w:rPr>
        <w:t xml:space="preserve"> El Contratista será el único responsable de la planeación logística de la ruta y deberá ejecutar los siguientes pasos:</w:t>
      </w:r>
    </w:p>
    <w:p w14:paraId="6E42B201">
      <w:pPr>
        <w:numPr>
          <w:ilvl w:val="1"/>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Fase Terrestre:</w:t>
      </w:r>
      <w:r>
        <w:rPr>
          <w:rFonts w:ascii="Century Gothic" w:hAnsi="Century Gothic" w:eastAsia="Times New Roman" w:cs="Arial"/>
          <w:sz w:val="20"/>
          <w:szCs w:val="20"/>
          <w:lang w:eastAsia="es-CO"/>
        </w:rPr>
        <w:t xml:space="preserve"> Coordinar el traslado en camabaja por vía terrestre hasta el punto de acopio o puerto fluvial más cercano y seguro en Magangué (autorizado previamente por la Interventoría).</w:t>
      </w:r>
    </w:p>
    <w:p w14:paraId="1A5E874F">
      <w:pPr>
        <w:numPr>
          <w:ilvl w:val="1"/>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Fase de Trasbordo:</w:t>
      </w:r>
      <w:r>
        <w:rPr>
          <w:rFonts w:ascii="Century Gothic" w:hAnsi="Century Gothic" w:eastAsia="Times New Roman" w:cs="Arial"/>
          <w:sz w:val="20"/>
          <w:szCs w:val="20"/>
          <w:lang w:eastAsia="es-CO"/>
        </w:rPr>
        <w:t xml:space="preserve"> Realizar las maniobras de cargue y aseguramiento de la maquinaria sobre el Bongo bajo estrictas medidas de seguridad industrial para evitar volcamientos o derrames de hidrocarburos en el agua.</w:t>
      </w:r>
    </w:p>
    <w:p w14:paraId="53EA2DE0">
      <w:pPr>
        <w:numPr>
          <w:ilvl w:val="1"/>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Fase Acuática:</w:t>
      </w:r>
      <w:r>
        <w:rPr>
          <w:rFonts w:ascii="Century Gothic" w:hAnsi="Century Gothic" w:eastAsia="Times New Roman" w:cs="Arial"/>
          <w:sz w:val="20"/>
          <w:szCs w:val="20"/>
          <w:lang w:eastAsia="es-CO"/>
        </w:rPr>
        <w:t xml:space="preserve"> Navegar por los caños y ciénagas utilizando el Bongo y el bote de apoyo hasta el sitio exacto de la obra.</w:t>
      </w:r>
    </w:p>
    <w:p w14:paraId="7B9A1169">
      <w:pPr>
        <w:numPr>
          <w:ilvl w:val="1"/>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sz w:val="20"/>
          <w:szCs w:val="20"/>
          <w:lang w:eastAsia="es-CO"/>
        </w:rPr>
        <w:t>El contratista gestionará a su costa todos los permisos de transporte especial ante las autoridades competentes.</w:t>
      </w:r>
    </w:p>
    <w:p w14:paraId="2674544E">
      <w:pPr>
        <w:numPr>
          <w:ilvl w:val="0"/>
          <w:numId w:val="1"/>
        </w:numPr>
        <w:spacing w:after="0" w:line="240" w:lineRule="auto"/>
        <w:jc w:val="both"/>
        <w:rPr>
          <w:rFonts w:ascii="Century Gothic" w:hAnsi="Century Gothic" w:eastAsia="Times New Roman" w:cs="Arial"/>
          <w:sz w:val="20"/>
          <w:szCs w:val="20"/>
          <w:lang w:eastAsia="es-CO"/>
        </w:rPr>
      </w:pPr>
    </w:p>
    <w:p w14:paraId="572415D7">
      <w:pPr>
        <w:numPr>
          <w:ilvl w:val="0"/>
          <w:numId w:val="1"/>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4. Control de Calidad y Seguridad:</w:t>
      </w:r>
      <w:r>
        <w:rPr>
          <w:rFonts w:ascii="Century Gothic" w:hAnsi="Century Gothic" w:eastAsia="Times New Roman" w:cs="Arial"/>
          <w:sz w:val="20"/>
          <w:szCs w:val="20"/>
          <w:lang w:eastAsia="es-CO"/>
        </w:rPr>
        <w:t xml:space="preserve"> La Interventoría verificará que todos los vehículos terrestres y embarcaciones fluviales cuenten con sus revisiones técnico-mecánicas vigentes, matrículas, patentes de navegación (para el bongo y bote) y los seguros obligatorios de ley. No se permitirá el inicio de la actividad si el personal de las embarcaciones no cuenta con chalecos salvavidas certificados y kits de control de derrames a bordo. Cualquier daño causado a la infraestructura vial, puentes, redes eléctricas o ecosistemas acuáticos durante el transporte será responsabilidad exclusiva del Contratista.</w:t>
      </w:r>
    </w:p>
    <w:p w14:paraId="3AC6F547">
      <w:pPr>
        <w:spacing w:after="0" w:line="240" w:lineRule="auto"/>
        <w:jc w:val="both"/>
        <w:rPr>
          <w:rFonts w:ascii="Century Gothic" w:hAnsi="Century Gothic" w:eastAsia="Times New Roman" w:cs="Arial"/>
          <w:sz w:val="20"/>
          <w:szCs w:val="20"/>
          <w:lang w:eastAsia="es-CO"/>
        </w:rPr>
      </w:pPr>
    </w:p>
    <w:p w14:paraId="6319B154">
      <w:pPr>
        <w:spacing w:after="0" w:line="240" w:lineRule="auto"/>
        <w:jc w:val="both"/>
        <w:rPr>
          <w:rFonts w:ascii="Century Gothic" w:hAnsi="Century Gothic" w:eastAsia="Times New Roman" w:cs="Arial"/>
          <w:sz w:val="20"/>
          <w:szCs w:val="20"/>
          <w:lang w:eastAsia="es-CO"/>
        </w:rPr>
      </w:pPr>
    </w:p>
    <w:p w14:paraId="7039C7C1">
      <w:pPr>
        <w:spacing w:line="240" w:lineRule="auto"/>
        <w:jc w:val="both"/>
        <w:rPr>
          <w:rFonts w:ascii="Century Gothic" w:hAnsi="Century Gothic" w:eastAsia="Times New Roman" w:cs="Arial"/>
          <w:b/>
          <w:bCs/>
          <w:sz w:val="20"/>
          <w:szCs w:val="20"/>
          <w:lang w:eastAsia="es-CO"/>
        </w:rPr>
      </w:pPr>
      <w:r>
        <w:rPr>
          <w:rFonts w:ascii="Century Gothic" w:hAnsi="Century Gothic" w:eastAsia="Times New Roman" w:cs="Arial"/>
          <w:b/>
          <w:bCs/>
          <w:sz w:val="20"/>
          <w:szCs w:val="20"/>
          <w:lang w:eastAsia="es-CO"/>
        </w:rPr>
        <w:t>II CONTROL TOPOGRÁFICO Y BATIMÉTRICO (INCLUYE LOCALIZACIÓN, TRAZADO Y REPLANTEO - 2 RECORRIDOS)</w:t>
      </w:r>
    </w:p>
    <w:p w14:paraId="69A6408A">
      <w:pPr>
        <w:numPr>
          <w:ilvl w:val="0"/>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1. Descripción:</w:t>
      </w:r>
      <w:r>
        <w:rPr>
          <w:rFonts w:ascii="Century Gothic" w:hAnsi="Century Gothic" w:eastAsia="Times New Roman" w:cs="Arial"/>
          <w:sz w:val="20"/>
          <w:szCs w:val="20"/>
          <w:lang w:eastAsia="es-CO"/>
        </w:rPr>
        <w:t xml:space="preserve"> Esta actividad comprende las labores de campo y oficina necesarias para realizar la localización geográfica, el trazado, la nivelación, el replanteo y el control altimétrico y batimétrico antes, durante y después de las intervenciones en el Complejo Cenagoso de Cascaloa. El ítem exige obligatoriamente la ejecución de </w:t>
      </w:r>
      <w:r>
        <w:rPr>
          <w:rFonts w:ascii="Century Gothic" w:hAnsi="Century Gothic" w:eastAsia="Times New Roman" w:cs="Arial"/>
          <w:b/>
          <w:bCs/>
          <w:sz w:val="20"/>
          <w:szCs w:val="20"/>
          <w:lang w:eastAsia="es-CO"/>
        </w:rPr>
        <w:t>dos (2) recorridos completos</w:t>
      </w:r>
      <w:r>
        <w:rPr>
          <w:rFonts w:ascii="Century Gothic" w:hAnsi="Century Gothic" w:eastAsia="Times New Roman" w:cs="Arial"/>
          <w:sz w:val="20"/>
          <w:szCs w:val="20"/>
          <w:lang w:eastAsia="es-CO"/>
        </w:rPr>
        <w:t>: un levantamiento inicial (línea base) y un levantamiento final (post-construcción) para verificar los volúmenes removidos y las áreas de conservación alcanzadas.</w:t>
      </w:r>
    </w:p>
    <w:p w14:paraId="3B4A1435">
      <w:pPr>
        <w:numPr>
          <w:ilvl w:val="0"/>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2. Materiales y Equipos:</w:t>
      </w:r>
      <w:r>
        <w:rPr>
          <w:rFonts w:ascii="Century Gothic" w:hAnsi="Century Gothic" w:eastAsia="Times New Roman" w:cs="Arial"/>
          <w:sz w:val="20"/>
          <w:szCs w:val="20"/>
          <w:lang w:eastAsia="es-CO"/>
        </w:rPr>
        <w:t xml:space="preserve"> De acuerdo con los componentes definidos en el Análisis de Precios Unitarios (APU), el Contratista deberá proveer por 8 meses del proyecto los siguientes elementos en óptimo estado:</w:t>
      </w:r>
    </w:p>
    <w:p w14:paraId="121A7CDF">
      <w:pPr>
        <w:numPr>
          <w:ilvl w:val="1"/>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Alquiler de equipos de topografía:</w:t>
      </w:r>
      <w:r>
        <w:rPr>
          <w:rFonts w:ascii="Century Gothic" w:hAnsi="Century Gothic" w:eastAsia="Times New Roman" w:cs="Arial"/>
          <w:sz w:val="20"/>
          <w:szCs w:val="20"/>
          <w:lang w:eastAsia="es-CO"/>
        </w:rPr>
        <w:t xml:space="preserve"> Estación total electrónica y/o sistemas de posicionamiento global de alta precisión (GPS Diferencial / RTK) debidamente certificados y calibrados. Para el componente hidráulico, se debe incluir el equipo técnico de batimetría (Ecosonda digital con su software de procesamiento de datos hidrográficos).</w:t>
      </w:r>
    </w:p>
    <w:p w14:paraId="4359746E">
      <w:pPr>
        <w:numPr>
          <w:ilvl w:val="1"/>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Transporte Fluvial (Bote):</w:t>
      </w:r>
      <w:r>
        <w:rPr>
          <w:rFonts w:ascii="Century Gothic" w:hAnsi="Century Gothic" w:eastAsia="Times New Roman" w:cs="Arial"/>
          <w:sz w:val="20"/>
          <w:szCs w:val="20"/>
          <w:lang w:eastAsia="es-CO"/>
        </w:rPr>
        <w:t xml:space="preserve"> Un bote con motor fuera de borda en perfectas condiciones de navegabilidad, con capacidad suficiente para transportar de forma segura la comisión topográfica y los equipos de medición sobre el espejo de agua de la ciénaga y sus caños.</w:t>
      </w:r>
    </w:p>
    <w:p w14:paraId="2B35E525">
      <w:pPr>
        <w:numPr>
          <w:ilvl w:val="1"/>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Insumos menores:</w:t>
      </w:r>
      <w:r>
        <w:rPr>
          <w:rFonts w:ascii="Century Gothic" w:hAnsi="Century Gothic" w:eastAsia="Times New Roman" w:cs="Arial"/>
          <w:sz w:val="20"/>
          <w:szCs w:val="20"/>
          <w:lang w:eastAsia="es-CO"/>
        </w:rPr>
        <w:t xml:space="preserve"> Estacas de madera, pintura reflectiva, mojones de concreto, varillas de hierro y machetes para la apertura de trochas o visuales.</w:t>
      </w:r>
    </w:p>
    <w:p w14:paraId="4F9713FC">
      <w:pPr>
        <w:numPr>
          <w:ilvl w:val="0"/>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3. Procedimiento de Ejecución:</w:t>
      </w:r>
      <w:r>
        <w:rPr>
          <w:rFonts w:ascii="Century Gothic" w:hAnsi="Century Gothic" w:eastAsia="Times New Roman" w:cs="Arial"/>
          <w:sz w:val="20"/>
          <w:szCs w:val="20"/>
          <w:lang w:eastAsia="es-CO"/>
        </w:rPr>
        <w:t xml:space="preserve"> El desarrollo de la actividad se ceñirá a las siguientes fases técnicas:</w:t>
      </w:r>
    </w:p>
    <w:p w14:paraId="4C19200C">
      <w:pPr>
        <w:numPr>
          <w:ilvl w:val="1"/>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Primer Recorrido (Línea Base):</w:t>
      </w:r>
      <w:r>
        <w:rPr>
          <w:rFonts w:ascii="Century Gothic" w:hAnsi="Century Gothic" w:eastAsia="Times New Roman" w:cs="Arial"/>
          <w:sz w:val="20"/>
          <w:szCs w:val="20"/>
          <w:lang w:eastAsia="es-CO"/>
        </w:rPr>
        <w:t xml:space="preserve"> Antes de iniciar cualquier remoción de macrófitas o dragado blando, la comisión delimitará las zonas de intervención, amarrando el proyecto a las coordenadas oficiales de la red nacional. Se realizarán perfiles transversales y lecturas eco-batimétricas para determinar el estado inicial del lecho de la ciénaga.</w:t>
      </w:r>
    </w:p>
    <w:p w14:paraId="7524AC92">
      <w:pPr>
        <w:numPr>
          <w:ilvl w:val="1"/>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Fase de Control Interno:</w:t>
      </w:r>
      <w:r>
        <w:rPr>
          <w:rFonts w:ascii="Century Gothic" w:hAnsi="Century Gothic" w:eastAsia="Times New Roman" w:cs="Arial"/>
          <w:sz w:val="20"/>
          <w:szCs w:val="20"/>
          <w:lang w:eastAsia="es-CO"/>
        </w:rPr>
        <w:t xml:space="preserve"> Durante la ejecución del proyecto, el contratista usará los equipos para guiar la profundidad y el ancho de las secciones de agua intervenidas.</w:t>
      </w:r>
    </w:p>
    <w:p w14:paraId="62920C70">
      <w:pPr>
        <w:numPr>
          <w:ilvl w:val="1"/>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Segundo Recorrido (Replanteo Final y Pos-construcción):</w:t>
      </w:r>
      <w:r>
        <w:rPr>
          <w:rFonts w:ascii="Century Gothic" w:hAnsi="Century Gothic" w:eastAsia="Times New Roman" w:cs="Arial"/>
          <w:sz w:val="20"/>
          <w:szCs w:val="20"/>
          <w:lang w:eastAsia="es-CO"/>
        </w:rPr>
        <w:t xml:space="preserve"> Una vez finalizadas las actividades físicas, se ejecutará un segundo levantamiento batimétrico y topográfico idéntico al primero para constatar el cumplimiento de las metas hidráulicas y generar las carteras de campo y planos </w:t>
      </w:r>
      <w:r>
        <w:rPr>
          <w:rFonts w:ascii="Century Gothic" w:hAnsi="Century Gothic" w:eastAsia="Times New Roman" w:cs="Arial"/>
          <w:i/>
          <w:iCs/>
          <w:sz w:val="20"/>
          <w:szCs w:val="20"/>
          <w:lang w:eastAsia="es-CO"/>
        </w:rPr>
        <w:t>As-Built</w:t>
      </w:r>
      <w:r>
        <w:rPr>
          <w:rFonts w:ascii="Century Gothic" w:hAnsi="Century Gothic" w:eastAsia="Times New Roman" w:cs="Arial"/>
          <w:sz w:val="20"/>
          <w:szCs w:val="20"/>
          <w:lang w:eastAsia="es-CO"/>
        </w:rPr>
        <w:t xml:space="preserve"> (como se construyó).</w:t>
      </w:r>
    </w:p>
    <w:p w14:paraId="76AF25AF">
      <w:pPr>
        <w:numPr>
          <w:ilvl w:val="0"/>
          <w:numId w:val="2"/>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4. Tolerancias y Control de Calidad:</w:t>
      </w:r>
      <w:r>
        <w:rPr>
          <w:rFonts w:ascii="Century Gothic" w:hAnsi="Century Gothic" w:eastAsia="Times New Roman" w:cs="Arial"/>
          <w:sz w:val="20"/>
          <w:szCs w:val="20"/>
          <w:lang w:eastAsia="es-CO"/>
        </w:rPr>
        <w:t xml:space="preserve"> Las carteras de topografía y los archivos digitales de batimetría (</w:t>
      </w:r>
      <w:r>
        <w:rPr>
          <w:rFonts w:ascii="Century Gothic" w:hAnsi="Century Gothic" w:eastAsia="Times New Roman" w:cs="Arial"/>
          <w:i/>
          <w:iCs/>
          <w:sz w:val="20"/>
          <w:szCs w:val="20"/>
          <w:lang w:eastAsia="es-CO"/>
        </w:rPr>
        <w:t>puntos XYZ</w:t>
      </w:r>
      <w:r>
        <w:rPr>
          <w:rFonts w:ascii="Century Gothic" w:hAnsi="Century Gothic" w:eastAsia="Times New Roman" w:cs="Arial"/>
          <w:sz w:val="20"/>
          <w:szCs w:val="20"/>
          <w:lang w:eastAsia="es-CO"/>
        </w:rPr>
        <w:t>, nubes de puntos y planos) deberán ser entregados a la Interventoría en formatos editables (AutoCAD, Civil 3D o similares). Las tolerancias de cierre vertical y horizontal se regirán estrictamente por las normas técnicas del Instituto Geográfico Agustín Codazzi (IGAC). No se avalará ningún ítem de intervención hídrica si no cuenta con el plano topográfico y la cartera avalada por el Topógrafo o Ingeniero Catastral del proyecto. El bote deberá contar con chalecos salvavidas para toda la comisión durante las mediciones en agua.</w:t>
      </w:r>
    </w:p>
    <w:p w14:paraId="2AF796B8">
      <w:pPr>
        <w:spacing w:after="0" w:line="240" w:lineRule="auto"/>
        <w:jc w:val="both"/>
        <w:rPr>
          <w:rFonts w:ascii="Century Gothic" w:hAnsi="Century Gothic" w:eastAsia="Times New Roman" w:cs="Arial"/>
          <w:sz w:val="20"/>
          <w:szCs w:val="20"/>
          <w:lang w:eastAsia="es-CO"/>
        </w:rPr>
      </w:pPr>
    </w:p>
    <w:p w14:paraId="6EEADF91">
      <w:pPr>
        <w:spacing w:line="240" w:lineRule="auto"/>
        <w:jc w:val="both"/>
        <w:rPr>
          <w:rFonts w:ascii="Century Gothic" w:hAnsi="Century Gothic" w:eastAsia="Times New Roman" w:cs="Arial"/>
          <w:b/>
          <w:bCs/>
          <w:sz w:val="20"/>
          <w:szCs w:val="20"/>
          <w:lang w:eastAsia="es-CO"/>
        </w:rPr>
      </w:pPr>
      <w:r>
        <w:rPr>
          <w:rFonts w:ascii="Century Gothic" w:hAnsi="Century Gothic" w:eastAsia="Times New Roman" w:cs="Arial"/>
          <w:b/>
          <w:bCs/>
          <w:sz w:val="20"/>
          <w:szCs w:val="20"/>
          <w:lang w:eastAsia="es-CO"/>
        </w:rPr>
        <w:t>III  RETIRO MECÁNICO DE ESPECIES INVASIVAS DE FLORA ACUÁTICA EN ÁREA DE CAÑO Y CIÉNAGA (ÁREA: 339.529 M²)</w:t>
      </w:r>
    </w:p>
    <w:p w14:paraId="06542ECD">
      <w:pPr>
        <w:numPr>
          <w:ilvl w:val="0"/>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1. Descripción:</w:t>
      </w:r>
      <w:r>
        <w:rPr>
          <w:rFonts w:ascii="Century Gothic" w:hAnsi="Century Gothic" w:eastAsia="Times New Roman" w:cs="Arial"/>
          <w:sz w:val="20"/>
          <w:szCs w:val="20"/>
          <w:lang w:eastAsia="es-CO"/>
        </w:rPr>
        <w:t xml:space="preserve"> Esta actividad consiste en la extracción masiva, cargue, estabilización en plataforma flotante, transporte fluvial, descargue y disposición final de la vegetación acuática exótica e invasora (como el buchón de agua, taruya o </w:t>
      </w:r>
      <w:r>
        <w:rPr>
          <w:rFonts w:ascii="Century Gothic" w:hAnsi="Century Gothic" w:eastAsia="Times New Roman" w:cs="Arial"/>
          <w:i/>
          <w:iCs/>
          <w:sz w:val="20"/>
          <w:szCs w:val="20"/>
          <w:lang w:eastAsia="es-CO"/>
        </w:rPr>
        <w:t>Eichhornia crassipes</w:t>
      </w:r>
      <w:r>
        <w:rPr>
          <w:rFonts w:ascii="Century Gothic" w:hAnsi="Century Gothic" w:eastAsia="Times New Roman" w:cs="Arial"/>
          <w:sz w:val="20"/>
          <w:szCs w:val="20"/>
          <w:lang w:eastAsia="es-CO"/>
        </w:rPr>
        <w:t xml:space="preserve">) que cubre y colmata los espejos de agua. Las intervenciones se realizarán exclusivamente dentro del área delimitada por el proyecto en el Complejo Cenagoso de Cascaloa (Magangué, Bolívar), abarcando una extensión total programada de </w:t>
      </w:r>
      <w:r>
        <w:rPr>
          <w:rFonts w:ascii="Century Gothic" w:hAnsi="Century Gothic" w:eastAsia="Times New Roman" w:cs="Arial"/>
          <w:b/>
          <w:bCs/>
          <w:sz w:val="20"/>
          <w:szCs w:val="20"/>
          <w:lang w:eastAsia="es-CO"/>
        </w:rPr>
        <w:t>339.529 metros cuadrados (m²)</w:t>
      </w:r>
      <w:r>
        <w:rPr>
          <w:rFonts w:ascii="Century Gothic" w:hAnsi="Century Gothic" w:eastAsia="Times New Roman" w:cs="Arial"/>
          <w:sz w:val="20"/>
          <w:szCs w:val="20"/>
          <w:lang w:eastAsia="es-CO"/>
        </w:rPr>
        <w:t xml:space="preserve">. </w:t>
      </w:r>
    </w:p>
    <w:p w14:paraId="3AA64DEF">
      <w:pPr>
        <w:numPr>
          <w:ilvl w:val="0"/>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2. Materiales y Equipos:</w:t>
      </w:r>
      <w:r>
        <w:rPr>
          <w:rFonts w:ascii="Century Gothic" w:hAnsi="Century Gothic" w:eastAsia="Times New Roman" w:cs="Arial"/>
          <w:sz w:val="20"/>
          <w:szCs w:val="20"/>
          <w:lang w:eastAsia="es-CO"/>
        </w:rPr>
        <w:t xml:space="preserve"> Para la ejecución continua de este frente de obra pesada, el Contratista deberá suministrar e incorporar los siguientes equipos mínimos garantizados, según los rendimientos previstos en el Análisis de Precios Unitarios (APU):</w:t>
      </w:r>
    </w:p>
    <w:p w14:paraId="3C4B1D11">
      <w:pPr>
        <w:numPr>
          <w:ilvl w:val="1"/>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Retroexcavadora:</w:t>
      </w:r>
      <w:r>
        <w:rPr>
          <w:rFonts w:ascii="Century Gothic" w:hAnsi="Century Gothic" w:eastAsia="Times New Roman" w:cs="Arial"/>
          <w:sz w:val="20"/>
          <w:szCs w:val="20"/>
          <w:lang w:eastAsia="es-CO"/>
        </w:rPr>
        <w:t xml:space="preserve"> Maquinaria sobre orugas con el brazo, alcance y capacidad de balde adecuados para extraer la biomasa húmeda sin afectar severamente el lecho nativo profundo de la ciénaga.</w:t>
      </w:r>
    </w:p>
    <w:p w14:paraId="41D03DE9">
      <w:pPr>
        <w:numPr>
          <w:ilvl w:val="1"/>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Bongo:</w:t>
      </w:r>
      <w:r>
        <w:rPr>
          <w:rFonts w:ascii="Century Gothic" w:hAnsi="Century Gothic" w:eastAsia="Times New Roman" w:cs="Arial"/>
          <w:sz w:val="20"/>
          <w:szCs w:val="20"/>
          <w:lang w:eastAsia="es-CO"/>
        </w:rPr>
        <w:t xml:space="preserve"> Embarcación o planchón de carga fluvial con la estabilidad, dimensiones y capacidad estructural certificada para soportar el peso operativo de la retroexcavadora en movimiento y el almacenamiento temporal de las macrófitas húmedas extraídas.</w:t>
      </w:r>
    </w:p>
    <w:p w14:paraId="5F41F181">
      <w:pPr>
        <w:numPr>
          <w:ilvl w:val="1"/>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Bote con motor fuera de borda:</w:t>
      </w:r>
      <w:r>
        <w:rPr>
          <w:rFonts w:ascii="Century Gothic" w:hAnsi="Century Gothic" w:eastAsia="Times New Roman" w:cs="Arial"/>
          <w:sz w:val="20"/>
          <w:szCs w:val="20"/>
          <w:lang w:eastAsia="es-CO"/>
        </w:rPr>
        <w:t xml:space="preserve"> Embarcación de apoyo logístico para el remolque, guía y posicionamiento del bongo en las zonas de caño y ciénaga, así como para la movilización del personal y tendido de barreras de contención.</w:t>
      </w:r>
    </w:p>
    <w:p w14:paraId="58DAFE05">
      <w:pPr>
        <w:numPr>
          <w:ilvl w:val="0"/>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3. Procedimiento de Ejecución:</w:t>
      </w:r>
      <w:r>
        <w:rPr>
          <w:rFonts w:ascii="Century Gothic" w:hAnsi="Century Gothic" w:eastAsia="Times New Roman" w:cs="Arial"/>
          <w:sz w:val="20"/>
          <w:szCs w:val="20"/>
          <w:lang w:eastAsia="es-CO"/>
        </w:rPr>
        <w:t xml:space="preserve"> El proceso de explanación y remoción en agua seguirá estrictamente los siguientes pasos técnicos:</w:t>
      </w:r>
    </w:p>
    <w:p w14:paraId="53E00660">
      <w:pPr>
        <w:numPr>
          <w:ilvl w:val="1"/>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a) Posicionamiento:</w:t>
      </w:r>
      <w:r>
        <w:rPr>
          <w:rFonts w:ascii="Century Gothic" w:hAnsi="Century Gothic" w:eastAsia="Times New Roman" w:cs="Arial"/>
          <w:sz w:val="20"/>
          <w:szCs w:val="20"/>
          <w:lang w:eastAsia="es-CO"/>
        </w:rPr>
        <w:t xml:space="preserve"> La retroexcavadora operará anclada de forma segura sobre la superficie del bongo. El bongo será trasladado a los frentes de trabajo con el soporte del bote motorizado.</w:t>
      </w:r>
    </w:p>
    <w:p w14:paraId="632FFBF3">
      <w:pPr>
        <w:numPr>
          <w:ilvl w:val="1"/>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b) Extracción:</w:t>
      </w:r>
      <w:r>
        <w:rPr>
          <w:rFonts w:ascii="Century Gothic" w:hAnsi="Century Gothic" w:eastAsia="Times New Roman" w:cs="Arial"/>
          <w:sz w:val="20"/>
          <w:szCs w:val="20"/>
          <w:lang w:eastAsia="es-CO"/>
        </w:rPr>
        <w:t xml:space="preserve"> El operador de la retroexcavadora extraerá la capa de flora invasora controlando la profundidad del balde para evitar excavaciones innecesarias del suelo subacuático, retirando los tapones densos que obstruyen la dinámica hídrica.</w:t>
      </w:r>
    </w:p>
    <w:p w14:paraId="507A2AC6">
      <w:pPr>
        <w:numPr>
          <w:ilvl w:val="1"/>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c) Transporte y Oreo:</w:t>
      </w:r>
      <w:r>
        <w:rPr>
          <w:rFonts w:ascii="Century Gothic" w:hAnsi="Century Gothic" w:eastAsia="Times New Roman" w:cs="Arial"/>
          <w:sz w:val="20"/>
          <w:szCs w:val="20"/>
          <w:lang w:eastAsia="es-CO"/>
        </w:rPr>
        <w:t xml:space="preserve"> El material extraído se acopiará sobre el bongo para su escurrido inicial (lixiviación) y transporte hacia el centro de acopio o puerto de descargue autorizado.</w:t>
      </w:r>
    </w:p>
    <w:p w14:paraId="06956C28">
      <w:pPr>
        <w:numPr>
          <w:ilvl w:val="1"/>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d) Disposición Final:</w:t>
      </w:r>
      <w:r>
        <w:rPr>
          <w:rFonts w:ascii="Century Gothic" w:hAnsi="Century Gothic" w:eastAsia="Times New Roman" w:cs="Arial"/>
          <w:sz w:val="20"/>
          <w:szCs w:val="20"/>
          <w:lang w:eastAsia="es-CO"/>
        </w:rPr>
        <w:t xml:space="preserve"> Se realizará el trasbordo a tierra para su traslado a las áreas de secado o compostaje designadas, garantizando que el material no ruede de vuelta a la ronda hídrica o genere afectaciones sanitarias a las comunidades de pescadores locales. </w:t>
      </w:r>
    </w:p>
    <w:p w14:paraId="17D9D558">
      <w:pPr>
        <w:numPr>
          <w:ilvl w:val="0"/>
          <w:numId w:val="3"/>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4. Tolerancias y Control de Calidad:</w:t>
      </w:r>
      <w:r>
        <w:rPr>
          <w:rFonts w:ascii="Century Gothic" w:hAnsi="Century Gothic" w:eastAsia="Times New Roman" w:cs="Arial"/>
          <w:sz w:val="20"/>
          <w:szCs w:val="20"/>
          <w:lang w:eastAsia="es-CO"/>
        </w:rPr>
        <w:t xml:space="preserve"> La Interventoría medirá el avance mediante el control de áreas intervenidas utilizando el plano de levantamiento topográfico/batimétrico inicial y rastreo satelital o por GPS de alta precisión. El área de </w:t>
      </w:r>
      <w:r>
        <w:rPr>
          <w:rFonts w:ascii="Century Gothic" w:hAnsi="Century Gothic" w:eastAsia="Times New Roman" w:cs="Arial"/>
          <w:b/>
          <w:bCs/>
          <w:sz w:val="20"/>
          <w:szCs w:val="20"/>
          <w:lang w:eastAsia="es-CO"/>
        </w:rPr>
        <w:t>339.529 m²</w:t>
      </w:r>
      <w:r>
        <w:rPr>
          <w:rFonts w:ascii="Century Gothic" w:hAnsi="Century Gothic" w:eastAsia="Times New Roman" w:cs="Arial"/>
          <w:sz w:val="20"/>
          <w:szCs w:val="20"/>
          <w:lang w:eastAsia="es-CO"/>
        </w:rPr>
        <w:t xml:space="preserve"> deberá entregarse libre de macrófitas en un porcentaje no menor al 95%. Se debe exigir la instalación de barreras flotantes temporales aguas abajo del frente de trabajo para evitar que fragmentos sueltos colmaten otras zonas vírgenes del complejo de Cascaloa. El contratista deberá presentar un plan de contingencia de derrames de hidrocarburos debido al acoplamiento de maquinaria pesada sobre el agua.</w:t>
      </w:r>
    </w:p>
    <w:p w14:paraId="37A6CC20">
      <w:pPr>
        <w:spacing w:after="0" w:line="240" w:lineRule="auto"/>
        <w:jc w:val="both"/>
        <w:rPr>
          <w:rFonts w:ascii="Century Gothic" w:hAnsi="Century Gothic" w:eastAsia="Times New Roman" w:cs="Arial"/>
          <w:sz w:val="20"/>
          <w:szCs w:val="20"/>
          <w:lang w:eastAsia="es-CO"/>
        </w:rPr>
      </w:pPr>
    </w:p>
    <w:p w14:paraId="43208125">
      <w:pPr>
        <w:spacing w:line="240" w:lineRule="auto"/>
        <w:jc w:val="both"/>
        <w:rPr>
          <w:rFonts w:ascii="Century Gothic" w:hAnsi="Century Gothic" w:eastAsia="Times New Roman" w:cs="Arial"/>
          <w:b/>
          <w:bCs/>
          <w:sz w:val="20"/>
          <w:szCs w:val="20"/>
          <w:lang w:eastAsia="es-CO"/>
        </w:rPr>
      </w:pPr>
      <w:r>
        <w:rPr>
          <w:rFonts w:ascii="Century Gothic" w:hAnsi="Century Gothic" w:eastAsia="Times New Roman" w:cs="Arial"/>
          <w:b/>
          <w:bCs/>
          <w:sz w:val="20"/>
          <w:szCs w:val="20"/>
          <w:lang w:eastAsia="es-CO"/>
        </w:rPr>
        <w:t>IV EXCAVACIÓN CON MÁQUINA EN LECHO DE CAÑOS Y CIÉNAGAS PRIORIZADOS PARA EL COMPLEJO HÍDRICO DE CASCALOA (VOLUMEN: 545.110,88 M³)</w:t>
      </w:r>
    </w:p>
    <w:p w14:paraId="6061A4E3">
      <w:pPr>
        <w:numPr>
          <w:ilvl w:val="0"/>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1. Descripción:</w:t>
      </w:r>
      <w:r>
        <w:rPr>
          <w:rFonts w:ascii="Century Gothic" w:hAnsi="Century Gothic" w:eastAsia="Times New Roman" w:cs="Arial"/>
          <w:sz w:val="20"/>
          <w:szCs w:val="20"/>
          <w:lang w:eastAsia="es-CO"/>
        </w:rPr>
        <w:t xml:space="preserve"> Esta actividad consiste en la excavación mecánica, extracción, remoción de lodos, sedimentación acumulada y material de fondo en los caños y ciénagas priorizados del Complejo Hídrico de Cascaloa, en el municipio de Magangué, Bolívar. El objetivo principal es recuperar la sección hidráulica, aumentar la profundidad y restaurar el flujo hídrico natural del ecosistema, alcanzando un volumen total programado de </w:t>
      </w:r>
      <w:r>
        <w:rPr>
          <w:rFonts w:ascii="Century Gothic" w:hAnsi="Century Gothic" w:eastAsia="Times New Roman" w:cs="Arial"/>
          <w:b/>
          <w:bCs/>
          <w:sz w:val="20"/>
          <w:szCs w:val="20"/>
          <w:lang w:eastAsia="es-CO"/>
        </w:rPr>
        <w:t>545.110,88 metros cúbicos (m³)</w:t>
      </w:r>
      <w:r>
        <w:rPr>
          <w:rFonts w:ascii="Century Gothic" w:hAnsi="Century Gothic" w:eastAsia="Times New Roman" w:cs="Arial"/>
          <w:sz w:val="20"/>
          <w:szCs w:val="20"/>
          <w:lang w:eastAsia="es-CO"/>
        </w:rPr>
        <w:t xml:space="preserve"> medidos en banco.</w:t>
      </w:r>
    </w:p>
    <w:p w14:paraId="762B8BA0">
      <w:pPr>
        <w:numPr>
          <w:ilvl w:val="0"/>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2. Materiales y Equipos:</w:t>
      </w:r>
      <w:r>
        <w:rPr>
          <w:rFonts w:ascii="Century Gothic" w:hAnsi="Century Gothic" w:eastAsia="Times New Roman" w:cs="Arial"/>
          <w:sz w:val="20"/>
          <w:szCs w:val="20"/>
          <w:lang w:eastAsia="es-CO"/>
        </w:rPr>
        <w:t xml:space="preserve"> Para la ejecución continua de esta actividad pesada, el Contratista deberá suministrar de forma obligatoria el siguiente equipo mínimo garantizado, conforme a los rendimientos calculados en el Análisis de Precios Unitarios (APU):</w:t>
      </w:r>
    </w:p>
    <w:p w14:paraId="1EBD42DA">
      <w:pPr>
        <w:numPr>
          <w:ilvl w:val="1"/>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Retroexcavadora sobre oruga:</w:t>
      </w:r>
      <w:r>
        <w:rPr>
          <w:rFonts w:ascii="Century Gothic" w:hAnsi="Century Gothic" w:eastAsia="Times New Roman" w:cs="Arial"/>
          <w:sz w:val="20"/>
          <w:szCs w:val="20"/>
          <w:lang w:eastAsia="es-CO"/>
        </w:rPr>
        <w:t xml:space="preserve"> Maquinaria de excavación pesada con una </w:t>
      </w:r>
      <w:r>
        <w:rPr>
          <w:rFonts w:ascii="Century Gothic" w:hAnsi="Century Gothic" w:eastAsia="Times New Roman" w:cs="Arial"/>
          <w:b/>
          <w:bCs/>
          <w:sz w:val="20"/>
          <w:szCs w:val="20"/>
          <w:lang w:eastAsia="es-CO"/>
        </w:rPr>
        <w:t>potencia mínima de 158 kW</w:t>
      </w:r>
      <w:r>
        <w:rPr>
          <w:rFonts w:ascii="Century Gothic" w:hAnsi="Century Gothic" w:eastAsia="Times New Roman" w:cs="Arial"/>
          <w:sz w:val="20"/>
          <w:szCs w:val="20"/>
          <w:lang w:eastAsia="es-CO"/>
        </w:rPr>
        <w:t xml:space="preserve"> (o equivalente en caballos de fuerza, aprox. 210-215 HP) y equipada con un </w:t>
      </w:r>
      <w:r>
        <w:rPr>
          <w:rFonts w:ascii="Century Gothic" w:hAnsi="Century Gothic" w:eastAsia="Times New Roman" w:cs="Arial"/>
          <w:b/>
          <w:bCs/>
          <w:sz w:val="20"/>
          <w:szCs w:val="20"/>
          <w:lang w:eastAsia="es-CO"/>
        </w:rPr>
        <w:t>balde de capacidad mínima de 1.5 metros cúbicos (m³)</w:t>
      </w:r>
      <w:r>
        <w:rPr>
          <w:rFonts w:ascii="Century Gothic" w:hAnsi="Century Gothic" w:eastAsia="Times New Roman" w:cs="Arial"/>
          <w:sz w:val="20"/>
          <w:szCs w:val="20"/>
          <w:lang w:eastAsia="es-CO"/>
        </w:rPr>
        <w:t>. El brazo de la máquina debe contar con la longitud de alcance adecuada para los perfiles de diseño subacuático establecidos.</w:t>
      </w:r>
    </w:p>
    <w:p w14:paraId="3DDA5F4D">
      <w:pPr>
        <w:numPr>
          <w:ilvl w:val="1"/>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Embarcación / Plataforma (Bote de movimiento):</w:t>
      </w:r>
      <w:r>
        <w:rPr>
          <w:rFonts w:ascii="Century Gothic" w:hAnsi="Century Gothic" w:eastAsia="Times New Roman" w:cs="Arial"/>
          <w:sz w:val="20"/>
          <w:szCs w:val="20"/>
          <w:lang w:eastAsia="es-CO"/>
        </w:rPr>
        <w:t xml:space="preserve"> Bote, bongo o planchón flotante con la capacidad estructural certificada para soportar, estabilizar y permitir el desplazamiento seguro de la retroexcavadora sobre el caudal y los espejos de agua durante las operaciones de excavación.</w:t>
      </w:r>
    </w:p>
    <w:p w14:paraId="48B3CEDF">
      <w:pPr>
        <w:numPr>
          <w:ilvl w:val="0"/>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3. Procedimiento de Ejecución:</w:t>
      </w:r>
      <w:r>
        <w:rPr>
          <w:rFonts w:ascii="Century Gothic" w:hAnsi="Century Gothic" w:eastAsia="Times New Roman" w:cs="Arial"/>
          <w:sz w:val="20"/>
          <w:szCs w:val="20"/>
          <w:lang w:eastAsia="es-CO"/>
        </w:rPr>
        <w:t xml:space="preserve"> El proceso de excavación en lecho húmedo se ceñirá estrictamente a las siguientes directrices técnicas:</w:t>
      </w:r>
    </w:p>
    <w:p w14:paraId="2AE98D23">
      <w:pPr>
        <w:numPr>
          <w:ilvl w:val="1"/>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a) Localización y Control:</w:t>
      </w:r>
      <w:r>
        <w:rPr>
          <w:rFonts w:ascii="Century Gothic" w:hAnsi="Century Gothic" w:eastAsia="Times New Roman" w:cs="Arial"/>
          <w:sz w:val="20"/>
          <w:szCs w:val="20"/>
          <w:lang w:eastAsia="es-CO"/>
        </w:rPr>
        <w:t xml:space="preserve"> Previo al inicio, se verificarán las secciones transversales mediante el control topográfico y batimétrico. La Interventoría autorizará el tramo y la profundidad máxima de excavación para evitar la desestabilización de los taludes naturales del caño.</w:t>
      </w:r>
    </w:p>
    <w:p w14:paraId="6625DE72">
      <w:pPr>
        <w:numPr>
          <w:ilvl w:val="1"/>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b) Operación de Excavación:</w:t>
      </w:r>
      <w:r>
        <w:rPr>
          <w:rFonts w:ascii="Century Gothic" w:hAnsi="Century Gothic" w:eastAsia="Times New Roman" w:cs="Arial"/>
          <w:sz w:val="20"/>
          <w:szCs w:val="20"/>
          <w:lang w:eastAsia="es-CO"/>
        </w:rPr>
        <w:t xml:space="preserve"> La retroexcavadora operará montada y asegurada sobre el bote o plataforma flotante. El movimiento de tierras subacuático se realizará de forma progresiva, extrayendo el lodo y los sedimentos del fondo del lecho.</w:t>
      </w:r>
    </w:p>
    <w:p w14:paraId="147416BA">
      <w:pPr>
        <w:numPr>
          <w:ilvl w:val="1"/>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c) Manejo de Material Extraído:</w:t>
      </w:r>
      <w:r>
        <w:rPr>
          <w:rFonts w:ascii="Century Gothic" w:hAnsi="Century Gothic" w:eastAsia="Times New Roman" w:cs="Arial"/>
          <w:sz w:val="20"/>
          <w:szCs w:val="20"/>
          <w:lang w:eastAsia="es-CO"/>
        </w:rPr>
        <w:t xml:space="preserve"> El material removido se depositará temporalmente sobre botes de transporte o se dispondrá en los sitios de acopio terrestre definidos en el Plan de Manejo Ambiental (PMA) del proyecto, garantizando zonas de secado que eviten que el sedimento regrese al cuerpo de agua por escorrentía.</w:t>
      </w:r>
    </w:p>
    <w:p w14:paraId="0195E977">
      <w:pPr>
        <w:numPr>
          <w:ilvl w:val="0"/>
          <w:numId w:val="4"/>
        </w:numPr>
        <w:spacing w:after="0" w:line="240" w:lineRule="auto"/>
        <w:ind w:left="-3"/>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4. Tolerancias y Control de Calidad:</w:t>
      </w:r>
      <w:r>
        <w:rPr>
          <w:rFonts w:ascii="Century Gothic" w:hAnsi="Century Gothic" w:eastAsia="Times New Roman" w:cs="Arial"/>
          <w:sz w:val="20"/>
          <w:szCs w:val="20"/>
          <w:lang w:eastAsia="es-CO"/>
        </w:rPr>
        <w:t xml:space="preserve"> Las dimensiones, niveles de fondo, anchos de solera y taludes finales de los caños excavados deberán ajustarse estrictamente a los diseños hidráulicos del proyecto. La Interventoría verificará el volumen ejecutado mediante la </w:t>
      </w:r>
      <w:r>
        <w:rPr>
          <w:rFonts w:ascii="Century Gothic" w:hAnsi="Century Gothic" w:eastAsia="Times New Roman" w:cs="Arial"/>
          <w:b/>
          <w:bCs/>
          <w:sz w:val="20"/>
          <w:szCs w:val="20"/>
          <w:lang w:eastAsia="es-CO"/>
        </w:rPr>
        <w:t>comparación de batimetrías (antes y después de la excavación)</w:t>
      </w:r>
      <w:r>
        <w:rPr>
          <w:rFonts w:ascii="Century Gothic" w:hAnsi="Century Gothic" w:eastAsia="Times New Roman" w:cs="Arial"/>
          <w:sz w:val="20"/>
          <w:szCs w:val="20"/>
          <w:lang w:eastAsia="es-CO"/>
        </w:rPr>
        <w:t xml:space="preserve"> calculadas por el método de secciones transversales. No se aceptarán sobre-excavaciones que superen los 10 centímetros por debajo de la cota de diseño sin autorización previa. El contratista deberá implementar cortinas de sedimentos o barreras anti-turbidez si la Interventoría lo considera necesario para proteger las zonas de desove aguas abajo.</w:t>
      </w:r>
    </w:p>
    <w:p w14:paraId="0AA65D94">
      <w:pPr>
        <w:spacing w:after="0" w:line="240" w:lineRule="auto"/>
        <w:jc w:val="both"/>
        <w:rPr>
          <w:rFonts w:ascii="Century Gothic" w:hAnsi="Century Gothic" w:eastAsia="Times New Roman" w:cs="Arial"/>
          <w:sz w:val="20"/>
          <w:szCs w:val="20"/>
          <w:lang w:eastAsia="es-CO"/>
        </w:rPr>
      </w:pPr>
    </w:p>
    <w:p w14:paraId="11127FA8">
      <w:pPr>
        <w:spacing w:line="240" w:lineRule="auto"/>
        <w:jc w:val="both"/>
        <w:rPr>
          <w:rFonts w:ascii="Century Gothic" w:hAnsi="Century Gothic" w:eastAsia="Times New Roman" w:cs="Arial"/>
          <w:b/>
          <w:bCs/>
          <w:sz w:val="20"/>
          <w:szCs w:val="20"/>
          <w:lang w:eastAsia="es-CO"/>
        </w:rPr>
      </w:pPr>
      <w:r>
        <w:rPr>
          <w:rFonts w:ascii="Century Gothic" w:hAnsi="Century Gothic" w:eastAsia="Times New Roman" w:cs="Arial"/>
          <w:b/>
          <w:bCs/>
          <w:sz w:val="20"/>
          <w:szCs w:val="20"/>
          <w:lang w:eastAsia="es-CO"/>
        </w:rPr>
        <w:t>V  EXTENDIDA DE MATERIAL DE EXCAVACIÓN CON ESPESOR DE 0.50 M (ÁREA: 2.180.443,52 M²)</w:t>
      </w:r>
    </w:p>
    <w:p w14:paraId="77F527A7">
      <w:pPr>
        <w:numPr>
          <w:ilvl w:val="0"/>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1. Descripción:</w:t>
      </w:r>
      <w:r>
        <w:rPr>
          <w:rFonts w:ascii="Century Gothic" w:hAnsi="Century Gothic" w:eastAsia="Times New Roman" w:cs="Arial"/>
          <w:sz w:val="20"/>
          <w:szCs w:val="20"/>
          <w:lang w:eastAsia="es-CO"/>
        </w:rPr>
        <w:t xml:space="preserve"> Esta actividad consiste en el esparcido, nivelación, conformación y extendida homogénea en tierra firme del material lodoso y sedimentario proveniente de las excavaciones subacuáticas de los caños y ciénagas. El material debe ser dispuesto en las zonas de acopio y descarga previamente autorizadas por la Interventoría en la zona de influencia del Complejo Cenagoso de Cascaloa (Magangué, Bolívar), garantizando una capa uniforme con un </w:t>
      </w:r>
      <w:r>
        <w:rPr>
          <w:rFonts w:ascii="Century Gothic" w:hAnsi="Century Gothic" w:eastAsia="Times New Roman" w:cs="Arial"/>
          <w:b/>
          <w:bCs/>
          <w:sz w:val="20"/>
          <w:szCs w:val="20"/>
          <w:lang w:eastAsia="es-CO"/>
        </w:rPr>
        <w:t>espesor final fijado de cincuenta centímetros (0.50 m)</w:t>
      </w:r>
      <w:r>
        <w:rPr>
          <w:rFonts w:ascii="Century Gothic" w:hAnsi="Century Gothic" w:eastAsia="Times New Roman" w:cs="Arial"/>
          <w:sz w:val="20"/>
          <w:szCs w:val="20"/>
          <w:lang w:eastAsia="es-CO"/>
        </w:rPr>
        <w:t xml:space="preserve">, cubriendo un área total programada de </w:t>
      </w:r>
      <w:r>
        <w:rPr>
          <w:rFonts w:ascii="Century Gothic" w:hAnsi="Century Gothic" w:eastAsia="Times New Roman" w:cs="Arial"/>
          <w:b/>
          <w:bCs/>
          <w:sz w:val="20"/>
          <w:szCs w:val="20"/>
          <w:lang w:eastAsia="es-CO"/>
        </w:rPr>
        <w:t>2.180.443,52 metros cuadrados (m²)</w:t>
      </w:r>
      <w:r>
        <w:rPr>
          <w:rFonts w:ascii="Century Gothic" w:hAnsi="Century Gothic" w:eastAsia="Times New Roman" w:cs="Arial"/>
          <w:sz w:val="20"/>
          <w:szCs w:val="20"/>
          <w:lang w:eastAsia="es-CO"/>
        </w:rPr>
        <w:t>.</w:t>
      </w:r>
    </w:p>
    <w:p w14:paraId="5EF1F0DB">
      <w:pPr>
        <w:numPr>
          <w:ilvl w:val="0"/>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2. Materiales y Equipos:</w:t>
      </w:r>
      <w:r>
        <w:rPr>
          <w:rFonts w:ascii="Century Gothic" w:hAnsi="Century Gothic" w:eastAsia="Times New Roman" w:cs="Arial"/>
          <w:sz w:val="20"/>
          <w:szCs w:val="20"/>
          <w:lang w:eastAsia="es-CO"/>
        </w:rPr>
        <w:t xml:space="preserve"> Para garantizar el rendimiento operativo requerido por el volumen de tierras, el Contratista deberá suministrar de forma obligatoria el siguiente equipo mínimo, de conformidad con el Análisis de Precios Unitarios (APU):</w:t>
      </w:r>
    </w:p>
    <w:p w14:paraId="4EBF4C3D">
      <w:pPr>
        <w:numPr>
          <w:ilvl w:val="1"/>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Retroexcavadora sobre oruga:</w:t>
      </w:r>
      <w:r>
        <w:rPr>
          <w:rFonts w:ascii="Century Gothic" w:hAnsi="Century Gothic" w:eastAsia="Times New Roman" w:cs="Arial"/>
          <w:sz w:val="20"/>
          <w:szCs w:val="20"/>
          <w:lang w:eastAsia="es-CO"/>
        </w:rPr>
        <w:t xml:space="preserve"> Maquinaria pesada con una </w:t>
      </w:r>
      <w:r>
        <w:rPr>
          <w:rFonts w:ascii="Century Gothic" w:hAnsi="Century Gothic" w:eastAsia="Times New Roman" w:cs="Arial"/>
          <w:b/>
          <w:bCs/>
          <w:sz w:val="20"/>
          <w:szCs w:val="20"/>
          <w:lang w:eastAsia="es-CO"/>
        </w:rPr>
        <w:t>potencia mínima de 158 kW</w:t>
      </w:r>
      <w:r>
        <w:rPr>
          <w:rFonts w:ascii="Century Gothic" w:hAnsi="Century Gothic" w:eastAsia="Times New Roman" w:cs="Arial"/>
          <w:sz w:val="20"/>
          <w:szCs w:val="20"/>
          <w:lang w:eastAsia="es-CO"/>
        </w:rPr>
        <w:t xml:space="preserve"> y equipada con un </w:t>
      </w:r>
      <w:r>
        <w:rPr>
          <w:rFonts w:ascii="Century Gothic" w:hAnsi="Century Gothic" w:eastAsia="Times New Roman" w:cs="Arial"/>
          <w:b/>
          <w:bCs/>
          <w:sz w:val="20"/>
          <w:szCs w:val="20"/>
          <w:lang w:eastAsia="es-CO"/>
        </w:rPr>
        <w:t>balde de capacidad mínima de 1.5 metros cúbicos (m³)</w:t>
      </w:r>
      <w:r>
        <w:rPr>
          <w:rFonts w:ascii="Century Gothic" w:hAnsi="Century Gothic" w:eastAsia="Times New Roman" w:cs="Arial"/>
          <w:sz w:val="20"/>
          <w:szCs w:val="20"/>
          <w:lang w:eastAsia="es-CO"/>
        </w:rPr>
        <w:t>. Las orugas son de carácter obligatorio para permitir la movilidad y tracción del equipo sobre los terrenos blandos, húmedos o saturados donde se verterán los lodos.</w:t>
      </w:r>
    </w:p>
    <w:p w14:paraId="472D4E69">
      <w:pPr>
        <w:numPr>
          <w:ilvl w:val="1"/>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Herramientas menores:</w:t>
      </w:r>
      <w:r>
        <w:rPr>
          <w:rFonts w:ascii="Century Gothic" w:hAnsi="Century Gothic" w:eastAsia="Times New Roman" w:cs="Arial"/>
          <w:sz w:val="20"/>
          <w:szCs w:val="20"/>
          <w:lang w:eastAsia="es-CO"/>
        </w:rPr>
        <w:t xml:space="preserve"> Palas, estacas y cintas de peligro para la demarcación y control visual de los niveles de llenado.</w:t>
      </w:r>
    </w:p>
    <w:p w14:paraId="1B050590">
      <w:pPr>
        <w:numPr>
          <w:ilvl w:val="0"/>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3. Procedimiento de Ejecución:</w:t>
      </w:r>
      <w:r>
        <w:rPr>
          <w:rFonts w:ascii="Century Gothic" w:hAnsi="Century Gothic" w:eastAsia="Times New Roman" w:cs="Arial"/>
          <w:sz w:val="20"/>
          <w:szCs w:val="20"/>
          <w:lang w:eastAsia="es-CO"/>
        </w:rPr>
        <w:t xml:space="preserve"> La extendida y conformación del material en tierra se ceñirá estrictamente a los siguientes pasos técnicos:</w:t>
      </w:r>
    </w:p>
    <w:p w14:paraId="11151B71">
      <w:pPr>
        <w:numPr>
          <w:ilvl w:val="1"/>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a) Preparación del Terreno:</w:t>
      </w:r>
      <w:r>
        <w:rPr>
          <w:rFonts w:ascii="Century Gothic" w:hAnsi="Century Gothic" w:eastAsia="Times New Roman" w:cs="Arial"/>
          <w:sz w:val="20"/>
          <w:szCs w:val="20"/>
          <w:lang w:eastAsia="es-CO"/>
        </w:rPr>
        <w:t xml:space="preserve"> Previo al descargue del sedimento, el área receptora debe estar delimitada y aprobada por la Interventoría. Se instalarán estacas de nivelación (tacometros) debidamente marcadas a una altura de 0.50 m para servir de guía geométrica al operador de la máquina.</w:t>
      </w:r>
    </w:p>
    <w:p w14:paraId="683E02D3">
      <w:pPr>
        <w:numPr>
          <w:ilvl w:val="1"/>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b) Extensión y Nivelación:</w:t>
      </w:r>
      <w:r>
        <w:rPr>
          <w:rFonts w:ascii="Century Gothic" w:hAnsi="Century Gothic" w:eastAsia="Times New Roman" w:cs="Arial"/>
          <w:sz w:val="20"/>
          <w:szCs w:val="20"/>
          <w:lang w:eastAsia="es-CO"/>
        </w:rPr>
        <w:t xml:space="preserve"> A medida que las barcazas o bongos descarguen el material en las orillas o puntos de transferencia, la retroexcavadora sobre orugas tomará el sedimento y lo esparcirá de manera progresiva sobre el terreno. El operador nivelará el material usando el reverso o la base del balde de 1.5 m³, asegurando que no queden montículos acumulados ni depresiones.</w:t>
      </w:r>
    </w:p>
    <w:p w14:paraId="29200696">
      <w:pPr>
        <w:numPr>
          <w:ilvl w:val="1"/>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c) Manejo Ambiental y de Lixiviados:</w:t>
      </w:r>
      <w:r>
        <w:rPr>
          <w:rFonts w:ascii="Century Gothic" w:hAnsi="Century Gothic" w:eastAsia="Times New Roman" w:cs="Arial"/>
          <w:sz w:val="20"/>
          <w:szCs w:val="20"/>
          <w:lang w:eastAsia="es-CO"/>
        </w:rPr>
        <w:t xml:space="preserve"> Al ser lodos saturados, el contratista debe garantizar que las zonas de extendida cuenten con barreras de contención perimetral temporales (como jarillones de tierra o barreras de sedimentos) para permitir que el agua ruede o se evapore sin arrastrar el suelo de vuelta a los cuerpos de agua del complejo hídrico.</w:t>
      </w:r>
    </w:p>
    <w:p w14:paraId="348CF9BC">
      <w:pPr>
        <w:numPr>
          <w:ilvl w:val="0"/>
          <w:numId w:val="5"/>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4. Tolerancias y Control de Calidad:</w:t>
      </w:r>
      <w:r>
        <w:rPr>
          <w:rFonts w:ascii="Century Gothic" w:hAnsi="Century Gothic" w:eastAsia="Times New Roman" w:cs="Arial"/>
          <w:sz w:val="20"/>
          <w:szCs w:val="20"/>
          <w:lang w:eastAsia="es-CO"/>
        </w:rPr>
        <w:t xml:space="preserve"> La Interventoría verificará visual y topográficamente las áreas intervenidas. El control del espesor se realizará mediante la medición física directa con miras o estacas testigo distribuidas en una cuadrícula sobre los </w:t>
      </w:r>
      <w:r>
        <w:rPr>
          <w:rFonts w:ascii="Century Gothic" w:hAnsi="Century Gothic" w:eastAsia="Times New Roman" w:cs="Arial"/>
          <w:b/>
          <w:bCs/>
          <w:sz w:val="20"/>
          <w:szCs w:val="20"/>
          <w:lang w:eastAsia="es-CO"/>
        </w:rPr>
        <w:t>2.180.443,52 m²</w:t>
      </w:r>
      <w:r>
        <w:rPr>
          <w:rFonts w:ascii="Century Gothic" w:hAnsi="Century Gothic" w:eastAsia="Times New Roman" w:cs="Arial"/>
          <w:sz w:val="20"/>
          <w:szCs w:val="20"/>
          <w:lang w:eastAsia="es-CO"/>
        </w:rPr>
        <w:t>. La tolerancia máxima admitida en el espesor será de +/- 5 centímetros respecto a los 0.50 m exigidos. No se recibirán áreas donde el material presente empozamientos severos de agua que pongan en riesgo la estabilidad geotécnica de los terrenos circundantes.</w:t>
      </w:r>
    </w:p>
    <w:p w14:paraId="32647818">
      <w:pPr>
        <w:spacing w:after="0" w:line="240" w:lineRule="auto"/>
        <w:jc w:val="both"/>
        <w:rPr>
          <w:rFonts w:ascii="Century Gothic" w:hAnsi="Century Gothic" w:eastAsia="Times New Roman" w:cs="Arial"/>
          <w:sz w:val="20"/>
          <w:szCs w:val="20"/>
          <w:lang w:eastAsia="es-CO"/>
        </w:rPr>
      </w:pPr>
    </w:p>
    <w:p w14:paraId="036ED898">
      <w:pPr>
        <w:spacing w:after="0" w:line="240" w:lineRule="auto"/>
        <w:jc w:val="both"/>
        <w:rPr>
          <w:rFonts w:ascii="Century Gothic" w:hAnsi="Century Gothic" w:eastAsia="Times New Roman" w:cs="Arial"/>
          <w:sz w:val="20"/>
          <w:szCs w:val="20"/>
          <w:lang w:eastAsia="es-CO"/>
        </w:rPr>
      </w:pPr>
    </w:p>
    <w:p w14:paraId="2235BA83">
      <w:pPr>
        <w:spacing w:line="240" w:lineRule="auto"/>
        <w:jc w:val="both"/>
        <w:rPr>
          <w:rFonts w:ascii="Century Gothic" w:hAnsi="Century Gothic" w:eastAsia="Times New Roman" w:cs="Arial"/>
          <w:b/>
          <w:bCs/>
          <w:sz w:val="20"/>
          <w:szCs w:val="20"/>
          <w:lang w:eastAsia="es-CO"/>
        </w:rPr>
      </w:pPr>
      <w:r>
        <w:rPr>
          <w:rFonts w:ascii="Century Gothic" w:hAnsi="Century Gothic" w:eastAsia="Times New Roman" w:cs="Arial"/>
          <w:b/>
          <w:bCs/>
          <w:sz w:val="20"/>
          <w:szCs w:val="20"/>
          <w:lang w:eastAsia="es-CO"/>
        </w:rPr>
        <w:t>VI  TALLERES DE CAPACITACIÓN EN EDUCACIÓN AMBIENTAL Y PARTICIPACIÓN COMUNITARIA (CANTIDAD: 12 TALLERES)</w:t>
      </w:r>
    </w:p>
    <w:p w14:paraId="6A8F9536">
      <w:pPr>
        <w:numPr>
          <w:ilvl w:val="0"/>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1. Descripción:</w:t>
      </w:r>
      <w:r>
        <w:rPr>
          <w:rFonts w:ascii="Century Gothic" w:hAnsi="Century Gothic" w:eastAsia="Times New Roman" w:cs="Arial"/>
          <w:sz w:val="20"/>
          <w:szCs w:val="20"/>
          <w:lang w:eastAsia="es-CO"/>
        </w:rPr>
        <w:t xml:space="preserve"> Esta actividad consiste en el diseño, organización, logística y ejecución de doce (12) talleres formativos y teórico-prácticos dirigidos a las comunidades de pescadores, agricultores y habitantes de la zona de influencia del Complejo Cenagoso de Cascaloa en Magangué, Bolívar. Los talleres tienen como objetivo fortalecer la gobernanza comunitaria, socializar las acciones de conservación, capacitar en prácticas de pesca sostenible, manejo de residuos y protección del ecosistema hídrico.</w:t>
      </w:r>
    </w:p>
    <w:p w14:paraId="7733ADFA">
      <w:pPr>
        <w:numPr>
          <w:ilvl w:val="0"/>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2. Materiales, Insumos y Equipos:</w:t>
      </w:r>
      <w:r>
        <w:rPr>
          <w:rFonts w:ascii="Century Gothic" w:hAnsi="Century Gothic" w:eastAsia="Times New Roman" w:cs="Arial"/>
          <w:sz w:val="20"/>
          <w:szCs w:val="20"/>
          <w:lang w:eastAsia="es-CO"/>
        </w:rPr>
        <w:t xml:space="preserve"> Para el desarrollo de cada uno de los 12 talleres, el Contratista deberá suministrar de forma obligatoria los siguientes elementos contemplados en el Análisis de Precios Unitarios (APU):</w:t>
      </w:r>
    </w:p>
    <w:p w14:paraId="60B32947">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Logística y Espacio:</w:t>
      </w:r>
      <w:r>
        <w:rPr>
          <w:rFonts w:ascii="Century Gothic" w:hAnsi="Century Gothic" w:eastAsia="Times New Roman" w:cs="Arial"/>
          <w:sz w:val="20"/>
          <w:szCs w:val="20"/>
          <w:lang w:eastAsia="es-CO"/>
        </w:rPr>
        <w:t xml:space="preserve"> Alquiler de salones comunitarios, quioscos o espacios adecuados en la región, incluyendo silletería, mesas, sistemas de sonido y ayudas audiovisuales (videobeam o pantallas).</w:t>
      </w:r>
    </w:p>
    <w:p w14:paraId="5BD6B489">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Material Didáctico:</w:t>
      </w:r>
      <w:r>
        <w:rPr>
          <w:rFonts w:ascii="Century Gothic" w:hAnsi="Century Gothic" w:eastAsia="Times New Roman" w:cs="Arial"/>
          <w:sz w:val="20"/>
          <w:szCs w:val="20"/>
          <w:lang w:eastAsia="es-CO"/>
        </w:rPr>
        <w:t xml:space="preserve"> Cartillas pedagógicas, folletos informativos, papelería (marcadores, pliegos de papel, libretas) y kits de trabajo para los participantes.</w:t>
      </w:r>
    </w:p>
    <w:p w14:paraId="5BBCD4AF">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Alimentación:</w:t>
      </w:r>
      <w:r>
        <w:rPr>
          <w:rFonts w:ascii="Century Gothic" w:hAnsi="Century Gothic" w:eastAsia="Times New Roman" w:cs="Arial"/>
          <w:sz w:val="20"/>
          <w:szCs w:val="20"/>
          <w:lang w:eastAsia="es-CO"/>
        </w:rPr>
        <w:t xml:space="preserve"> Refrigerios y estaciones de hidratación para la totalidad de los asistentes convocados por taller.</w:t>
      </w:r>
    </w:p>
    <w:p w14:paraId="5C9A78A4">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Personal Profesional:</w:t>
      </w:r>
      <w:r>
        <w:rPr>
          <w:rFonts w:ascii="Century Gothic" w:hAnsi="Century Gothic" w:eastAsia="Times New Roman" w:cs="Arial"/>
          <w:sz w:val="20"/>
          <w:szCs w:val="20"/>
          <w:lang w:eastAsia="es-CO"/>
        </w:rPr>
        <w:t xml:space="preserve"> Un equipo interdisciplinario mínimo conformado por un Profesional Social (Sociólogo, Trabajador Social o Comunicador) y un Profesional Ambiental (Ingeniero Ambiental o Biólogo) como facilitadores.</w:t>
      </w:r>
    </w:p>
    <w:p w14:paraId="35A22858">
      <w:pPr>
        <w:numPr>
          <w:ilvl w:val="0"/>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3. Procedimiento de Ejecución:</w:t>
      </w:r>
      <w:r>
        <w:rPr>
          <w:rFonts w:ascii="Century Gothic" w:hAnsi="Century Gothic" w:eastAsia="Times New Roman" w:cs="Arial"/>
          <w:sz w:val="20"/>
          <w:szCs w:val="20"/>
          <w:lang w:eastAsia="es-CO"/>
        </w:rPr>
        <w:t xml:space="preserve"> El Contratista coordinará con la Interventoría y los líderes comunitarios locales el cronograma de los 12 talleres, siguiendo estas fases:</w:t>
      </w:r>
    </w:p>
    <w:p w14:paraId="7C97507F">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a) Convocatoria:</w:t>
      </w:r>
      <w:r>
        <w:rPr>
          <w:rFonts w:ascii="Century Gothic" w:hAnsi="Century Gothic" w:eastAsia="Times New Roman" w:cs="Arial"/>
          <w:sz w:val="20"/>
          <w:szCs w:val="20"/>
          <w:lang w:eastAsia="es-CO"/>
        </w:rPr>
        <w:t xml:space="preserve"> Difusión previa en las comunidades utilizando medios locales (perifoneo, radio, redes o carteleras) para asegurar la participación en los talleres</w:t>
      </w:r>
    </w:p>
    <w:p w14:paraId="19BEAE44">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b) Desarrollo Teórico-Práctico:</w:t>
      </w:r>
      <w:r>
        <w:rPr>
          <w:rFonts w:ascii="Century Gothic" w:hAnsi="Century Gothic" w:eastAsia="Times New Roman" w:cs="Arial"/>
          <w:sz w:val="20"/>
          <w:szCs w:val="20"/>
          <w:lang w:eastAsia="es-CO"/>
        </w:rPr>
        <w:t xml:space="preserve"> Ejecución de las sesiones educativas utilizando metodologías participativas y lúdicas que reconozcan los saberes ancestrales de los pescadores de Cascaloa.</w:t>
      </w:r>
    </w:p>
    <w:p w14:paraId="00314697">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c) Registro:</w:t>
      </w:r>
      <w:r>
        <w:rPr>
          <w:rFonts w:ascii="Century Gothic" w:hAnsi="Century Gothic" w:eastAsia="Times New Roman" w:cs="Arial"/>
          <w:sz w:val="20"/>
          <w:szCs w:val="20"/>
          <w:lang w:eastAsia="es-CO"/>
        </w:rPr>
        <w:t xml:space="preserve"> Levantamiento estricto de listas de asistencia firmadas (con número de documento y contacto), registro fotográfico y video del evento.</w:t>
      </w:r>
    </w:p>
    <w:p w14:paraId="4297C6DC">
      <w:pPr>
        <w:numPr>
          <w:ilvl w:val="0"/>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b/>
          <w:bCs/>
          <w:sz w:val="20"/>
          <w:szCs w:val="20"/>
          <w:lang w:eastAsia="es-CO"/>
        </w:rPr>
        <w:t>4. Control de Calidad y Entregables:</w:t>
      </w:r>
      <w:r>
        <w:rPr>
          <w:rFonts w:ascii="Century Gothic" w:hAnsi="Century Gothic" w:eastAsia="Times New Roman" w:cs="Arial"/>
          <w:sz w:val="20"/>
          <w:szCs w:val="20"/>
          <w:lang w:eastAsia="es-CO"/>
        </w:rPr>
        <w:t xml:space="preserve"> Para que la Interventoría avale cada taller, el contratista deberá presentar un </w:t>
      </w:r>
      <w:r>
        <w:rPr>
          <w:rFonts w:ascii="Century Gothic" w:hAnsi="Century Gothic" w:eastAsia="Times New Roman" w:cs="Arial"/>
          <w:b/>
          <w:bCs/>
          <w:sz w:val="20"/>
          <w:szCs w:val="20"/>
          <w:lang w:eastAsia="es-CO"/>
        </w:rPr>
        <w:t>Informe de Memorias</w:t>
      </w:r>
      <w:r>
        <w:rPr>
          <w:rFonts w:ascii="Century Gothic" w:hAnsi="Century Gothic" w:eastAsia="Times New Roman" w:cs="Arial"/>
          <w:sz w:val="20"/>
          <w:szCs w:val="20"/>
          <w:lang w:eastAsia="es-CO"/>
        </w:rPr>
        <w:t xml:space="preserve"> por evento que incluya:</w:t>
      </w:r>
    </w:p>
    <w:p w14:paraId="4F2DF578">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sz w:val="20"/>
          <w:szCs w:val="20"/>
          <w:lang w:eastAsia="es-CO"/>
        </w:rPr>
        <w:t>Listados de asistencia originales y digitalizados.</w:t>
      </w:r>
    </w:p>
    <w:p w14:paraId="762B8B4A">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sz w:val="20"/>
          <w:szCs w:val="20"/>
          <w:lang w:eastAsia="es-CO"/>
        </w:rPr>
        <w:t>Registro fotográfico con georreferenciación e indicación de fecha y hora.</w:t>
      </w:r>
    </w:p>
    <w:p w14:paraId="23A00641">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sz w:val="20"/>
          <w:szCs w:val="20"/>
          <w:lang w:eastAsia="es-CO"/>
        </w:rPr>
        <w:t>Evaluación de satisfacción del taller aplicada a los asistentes.</w:t>
      </w:r>
    </w:p>
    <w:p w14:paraId="21136171">
      <w:pPr>
        <w:numPr>
          <w:ilvl w:val="1"/>
          <w:numId w:val="6"/>
        </w:numPr>
        <w:spacing w:after="0" w:line="240" w:lineRule="auto"/>
        <w:ind w:left="0"/>
        <w:jc w:val="both"/>
        <w:rPr>
          <w:rFonts w:ascii="Century Gothic" w:hAnsi="Century Gothic" w:eastAsia="Times New Roman" w:cs="Arial"/>
          <w:sz w:val="20"/>
          <w:szCs w:val="20"/>
          <w:lang w:eastAsia="es-CO"/>
        </w:rPr>
      </w:pPr>
      <w:r>
        <w:rPr>
          <w:rFonts w:ascii="Century Gothic" w:hAnsi="Century Gothic" w:eastAsia="Times New Roman" w:cs="Arial"/>
          <w:sz w:val="20"/>
          <w:szCs w:val="20"/>
          <w:lang w:eastAsia="es-CO"/>
        </w:rPr>
        <w:t>Copia del material didáctico entregado.</w:t>
      </w:r>
    </w:p>
    <w:p w14:paraId="458745F6">
      <w:pPr>
        <w:spacing w:after="0" w:line="240" w:lineRule="auto"/>
        <w:jc w:val="both"/>
        <w:rPr>
          <w:rFonts w:ascii="Century Gothic" w:hAnsi="Century Gothic" w:eastAsia="Times New Roman" w:cs="Arial"/>
          <w:sz w:val="20"/>
          <w:szCs w:val="20"/>
          <w:lang w:eastAsia="es-CO"/>
        </w:rPr>
      </w:pPr>
      <w:bookmarkStart w:id="0" w:name="_GoBack"/>
      <w:bookmarkEnd w:id="0"/>
    </w:p>
    <w:sectPr>
      <w:headerReference r:id="rId5" w:type="default"/>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BBBFD">
    <w:pPr>
      <w:pStyle w:val="7"/>
    </w:pPr>
    <w:r>
      <w:rPr>
        <w:lang w:eastAsia="es-CO"/>
      </w:rPr>
      <w:drawing>
        <wp:anchor distT="0" distB="0" distL="0" distR="0" simplePos="0" relativeHeight="251659264" behindDoc="1" locked="0" layoutInCell="1" allowOverlap="1">
          <wp:simplePos x="0" y="0"/>
          <wp:positionH relativeFrom="margin">
            <wp:posOffset>2468880</wp:posOffset>
          </wp:positionH>
          <wp:positionV relativeFrom="topMargin">
            <wp:posOffset>569595</wp:posOffset>
          </wp:positionV>
          <wp:extent cx="635635" cy="607060"/>
          <wp:effectExtent l="0" t="0" r="0" b="254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5635" cy="607060"/>
                  </a:xfrm>
                  <a:prstGeom prst="rect">
                    <a:avLst/>
                  </a:prstGeom>
                </pic:spPr>
              </pic:pic>
            </a:graphicData>
          </a:graphic>
        </wp:anchor>
      </w:drawing>
    </w:r>
  </w:p>
  <w:p w14:paraId="57EBC0E5">
    <w:pPr>
      <w:pStyle w:val="7"/>
    </w:pPr>
  </w:p>
  <w:p w14:paraId="036AFEC1">
    <w:pPr>
      <w:pStyle w:val="7"/>
    </w:pPr>
  </w:p>
  <w:p w14:paraId="0C5A731D">
    <w:pPr>
      <w:pStyle w:val="9"/>
      <w:spacing w:line="200" w:lineRule="exact"/>
      <w:jc w:val="center"/>
      <w:rPr>
        <w:rFonts w:ascii="Arial" w:hAnsi="Arial"/>
        <w:b/>
        <w:szCs w:val="22"/>
      </w:rPr>
    </w:pPr>
  </w:p>
  <w:p w14:paraId="249E7BC5">
    <w:pPr>
      <w:pStyle w:val="9"/>
      <w:spacing w:line="200" w:lineRule="exact"/>
      <w:jc w:val="center"/>
      <w:rPr>
        <w:rFonts w:ascii="Arial" w:hAnsi="Arial"/>
        <w:b/>
        <w:szCs w:val="22"/>
      </w:rPr>
    </w:pPr>
  </w:p>
  <w:p w14:paraId="75416B17">
    <w:pPr>
      <w:pStyle w:val="9"/>
      <w:spacing w:line="200" w:lineRule="exact"/>
      <w:jc w:val="center"/>
      <w:rPr>
        <w:rFonts w:ascii="Arial" w:hAnsi="Arial"/>
        <w:b/>
        <w:szCs w:val="22"/>
      </w:rPr>
    </w:pPr>
    <w:r>
      <w:rPr>
        <w:rFonts w:ascii="Arial" w:hAnsi="Arial"/>
        <w:b/>
        <w:szCs w:val="22"/>
      </w:rPr>
      <w:t>GOBERNACIÓN DE BOLÍVAR</w:t>
    </w:r>
  </w:p>
  <w:p w14:paraId="4E73A42C">
    <w:pPr>
      <w:pStyle w:val="9"/>
      <w:spacing w:line="200" w:lineRule="exact"/>
      <w:jc w:val="center"/>
    </w:pPr>
    <w:r>
      <w:t>Secretaría Privada</w:t>
    </w:r>
  </w:p>
  <w:p w14:paraId="1B49D04B">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C84E3D"/>
    <w:multiLevelType w:val="multilevel"/>
    <w:tmpl w:val="36C84E3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45C603E1"/>
    <w:multiLevelType w:val="multilevel"/>
    <w:tmpl w:val="45C603E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46DA67E4"/>
    <w:multiLevelType w:val="multilevel"/>
    <w:tmpl w:val="46DA67E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546D2EB7"/>
    <w:multiLevelType w:val="multilevel"/>
    <w:tmpl w:val="546D2EB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64764A84"/>
    <w:multiLevelType w:val="multilevel"/>
    <w:tmpl w:val="64764A8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78E11646"/>
    <w:multiLevelType w:val="multilevel"/>
    <w:tmpl w:val="78E1164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B62"/>
    <w:rsid w:val="00164BDC"/>
    <w:rsid w:val="0031167A"/>
    <w:rsid w:val="003C5BF0"/>
    <w:rsid w:val="008C6B62"/>
    <w:rsid w:val="009545D9"/>
    <w:rsid w:val="00984612"/>
    <w:rsid w:val="00A479B5"/>
    <w:rsid w:val="00AF0916"/>
    <w:rsid w:val="00C15FCB"/>
    <w:rsid w:val="00EC7CC1"/>
    <w:rsid w:val="5D0E41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Hyperlink"/>
    <w:basedOn w:val="2"/>
    <w:semiHidden/>
    <w:unhideWhenUsed/>
    <w:qFormat/>
    <w:uiPriority w:val="99"/>
    <w:rPr>
      <w:color w:val="0000FF"/>
      <w:u w:val="single"/>
    </w:rPr>
  </w:style>
  <w:style w:type="character" w:styleId="6">
    <w:name w:val="Strong"/>
    <w:basedOn w:val="2"/>
    <w:qFormat/>
    <w:uiPriority w:val="22"/>
    <w:rPr>
      <w:b/>
      <w:bCs/>
    </w:rPr>
  </w:style>
  <w:style w:type="paragraph" w:styleId="7">
    <w:name w:val="header"/>
    <w:basedOn w:val="1"/>
    <w:link w:val="16"/>
    <w:unhideWhenUsed/>
    <w:uiPriority w:val="99"/>
    <w:pPr>
      <w:tabs>
        <w:tab w:val="center" w:pos="4419"/>
        <w:tab w:val="right" w:pos="8838"/>
      </w:tabs>
      <w:spacing w:after="0" w:line="240" w:lineRule="auto"/>
    </w:pPr>
  </w:style>
  <w:style w:type="paragraph" w:styleId="8">
    <w:name w:val="footer"/>
    <w:basedOn w:val="1"/>
    <w:link w:val="17"/>
    <w:unhideWhenUsed/>
    <w:uiPriority w:val="99"/>
    <w:pPr>
      <w:tabs>
        <w:tab w:val="center" w:pos="4419"/>
        <w:tab w:val="right" w:pos="8838"/>
      </w:tabs>
      <w:spacing w:after="0" w:line="240" w:lineRule="auto"/>
    </w:pPr>
  </w:style>
  <w:style w:type="paragraph" w:styleId="9">
    <w:name w:val="Body Text"/>
    <w:basedOn w:val="1"/>
    <w:link w:val="18"/>
    <w:qFormat/>
    <w:uiPriority w:val="1"/>
    <w:pPr>
      <w:widowControl w:val="0"/>
      <w:autoSpaceDE w:val="0"/>
      <w:autoSpaceDN w:val="0"/>
      <w:spacing w:after="0" w:line="240" w:lineRule="auto"/>
    </w:pPr>
    <w:rPr>
      <w:rFonts w:ascii="Verdana" w:hAnsi="Verdana" w:eastAsia="Verdana" w:cs="Verdana"/>
      <w:sz w:val="20"/>
      <w:szCs w:val="20"/>
      <w:lang w:val="es-ES"/>
    </w:rPr>
  </w:style>
  <w:style w:type="character" w:customStyle="1" w:styleId="10">
    <w:name w:val="inqyif"/>
    <w:basedOn w:val="2"/>
    <w:qFormat/>
    <w:uiPriority w:val="0"/>
  </w:style>
  <w:style w:type="character" w:customStyle="1" w:styleId="11">
    <w:name w:val="esfokc"/>
    <w:basedOn w:val="2"/>
    <w:uiPriority w:val="0"/>
  </w:style>
  <w:style w:type="character" w:customStyle="1" w:styleId="12">
    <w:name w:val="hxiqcc"/>
    <w:basedOn w:val="2"/>
    <w:uiPriority w:val="0"/>
  </w:style>
  <w:style w:type="character" w:customStyle="1" w:styleId="13">
    <w:name w:val="ntmz4c"/>
    <w:basedOn w:val="2"/>
    <w:uiPriority w:val="0"/>
  </w:style>
  <w:style w:type="character" w:customStyle="1" w:styleId="14">
    <w:name w:val="dqo7jb"/>
    <w:basedOn w:val="2"/>
    <w:uiPriority w:val="0"/>
  </w:style>
  <w:style w:type="character" w:customStyle="1" w:styleId="15">
    <w:name w:val="t2nayd"/>
    <w:basedOn w:val="2"/>
    <w:uiPriority w:val="0"/>
  </w:style>
  <w:style w:type="character" w:customStyle="1" w:styleId="16">
    <w:name w:val="Encabezado Car"/>
    <w:basedOn w:val="2"/>
    <w:link w:val="7"/>
    <w:uiPriority w:val="99"/>
  </w:style>
  <w:style w:type="character" w:customStyle="1" w:styleId="17">
    <w:name w:val="Pie de página Car"/>
    <w:basedOn w:val="2"/>
    <w:link w:val="8"/>
    <w:uiPriority w:val="99"/>
  </w:style>
  <w:style w:type="character" w:customStyle="1" w:styleId="18">
    <w:name w:val="Texto independiente Car"/>
    <w:basedOn w:val="2"/>
    <w:link w:val="9"/>
    <w:uiPriority w:val="1"/>
    <w:rPr>
      <w:rFonts w:ascii="Verdana" w:hAnsi="Verdana" w:eastAsia="Verdana" w:cs="Verdana"/>
      <w:sz w:val="20"/>
      <w:szCs w:val="20"/>
      <w:lang w:val="es-ES"/>
    </w:rPr>
  </w:style>
  <w:style w:type="paragraph" w:customStyle="1" w:styleId="19">
    <w:name w:val="Invias Normal"/>
    <w:basedOn w:val="1"/>
    <w:uiPriority w:val="0"/>
    <w:pPr>
      <w:tabs>
        <w:tab w:val="left" w:pos="-105"/>
        <w:tab w:val="left" w:pos="20000"/>
      </w:tabs>
      <w:autoSpaceDE w:val="0"/>
      <w:autoSpaceDN w:val="0"/>
      <w:adjustRightInd w:val="0"/>
      <w:spacing w:before="100" w:beforeAutospacing="1" w:after="100" w:afterAutospacing="1" w:line="240" w:lineRule="auto"/>
      <w:jc w:val="both"/>
    </w:pPr>
    <w:rPr>
      <w:rFonts w:ascii="Arial" w:hAnsi="Arial" w:eastAsia="Times New Roman" w:cs="Arial"/>
      <w:sz w:val="24"/>
      <w:szCs w:val="24"/>
      <w:lang w:eastAsia="es-CO"/>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2842</Words>
  <Characters>16591</Characters>
  <Lines>137</Lines>
  <Paragraphs>38</Paragraphs>
  <TotalTime>4</TotalTime>
  <ScaleCrop>false</ScaleCrop>
  <LinksUpToDate>false</LinksUpToDate>
  <CharactersWithSpaces>19363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2026-10-13T05:37:00Z</dcterms:created>
  <dc:creator>Doris Arrieta Caro</dc:creator>
  <cp:lastModifiedBy>darrieta</cp:lastModifiedBy>
  <dcterms:modified xsi:type="dcterms:W3CDTF">2026-10-15T22:06:52Z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eyJoZGlkIjoiZWYxNWJiOGRhZDVmNWY4ZmYxYzQxNzcyNGI1NmNiOTcifQ==</vt:lpwstr>
  </property>
  <property fmtid="{D5CDD505-2E9C-101B-9397-08002B2CF9AE}" pid="3" name="KSOProductBuildVer">
    <vt:lpwstr>2058-12.1.0.29162</vt:lpwstr>
  </property>
  <property fmtid="{D5CDD505-2E9C-101B-9397-08002B2CF9AE}" pid="4" name="ICV">
    <vt:lpwstr>392DA0EC9B8C4A60A78BE764EA626D1D_12</vt:lpwstr>
  </property>
</Properties>
</file>