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243163"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CO"/>
        </w:rPr>
      </w:pPr>
      <w:r w:rsidRPr="00243163">
        <w:rPr>
          <w:rFonts w:ascii="Verdana" w:hAnsi="Verdana" w:cs="Arial"/>
          <w:b/>
          <w:bCs/>
          <w:sz w:val="22"/>
          <w:szCs w:val="22"/>
          <w:lang w:val="es-CO"/>
        </w:rPr>
        <w:t xml:space="preserve">Aportes Legales: </w:t>
      </w:r>
      <w:r w:rsidR="00187A52" w:rsidRPr="00243163">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43163">
        <w:rPr>
          <w:rFonts w:ascii="Verdana" w:hAnsi="Verdana" w:cs="Arial"/>
          <w:sz w:val="22"/>
          <w:szCs w:val="22"/>
          <w:lang w:val="es-CO"/>
        </w:rPr>
        <w:t>.</w:t>
      </w:r>
      <w:r w:rsidRPr="00243163">
        <w:rPr>
          <w:rFonts w:ascii="Verdana" w:hAnsi="Verdana" w:cs="Arial"/>
          <w:b/>
          <w:bCs/>
          <w:sz w:val="22"/>
          <w:szCs w:val="22"/>
          <w:lang w:val="es-CO"/>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w:t>
      </w:r>
      <w:r w:rsidRPr="00D23BA9">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D23BA9">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w:t>
      </w:r>
      <w:r w:rsidR="00B3691A" w:rsidRPr="00D23BA9">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w:t>
      </w:r>
      <w:r w:rsidR="00B3691A" w:rsidRPr="00D23BA9">
        <w:rPr>
          <w:rFonts w:ascii="Verdana" w:hAnsi="Verdana" w:cs="Arial"/>
          <w:sz w:val="22"/>
          <w:szCs w:val="22"/>
          <w:lang w:val="es-ES"/>
        </w:rPr>
        <w:lastRenderedPageBreak/>
        <w:t xml:space="preserve">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 xml:space="preserve">Seguimiento y cumplimiento de la legislación ambiental vigente y específica para el proyecto, así como de los controles </w:t>
      </w:r>
      <w:r w:rsidRPr="00D23BA9">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243163"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243163">
        <w:rPr>
          <w:rFonts w:ascii="Verdana" w:hAnsi="Verdana" w:cs="Arial"/>
          <w:b/>
          <w:bCs/>
          <w:sz w:val="22"/>
          <w:szCs w:val="22"/>
          <w:lang w:val="es-CO"/>
        </w:rPr>
        <w:t>Pliego de Condiciones Tipo</w:t>
      </w:r>
      <w:r w:rsidRPr="00243163">
        <w:rPr>
          <w:rFonts w:ascii="Verdana" w:hAnsi="Verdana" w:cs="Arial"/>
          <w:sz w:val="22"/>
          <w:szCs w:val="22"/>
          <w:lang w:val="es-CO"/>
        </w:rPr>
        <w:t xml:space="preserve">: </w:t>
      </w:r>
      <w:r w:rsidR="4A5593C6" w:rsidRPr="00243163">
        <w:rPr>
          <w:rFonts w:ascii="Verdana" w:hAnsi="Verdana" w:cs="Arial"/>
          <w:sz w:val="22"/>
          <w:szCs w:val="22"/>
          <w:lang w:val="es-CO"/>
        </w:rPr>
        <w:t xml:space="preserve">Documento estructurado, actualizado y publicado por </w:t>
      </w:r>
      <w:r w:rsidR="1AA8A239" w:rsidRPr="00243163">
        <w:rPr>
          <w:rFonts w:ascii="Verdana" w:hAnsi="Verdana" w:cs="Arial"/>
          <w:sz w:val="22"/>
          <w:szCs w:val="22"/>
          <w:lang w:val="es-CO"/>
        </w:rPr>
        <w:t xml:space="preserve">la Agencia Nacional de Contratación </w:t>
      </w:r>
      <w:r w:rsidR="180DE065" w:rsidRPr="00243163">
        <w:rPr>
          <w:rFonts w:ascii="Verdana" w:hAnsi="Verdana" w:cs="Arial"/>
          <w:sz w:val="22"/>
          <w:szCs w:val="22"/>
          <w:lang w:val="es-CO"/>
        </w:rPr>
        <w:t xml:space="preserve">Pública - </w:t>
      </w:r>
      <w:r w:rsidR="4A5593C6" w:rsidRPr="00243163">
        <w:rPr>
          <w:rFonts w:ascii="Verdana" w:hAnsi="Verdana" w:cs="Arial"/>
          <w:sz w:val="22"/>
          <w:szCs w:val="22"/>
          <w:lang w:val="es-CO"/>
        </w:rPr>
        <w:t>Colombia Compra Eficiente que incorpora las condiciones habilitantes, requisitos de puntaje y demás aspectos señalados en el artículo 1 de la Ley 2022 de 2020</w:t>
      </w:r>
      <w:r w:rsidRPr="00243163">
        <w:rPr>
          <w:rFonts w:ascii="Verdana" w:hAnsi="Verdana" w:cs="Arial"/>
          <w:sz w:val="22"/>
          <w:szCs w:val="22"/>
          <w:lang w:val="es-CO"/>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17DBECB3"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 xml:space="preserve">Espacio que tiene como una de sus principales funciones conservar y difundir el conocimiento, la historia y la cultura, además de ofrecer servicios de préstamo de libros o material bibliográfico, allí </w:t>
      </w:r>
      <w:r w:rsidRPr="00D23BA9">
        <w:rPr>
          <w:rFonts w:ascii="Verdana" w:hAnsi="Verdana" w:cstheme="minorHAnsi"/>
          <w:sz w:val="22"/>
          <w:szCs w:val="22"/>
          <w:lang w:val="es-ES"/>
        </w:rPr>
        <w:lastRenderedPageBreak/>
        <w:t>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w:t>
      </w:r>
      <w:r w:rsidR="564B3A39" w:rsidRPr="00D23BA9">
        <w:rPr>
          <w:rFonts w:ascii="Verdana" w:eastAsiaTheme="minorEastAsia" w:hAnsi="Verdana" w:cstheme="minorBidi"/>
          <w:sz w:val="22"/>
          <w:szCs w:val="22"/>
          <w:lang w:val="es-ES" w:eastAsia="es-ES"/>
        </w:rPr>
        <w:lastRenderedPageBreak/>
        <w:t xml:space="preserve">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 xml:space="preserve">Son los índices que determinan la intervención máxima requerida para la construcción o adecuación de edificaciones en el suelo rural, en función de racionalizar la </w:t>
      </w:r>
      <w:r w:rsidRPr="00D23BA9">
        <w:rPr>
          <w:rFonts w:ascii="Verdana" w:eastAsiaTheme="minorEastAsia" w:hAnsi="Verdana" w:cstheme="minorHAnsi"/>
          <w:sz w:val="22"/>
          <w:szCs w:val="22"/>
          <w:lang w:val="es-ES" w:eastAsia="es-ES"/>
        </w:rPr>
        <w:lastRenderedPageBreak/>
        <w:t>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w:t>
      </w:r>
      <w:r w:rsidRPr="00D23BA9">
        <w:rPr>
          <w:rFonts w:ascii="Verdana" w:hAnsi="Verdana" w:cstheme="minorHAnsi"/>
          <w:sz w:val="22"/>
          <w:szCs w:val="22"/>
          <w:lang w:val="es-ES"/>
        </w:rPr>
        <w:lastRenderedPageBreak/>
        <w:t>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xml:space="preserve">, tales como: tribunales, juzgados, Fiscalía, Cuerpo Técnico de Investigación (CTI), DECYPOL, cárceles, Palacio de Justicia, Palacio nacional, defensorías de </w:t>
      </w:r>
      <w:r w:rsidRPr="00D23BA9">
        <w:rPr>
          <w:rFonts w:ascii="Verdana" w:eastAsiaTheme="minorEastAsia" w:hAnsi="Verdana" w:cstheme="minorBidi"/>
          <w:sz w:val="22"/>
          <w:szCs w:val="22"/>
          <w:lang w:eastAsia="es-ES"/>
        </w:rPr>
        <w:lastRenderedPageBreak/>
        <w:t>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autoridades públicas o por particulares, cuya finalidad es prestar un año de educación preescolar y nueve (9) grados de educación básica como mínimo y la media. Deben contar con licencia de funcionamiento o </w:t>
      </w:r>
      <w:r w:rsidRPr="00D23BA9">
        <w:rPr>
          <w:rFonts w:ascii="Verdana" w:hAnsi="Verdana" w:cstheme="minorHAnsi"/>
          <w:sz w:val="22"/>
          <w:szCs w:val="22"/>
          <w:lang w:val="es-ES"/>
        </w:rPr>
        <w:lastRenderedPageBreak/>
        <w:t>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w:t>
      </w:r>
      <w:r w:rsidRPr="00D23BA9">
        <w:rPr>
          <w:rFonts w:ascii="Verdana" w:eastAsiaTheme="minorEastAsia" w:hAnsi="Verdana" w:cstheme="minorHAnsi"/>
          <w:sz w:val="22"/>
          <w:szCs w:val="22"/>
          <w:lang w:val="es-ES" w:eastAsia="es-ES"/>
        </w:rPr>
        <w:lastRenderedPageBreak/>
        <w:t>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w:t>
      </w:r>
      <w:r w:rsidRPr="00D23BA9">
        <w:rPr>
          <w:rFonts w:ascii="Verdana" w:eastAsiaTheme="minorEastAsia" w:hAnsi="Verdana" w:cstheme="minorHAnsi"/>
          <w:sz w:val="22"/>
          <w:szCs w:val="22"/>
          <w:lang w:val="es-ES" w:eastAsia="es-ES"/>
        </w:rPr>
        <w:lastRenderedPageBreak/>
        <w:t>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xml:space="preserve"> Parques en los que entre el 1% y el 30% de área está destinada a la recreación activa, permitiendo </w:t>
      </w:r>
      <w:r w:rsidRPr="00D23BA9">
        <w:rPr>
          <w:rFonts w:ascii="Verdana" w:hAnsi="Verdana" w:cstheme="minorHAnsi"/>
          <w:sz w:val="22"/>
          <w:szCs w:val="22"/>
          <w:lang w:val="es-ES"/>
        </w:rPr>
        <w:lastRenderedPageBreak/>
        <w:t>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w:t>
      </w:r>
      <w:r w:rsidRPr="00D23BA9">
        <w:rPr>
          <w:rFonts w:ascii="Verdana" w:hAnsi="Verdana" w:cstheme="minorHAnsi"/>
          <w:sz w:val="22"/>
          <w:szCs w:val="22"/>
          <w:lang w:val="es-ES"/>
        </w:rPr>
        <w:lastRenderedPageBreak/>
        <w:t>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lastRenderedPageBreak/>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(artículo </w:t>
      </w:r>
      <w:r w:rsidRPr="00D23BA9">
        <w:rPr>
          <w:rFonts w:ascii="Verdana" w:eastAsiaTheme="minorEastAsia" w:hAnsi="Verdana" w:cstheme="minorHAnsi"/>
          <w:sz w:val="22"/>
          <w:szCs w:val="22"/>
          <w:lang w:eastAsia="es-ES"/>
        </w:rPr>
        <w:lastRenderedPageBreak/>
        <w:t>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dependiendo </w:t>
      </w:r>
      <w:r w:rsidRPr="00D23BA9">
        <w:rPr>
          <w:rFonts w:ascii="Verdana" w:eastAsiaTheme="minorEastAsia" w:hAnsi="Verdana" w:cstheme="minorHAnsi"/>
          <w:sz w:val="22"/>
          <w:szCs w:val="22"/>
          <w:lang w:eastAsia="es-ES"/>
        </w:rPr>
        <w:lastRenderedPageBreak/>
        <w:t>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ABDBA" w14:textId="77777777" w:rsidR="00DF3FBC" w:rsidRDefault="00DF3FBC" w:rsidP="004F2C35">
      <w:r>
        <w:separator/>
      </w:r>
    </w:p>
  </w:endnote>
  <w:endnote w:type="continuationSeparator" w:id="0">
    <w:p w14:paraId="7F4C016B" w14:textId="77777777" w:rsidR="00DF3FBC" w:rsidRDefault="00DF3FBC" w:rsidP="004F2C35">
      <w:r>
        <w:continuationSeparator/>
      </w:r>
    </w:p>
  </w:endnote>
  <w:endnote w:type="continuationNotice" w:id="1">
    <w:p w14:paraId="13D72795" w14:textId="77777777" w:rsidR="00DF3FBC" w:rsidRDefault="00DF3F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DE3EF" w14:textId="77777777" w:rsidR="00DF3FBC" w:rsidRDefault="00DF3FBC" w:rsidP="004F2C35">
      <w:r>
        <w:separator/>
      </w:r>
    </w:p>
  </w:footnote>
  <w:footnote w:type="continuationSeparator" w:id="0">
    <w:p w14:paraId="484AE1C7" w14:textId="77777777" w:rsidR="00DF3FBC" w:rsidRDefault="00DF3FBC" w:rsidP="004F2C35">
      <w:r>
        <w:continuationSeparator/>
      </w:r>
    </w:p>
  </w:footnote>
  <w:footnote w:type="continuationNotice" w:id="1">
    <w:p w14:paraId="39414C2E" w14:textId="77777777" w:rsidR="00DF3FBC" w:rsidRDefault="00DF3FBC"/>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116754898">
    <w:abstractNumId w:val="2"/>
  </w:num>
  <w:num w:numId="2" w16cid:durableId="146753275">
    <w:abstractNumId w:val="5"/>
  </w:num>
  <w:num w:numId="3" w16cid:durableId="1497109369">
    <w:abstractNumId w:val="11"/>
  </w:num>
  <w:num w:numId="4" w16cid:durableId="611976689">
    <w:abstractNumId w:val="7"/>
  </w:num>
  <w:num w:numId="5" w16cid:durableId="39592551">
    <w:abstractNumId w:val="15"/>
  </w:num>
  <w:num w:numId="6" w16cid:durableId="1271812622">
    <w:abstractNumId w:val="9"/>
  </w:num>
  <w:num w:numId="7" w16cid:durableId="1511144839">
    <w:abstractNumId w:val="12"/>
  </w:num>
  <w:num w:numId="8" w16cid:durableId="308944740">
    <w:abstractNumId w:val="0"/>
  </w:num>
  <w:num w:numId="9" w16cid:durableId="500311753">
    <w:abstractNumId w:val="8"/>
  </w:num>
  <w:num w:numId="10" w16cid:durableId="340396621">
    <w:abstractNumId w:val="13"/>
  </w:num>
  <w:num w:numId="11" w16cid:durableId="1172067908">
    <w:abstractNumId w:val="14"/>
  </w:num>
  <w:num w:numId="12" w16cid:durableId="157499332">
    <w:abstractNumId w:val="4"/>
  </w:num>
  <w:num w:numId="13" w16cid:durableId="67968868">
    <w:abstractNumId w:val="3"/>
  </w:num>
  <w:num w:numId="14" w16cid:durableId="1020666480">
    <w:abstractNumId w:val="10"/>
  </w:num>
  <w:num w:numId="15" w16cid:durableId="1603105873">
    <w:abstractNumId w:val="1"/>
  </w:num>
  <w:num w:numId="16" w16cid:durableId="56672048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163"/>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2BED"/>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3FBC"/>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67</Pages>
  <Words>23706</Words>
  <Characters>130387</Characters>
  <Application>Microsoft Office Word</Application>
  <DocSecurity>0</DocSecurity>
  <Lines>1086</Lines>
  <Paragraphs>307</Paragraphs>
  <ScaleCrop>false</ScaleCrop>
  <Company/>
  <LinksUpToDate>false</LinksUpToDate>
  <CharactersWithSpaces>153786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Laura Cristina Hernandez Gonzalez</cp:lastModifiedBy>
  <cp:revision>4</cp:revision>
  <cp:lastPrinted>2022-06-28T19:25:00Z</cp:lastPrinted>
  <dcterms:created xsi:type="dcterms:W3CDTF">2025-08-22T23:44:00Z</dcterms:created>
  <dcterms:modified xsi:type="dcterms:W3CDTF">2026-10-13T12:01:00Z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