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765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"/>
        <w:gridCol w:w="542"/>
        <w:gridCol w:w="547"/>
        <w:gridCol w:w="384"/>
        <w:gridCol w:w="384"/>
        <w:gridCol w:w="1627"/>
        <w:gridCol w:w="1554"/>
        <w:gridCol w:w="384"/>
        <w:gridCol w:w="384"/>
        <w:gridCol w:w="384"/>
        <w:gridCol w:w="689"/>
        <w:gridCol w:w="604"/>
        <w:gridCol w:w="2539"/>
        <w:gridCol w:w="384"/>
        <w:gridCol w:w="384"/>
        <w:gridCol w:w="384"/>
        <w:gridCol w:w="856"/>
        <w:gridCol w:w="772"/>
        <w:gridCol w:w="819"/>
        <w:gridCol w:w="536"/>
        <w:gridCol w:w="834"/>
        <w:gridCol w:w="1262"/>
        <w:gridCol w:w="1010"/>
        <w:gridCol w:w="11"/>
      </w:tblGrid>
      <w:tr w:rsidR="000A1DE2" w:rsidRPr="000A1DE2" w14:paraId="53D15038" w14:textId="77777777" w:rsidTr="00995B4A">
        <w:trPr>
          <w:trHeight w:val="274"/>
        </w:trPr>
        <w:tc>
          <w:tcPr>
            <w:tcW w:w="17656" w:type="dxa"/>
            <w:gridSpan w:val="24"/>
            <w:shd w:val="clear" w:color="auto" w:fill="D9F2D0" w:themeFill="accent6" w:themeFillTint="33"/>
            <w:vAlign w:val="center"/>
          </w:tcPr>
          <w:p w14:paraId="59B4CCC2" w14:textId="2DB397A6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ANÁLISIS DE RIESGO Y FORMA DE MITIGACIÓN</w:t>
            </w:r>
          </w:p>
          <w:p w14:paraId="0820225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</w:tr>
      <w:tr w:rsidR="000A1DE2" w:rsidRPr="000A1DE2" w14:paraId="60CECAA7" w14:textId="77777777" w:rsidTr="000A1DE2">
        <w:trPr>
          <w:gridAfter w:val="1"/>
          <w:wAfter w:w="11" w:type="dxa"/>
          <w:trHeight w:val="20"/>
        </w:trPr>
        <w:tc>
          <w:tcPr>
            <w:tcW w:w="382" w:type="dxa"/>
            <w:vMerge w:val="restart"/>
            <w:shd w:val="clear" w:color="auto" w:fill="D7E4BC"/>
            <w:textDirection w:val="btLr"/>
            <w:vAlign w:val="center"/>
          </w:tcPr>
          <w:p w14:paraId="1FFF6989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NO.</w:t>
            </w:r>
          </w:p>
        </w:tc>
        <w:tc>
          <w:tcPr>
            <w:tcW w:w="542" w:type="dxa"/>
            <w:vMerge w:val="restart"/>
            <w:shd w:val="clear" w:color="auto" w:fill="D7E4BC"/>
            <w:textDirection w:val="btLr"/>
            <w:vAlign w:val="center"/>
          </w:tcPr>
          <w:p w14:paraId="2480638B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CLASE</w:t>
            </w:r>
          </w:p>
        </w:tc>
        <w:tc>
          <w:tcPr>
            <w:tcW w:w="547" w:type="dxa"/>
            <w:vMerge w:val="restart"/>
            <w:shd w:val="clear" w:color="auto" w:fill="D7E4BC"/>
            <w:textDirection w:val="btLr"/>
            <w:vAlign w:val="center"/>
          </w:tcPr>
          <w:p w14:paraId="6C779CDE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FUENTE</w:t>
            </w:r>
          </w:p>
        </w:tc>
        <w:tc>
          <w:tcPr>
            <w:tcW w:w="384" w:type="dxa"/>
            <w:vMerge w:val="restart"/>
            <w:shd w:val="clear" w:color="auto" w:fill="D7E4BC"/>
            <w:textDirection w:val="btLr"/>
            <w:vAlign w:val="center"/>
          </w:tcPr>
          <w:p w14:paraId="43C9D487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ETAPA</w:t>
            </w:r>
          </w:p>
        </w:tc>
        <w:tc>
          <w:tcPr>
            <w:tcW w:w="384" w:type="dxa"/>
            <w:vMerge w:val="restart"/>
            <w:shd w:val="clear" w:color="auto" w:fill="D7E4BC"/>
            <w:textDirection w:val="btLr"/>
            <w:vAlign w:val="center"/>
          </w:tcPr>
          <w:p w14:paraId="30EB1DD4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TIPO</w:t>
            </w:r>
          </w:p>
        </w:tc>
        <w:tc>
          <w:tcPr>
            <w:tcW w:w="1627" w:type="dxa"/>
            <w:vMerge w:val="restart"/>
            <w:shd w:val="clear" w:color="auto" w:fill="D7E4BC"/>
            <w:vAlign w:val="center"/>
          </w:tcPr>
          <w:p w14:paraId="46E41F3D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DESCRIPCIÓN (QUÉ PUEDE PASAR Y, SI ES POSIBLE, CÓMO PUEDE PASAR)</w:t>
            </w:r>
          </w:p>
        </w:tc>
        <w:tc>
          <w:tcPr>
            <w:tcW w:w="1554" w:type="dxa"/>
            <w:vMerge w:val="restart"/>
            <w:shd w:val="clear" w:color="auto" w:fill="D7E4BC"/>
            <w:vAlign w:val="center"/>
          </w:tcPr>
          <w:p w14:paraId="388F3D1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CONSECUENCIA DE LA OCURRENCIA DEL EVENTO</w:t>
            </w:r>
          </w:p>
        </w:tc>
        <w:tc>
          <w:tcPr>
            <w:tcW w:w="384" w:type="dxa"/>
            <w:vMerge w:val="restart"/>
            <w:shd w:val="clear" w:color="auto" w:fill="D7E4BC"/>
            <w:textDirection w:val="btLr"/>
            <w:vAlign w:val="center"/>
          </w:tcPr>
          <w:p w14:paraId="6A27F565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PROBABILIDAD</w:t>
            </w:r>
          </w:p>
        </w:tc>
        <w:tc>
          <w:tcPr>
            <w:tcW w:w="384" w:type="dxa"/>
            <w:vMerge w:val="restart"/>
            <w:shd w:val="clear" w:color="auto" w:fill="D7E4BC"/>
            <w:textDirection w:val="btLr"/>
            <w:vAlign w:val="center"/>
          </w:tcPr>
          <w:p w14:paraId="19FE1390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IMPACTO</w:t>
            </w:r>
          </w:p>
        </w:tc>
        <w:tc>
          <w:tcPr>
            <w:tcW w:w="384" w:type="dxa"/>
            <w:vMerge w:val="restart"/>
            <w:shd w:val="clear" w:color="auto" w:fill="D7E4BC"/>
            <w:textDirection w:val="btLr"/>
            <w:vAlign w:val="center"/>
          </w:tcPr>
          <w:p w14:paraId="4341360E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CALIFICACIÓN</w:t>
            </w:r>
          </w:p>
        </w:tc>
        <w:tc>
          <w:tcPr>
            <w:tcW w:w="689" w:type="dxa"/>
            <w:vMerge w:val="restart"/>
            <w:shd w:val="clear" w:color="auto" w:fill="D7E4BC"/>
            <w:textDirection w:val="btLr"/>
            <w:vAlign w:val="center"/>
          </w:tcPr>
          <w:p w14:paraId="37C3A083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PRIORIDAD</w:t>
            </w:r>
          </w:p>
        </w:tc>
        <w:tc>
          <w:tcPr>
            <w:tcW w:w="604" w:type="dxa"/>
            <w:vMerge w:val="restart"/>
            <w:shd w:val="clear" w:color="auto" w:fill="D7E4BC"/>
            <w:textDirection w:val="btLr"/>
            <w:vAlign w:val="center"/>
          </w:tcPr>
          <w:p w14:paraId="66F18ADE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¿A QUIÉN SE LE ASIGNA?</w:t>
            </w:r>
          </w:p>
        </w:tc>
        <w:tc>
          <w:tcPr>
            <w:tcW w:w="2539" w:type="dxa"/>
            <w:vMerge w:val="restart"/>
            <w:shd w:val="clear" w:color="auto" w:fill="D7E4BC"/>
            <w:vAlign w:val="center"/>
          </w:tcPr>
          <w:p w14:paraId="5B69593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TRATAMIENTO/CONTROLES A SER IMPLEMENTADOS</w:t>
            </w:r>
          </w:p>
        </w:tc>
        <w:tc>
          <w:tcPr>
            <w:tcW w:w="2008" w:type="dxa"/>
            <w:gridSpan w:val="4"/>
            <w:shd w:val="clear" w:color="auto" w:fill="D7E4BC"/>
            <w:vAlign w:val="center"/>
          </w:tcPr>
          <w:p w14:paraId="73906267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IMPACTO</w:t>
            </w:r>
          </w:p>
        </w:tc>
        <w:tc>
          <w:tcPr>
            <w:tcW w:w="772" w:type="dxa"/>
            <w:vMerge w:val="restart"/>
            <w:shd w:val="clear" w:color="auto" w:fill="D7E4BC"/>
            <w:textDirection w:val="btLr"/>
            <w:vAlign w:val="center"/>
          </w:tcPr>
          <w:p w14:paraId="051BF7F1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¿AFECTA EL EQUILIBRIO ECONÓMICO DEL CONTRATO?</w:t>
            </w:r>
          </w:p>
        </w:tc>
        <w:tc>
          <w:tcPr>
            <w:tcW w:w="819" w:type="dxa"/>
            <w:vMerge w:val="restart"/>
            <w:shd w:val="clear" w:color="auto" w:fill="D7E4BC"/>
            <w:textDirection w:val="btLr"/>
            <w:vAlign w:val="center"/>
          </w:tcPr>
          <w:p w14:paraId="1D038908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PERSONA RESPONSABLE POR IMPLEMENTAR EL TRATAMIENTO</w:t>
            </w:r>
          </w:p>
        </w:tc>
        <w:tc>
          <w:tcPr>
            <w:tcW w:w="536" w:type="dxa"/>
            <w:vMerge w:val="restart"/>
            <w:shd w:val="clear" w:color="auto" w:fill="D7E4BC"/>
            <w:textDirection w:val="btLr"/>
            <w:vAlign w:val="center"/>
          </w:tcPr>
          <w:p w14:paraId="2BACBF64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FECHA ESTIMADA</w:t>
            </w:r>
          </w:p>
        </w:tc>
        <w:tc>
          <w:tcPr>
            <w:tcW w:w="834" w:type="dxa"/>
            <w:vMerge w:val="restart"/>
            <w:shd w:val="clear" w:color="auto" w:fill="D7E4BC"/>
            <w:textDirection w:val="btLr"/>
            <w:vAlign w:val="center"/>
          </w:tcPr>
          <w:p w14:paraId="1D371DB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FECHA EN QUE SE COMPLETA EL TRATAMIENTO/CONTROL</w:t>
            </w:r>
          </w:p>
        </w:tc>
        <w:tc>
          <w:tcPr>
            <w:tcW w:w="2272" w:type="dxa"/>
            <w:gridSpan w:val="2"/>
            <w:vMerge w:val="restart"/>
            <w:shd w:val="clear" w:color="auto" w:fill="D7E4BC"/>
            <w:vAlign w:val="center"/>
          </w:tcPr>
          <w:p w14:paraId="667CE7A0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MONITOREO Y REVISIÓN</w:t>
            </w:r>
          </w:p>
        </w:tc>
      </w:tr>
      <w:tr w:rsidR="000A1DE2" w:rsidRPr="000A1DE2" w14:paraId="05862EEF" w14:textId="77777777" w:rsidTr="000A1DE2">
        <w:trPr>
          <w:gridAfter w:val="1"/>
          <w:wAfter w:w="11" w:type="dxa"/>
          <w:trHeight w:val="20"/>
        </w:trPr>
        <w:tc>
          <w:tcPr>
            <w:tcW w:w="382" w:type="dxa"/>
            <w:vMerge/>
            <w:shd w:val="clear" w:color="auto" w:fill="D7E4BC"/>
            <w:vAlign w:val="center"/>
          </w:tcPr>
          <w:p w14:paraId="78414739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42" w:type="dxa"/>
            <w:vMerge/>
            <w:shd w:val="clear" w:color="auto" w:fill="D7E4BC"/>
            <w:vAlign w:val="center"/>
          </w:tcPr>
          <w:p w14:paraId="7B565EBF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47" w:type="dxa"/>
            <w:vMerge/>
            <w:shd w:val="clear" w:color="auto" w:fill="D7E4BC"/>
            <w:vAlign w:val="center"/>
          </w:tcPr>
          <w:p w14:paraId="3B7DCE22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6459B4DB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607C32D6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627" w:type="dxa"/>
            <w:vMerge/>
            <w:shd w:val="clear" w:color="auto" w:fill="D7E4BC"/>
            <w:vAlign w:val="center"/>
          </w:tcPr>
          <w:p w14:paraId="17B7308F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554" w:type="dxa"/>
            <w:vMerge/>
            <w:shd w:val="clear" w:color="auto" w:fill="D7E4BC"/>
            <w:vAlign w:val="center"/>
          </w:tcPr>
          <w:p w14:paraId="69CE983E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35B36880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3EBCD882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6DCABD2E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689" w:type="dxa"/>
            <w:vMerge/>
            <w:shd w:val="clear" w:color="auto" w:fill="D7E4BC"/>
            <w:vAlign w:val="center"/>
          </w:tcPr>
          <w:p w14:paraId="15C87245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604" w:type="dxa"/>
            <w:vMerge/>
            <w:shd w:val="clear" w:color="auto" w:fill="D7E4BC"/>
            <w:vAlign w:val="center"/>
          </w:tcPr>
          <w:p w14:paraId="45D46B8D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539" w:type="dxa"/>
            <w:vMerge/>
            <w:shd w:val="clear" w:color="auto" w:fill="D7E4BC"/>
            <w:vAlign w:val="center"/>
          </w:tcPr>
          <w:p w14:paraId="012ED9B1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008" w:type="dxa"/>
            <w:gridSpan w:val="4"/>
            <w:shd w:val="clear" w:color="auto" w:fill="D7E4BC"/>
            <w:vAlign w:val="center"/>
          </w:tcPr>
          <w:p w14:paraId="7D620A2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DESPUÉS DEL</w:t>
            </w:r>
          </w:p>
        </w:tc>
        <w:tc>
          <w:tcPr>
            <w:tcW w:w="772" w:type="dxa"/>
            <w:vMerge/>
            <w:shd w:val="clear" w:color="auto" w:fill="D7E4BC"/>
            <w:vAlign w:val="center"/>
          </w:tcPr>
          <w:p w14:paraId="352B81FC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819" w:type="dxa"/>
            <w:vMerge/>
            <w:shd w:val="clear" w:color="auto" w:fill="D7E4BC"/>
            <w:vAlign w:val="center"/>
          </w:tcPr>
          <w:p w14:paraId="61267870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36" w:type="dxa"/>
            <w:vMerge/>
            <w:shd w:val="clear" w:color="auto" w:fill="D7E4BC"/>
            <w:vAlign w:val="center"/>
          </w:tcPr>
          <w:p w14:paraId="1BE73D00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834" w:type="dxa"/>
            <w:vMerge/>
            <w:shd w:val="clear" w:color="auto" w:fill="D7E4BC"/>
            <w:vAlign w:val="center"/>
          </w:tcPr>
          <w:p w14:paraId="111BFA73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272" w:type="dxa"/>
            <w:gridSpan w:val="2"/>
            <w:vMerge/>
            <w:shd w:val="clear" w:color="auto" w:fill="D7E4BC"/>
            <w:vAlign w:val="center"/>
          </w:tcPr>
          <w:p w14:paraId="7963D242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</w:tr>
      <w:tr w:rsidR="000A1DE2" w:rsidRPr="000A1DE2" w14:paraId="50250D0A" w14:textId="77777777" w:rsidTr="000A1DE2">
        <w:trPr>
          <w:gridAfter w:val="1"/>
          <w:wAfter w:w="11" w:type="dxa"/>
          <w:trHeight w:val="20"/>
        </w:trPr>
        <w:tc>
          <w:tcPr>
            <w:tcW w:w="382" w:type="dxa"/>
            <w:vMerge/>
            <w:shd w:val="clear" w:color="auto" w:fill="D7E4BC"/>
            <w:vAlign w:val="center"/>
          </w:tcPr>
          <w:p w14:paraId="07C32B2B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42" w:type="dxa"/>
            <w:vMerge/>
            <w:shd w:val="clear" w:color="auto" w:fill="D7E4BC"/>
            <w:vAlign w:val="center"/>
          </w:tcPr>
          <w:p w14:paraId="655BC7C4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47" w:type="dxa"/>
            <w:vMerge/>
            <w:shd w:val="clear" w:color="auto" w:fill="D7E4BC"/>
            <w:vAlign w:val="center"/>
          </w:tcPr>
          <w:p w14:paraId="0D0B9E6C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11C93E26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7061F205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627" w:type="dxa"/>
            <w:vMerge/>
            <w:shd w:val="clear" w:color="auto" w:fill="D7E4BC"/>
            <w:vAlign w:val="center"/>
          </w:tcPr>
          <w:p w14:paraId="788EAF30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554" w:type="dxa"/>
            <w:vMerge/>
            <w:shd w:val="clear" w:color="auto" w:fill="D7E4BC"/>
            <w:vAlign w:val="center"/>
          </w:tcPr>
          <w:p w14:paraId="14E3AA91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7D134654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677DF38F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65F59647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689" w:type="dxa"/>
            <w:vMerge/>
            <w:shd w:val="clear" w:color="auto" w:fill="D7E4BC"/>
            <w:vAlign w:val="center"/>
          </w:tcPr>
          <w:p w14:paraId="19932020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604" w:type="dxa"/>
            <w:vMerge/>
            <w:shd w:val="clear" w:color="auto" w:fill="D7E4BC"/>
            <w:vAlign w:val="center"/>
          </w:tcPr>
          <w:p w14:paraId="3C44288B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539" w:type="dxa"/>
            <w:vMerge/>
            <w:shd w:val="clear" w:color="auto" w:fill="D7E4BC"/>
            <w:vAlign w:val="center"/>
          </w:tcPr>
          <w:p w14:paraId="1DD429D3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008" w:type="dxa"/>
            <w:gridSpan w:val="4"/>
            <w:shd w:val="clear" w:color="auto" w:fill="D7E4BC"/>
            <w:vAlign w:val="center"/>
          </w:tcPr>
          <w:p w14:paraId="6F55488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TRATAMIENTO</w:t>
            </w:r>
          </w:p>
        </w:tc>
        <w:tc>
          <w:tcPr>
            <w:tcW w:w="772" w:type="dxa"/>
            <w:vMerge/>
            <w:shd w:val="clear" w:color="auto" w:fill="D7E4BC"/>
            <w:vAlign w:val="center"/>
          </w:tcPr>
          <w:p w14:paraId="35CBA0A8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819" w:type="dxa"/>
            <w:vMerge/>
            <w:shd w:val="clear" w:color="auto" w:fill="D7E4BC"/>
            <w:vAlign w:val="center"/>
          </w:tcPr>
          <w:p w14:paraId="5FDF2991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36" w:type="dxa"/>
            <w:vMerge/>
            <w:shd w:val="clear" w:color="auto" w:fill="D7E4BC"/>
            <w:vAlign w:val="center"/>
          </w:tcPr>
          <w:p w14:paraId="0F4A8608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834" w:type="dxa"/>
            <w:vMerge/>
            <w:shd w:val="clear" w:color="auto" w:fill="D7E4BC"/>
            <w:vAlign w:val="center"/>
          </w:tcPr>
          <w:p w14:paraId="39049907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272" w:type="dxa"/>
            <w:gridSpan w:val="2"/>
            <w:vMerge/>
            <w:shd w:val="clear" w:color="auto" w:fill="D7E4BC"/>
            <w:vAlign w:val="center"/>
          </w:tcPr>
          <w:p w14:paraId="006F7D42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</w:tr>
      <w:tr w:rsidR="000A1DE2" w:rsidRPr="000A1DE2" w14:paraId="1E223360" w14:textId="77777777" w:rsidTr="000A1DE2">
        <w:trPr>
          <w:gridAfter w:val="1"/>
          <w:wAfter w:w="11" w:type="dxa"/>
          <w:cantSplit/>
          <w:trHeight w:val="1134"/>
        </w:trPr>
        <w:tc>
          <w:tcPr>
            <w:tcW w:w="382" w:type="dxa"/>
            <w:vMerge/>
            <w:shd w:val="clear" w:color="auto" w:fill="D7E4BC"/>
            <w:vAlign w:val="center"/>
          </w:tcPr>
          <w:p w14:paraId="38721E16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42" w:type="dxa"/>
            <w:vMerge/>
            <w:shd w:val="clear" w:color="auto" w:fill="D7E4BC"/>
            <w:vAlign w:val="center"/>
          </w:tcPr>
          <w:p w14:paraId="0CF9150D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47" w:type="dxa"/>
            <w:vMerge/>
            <w:shd w:val="clear" w:color="auto" w:fill="D7E4BC"/>
            <w:vAlign w:val="center"/>
          </w:tcPr>
          <w:p w14:paraId="4AA94C25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5BDAF8AA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7A8267B3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627" w:type="dxa"/>
            <w:vMerge/>
            <w:shd w:val="clear" w:color="auto" w:fill="D7E4BC"/>
            <w:vAlign w:val="center"/>
          </w:tcPr>
          <w:p w14:paraId="77D124FA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554" w:type="dxa"/>
            <w:vMerge/>
            <w:shd w:val="clear" w:color="auto" w:fill="D7E4BC"/>
            <w:vAlign w:val="center"/>
          </w:tcPr>
          <w:p w14:paraId="2D847AD7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4E6952DC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399CAA13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4A3560CF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689" w:type="dxa"/>
            <w:vMerge/>
            <w:shd w:val="clear" w:color="auto" w:fill="D7E4BC"/>
            <w:vAlign w:val="center"/>
          </w:tcPr>
          <w:p w14:paraId="7CCFD118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604" w:type="dxa"/>
            <w:vMerge/>
            <w:shd w:val="clear" w:color="auto" w:fill="D7E4BC"/>
            <w:vAlign w:val="center"/>
          </w:tcPr>
          <w:p w14:paraId="4B957523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539" w:type="dxa"/>
            <w:vMerge/>
            <w:shd w:val="clear" w:color="auto" w:fill="D7E4BC"/>
            <w:vAlign w:val="center"/>
          </w:tcPr>
          <w:p w14:paraId="3FBB9D73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shd w:val="clear" w:color="auto" w:fill="D7E4BC"/>
            <w:textDirection w:val="btLr"/>
            <w:vAlign w:val="center"/>
          </w:tcPr>
          <w:p w14:paraId="1B942789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PROBABILIDAD</w:t>
            </w:r>
          </w:p>
        </w:tc>
        <w:tc>
          <w:tcPr>
            <w:tcW w:w="384" w:type="dxa"/>
            <w:shd w:val="clear" w:color="auto" w:fill="D7E4BC"/>
            <w:textDirection w:val="btLr"/>
            <w:vAlign w:val="center"/>
          </w:tcPr>
          <w:p w14:paraId="1DBD75A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IMPACTO</w:t>
            </w:r>
          </w:p>
        </w:tc>
        <w:tc>
          <w:tcPr>
            <w:tcW w:w="384" w:type="dxa"/>
            <w:shd w:val="clear" w:color="auto" w:fill="D7E4BC"/>
            <w:textDirection w:val="btLr"/>
            <w:vAlign w:val="center"/>
          </w:tcPr>
          <w:p w14:paraId="085875EC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CALIFICACIÓN</w:t>
            </w:r>
          </w:p>
        </w:tc>
        <w:tc>
          <w:tcPr>
            <w:tcW w:w="856" w:type="dxa"/>
            <w:shd w:val="clear" w:color="auto" w:fill="D7E4BC"/>
            <w:textDirection w:val="btLr"/>
            <w:vAlign w:val="center"/>
          </w:tcPr>
          <w:p w14:paraId="44B08CD1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PRIORIDAD</w:t>
            </w:r>
          </w:p>
        </w:tc>
        <w:tc>
          <w:tcPr>
            <w:tcW w:w="772" w:type="dxa"/>
            <w:vMerge/>
            <w:shd w:val="clear" w:color="auto" w:fill="D7E4BC"/>
            <w:vAlign w:val="center"/>
          </w:tcPr>
          <w:p w14:paraId="4416FC9A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819" w:type="dxa"/>
            <w:vMerge/>
            <w:shd w:val="clear" w:color="auto" w:fill="D7E4BC"/>
            <w:vAlign w:val="center"/>
          </w:tcPr>
          <w:p w14:paraId="40E56F25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36" w:type="dxa"/>
            <w:vMerge/>
            <w:shd w:val="clear" w:color="auto" w:fill="D7E4BC"/>
            <w:vAlign w:val="center"/>
          </w:tcPr>
          <w:p w14:paraId="3CE5B80E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834" w:type="dxa"/>
            <w:vMerge/>
            <w:shd w:val="clear" w:color="auto" w:fill="D7E4BC"/>
            <w:vAlign w:val="center"/>
          </w:tcPr>
          <w:p w14:paraId="53D2D437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262" w:type="dxa"/>
            <w:shd w:val="clear" w:color="auto" w:fill="D7E4BC"/>
            <w:vAlign w:val="center"/>
          </w:tcPr>
          <w:p w14:paraId="5A2427B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CÓMO</w:t>
            </w:r>
          </w:p>
        </w:tc>
        <w:tc>
          <w:tcPr>
            <w:tcW w:w="1010" w:type="dxa"/>
            <w:shd w:val="clear" w:color="auto" w:fill="D7E4BC"/>
            <w:vAlign w:val="center"/>
          </w:tcPr>
          <w:p w14:paraId="38152466" w14:textId="7DF27413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CU</w:t>
            </w:r>
            <w:r>
              <w:rPr>
                <w:rFonts w:ascii="Verdana" w:eastAsia="Verdana" w:hAnsi="Verdana" w:cs="Verdana"/>
                <w:b/>
                <w:sz w:val="16"/>
                <w:szCs w:val="16"/>
              </w:rPr>
              <w:t>Á</w:t>
            </w: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NDO</w:t>
            </w:r>
          </w:p>
        </w:tc>
      </w:tr>
      <w:tr w:rsidR="000A1DE2" w:rsidRPr="000A1DE2" w14:paraId="56C5EAF6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0ED5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C9E9CA5" w14:textId="2C234729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ESPECIFICO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BEC1EAA" w14:textId="606DB5BA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C61267D" w14:textId="6BE1857F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60E753C" w14:textId="45CB4CAD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OPERACIONAL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440F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ENTREGA DE CONSUMIBLES QUE NO SEAN PLENAMENTE COMPATIBLES CON LOS VENTILADORES PB840, MEK Y/O AVEA DISPONIBLES EN LA INSTITUCIÓN.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CDFC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IMPOSIBILIDAD DE UTILIZAR LOS BIENES, AFECTACIÓN DE LA CONTINUIDAD DEL SOPORTE VENTILATORIO Y RIESGO DE INCUMPLIMIENTO DEL OBJETO CONTRACTUAL.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0C667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84EB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1590682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7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5FF92178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385EF5A" w14:textId="595C08CB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C4C1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VERIFICACIÓN DE LAS ESPECIFICACIONES TÉCNICAS Y DE LA COMPATIBILIDAD ANTES DEL RECIBO. EXIGENCIA DE GARANTÍA TÉ</w:t>
            </w:r>
            <w:bookmarkStart w:id="0" w:name="_GoBack"/>
            <w:bookmarkEnd w:id="0"/>
            <w:r w:rsidRPr="000A1DE2">
              <w:rPr>
                <w:rFonts w:ascii="Verdana" w:eastAsia="Verdana" w:hAnsi="Verdana" w:cs="Verdana"/>
                <w:sz w:val="16"/>
                <w:szCs w:val="16"/>
              </w:rPr>
              <w:t>CNICA Y REPOSICIÓN SIN COSTO DE LOS BIENES INCOMPATIBLES DENTRO DEL PLAZO CONTRACTUAL.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F62D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EFE1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3427609F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65B2958B" w14:textId="23496649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FD0E9" w14:textId="51E5C56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29E4533" w14:textId="76D2D3CF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 Y SUPERVISOR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CD1851B" w14:textId="1114B2C6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DESDE EL PRIMER REQUERIMIENTO DE ENTREGA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CEC0C8A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 EL RECIBO A SATISFACCIÓN DE CADA ENTREGA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6A9D8A8" w14:textId="621B1218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REVISIÓN TÉCNICA DE COMPATIBILIDAD, FICHAS TÉCNICAS Y ACTA O SOPORTE DE RECIBO A SATISFACCIÓN.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CE98CA8" w14:textId="43921D74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EN CADA ENTREGA DURANTE LA EJECUCIÓN DEL CONTRATO.</w:t>
            </w:r>
          </w:p>
        </w:tc>
      </w:tr>
      <w:tr w:rsidR="000A1DE2" w:rsidRPr="000A1DE2" w14:paraId="3819B304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09E5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lastRenderedPageBreak/>
              <w:t>2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187B352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ESPECIFICO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DF71559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AFAD8E3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45F6957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OPERACIONAL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8DF29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DEMORA, ENTREGA INCOMPLETA O FALTA DE DISPONIBILIDAD DE LOS CONSUMIBLES REQUERIDOS POR EL SUPERVISOR DENTRO DEL TÉRMINO MÁXIMO DE CUATRO (4) DÍAS CALENDARIO.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5F659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DESABASTECIMIENTO DE INSUMOS PARA LAS UNIDADES CRÍTICAS, RETRASO EN LA ATENCIÓN Y POSIBLE INCUMPLIMIENTO DE LAS OBLIGACIONES CONTRACTUALES.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86EA0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8D61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097A857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8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3C5E7D18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FF1E647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BDC20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EL CONTRATISTA DEBERÁ MANTENER DISPONIBILIDAD DE LOS BIENES Y PLANEAR INVENTARIOS PARA ATENDER ENTREGAS SUCESIVAS. EL SUPERVISOR CONTROLARÁ LOS REQUERIMIENTOS, PLAZOS DE ENTREGA Y APLICARÁ LAS MEDIDAS CONTRACTUALES A QUE HAYA LUGAR.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8A98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C0A64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4957653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38D29C03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7FF4D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7C9E923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 Y SUPERVISOR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801DE73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DESDE EL INICIO DE LA EJECUCIÓN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ABFC07E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AL CUMPLIMIENTO DE CADA REQUERIMIENTO DE SUMINISTRO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94845A9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CONTROL DE FECHA DEL REQUERIMIENTO, FECHA DE ENTREGA, CANTIDADES RECIBIDAS Y REGISTRO DE NOVEDADES.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4A564D2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EN CADA REQUERIMIENTO Y ENTREGA.</w:t>
            </w:r>
          </w:p>
        </w:tc>
      </w:tr>
      <w:tr w:rsidR="000A1DE2" w:rsidRPr="000A1DE2" w14:paraId="5A1FE441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57B6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3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08C7EFB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ESPECIFICO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8F0251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FCCEA1C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33DFCF8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OPERACIONAL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E682F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ENTREGA DE BIENES DEFECTUOSOS, CONTAMINADOS, CON EMPAQUE O CONSERVACIÓN INADECUADA, SIN TRAZABILIDAD O CON CONDICIONES DE VENCIMIENTO QUE NO CUMPLAN LO EXIGIDO.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FAA1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RECHAZO DE LOS BIENES, RIESGO PARA LA SEGURIDAD DEL PACIENTE, AFECTACIÓN DEL SERVICIO Y NECESIDAD DE REPOSICIÓN DEL SUMINISTRO.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D937E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01FC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7B1F779E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7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013CEB4D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91BA90A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0A3B9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INSPECCIÓN AL RECIBO DE CALIDAD, EMPAQUE, LOTE, FABRICACIÓN, VENCIMIENTO Y CONDICIONES DE ALMACENAMIENTO. RECHAZO Y REPOSICIÓN SIN COSTO DE BIENES NO CONFORMES. COBERTURA DE CALIDAD Y CORRECTO FUNCIONAMIENTO.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5D34D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80018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447891B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607B73D2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724A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1E684B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 Y SUPERVISOR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37F57F2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DESDE LA PRIMERA ENTREGA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75DC079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 EL RECIBO A SATISFACCIÓN DE CADA ENTREGA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2ADA877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INSPECCIÓN FÍSICA Y DOCUMENTAL DE TRAZABILIDAD, VENCIMIENTO Y CONDICIONES DE CONSERVACIÓN; REGISTRO EN ACTA O INFORME DE SUPERVISIÓN.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B24B426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EN CADA ENTREGA Y CUANDO SE PRESENTE NOVEDAD DE CALIDAD.</w:t>
            </w:r>
          </w:p>
        </w:tc>
      </w:tr>
      <w:tr w:rsidR="000A1DE2" w:rsidRPr="000A1DE2" w14:paraId="68951DF4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4724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lastRenderedPageBreak/>
              <w:t>4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820A70B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ESPECIFICO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7B53300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D727751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CONTRATACIÓN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B5842FC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JURÍDICO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E67E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QUE EL CONTRATISTA NO CONSTITUYA, CARGUE, MANTENGA VIGENTE, RESTABLEZCA O AJUSTE OPORTUNAMENTE LAS GARANTÍAS EXIGIDAS POR LA ENTIDAD.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414A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RETRASO EN EL CUMPLIMIENTO DE LOS REQUISITOS DE EJECUCIÓN Y AUSENCIA O INSUFICIENCIA DE COBERTURA FRENTE A EVENTUALES INCUMPLIMIENTOS O DEFECTOS DE LOS BIENES.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841E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5E7F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1AB15B9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6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21131CFA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54B5EFC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7E447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VERIFICAR LA CONSTITUCIÓN Y CARGUE DE LAS GARANTÍAS DENTRO DE LOS TRES (3) DÍAS HÁBILES SIGUIENTES A LA SUSCRIPCIÓN; EXIGIR SU APROBACIÓN, VIGENCIA, RESTABLECIMIENTO Y AJUSTE CUANDO SE MODIFIQUE EL CONTRATO.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D660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F6259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1F7CC15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10119AEB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0F65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EA69689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 Y SUPERVISOR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7E9CB13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INMEDIATAMENTE DESPUÉS DE LA SUSCRIPCIÓN DEL CONTRATO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F2098C7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 LA APROBACIÓN Y DURANTE LA VIGENCIA DE LOS AMPAROS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091F452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VERIFICACIÓN EN SECOP II DE PÓLIZAS, AMPAROS, PORCENTAJES, VIGENCIAS Y EVENTUALES MODIFICACIONES.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A56A216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ANTES DEL INICIO DE EJECUCIÓN Y CADA VEZ QUE SE MODIFIQUE EL CONTRATO.</w:t>
            </w:r>
          </w:p>
        </w:tc>
      </w:tr>
      <w:tr w:rsidR="000A1DE2" w:rsidRPr="000A1DE2" w14:paraId="16171B29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AF7AD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5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8EC801D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ESPECIFICO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3FBB154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9CEA05C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6EAAFC8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JURÍDICO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654A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PÉRDIDA DE VIGENCIA, SUSPENSIÓN, CANCELACIÓN O INEXISTENCIA DE LOS REGISTROS SANITARIOS INVIMA O DEL CERTIFICADO DE CAPACIDAD DE ALMACENAMIENTO EXIGIBLE PARA LOS BIENES OFERTADOS.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9C7E8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IMPOSIBILIDAD JURÍDICA Y SANITARIA DE SUMINISTRAR O RECIBIR LOS BIENES, RECHAZO DE ENTREGAS Y POSIBLE INCUMPLIMIENTO CONTRACTUAL.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6EF30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2F17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1EC5FA5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7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2C2261A2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E083EE5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1B620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VERIFICACIÓN PREVIA Y DURANTE LA EJECUCIÓN DE LA VIGENCIA DE LOS DOCUMENTOS SANITARIOS APLICABLES. EL CONTRATISTA DEBERÁ MANTENER LAS AUTORIZACIONES EXIGIBLES Y ABSTENERSE DE SUMINISTRAR PRODUCTOS QUE NO CUMPLAN LA NORMATIVIDAD SANITARIA.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4C8C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794B8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25413E8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53094352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87F0D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4DEDC88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 Y SUPERVISOR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4BF19D5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DESDE LA VERIFICACIÓN DE REQUISITOS Y DURANTE LA EJECUCIÓN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24EE4B6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AL FINALIZAR LA EJECUCIÓN CONTRACTUAL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7A8D5E8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CONSULTA Y REVISIÓN DOCUMENTAL DEL REGISTRO SANITARIO Y CERTIFICADOS APLICABLES, CON TRAZABILIDAD EN LOS INFORMES DE SUPERVISIÓN.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323238A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AL INICIO, EN CADA ENTREGA CUANDO APLIQUE Y ANTE CUALQUIER CAMBIO DE VIGENCIA.</w:t>
            </w:r>
          </w:p>
        </w:tc>
      </w:tr>
      <w:tr w:rsidR="000A1DE2" w:rsidRPr="000A1DE2" w14:paraId="07F0C64D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A5F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lastRenderedPageBreak/>
              <w:t>6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8E01BA4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ESPECIFICO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8913D8A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6F2C49A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A6D303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JURÍDICO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0B4B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CONFIGURACIÓN SOBREVINIENTE DE UNA INHABILIDAD, INCOMPATIBILIDAD, CONFLICTO DE INTERÉS O VINCULACIÓN DEL CONTRATISTA EN LISTAS DE CONTROL O SITUACIONES CONTRARIAS A LA POLÍTICA SARLAFT DEL HOMIL.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24D97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IMPOSIBILIDAD DE CONTINUAR EL VÍNCULO CONTRACTUAL, APLICACIÓN DE MEDIDAS LEGALES Y CONTRACTUALES Y AFECTACIÓN DE LA CONTINUIDAD DEL SUMINISTRO.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763A8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7210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2DEA4908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6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100082B0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EA2580D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8DAD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VERIFICACIÓN DE DECLARACIONES, FORMULARIOS Y CONTROLES SARLAFT; ACTUALIZACIÓN DE INFORMACIÓN DEL CONTRATISTA Y REPORTE OPORTUNO DE NOVEDADES. APLICACIÓN DEL DEBIDO PROCESO Y DE LAS MEDIDAS CONTRACTUALES QUE CORRESPONDAN.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F5394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60B77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4F729EA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7B3C94D9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74D87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4D62842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 Y SUPERVISOR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6D33B40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DESDE LA SUSCRIPCIÓN Y DURANTE LA EJECUCIÓN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094E6D5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AL TERMINAR EL VÍNCULO CONTRACTUAL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B685863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VALIDACIÓN PERIÓDICA DE SARLAFT, LISTAS DE CONTROL, CONFLICTOS DE INTERÉS Y NOVEDADES JURÍDICAS DEL CONTRATISTA.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D13B417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DURANTE LA EJECUCIÓN Y CUANDO SE CONOZCA UNA NOVEDAD.</w:t>
            </w:r>
          </w:p>
        </w:tc>
      </w:tr>
      <w:tr w:rsidR="000A1DE2" w:rsidRPr="000A1DE2" w14:paraId="68175B86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439AF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7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655D3E1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GENERAL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5AE2864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550735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A66E4B1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ECONÓMICO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04AB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INSUFICIENCIA DE LIQUIDEZ O DIFICULTADES DE FINANCIACIÓN DEL CONTRATISTA PARA ATENDER LAS ENTREGAS SUCESIVAS MIENTRAS SE SURTEN LOS PAGOS PARCIALES PACTADOS.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E53D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DEMORA O SUSPENSIÓN DEL SUMINISTRO Y POSIBLE INCUMPLIMIENTO DEL CONTRATO POR FALTA DE CAPITAL DE TRABAJO.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2923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0AD57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1D769629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6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696B552B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5AF4E40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100% AL 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9E237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EL CONTRATISTA DEBERÁ PREVER EL CAPITAL DE TRABAJO NECESARIO PARA EJECUTAR EL SUMINISTRO CONSIDERANDO EL PLAZO DE PAGO CONTRACTUAL. LOS PAGOS SE TRAMITARÁN POR BIENES EFECTIVAMENTE RECIBIDOS A SATISFACCIÓN Y CON SOPORTES COMPLETOS.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8203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8955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16568074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0F8AA50E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AC56E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SI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DA4E168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 Y SUPERVISOR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9682175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DESDE LA PRESENTACIÓN DE LA OFERTA Y DURANTE LA EJECUCIÓN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AD854B4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 EL PAGO DE LAS ENTREGAS EJECUTADAS Y RECIBIDAS A SATISFACCIÓN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8365702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SEGUIMIENTO A ENTREGAS, FACTURACIÓN, SOPORTES, CUENTAS PENDIENTES Y CUMPLIMIENTO DE LAS OBLIGACIONES DEL CONTRATISTA.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7B4A47E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EN CADA ENTREGA Y TRÁMITE DE PAGO.</w:t>
            </w:r>
          </w:p>
        </w:tc>
      </w:tr>
      <w:tr w:rsidR="000A1DE2" w:rsidRPr="000A1DE2" w14:paraId="52FE934D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F174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lastRenderedPageBreak/>
              <w:t>8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ACD7C80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GENERAL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82E15A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B02DCF4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7E33237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ECONÓMICO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A3CF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VARIACIÓN DE LA TASA DE CAMBIO, COSTOS DE IMPORTACIÓN, TRANSPORTE INTERNACIONAL O CONDICIONES DE FINANCIACIÓN QUE INCIDAN EN EL COSTO DE ADQUISICIÓN DE LOS CONSUMIBLES.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10F5F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INCREMENTO DE LOS COSTOS DEL CONTRATISTA Y EVENTUAL PRETENSIÓN DE MODIFICAR LOS PRECIOS O DISMINUIR EL RITMO DE SUMINISTRO.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761D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2378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4F98DA3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6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35F8FF5F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C69B59B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100% AL 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8C9D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EL PROPONENTE DEBERÁ INCORPORAR EN SU OFERTA LOS COSTOS PREVISIBLES DE ADQUISICIÓN, IMPORTACIÓN, TRANSPORTE Y FINANCIACIÓN. DURANTE LA EJECUCIÓN DEBERÁ MANTENER SU ESTRUCTURA DE ABASTECIMIENTO SIN TRASLADAR A LA ENTIDAD VARIACIONES PREVISIBLES DEL MERCADO.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3D80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804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6910A698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3ED3FDE5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00A8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SI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3603901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D77A70A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DESDE LA ESTRUCTURACIÓN DE LA OFERTA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2501602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AL FINALIZAR LA EJECUCIÓN CONTRACTUAL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5690970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SEGUIMIENTO A LA CONTINUIDAD DEL SUMINISTRO Y A CUALQUIER SOLICITUD ECONÓMICA DEL CONTRATISTA, CONTRASTÁNDOLA CON LA ASIGNACIÓN DEL RIESGO.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99C0F2A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DURANTE TODA LA EJECUCIÓN Y ANTE CUALQUIER SOLICITUD DE AJUSTE.</w:t>
            </w:r>
          </w:p>
        </w:tc>
      </w:tr>
      <w:tr w:rsidR="000A1DE2" w:rsidRPr="000A1DE2" w14:paraId="78E5DBC2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5D109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9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C10F480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GENERAL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180AF1D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0CAB27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PRECONTRACTUAL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B2E6623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ECONÓMICO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128CD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INADECUADA ESTIMACIÓN POR EL OFERENTE DE LOS COSTOS DIRECTOS E INDIRECTOS, IMPUESTOS, TASAS, TRANSPORTE, CARGUE, DESCARGUE, EMPAQUE Y DEMÁS EROGACIONES NECESARIAS PARA CUMPLIR EL CONTRATO.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7236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PÉRDIDA DE MARGEN ECONÓMICO DEL CONTRATISTA, SOLICITUD DE RECONOCIMIENTOS ADICIONALES O INCUMPLIMIENTO DE LAS ENTREGAS.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5111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D527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727127B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5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7A0CC5A8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707B0B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100% AL 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46CD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EL OFERENTE DEBERÁ ESTRUCTURAR SU PROPUESTA INCLUYENDO TODOS LOS TRIBUTOS Y COSTOS ASOCIADOS A LA ENTREGA. LA ENTIDAD VERIFICARÁ LA CONSISTENCIA DE LA OFERTA Y, CUANDO HAYA LUGAR, APLICARÁ EL ANÁLISIS DE PRECIOS ARTIFICIALMENTE BAJOS.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FA188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4D82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2AE5A38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46BFCEA2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6ED1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SI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2A2C687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 Y COMITÉ EVALUADOR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9A6F8D7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DURANTE LA PRESENTACIÓN Y EVALUACIÓN DE LA OFERTA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5A53B1B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 LA ACEPTACIÓN DE LA OFERTA Y SUSCRIPCIÓN DEL CONTRATO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ED93CF8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REVISIÓN DE LA PROPUESTA ECONÓMICA Y DE LOS COMPONENTES QUE DEBAN ENTENDERSE INCLUIDOS EN EL PRECIO OFERTADO.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F04DED7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DURANTE LA EVALUACIÓN ECONÓMICA Y ANTES DE LA ACEPTACIÓN DE LA OFERTA.</w:t>
            </w:r>
          </w:p>
        </w:tc>
      </w:tr>
      <w:tr w:rsidR="000A1DE2" w:rsidRPr="000A1DE2" w14:paraId="4311DEB4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C92D8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lastRenderedPageBreak/>
              <w:t>10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A0A3B91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ESPECIFICO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59BEE03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A06B5BE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E770CE5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ECONÓMICO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682F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INCREMENTO DE PRECIOS DEL FABRICANTE, ESCASEZ EN LA CADENA DE ABASTECIMIENTO O MAYORES COSTOS LOGÍSTICOS QUE AFECTEN LA DISPONIBILIDAD ECONÓMICA DE LOS CONSUMIBLES DURANTE LA VIGENCIA.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BD690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RIESGO DE DESABASTECIMIENTO, RETRASO EN LAS ENTREGAS O INTENTO DE TRASLADAR A LA ENTIDAD MAYORES COSTOS ASOCIADOS A LA OPERACIÓN COMERCIAL DEL CONTRATISTA.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3240F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B33CF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243F564E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6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2CDEBA77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7A42FA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100% AL 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63F3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EL CONTRATISTA DEBERÁ ASEGURAR SU CADENA DE SUMINISTRO, DISPONIBILIDAD E INVENTARIOS PARA ATENDER LOS REQUERIMIENTOS. LA ENTIDAD HARÁ SEGUIMIENTO A PLAZOS Y CANTIDADES, Y EXIGIRÁ EL CUMPLIMIENTO DE LA OFERTA Y DE LAS GARANTÍAS PACTADAS.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F787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BA1B9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19A8327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64A3DE35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08A3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SI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D126C11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 Y SUPERVISOR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6C8A22A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DESDE EL INICIO DE LA EJECUCIÓN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A0204DE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AL RECIBO A SATISFACCIÓN DEL ÚLTIMO SUMINISTRO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A8189CC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CONTROL DE INVENTARIOS COMPROMETIDOS, REQUERIMIENTOS, ENTREGAS Y NOVEDADES DE ABASTECIMIENTO REPORTADAS POR EL CONTRATISTA.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6902615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EN CADA REQUERIMIENTO Y DURANTE TODA LA EJECUCIÓN.</w:t>
            </w:r>
          </w:p>
        </w:tc>
      </w:tr>
    </w:tbl>
    <w:p w14:paraId="7E68606F" w14:textId="77777777" w:rsidR="00F60292" w:rsidRDefault="00F60292"/>
    <w:sectPr w:rsidR="00F60292" w:rsidSect="000A1DE2"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DE2"/>
    <w:rsid w:val="000A1DE2"/>
    <w:rsid w:val="0020539B"/>
    <w:rsid w:val="0036548B"/>
    <w:rsid w:val="003E11DF"/>
    <w:rsid w:val="00403717"/>
    <w:rsid w:val="006368CC"/>
    <w:rsid w:val="00995B4A"/>
    <w:rsid w:val="00BA3401"/>
    <w:rsid w:val="00DF426A"/>
    <w:rsid w:val="00E42E65"/>
    <w:rsid w:val="00E60DD2"/>
    <w:rsid w:val="00F6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EF467"/>
  <w15:chartTrackingRefBased/>
  <w15:docId w15:val="{39EE6076-481E-4429-B604-651696732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DE2"/>
    <w:rPr>
      <w:rFonts w:ascii="Calibri" w:eastAsia="Calibri" w:hAnsi="Calibri" w:cs="Calibri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0A1D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A1D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A1D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A1D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A1D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A1D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A1D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A1D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A1D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A1D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A1D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A1D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A1D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A1DE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A1D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A1D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A1D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A1DE2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0A1D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0A1D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A1D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A1D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A1D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A1D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A1D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A1DE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A1D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A1DE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A1D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1476</Words>
  <Characters>8124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Aragon Correa</dc:creator>
  <cp:keywords/>
  <dc:description/>
  <cp:lastModifiedBy>Rodrigo Esteban Acuña Velez</cp:lastModifiedBy>
  <cp:revision>2</cp:revision>
  <dcterms:created xsi:type="dcterms:W3CDTF">2026-09-10T21:04:00Z</dcterms:created>
  <dcterms:modified xsi:type="dcterms:W3CDTF">2026-09-10T21:04:00Z</dcterms:modified>
</cp:coreProperties>
</file>