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7DDED" w14:textId="77777777" w:rsidR="00E00068" w:rsidRPr="00F47872" w:rsidRDefault="00A377E9">
      <w:pPr>
        <w:spacing w:before="60" w:after="40" w:line="264" w:lineRule="auto"/>
        <w:jc w:val="center"/>
      </w:pPr>
      <w:r w:rsidRPr="00F47872">
        <w:rPr>
          <w:rFonts w:ascii="Century Gothic" w:eastAsia="Arial" w:hAnsi="Century Gothic" w:cs="Arial"/>
          <w:b/>
          <w:bCs/>
        </w:rPr>
        <w:t>ANEXO 4 – MINUTA DEL CONTRATO</w:t>
      </w:r>
    </w:p>
    <w:p w14:paraId="5F69C0EF" w14:textId="77777777" w:rsidR="00E00068" w:rsidRPr="00F47872" w:rsidRDefault="00A377E9">
      <w:pPr>
        <w:spacing w:after="160" w:line="264" w:lineRule="auto"/>
        <w:jc w:val="center"/>
        <w:rPr>
          <w:b/>
          <w:bCs/>
        </w:rPr>
      </w:pPr>
      <w:r w:rsidRPr="00F47872">
        <w:rPr>
          <w:rFonts w:ascii="Century Gothic" w:eastAsia="Arial" w:hAnsi="Century Gothic" w:cs="Arial"/>
          <w:b/>
          <w:bCs/>
          <w:sz w:val="19"/>
          <w:szCs w:val="19"/>
        </w:rPr>
        <w:t>SELECCIÓN ABREVIADA POR SUBASTA INVERSA ELECTRÓNICA No. SASI-IDER-002-2026</w:t>
      </w:r>
    </w:p>
    <w:p w14:paraId="771B89FB" w14:textId="77777777" w:rsidR="00E00068" w:rsidRPr="00F47872" w:rsidRDefault="00A377E9">
      <w:pPr>
        <w:spacing w:after="200" w:line="264" w:lineRule="auto"/>
        <w:jc w:val="center"/>
      </w:pPr>
      <w:r w:rsidRPr="00F47872">
        <w:rPr>
          <w:rFonts w:ascii="Century Gothic" w:eastAsia="Arial" w:hAnsi="Century Gothic" w:cs="Arial"/>
          <w:b/>
          <w:bCs/>
          <w:sz w:val="20"/>
          <w:szCs w:val="20"/>
        </w:rPr>
        <w:t>CONTRATO DE SUMINISTRO No. _______ DE 2026</w:t>
      </w:r>
    </w:p>
    <w:tbl>
      <w:tblPr>
        <w:tblW w:w="9500" w:type="dxa"/>
        <w:jc w:val="center"/>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4A0" w:firstRow="1" w:lastRow="0" w:firstColumn="1" w:lastColumn="0" w:noHBand="0" w:noVBand="1"/>
      </w:tblPr>
      <w:tblGrid>
        <w:gridCol w:w="2200"/>
        <w:gridCol w:w="7300"/>
      </w:tblGrid>
      <w:tr w:rsidR="00E00068" w:rsidRPr="00F47872" w14:paraId="59C415C0" w14:textId="77777777">
        <w:trPr>
          <w:cantSplit/>
          <w:jc w:val="center"/>
        </w:trPr>
        <w:tc>
          <w:tcPr>
            <w:tcW w:w="2200" w:type="dxa"/>
            <w:tcMar>
              <w:top w:w="60" w:type="dxa"/>
              <w:left w:w="100" w:type="dxa"/>
              <w:bottom w:w="60" w:type="dxa"/>
              <w:right w:w="100" w:type="dxa"/>
            </w:tcMar>
            <w:vAlign w:val="center"/>
          </w:tcPr>
          <w:p w14:paraId="7689575E" w14:textId="77777777" w:rsidR="00E00068" w:rsidRPr="00F47872" w:rsidRDefault="00A377E9">
            <w:pPr>
              <w:jc w:val="center"/>
            </w:pPr>
            <w:r w:rsidRPr="00F47872">
              <w:rPr>
                <w:rFonts w:ascii="Century Gothic" w:eastAsia="Arial" w:hAnsi="Century Gothic" w:cs="Arial"/>
                <w:sz w:val="16"/>
                <w:szCs w:val="16"/>
              </w:rPr>
              <w:t>CONTRATANTE</w:t>
            </w:r>
          </w:p>
        </w:tc>
        <w:tc>
          <w:tcPr>
            <w:tcW w:w="7300" w:type="dxa"/>
            <w:tcMar>
              <w:top w:w="60" w:type="dxa"/>
              <w:left w:w="100" w:type="dxa"/>
              <w:bottom w:w="60" w:type="dxa"/>
              <w:right w:w="100" w:type="dxa"/>
            </w:tcMar>
            <w:vAlign w:val="center"/>
          </w:tcPr>
          <w:p w14:paraId="0DE9B4A7" w14:textId="77777777" w:rsidR="00E00068" w:rsidRPr="00F47872" w:rsidRDefault="00A377E9">
            <w:pPr>
              <w:jc w:val="center"/>
            </w:pPr>
            <w:r w:rsidRPr="00F47872">
              <w:rPr>
                <w:rFonts w:ascii="Century Gothic" w:eastAsia="Arial" w:hAnsi="Century Gothic" w:cs="Arial"/>
                <w:sz w:val="16"/>
                <w:szCs w:val="16"/>
              </w:rPr>
              <w:t>INSTITUTO DISTRITAL DE DEPORTE Y RECREACIÓN – IDER · NIT 800.232.726-6</w:t>
            </w:r>
          </w:p>
        </w:tc>
      </w:tr>
      <w:tr w:rsidR="00E00068" w:rsidRPr="00F47872" w14:paraId="71AAA39C" w14:textId="77777777">
        <w:trPr>
          <w:cantSplit/>
          <w:jc w:val="center"/>
        </w:trPr>
        <w:tc>
          <w:tcPr>
            <w:tcW w:w="2200" w:type="dxa"/>
            <w:tcMar>
              <w:top w:w="60" w:type="dxa"/>
              <w:left w:w="100" w:type="dxa"/>
              <w:bottom w:w="60" w:type="dxa"/>
              <w:right w:w="100" w:type="dxa"/>
            </w:tcMar>
            <w:vAlign w:val="center"/>
          </w:tcPr>
          <w:p w14:paraId="52835199" w14:textId="77777777" w:rsidR="00E00068" w:rsidRPr="00F47872" w:rsidRDefault="00A377E9">
            <w:pPr>
              <w:jc w:val="center"/>
            </w:pPr>
            <w:r w:rsidRPr="00F47872">
              <w:rPr>
                <w:rFonts w:ascii="Century Gothic" w:eastAsia="Arial" w:hAnsi="Century Gothic" w:cs="Arial"/>
                <w:sz w:val="16"/>
                <w:szCs w:val="16"/>
              </w:rPr>
              <w:t>CONTRATISTA</w:t>
            </w:r>
          </w:p>
        </w:tc>
        <w:tc>
          <w:tcPr>
            <w:tcW w:w="7300" w:type="dxa"/>
            <w:tcMar>
              <w:top w:w="60" w:type="dxa"/>
              <w:left w:w="100" w:type="dxa"/>
              <w:bottom w:w="60" w:type="dxa"/>
              <w:right w:w="100" w:type="dxa"/>
            </w:tcMar>
            <w:vAlign w:val="center"/>
          </w:tcPr>
          <w:p w14:paraId="12DE352C" w14:textId="77777777" w:rsidR="00E00068" w:rsidRPr="00F47872" w:rsidRDefault="00A377E9">
            <w:pPr>
              <w:jc w:val="center"/>
            </w:pPr>
            <w:r w:rsidRPr="00F47872">
              <w:rPr>
                <w:rFonts w:ascii="Century Gothic" w:eastAsia="Arial" w:hAnsi="Century Gothic" w:cs="Arial"/>
                <w:sz w:val="16"/>
                <w:szCs w:val="16"/>
              </w:rPr>
              <w:t>______________________ · NIT/C.C. ______________</w:t>
            </w:r>
          </w:p>
        </w:tc>
      </w:tr>
      <w:tr w:rsidR="00E00068" w:rsidRPr="00F47872" w14:paraId="149FD86F" w14:textId="77777777">
        <w:trPr>
          <w:cantSplit/>
          <w:jc w:val="center"/>
        </w:trPr>
        <w:tc>
          <w:tcPr>
            <w:tcW w:w="2200" w:type="dxa"/>
            <w:tcMar>
              <w:top w:w="60" w:type="dxa"/>
              <w:left w:w="100" w:type="dxa"/>
              <w:bottom w:w="60" w:type="dxa"/>
              <w:right w:w="100" w:type="dxa"/>
            </w:tcMar>
            <w:vAlign w:val="center"/>
          </w:tcPr>
          <w:p w14:paraId="3A539494" w14:textId="77777777" w:rsidR="00E00068" w:rsidRPr="00F47872" w:rsidRDefault="00A377E9">
            <w:pPr>
              <w:jc w:val="center"/>
            </w:pPr>
            <w:r w:rsidRPr="00F47872">
              <w:rPr>
                <w:rFonts w:ascii="Century Gothic" w:eastAsia="Arial" w:hAnsi="Century Gothic" w:cs="Arial"/>
                <w:sz w:val="16"/>
                <w:szCs w:val="16"/>
              </w:rPr>
              <w:t>OBJETO</w:t>
            </w:r>
          </w:p>
        </w:tc>
        <w:tc>
          <w:tcPr>
            <w:tcW w:w="7300" w:type="dxa"/>
            <w:tcMar>
              <w:top w:w="60" w:type="dxa"/>
              <w:left w:w="100" w:type="dxa"/>
              <w:bottom w:w="60" w:type="dxa"/>
              <w:right w:w="100" w:type="dxa"/>
            </w:tcMar>
            <w:vAlign w:val="center"/>
          </w:tcPr>
          <w:p w14:paraId="3377C3D0" w14:textId="77777777" w:rsidR="00E00068" w:rsidRPr="00F47872" w:rsidRDefault="00A377E9">
            <w:pPr>
              <w:jc w:val="center"/>
            </w:pPr>
            <w:r w:rsidRPr="00F47872">
              <w:rPr>
                <w:rFonts w:ascii="Century Gothic" w:eastAsia="Arial" w:hAnsi="Century Gothic" w:cs="Arial"/>
                <w:sz w:val="16"/>
                <w:szCs w:val="16"/>
              </w:rPr>
              <w:t>SUMINISTRO DE AGROQUÍMICOS PARA EL MANTENIMIENTO DE LA GRAMA Y ZONAS VERDES DE LOS ESCENARIOS DEPORTIVOS DEL DISTRITO, VIGENCIA 2026</w:t>
            </w:r>
          </w:p>
        </w:tc>
      </w:tr>
      <w:tr w:rsidR="00E00068" w:rsidRPr="00F47872" w14:paraId="6F9566DD" w14:textId="77777777">
        <w:trPr>
          <w:cantSplit/>
          <w:jc w:val="center"/>
        </w:trPr>
        <w:tc>
          <w:tcPr>
            <w:tcW w:w="2200" w:type="dxa"/>
            <w:tcMar>
              <w:top w:w="60" w:type="dxa"/>
              <w:left w:w="100" w:type="dxa"/>
              <w:bottom w:w="60" w:type="dxa"/>
              <w:right w:w="100" w:type="dxa"/>
            </w:tcMar>
            <w:vAlign w:val="center"/>
          </w:tcPr>
          <w:p w14:paraId="533ED3F1" w14:textId="77777777" w:rsidR="00E00068" w:rsidRPr="00F47872" w:rsidRDefault="00A377E9">
            <w:pPr>
              <w:jc w:val="center"/>
            </w:pPr>
            <w:r w:rsidRPr="00F47872">
              <w:rPr>
                <w:rFonts w:ascii="Century Gothic" w:eastAsia="Arial" w:hAnsi="Century Gothic" w:cs="Arial"/>
                <w:sz w:val="16"/>
                <w:szCs w:val="16"/>
              </w:rPr>
              <w:t>VALOR</w:t>
            </w:r>
          </w:p>
        </w:tc>
        <w:tc>
          <w:tcPr>
            <w:tcW w:w="7300" w:type="dxa"/>
            <w:tcMar>
              <w:top w:w="60" w:type="dxa"/>
              <w:left w:w="100" w:type="dxa"/>
              <w:bottom w:w="60" w:type="dxa"/>
              <w:right w:w="100" w:type="dxa"/>
            </w:tcMar>
            <w:vAlign w:val="center"/>
          </w:tcPr>
          <w:p w14:paraId="2C55B88B" w14:textId="77777777" w:rsidR="00E00068" w:rsidRPr="00F47872" w:rsidRDefault="00A377E9">
            <w:pPr>
              <w:jc w:val="center"/>
            </w:pPr>
            <w:r w:rsidRPr="00F47872">
              <w:rPr>
                <w:rFonts w:ascii="Century Gothic" w:eastAsia="Arial" w:hAnsi="Century Gothic" w:cs="Arial"/>
                <w:sz w:val="16"/>
                <w:szCs w:val="16"/>
              </w:rPr>
              <w:t>Hasta $121.180.349,79 (monto agotable), IVA incluido</w:t>
            </w:r>
          </w:p>
        </w:tc>
      </w:tr>
      <w:tr w:rsidR="00E00068" w:rsidRPr="00F47872" w14:paraId="2CC035DC" w14:textId="77777777">
        <w:trPr>
          <w:cantSplit/>
          <w:jc w:val="center"/>
        </w:trPr>
        <w:tc>
          <w:tcPr>
            <w:tcW w:w="2200" w:type="dxa"/>
            <w:tcMar>
              <w:top w:w="60" w:type="dxa"/>
              <w:left w:w="100" w:type="dxa"/>
              <w:bottom w:w="60" w:type="dxa"/>
              <w:right w:w="100" w:type="dxa"/>
            </w:tcMar>
            <w:vAlign w:val="center"/>
          </w:tcPr>
          <w:p w14:paraId="5198193B" w14:textId="77777777" w:rsidR="00E00068" w:rsidRPr="00F47872" w:rsidRDefault="00A377E9">
            <w:pPr>
              <w:jc w:val="center"/>
            </w:pPr>
            <w:r w:rsidRPr="00F47872">
              <w:rPr>
                <w:rFonts w:ascii="Century Gothic" w:eastAsia="Arial" w:hAnsi="Century Gothic" w:cs="Arial"/>
                <w:sz w:val="16"/>
                <w:szCs w:val="16"/>
              </w:rPr>
              <w:t>PLAZO</w:t>
            </w:r>
          </w:p>
        </w:tc>
        <w:tc>
          <w:tcPr>
            <w:tcW w:w="7300" w:type="dxa"/>
            <w:tcMar>
              <w:top w:w="60" w:type="dxa"/>
              <w:left w:w="100" w:type="dxa"/>
              <w:bottom w:w="60" w:type="dxa"/>
              <w:right w:w="100" w:type="dxa"/>
            </w:tcMar>
            <w:vAlign w:val="center"/>
          </w:tcPr>
          <w:p w14:paraId="530CCA78" w14:textId="77777777" w:rsidR="00E00068" w:rsidRPr="00F47872" w:rsidRDefault="00A377E9">
            <w:pPr>
              <w:jc w:val="center"/>
            </w:pPr>
            <w:r w:rsidRPr="00F47872">
              <w:rPr>
                <w:rFonts w:ascii="Century Gothic" w:eastAsia="Arial" w:hAnsi="Century Gothic" w:cs="Arial"/>
                <w:sz w:val="16"/>
                <w:szCs w:val="16"/>
              </w:rPr>
              <w:t>Hasta el 31 de diciembre de 2026, a partir del acta de inicio</w:t>
            </w:r>
          </w:p>
        </w:tc>
      </w:tr>
      <w:tr w:rsidR="00E00068" w:rsidRPr="00F47872" w14:paraId="00777484" w14:textId="77777777">
        <w:trPr>
          <w:cantSplit/>
          <w:jc w:val="center"/>
        </w:trPr>
        <w:tc>
          <w:tcPr>
            <w:tcW w:w="2200" w:type="dxa"/>
            <w:tcMar>
              <w:top w:w="60" w:type="dxa"/>
              <w:left w:w="100" w:type="dxa"/>
              <w:bottom w:w="60" w:type="dxa"/>
              <w:right w:w="100" w:type="dxa"/>
            </w:tcMar>
            <w:vAlign w:val="center"/>
          </w:tcPr>
          <w:p w14:paraId="64DF11B6" w14:textId="77777777" w:rsidR="00E00068" w:rsidRPr="00F47872" w:rsidRDefault="00A377E9">
            <w:pPr>
              <w:jc w:val="center"/>
            </w:pPr>
            <w:r w:rsidRPr="00F47872">
              <w:rPr>
                <w:rFonts w:ascii="Century Gothic" w:eastAsia="Arial" w:hAnsi="Century Gothic" w:cs="Arial"/>
                <w:sz w:val="16"/>
                <w:szCs w:val="16"/>
              </w:rPr>
              <w:t>CDP</w:t>
            </w:r>
          </w:p>
        </w:tc>
        <w:tc>
          <w:tcPr>
            <w:tcW w:w="7300" w:type="dxa"/>
            <w:tcMar>
              <w:top w:w="60" w:type="dxa"/>
              <w:left w:w="100" w:type="dxa"/>
              <w:bottom w:w="60" w:type="dxa"/>
              <w:right w:w="100" w:type="dxa"/>
            </w:tcMar>
            <w:vAlign w:val="center"/>
          </w:tcPr>
          <w:p w14:paraId="5CB75652" w14:textId="77777777" w:rsidR="00E00068" w:rsidRPr="00F47872" w:rsidRDefault="00A377E9">
            <w:pPr>
              <w:jc w:val="center"/>
            </w:pPr>
            <w:r w:rsidRPr="00F47872">
              <w:rPr>
                <w:rFonts w:ascii="Century Gothic" w:eastAsia="Arial" w:hAnsi="Century Gothic" w:cs="Arial"/>
                <w:sz w:val="16"/>
                <w:szCs w:val="16"/>
              </w:rPr>
              <w:t>No. 133 del 6 de agosto de 2026</w:t>
            </w:r>
          </w:p>
        </w:tc>
      </w:tr>
    </w:tbl>
    <w:p w14:paraId="01BD8E93" w14:textId="77777777" w:rsidR="00E00068" w:rsidRPr="00F47872" w:rsidRDefault="00E00068">
      <w:pPr>
        <w:spacing w:after="60" w:line="264" w:lineRule="auto"/>
      </w:pPr>
    </w:p>
    <w:p w14:paraId="60134DBB" w14:textId="77777777" w:rsidR="00E00068" w:rsidRPr="00F47872" w:rsidRDefault="00A377E9">
      <w:pPr>
        <w:spacing w:after="120" w:line="264" w:lineRule="auto"/>
        <w:jc w:val="both"/>
      </w:pPr>
      <w:r w:rsidRPr="00F47872">
        <w:rPr>
          <w:rFonts w:ascii="Century Gothic" w:eastAsia="Arial" w:hAnsi="Century Gothic" w:cs="Arial"/>
          <w:sz w:val="18"/>
          <w:szCs w:val="18"/>
        </w:rPr>
        <w:t xml:space="preserve">Entre ANDRÉS ALBERTO PORRAS VILLAMIL, identificado con cédula de ciudadanía No. 1.047.374.029, nombrado mediante Decreto No. 0242 del 12 de junio de 2026, expedido por el Alcalde Distrital de Cartagena de Indias, y posesionado mediante acta del 12 de junio de 2026, quien actúa en representación del INSTITUTO DISTRITAL DE DEPORTE Y RECREACIÓN – IDER, identificado con NIT 800.232.726-6 (en adelante la "Entidad"), por una parte; y, por la otra, ______________________, identificado con cédula de ciudadanía No. </w:t>
      </w:r>
      <w:r w:rsidRPr="00F47872">
        <w:rPr>
          <w:rFonts w:ascii="Century Gothic" w:eastAsia="Arial" w:hAnsi="Century Gothic" w:cs="Arial"/>
          <w:sz w:val="18"/>
          <w:szCs w:val="18"/>
        </w:rPr>
        <w:t>______________, quien actúa como representante legal de ______________________, identificada con NIT ______________ (en adelante el "Contratista"), según consta en el Formato 1 – Carta de presentación de la oferta, hemos convenido celebrar el presente contrato de suministro, previas las siguientes consideraciones:</w:t>
      </w:r>
    </w:p>
    <w:p w14:paraId="5F99EA57"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I. Que la Oficina Asesora de Infraestructura elaboró los estudios y documentos previos en los que se estableció la necesidad de contratar el suministro de agroquímicos para el mantenimiento de la grama y zonas verdes de los escenarios deportivos administrados por el IDER.</w:t>
      </w:r>
    </w:p>
    <w:p w14:paraId="2EBFF04F"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II. Que la contratación cuenta con el Certificado de Disponibilidad Presupuestal No. 133 del 6 de agosto de 2026.</w:t>
      </w:r>
    </w:p>
    <w:p w14:paraId="1472E556"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III. Que el 19 de octubre de 2026 la Entidad publicó en el SECOP II el aviso de convocatoria, los estudios previos y el proyecto de pliego de condiciones del Proceso de Contratación No. SASI-IDER-002-2026.</w:t>
      </w:r>
    </w:p>
    <w:p w14:paraId="16D4D788"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IV. Que mediante Resolución No. ______ del ____ de octubre de 2026 la Entidad ordenó la apertura del proceso de selección abreviada por subasta inversa electrónica No. SASI-IDER-002-2026.</w:t>
      </w:r>
    </w:p>
    <w:p w14:paraId="7E5D3439"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V. Que, surtida la audiencia de subasta inversa electrónica, mediante Resolución No. ______ del ____ de noviembre de 2026 la Entidad adjudicó el contrato al Contratista, por haber presentado el lance más bajo entre los proponentes habilitados.</w:t>
      </w:r>
    </w:p>
    <w:p w14:paraId="58A97B45" w14:textId="77777777" w:rsidR="00E00068" w:rsidRPr="00F47872" w:rsidRDefault="00A377E9">
      <w:pPr>
        <w:spacing w:before="120" w:after="120" w:line="264" w:lineRule="auto"/>
        <w:jc w:val="both"/>
      </w:pPr>
      <w:r w:rsidRPr="00F47872">
        <w:rPr>
          <w:rFonts w:ascii="Century Gothic" w:eastAsia="Arial" w:hAnsi="Century Gothic" w:cs="Arial"/>
          <w:sz w:val="18"/>
          <w:szCs w:val="18"/>
        </w:rPr>
        <w:t>Con base en las anteriores consideraciones, la Entidad y el Contratista (individualmente la "Parte" y conjuntamente las "Partes") acuerdan que el presente contrato se regirá por las Leyes 80 de 1993, 1150 de 2007, 1474 de 2011 y 1882 de 2018, el Decreto Ley 019 de 2012, el Decreto 1082 de 2015, el Código Civil, el Código de Comercio y las normas que los modifiquen, adicionen o sustituyan, y por las siguientes cláusulas:</w:t>
      </w:r>
    </w:p>
    <w:p w14:paraId="78EAFCF9"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lastRenderedPageBreak/>
        <w:t>CLÁUSULA 1. DEFINICIONES</w:t>
      </w:r>
    </w:p>
    <w:p w14:paraId="69F7E6C6" w14:textId="77777777" w:rsidR="00E00068" w:rsidRPr="00F47872" w:rsidRDefault="00A377E9">
      <w:pPr>
        <w:spacing w:after="120" w:line="264" w:lineRule="auto"/>
        <w:jc w:val="both"/>
      </w:pPr>
      <w:r w:rsidRPr="00F47872">
        <w:rPr>
          <w:rFonts w:ascii="Century Gothic" w:eastAsia="Arial" w:hAnsi="Century Gothic" w:cs="Arial"/>
          <w:sz w:val="18"/>
          <w:szCs w:val="18"/>
        </w:rPr>
        <w:t>Los términos definidos se utilizan en singular y en plural según lo requiera el contexto. Los términos con mayúscula inicial deben entenderse de acuerdo con la definición contenida en el artículo 2.2.1.1.1.3.1 del Decreto 1082 de 2015 y en el pliego de condiciones del proceso. Los términos no definidos deben entenderse de acuerdo con su significado natural y obvio.</w:t>
      </w:r>
    </w:p>
    <w:p w14:paraId="665D1FC1"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2. OBJETO</w:t>
      </w:r>
    </w:p>
    <w:p w14:paraId="1D98298C" w14:textId="77777777" w:rsidR="00E00068" w:rsidRPr="00F47872" w:rsidRDefault="00A377E9">
      <w:pPr>
        <w:spacing w:after="120" w:line="264" w:lineRule="auto"/>
        <w:jc w:val="both"/>
      </w:pPr>
      <w:r w:rsidRPr="00F47872">
        <w:rPr>
          <w:rFonts w:ascii="Century Gothic" w:eastAsia="Arial" w:hAnsi="Century Gothic" w:cs="Arial"/>
          <w:sz w:val="18"/>
          <w:szCs w:val="18"/>
        </w:rPr>
        <w:t>El objeto del contrato es el «SUMINISTRO DE AGROQUÍMICOS PARA EL MANTENIMIENTO DE LA GRAMA Y ZONAS VERDES DE LOS ESCENARIOS DEPORTIVOS DEL DISTRITO, EN EL MARCO DEL PROYECTO DE INVERSIÓN: FORTALECIMIENTO Y MEJORAMIENTO DE LA RED DE INFRAESTRUCTURA DEPORTIVA, QUE INCLUYE LA ZONA INSULAR DE CARTAGENA, VIGENCIA 2026», de acuerdo con las especificaciones técnicas del Anexo Técnico No. 1 – Fichas Técnicas y la oferta presentada por el Contratista.</w:t>
      </w:r>
    </w:p>
    <w:p w14:paraId="717EB20E"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3. PLAZO DEL CONTRATO</w:t>
      </w:r>
    </w:p>
    <w:p w14:paraId="2481A6E4" w14:textId="77777777" w:rsidR="00E00068" w:rsidRPr="00F47872" w:rsidRDefault="00A377E9">
      <w:pPr>
        <w:spacing w:after="120" w:line="264" w:lineRule="auto"/>
        <w:jc w:val="both"/>
      </w:pPr>
      <w:r w:rsidRPr="00F47872">
        <w:rPr>
          <w:rFonts w:ascii="Century Gothic" w:eastAsia="Arial" w:hAnsi="Century Gothic" w:cs="Arial"/>
          <w:sz w:val="18"/>
          <w:szCs w:val="18"/>
        </w:rPr>
        <w:t>El contrato tendrá un plazo de ejecución hasta el treinta y uno (31) de diciembre de 2026, contado a partir de la suscripción del acta de inicio, previo cumplimiento de los requisitos de perfeccionamiento y ejecución del contrato.</w:t>
      </w:r>
    </w:p>
    <w:p w14:paraId="1CEC5092"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4. VALOR DEL CONTRATO Y PRECIOS UNITARIOS</w:t>
      </w:r>
    </w:p>
    <w:p w14:paraId="30DBBF6A" w14:textId="77777777" w:rsidR="00E00068" w:rsidRPr="00F47872" w:rsidRDefault="00A377E9">
      <w:pPr>
        <w:spacing w:after="120" w:line="264" w:lineRule="auto"/>
        <w:jc w:val="both"/>
      </w:pPr>
      <w:r w:rsidRPr="00F47872">
        <w:rPr>
          <w:rFonts w:ascii="Century Gothic" w:eastAsia="Arial" w:hAnsi="Century Gothic" w:cs="Arial"/>
          <w:sz w:val="18"/>
          <w:szCs w:val="18"/>
        </w:rPr>
        <w:t>El valor del contrato es hasta por la suma de CIENTO VEINTIÚN MILLONES CIENTO OCHENTA MIL TRESCIENTOS CUARENTA Y NUEVE PESOS CON SETENTA Y NUEVE CENTAVOS M/CTE ($121.180.349,79), IVA incluido, equivalentes a sesenta y nueve punto veintiún (69,21) SMMLV de 2026. El contrato se ejecutará bajo la modalidad de monto agotable, aplicando los precios unitarios definitivos a las cantidades que solicite la supervisión durante su ejecución, hasta agotar dicho valor o hasta el vencimiento del plazo, lo que ocurra prim</w:t>
      </w:r>
      <w:r w:rsidRPr="00F47872">
        <w:rPr>
          <w:rFonts w:ascii="Century Gothic" w:eastAsia="Arial" w:hAnsi="Century Gothic" w:cs="Arial"/>
          <w:sz w:val="18"/>
          <w:szCs w:val="18"/>
        </w:rPr>
        <w:t>ero.</w:t>
      </w:r>
    </w:p>
    <w:p w14:paraId="794B1F32" w14:textId="77777777" w:rsidR="00E00068" w:rsidRPr="00F47872" w:rsidRDefault="00A377E9">
      <w:pPr>
        <w:spacing w:after="120" w:line="264" w:lineRule="auto"/>
        <w:jc w:val="both"/>
      </w:pPr>
      <w:r w:rsidRPr="00F47872">
        <w:rPr>
          <w:rFonts w:ascii="Century Gothic" w:eastAsia="Arial" w:hAnsi="Century Gothic" w:cs="Arial"/>
          <w:b/>
          <w:bCs/>
          <w:sz w:val="18"/>
          <w:szCs w:val="18"/>
        </w:rPr>
        <w:t>PARÁGRAFO PRIMERO. Precios unitarios.</w:t>
      </w:r>
      <w:r w:rsidRPr="00F47872">
        <w:rPr>
          <w:rFonts w:ascii="Century Gothic" w:eastAsia="Arial" w:hAnsi="Century Gothic" w:cs="Arial"/>
          <w:sz w:val="18"/>
          <w:szCs w:val="18"/>
        </w:rPr>
        <w:t xml:space="preserve"> Los precios unitarios definitivos del contrato son los que resultan de aplicar a cada uno de los precios unitarios ofertados por el Contratista en el Formulario 1 el porcentaje de descuento obtenido en la audiencia de subasta inversa, conforme a la distribución proporcional prevista en el pliego de condiciones. Dichos precios, que no podrán superar los precios unitarios techo del estudio de mercado, constan en el Formulario 1 ajustado que el Contratista presentó con posterioridad a la subasta, el cual hace</w:t>
      </w:r>
      <w:r w:rsidRPr="00F47872">
        <w:rPr>
          <w:rFonts w:ascii="Century Gothic" w:eastAsia="Arial" w:hAnsi="Century Gothic" w:cs="Arial"/>
          <w:sz w:val="18"/>
          <w:szCs w:val="18"/>
        </w:rPr>
        <w:t xml:space="preserve"> parte integral del presente contrato, y permanecerán fijos durante la ejecución.</w:t>
      </w:r>
    </w:p>
    <w:p w14:paraId="51F8AB43" w14:textId="77777777" w:rsidR="00E00068" w:rsidRPr="00F47872" w:rsidRDefault="00A377E9">
      <w:pPr>
        <w:spacing w:after="120" w:line="264" w:lineRule="auto"/>
        <w:jc w:val="both"/>
      </w:pPr>
      <w:r w:rsidRPr="00F47872">
        <w:rPr>
          <w:rFonts w:ascii="Century Gothic" w:eastAsia="Arial" w:hAnsi="Century Gothic" w:cs="Arial"/>
          <w:b/>
          <w:bCs/>
          <w:sz w:val="18"/>
          <w:szCs w:val="18"/>
        </w:rPr>
        <w:t>PARÁGRAFO SEGUNDO. Descuentos.</w:t>
      </w:r>
      <w:r w:rsidRPr="00F47872">
        <w:rPr>
          <w:rFonts w:ascii="Century Gothic" w:eastAsia="Arial" w:hAnsi="Century Gothic" w:cs="Arial"/>
          <w:sz w:val="18"/>
          <w:szCs w:val="18"/>
        </w:rPr>
        <w:t xml:space="preserve"> Sobre los pagos que se realicen se aplicarán las retenciones de ley y los siguientes descuentos: Estampilla Universidad de Cartagena (1 %), Estampilla Años Dorados – Cartagena de Indias (2 %), Estampilla Prodeporte – Cartagena de Indias (2,5 %), Estampilla para la Justicia Familiar (2 %) e Impuesto de Industria y Comercio (8 x 1.000).</w:t>
      </w:r>
    </w:p>
    <w:p w14:paraId="4BCF0AF9" w14:textId="77777777" w:rsidR="00E00068" w:rsidRPr="00F47872" w:rsidRDefault="00A377E9">
      <w:pPr>
        <w:spacing w:after="120" w:line="264" w:lineRule="auto"/>
        <w:jc w:val="both"/>
      </w:pPr>
      <w:r w:rsidRPr="00F47872">
        <w:rPr>
          <w:rFonts w:ascii="Century Gothic" w:eastAsia="Arial" w:hAnsi="Century Gothic" w:cs="Arial"/>
          <w:b/>
          <w:bCs/>
          <w:sz w:val="18"/>
          <w:szCs w:val="18"/>
        </w:rPr>
        <w:t>PARÁGRAFO TERCERO.</w:t>
      </w:r>
      <w:r w:rsidRPr="00F47872">
        <w:rPr>
          <w:rFonts w:ascii="Century Gothic" w:eastAsia="Arial" w:hAnsi="Century Gothic" w:cs="Arial"/>
          <w:sz w:val="18"/>
          <w:szCs w:val="18"/>
        </w:rPr>
        <w:t xml:space="preserve"> El Contratista acepta que, cuando el valor total a pagar tenga centavos, estos se ajusten al peso, por exceso o por defecto según sean iguales o superiores o inferiores a cincuenta (50) centavos, sin que se sobrepase el valor total del contrato. Si al terminar el plazo no se agota el valor del contrato, el saldo no ejecutado se liberará en la liquidación, sin que ello genere reconocimiento alguno a favor del Contratista.</w:t>
      </w:r>
    </w:p>
    <w:p w14:paraId="60E4BFEE"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5. APROPIACIÓN PRESUPUESTAL</w:t>
      </w:r>
    </w:p>
    <w:p w14:paraId="42A4069F" w14:textId="77777777" w:rsidR="00E00068" w:rsidRPr="00F47872" w:rsidRDefault="00A377E9">
      <w:pPr>
        <w:spacing w:after="120" w:line="264" w:lineRule="auto"/>
        <w:jc w:val="both"/>
      </w:pPr>
      <w:r w:rsidRPr="00F47872">
        <w:rPr>
          <w:rFonts w:ascii="Century Gothic" w:eastAsia="Arial" w:hAnsi="Century Gothic" w:cs="Arial"/>
          <w:sz w:val="18"/>
          <w:szCs w:val="18"/>
        </w:rPr>
        <w:t>El pago de la suma estipulada en este contrato se sujetará a la apropiación presupuestal correspondiente y, específicamente, al siguiente Certificado de Disponibilidad Presupuestal:</w:t>
      </w:r>
    </w:p>
    <w:tbl>
      <w:tblPr>
        <w:tblW w:w="9500" w:type="dxa"/>
        <w:jc w:val="center"/>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4A0" w:firstRow="1" w:lastRow="0" w:firstColumn="1" w:lastColumn="0" w:noHBand="0" w:noVBand="1"/>
      </w:tblPr>
      <w:tblGrid>
        <w:gridCol w:w="1100"/>
        <w:gridCol w:w="1700"/>
        <w:gridCol w:w="3300"/>
        <w:gridCol w:w="1700"/>
        <w:gridCol w:w="1700"/>
      </w:tblGrid>
      <w:tr w:rsidR="00E00068" w:rsidRPr="00F47872" w14:paraId="58A5EF54" w14:textId="77777777" w:rsidTr="00F47872">
        <w:trPr>
          <w:cantSplit/>
          <w:jc w:val="center"/>
        </w:trPr>
        <w:tc>
          <w:tcPr>
            <w:tcW w:w="1100" w:type="dxa"/>
            <w:shd w:val="clear" w:color="auto" w:fill="7F7F7F" w:themeFill="text1" w:themeFillTint="80"/>
            <w:tcMar>
              <w:top w:w="60" w:type="dxa"/>
              <w:left w:w="100" w:type="dxa"/>
              <w:bottom w:w="60" w:type="dxa"/>
              <w:right w:w="100" w:type="dxa"/>
            </w:tcMar>
            <w:vAlign w:val="center"/>
          </w:tcPr>
          <w:p w14:paraId="299ED097"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lastRenderedPageBreak/>
              <w:t>No. CDP</w:t>
            </w:r>
          </w:p>
        </w:tc>
        <w:tc>
          <w:tcPr>
            <w:tcW w:w="1700" w:type="dxa"/>
            <w:shd w:val="clear" w:color="auto" w:fill="7F7F7F" w:themeFill="text1" w:themeFillTint="80"/>
            <w:tcMar>
              <w:top w:w="60" w:type="dxa"/>
              <w:left w:w="100" w:type="dxa"/>
              <w:bottom w:w="60" w:type="dxa"/>
              <w:right w:w="100" w:type="dxa"/>
            </w:tcMar>
            <w:vAlign w:val="center"/>
          </w:tcPr>
          <w:p w14:paraId="4CB4E7A1"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t>Fecha</w:t>
            </w:r>
          </w:p>
        </w:tc>
        <w:tc>
          <w:tcPr>
            <w:tcW w:w="3300" w:type="dxa"/>
            <w:shd w:val="clear" w:color="auto" w:fill="7F7F7F" w:themeFill="text1" w:themeFillTint="80"/>
            <w:tcMar>
              <w:top w:w="60" w:type="dxa"/>
              <w:left w:w="100" w:type="dxa"/>
              <w:bottom w:w="60" w:type="dxa"/>
              <w:right w:w="100" w:type="dxa"/>
            </w:tcMar>
            <w:vAlign w:val="center"/>
          </w:tcPr>
          <w:p w14:paraId="5326DCDC"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t>Proyecto de inversión</w:t>
            </w:r>
          </w:p>
        </w:tc>
        <w:tc>
          <w:tcPr>
            <w:tcW w:w="1700" w:type="dxa"/>
            <w:shd w:val="clear" w:color="auto" w:fill="7F7F7F" w:themeFill="text1" w:themeFillTint="80"/>
            <w:tcMar>
              <w:top w:w="60" w:type="dxa"/>
              <w:left w:w="100" w:type="dxa"/>
              <w:bottom w:w="60" w:type="dxa"/>
              <w:right w:w="100" w:type="dxa"/>
            </w:tcMar>
            <w:vAlign w:val="center"/>
          </w:tcPr>
          <w:p w14:paraId="14F3C7CE"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t>Valor del CDP</w:t>
            </w:r>
          </w:p>
        </w:tc>
        <w:tc>
          <w:tcPr>
            <w:tcW w:w="1700" w:type="dxa"/>
            <w:shd w:val="clear" w:color="auto" w:fill="7F7F7F" w:themeFill="text1" w:themeFillTint="80"/>
            <w:tcMar>
              <w:top w:w="60" w:type="dxa"/>
              <w:left w:w="100" w:type="dxa"/>
              <w:bottom w:w="60" w:type="dxa"/>
              <w:right w:w="100" w:type="dxa"/>
            </w:tcMar>
            <w:vAlign w:val="center"/>
          </w:tcPr>
          <w:p w14:paraId="6744E22E"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t>Valor a comprometer</w:t>
            </w:r>
          </w:p>
        </w:tc>
      </w:tr>
      <w:tr w:rsidR="00E00068" w:rsidRPr="00F47872" w14:paraId="1D293D2D" w14:textId="77777777">
        <w:trPr>
          <w:cantSplit/>
          <w:jc w:val="center"/>
        </w:trPr>
        <w:tc>
          <w:tcPr>
            <w:tcW w:w="1100" w:type="dxa"/>
            <w:tcMar>
              <w:top w:w="60" w:type="dxa"/>
              <w:left w:w="100" w:type="dxa"/>
              <w:bottom w:w="60" w:type="dxa"/>
              <w:right w:w="100" w:type="dxa"/>
            </w:tcMar>
            <w:vAlign w:val="center"/>
          </w:tcPr>
          <w:p w14:paraId="70DB4394" w14:textId="77777777" w:rsidR="00E00068" w:rsidRPr="00F47872" w:rsidRDefault="00A377E9">
            <w:pPr>
              <w:jc w:val="center"/>
            </w:pPr>
            <w:r w:rsidRPr="00F47872">
              <w:rPr>
                <w:rFonts w:ascii="Century Gothic" w:eastAsia="Arial" w:hAnsi="Century Gothic" w:cs="Arial"/>
                <w:sz w:val="16"/>
                <w:szCs w:val="16"/>
              </w:rPr>
              <w:t>133</w:t>
            </w:r>
          </w:p>
        </w:tc>
        <w:tc>
          <w:tcPr>
            <w:tcW w:w="1700" w:type="dxa"/>
            <w:tcMar>
              <w:top w:w="60" w:type="dxa"/>
              <w:left w:w="100" w:type="dxa"/>
              <w:bottom w:w="60" w:type="dxa"/>
              <w:right w:w="100" w:type="dxa"/>
            </w:tcMar>
            <w:vAlign w:val="center"/>
          </w:tcPr>
          <w:p w14:paraId="26BC6B58" w14:textId="77777777" w:rsidR="00E00068" w:rsidRPr="00F47872" w:rsidRDefault="00A377E9">
            <w:pPr>
              <w:jc w:val="center"/>
            </w:pPr>
            <w:r w:rsidRPr="00F47872">
              <w:rPr>
                <w:rFonts w:ascii="Century Gothic" w:eastAsia="Arial" w:hAnsi="Century Gothic" w:cs="Arial"/>
                <w:sz w:val="16"/>
                <w:szCs w:val="16"/>
              </w:rPr>
              <w:t>6 de agosto de 2026</w:t>
            </w:r>
          </w:p>
        </w:tc>
        <w:tc>
          <w:tcPr>
            <w:tcW w:w="3300" w:type="dxa"/>
            <w:tcMar>
              <w:top w:w="60" w:type="dxa"/>
              <w:left w:w="100" w:type="dxa"/>
              <w:bottom w:w="60" w:type="dxa"/>
              <w:right w:w="100" w:type="dxa"/>
            </w:tcMar>
            <w:vAlign w:val="center"/>
          </w:tcPr>
          <w:p w14:paraId="256EDC12" w14:textId="77777777" w:rsidR="00E00068" w:rsidRPr="00F47872" w:rsidRDefault="00A377E9">
            <w:pPr>
              <w:jc w:val="center"/>
            </w:pPr>
            <w:r w:rsidRPr="00F47872">
              <w:rPr>
                <w:rFonts w:ascii="Century Gothic" w:eastAsia="Arial" w:hAnsi="Century Gothic" w:cs="Arial"/>
                <w:sz w:val="16"/>
                <w:szCs w:val="16"/>
              </w:rPr>
              <w:t>Fortalecimiento y mejoramiento de la red de infraestructura deportiva, que incluye la zona insular de Cartagena</w:t>
            </w:r>
          </w:p>
        </w:tc>
        <w:tc>
          <w:tcPr>
            <w:tcW w:w="1700" w:type="dxa"/>
            <w:tcMar>
              <w:top w:w="60" w:type="dxa"/>
              <w:left w:w="100" w:type="dxa"/>
              <w:bottom w:w="60" w:type="dxa"/>
              <w:right w:w="100" w:type="dxa"/>
            </w:tcMar>
            <w:vAlign w:val="center"/>
          </w:tcPr>
          <w:p w14:paraId="28FD74DC" w14:textId="77777777" w:rsidR="00E00068" w:rsidRPr="00F47872" w:rsidRDefault="00A377E9">
            <w:pPr>
              <w:jc w:val="center"/>
            </w:pPr>
            <w:r w:rsidRPr="00F47872">
              <w:rPr>
                <w:rFonts w:ascii="Century Gothic" w:eastAsia="Arial" w:hAnsi="Century Gothic" w:cs="Arial"/>
                <w:sz w:val="16"/>
                <w:szCs w:val="16"/>
              </w:rPr>
              <w:t>$121.182.895,00</w:t>
            </w:r>
          </w:p>
        </w:tc>
        <w:tc>
          <w:tcPr>
            <w:tcW w:w="1700" w:type="dxa"/>
            <w:tcMar>
              <w:top w:w="60" w:type="dxa"/>
              <w:left w:w="100" w:type="dxa"/>
              <w:bottom w:w="60" w:type="dxa"/>
              <w:right w:w="100" w:type="dxa"/>
            </w:tcMar>
            <w:vAlign w:val="center"/>
          </w:tcPr>
          <w:p w14:paraId="1E78D8FE" w14:textId="77777777" w:rsidR="00E00068" w:rsidRPr="00F47872" w:rsidRDefault="00A377E9">
            <w:pPr>
              <w:jc w:val="center"/>
            </w:pPr>
            <w:r w:rsidRPr="00F47872">
              <w:rPr>
                <w:rFonts w:ascii="Century Gothic" w:eastAsia="Arial" w:hAnsi="Century Gothic" w:cs="Arial"/>
                <w:sz w:val="16"/>
                <w:szCs w:val="16"/>
              </w:rPr>
              <w:t>$121.180.349,79</w:t>
            </w:r>
          </w:p>
        </w:tc>
      </w:tr>
    </w:tbl>
    <w:p w14:paraId="521CA3F7" w14:textId="77777777" w:rsidR="00E00068" w:rsidRPr="00F47872" w:rsidRDefault="00E00068">
      <w:pPr>
        <w:spacing w:after="60" w:line="264" w:lineRule="auto"/>
      </w:pPr>
    </w:p>
    <w:p w14:paraId="2FCB128C"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6. FORMA DE PAGO</w:t>
      </w:r>
    </w:p>
    <w:p w14:paraId="1C935A35" w14:textId="77777777" w:rsidR="00E00068" w:rsidRPr="00F47872" w:rsidRDefault="00A377E9">
      <w:pPr>
        <w:spacing w:after="120" w:line="264" w:lineRule="auto"/>
        <w:jc w:val="both"/>
      </w:pPr>
      <w:r w:rsidRPr="00F47872">
        <w:rPr>
          <w:rFonts w:ascii="Century Gothic" w:eastAsia="Arial" w:hAnsi="Century Gothic" w:cs="Arial"/>
          <w:sz w:val="18"/>
          <w:szCs w:val="18"/>
        </w:rPr>
        <w:t>El IDER pagará al Contratista el valor del contrato mediante pagos parciales, cuyo valor corresponderá a las cantidades efectivamente entregadas y recibidas a satisfacción por la supervisión en cada entrega, liquidadas con los precios unitarios definitivos del contrato.</w:t>
      </w:r>
    </w:p>
    <w:p w14:paraId="5BF85275" w14:textId="77777777" w:rsidR="00E00068" w:rsidRPr="00F47872" w:rsidRDefault="00A377E9">
      <w:pPr>
        <w:spacing w:after="120" w:line="264" w:lineRule="auto"/>
        <w:jc w:val="both"/>
      </w:pPr>
      <w:r w:rsidRPr="00F47872">
        <w:rPr>
          <w:rFonts w:ascii="Century Gothic" w:eastAsia="Arial" w:hAnsi="Century Gothic" w:cs="Arial"/>
          <w:sz w:val="18"/>
          <w:szCs w:val="18"/>
        </w:rPr>
        <w:t>Cada pago se realizará previa presentación de la factura electrónica, el acta o certificación de recibo a satisfacción suscrita por el supervisor y la acreditación del pago de los aportes al Sistema de Seguridad Social Integral y parafiscales (salud, riesgos laborales, pensiones, Cajas de Compensación Familiar, ICBF y SENA), conforme al artículo 50 de la Ley 789 de 2002 y al artículo 23 de la Ley 1150 de 2007, junto con los demás documentos que exija la Dirección Administrativa y Financiera.</w:t>
      </w:r>
    </w:p>
    <w:p w14:paraId="60803CFA" w14:textId="77777777" w:rsidR="00E00068" w:rsidRPr="00F47872" w:rsidRDefault="00A377E9">
      <w:pPr>
        <w:spacing w:after="120" w:line="264" w:lineRule="auto"/>
        <w:jc w:val="both"/>
      </w:pPr>
      <w:r w:rsidRPr="00F47872">
        <w:rPr>
          <w:rFonts w:ascii="Century Gothic" w:eastAsia="Arial" w:hAnsi="Century Gothic" w:cs="Arial"/>
          <w:sz w:val="18"/>
          <w:szCs w:val="18"/>
        </w:rPr>
        <w:t>El IDER no será responsable por la demora en el pago cuando esta se deba a que la documentación soporte de las facturas se encuentre incompleta o no se ajuste a las condiciones establecidas.</w:t>
      </w:r>
    </w:p>
    <w:p w14:paraId="32B020EE"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7. OBLIGACIONES GENERALES DEL CONTRATISTA</w:t>
      </w:r>
    </w:p>
    <w:p w14:paraId="29EC29B2" w14:textId="77777777" w:rsidR="00E00068" w:rsidRPr="00F47872" w:rsidRDefault="00A377E9">
      <w:pPr>
        <w:spacing w:after="120" w:line="264" w:lineRule="auto"/>
        <w:jc w:val="both"/>
      </w:pPr>
      <w:r w:rsidRPr="00F47872">
        <w:rPr>
          <w:rFonts w:ascii="Century Gothic" w:eastAsia="Arial" w:hAnsi="Century Gothic" w:cs="Arial"/>
          <w:sz w:val="18"/>
          <w:szCs w:val="18"/>
        </w:rPr>
        <w:t>Además de las derivadas de la esencia y naturaleza del contrato, la ley, el pliego de condiciones y demás documentos del proceso, el Contratista se obliga a:</w:t>
      </w:r>
    </w:p>
    <w:p w14:paraId="64086655"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a) Cumplir a cabalidad el objeto del contrato, de acuerdo con las especificaciones técnicas y dentro del plazo pactado.</w:t>
      </w:r>
    </w:p>
    <w:p w14:paraId="314AAE76"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b) Entregar los bienes ofrecidos en su propuesta de conformidad con las especificaciones técnicas exigidas y en las cantidades que establezca el supervisor del contrato.</w:t>
      </w:r>
    </w:p>
    <w:p w14:paraId="1913A7B5"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c) Responder por la calidad de los bienes entregados y establecer un protocolo de cambio cuando presenten defectos de fábrica o no cumplan las especificaciones de las fichas técnicas. El plazo máximo para el cambio será de cinco (5) días siguientes a la notificación que haga el supervisor.</w:t>
      </w:r>
    </w:p>
    <w:p w14:paraId="22157F22"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d) Garantizar al IDER la calidad de todos y cada uno de los productos entregados por el término mínimo consignado en la oferta, contado a partir de su entrega efectiva.</w:t>
      </w:r>
    </w:p>
    <w:p w14:paraId="2DBAED8E"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e) Remitir al supervisor la planilla o remisión de cada entrega.</w:t>
      </w:r>
    </w:p>
    <w:p w14:paraId="77382EE2"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f) Acreditar, conforme al artículo 50 de la Ley 789 de 2002, el pago de los aportes de sus empleados a los sistemas de salud, riesgos laborales, pensiones, Cajas de Compensación Familiar, ICBF y SENA, cuando a ello haya lugar, mediante certificación del revisor fiscal o del representante legal.</w:t>
      </w:r>
    </w:p>
    <w:p w14:paraId="416B8D30"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g) Atender en los plazos que fije el IDER los requerimientos de aclaración o de información que se le formulen.</w:t>
      </w:r>
    </w:p>
    <w:p w14:paraId="5614324B"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h) Obrar con lealtad y buena fe en las distintas etapas contractuales.</w:t>
      </w:r>
    </w:p>
    <w:p w14:paraId="5FDA4880"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i) Informar inmediatamente al IDER y a las autoridades competentes cuando se presenten peticiones o amenazas de quienes actúen por fuera de la ley con el fin de obligarlo a hacer u omitir algún acto o hecho, y no acceder a ellas.</w:t>
      </w:r>
    </w:p>
    <w:p w14:paraId="541C4DDC"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j) Cumplir los ofrecimientos hechos en la propuesta.</w:t>
      </w:r>
    </w:p>
    <w:p w14:paraId="5CE3D852"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k) Las demás que se deriven de la naturaleza del contrato y que garanticen su cabal y oportuna ejecución.</w:t>
      </w:r>
    </w:p>
    <w:p w14:paraId="2BEEB51B"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lastRenderedPageBreak/>
        <w:t>CLÁUSULA 8. OBLIGACIONES ESPECÍFICAS DEL CONTRATISTA</w:t>
      </w:r>
    </w:p>
    <w:p w14:paraId="7FA69530" w14:textId="77777777" w:rsidR="00E00068" w:rsidRPr="00F47872" w:rsidRDefault="00A377E9">
      <w:pPr>
        <w:spacing w:after="120" w:line="264" w:lineRule="auto"/>
        <w:jc w:val="both"/>
      </w:pPr>
      <w:r w:rsidRPr="00F47872">
        <w:rPr>
          <w:rFonts w:ascii="Century Gothic" w:eastAsia="Arial" w:hAnsi="Century Gothic" w:cs="Arial"/>
          <w:sz w:val="18"/>
          <w:szCs w:val="18"/>
        </w:rPr>
        <w:t>Además de los deberes establecidos en el artículo 5 de la Ley 80 de 1993 y de las condiciones del Anexo Técnico No. 1 – Fichas Técnicas, que hace parte integral del presente contrato, el Contratista se obliga a:</w:t>
      </w:r>
    </w:p>
    <w:p w14:paraId="34B63E1C"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a) Realizar cada entrega dentro del plazo máximo de cinco (5) días calendario siguientes a la solicitud del supervisor, en el lugar del Distrito de Cartagena que este indique.</w:t>
      </w:r>
    </w:p>
    <w:p w14:paraId="4E7992C2"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b) Entregar únicamente productos que correspondan a los ofertados y que cuenten con el registro ICA vigente aplicable, conforme a lo acreditado en el proceso.</w:t>
      </w:r>
    </w:p>
    <w:p w14:paraId="29000D78"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c) Entregar los productos en su empaque original, sellados, rotulados y con fecha de vencimiento suficiente para su uso durante la ejecución del contrato.</w:t>
      </w:r>
    </w:p>
    <w:p w14:paraId="02118B24"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d) Asumir el transporte, cargue, descargue y entrega de los bienes, así como el riesgo sobre ellos hasta su recibo a satisfacción, cumpliendo la normatividad vigente sobre transporte y manipulación de sustancias químicas.</w:t>
      </w:r>
    </w:p>
    <w:p w14:paraId="76138FAF"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e) Reemplazar a su costa, sin que implique modificación del plazo de entrega, los bienes defectuosos, vencidos, de mala calidad o con especificaciones diferentes o inferiores a las requeridas. Si no lo hiciere dentro del término señalado por el IDER, este podrá iniciar el procedimiento para la imposición de multas o la declaratoria de incumplimiento.</w:t>
      </w:r>
    </w:p>
    <w:p w14:paraId="677C21D6"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f) Atender con prontitud los requerimientos del supervisor sobre la ejecución del contrato y la calidad de los bienes, e informar las circunstancias que pudieran afectar la ejecución del contrato o la entrega de los productos.</w:t>
      </w:r>
    </w:p>
    <w:p w14:paraId="202B09DA"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g) Mantener los precios unitarios definitivos durante todo el plazo de ejecución.</w:t>
      </w:r>
    </w:p>
    <w:p w14:paraId="2E25B462"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9. DERECHOS DEL CONTRATISTA</w:t>
      </w:r>
    </w:p>
    <w:p w14:paraId="7785D250" w14:textId="77777777" w:rsidR="00E00068" w:rsidRPr="00F47872" w:rsidRDefault="00A377E9">
      <w:pPr>
        <w:spacing w:after="120" w:line="264" w:lineRule="auto"/>
        <w:jc w:val="both"/>
      </w:pPr>
      <w:r w:rsidRPr="00F47872">
        <w:rPr>
          <w:rFonts w:ascii="Century Gothic" w:eastAsia="Arial" w:hAnsi="Century Gothic" w:cs="Arial"/>
          <w:sz w:val="18"/>
          <w:szCs w:val="18"/>
        </w:rPr>
        <w:t>El Contratista tiene derecho a:</w:t>
      </w:r>
    </w:p>
    <w:p w14:paraId="63E24889"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a) Recibir el pago por los bienes efectivamente suministrados y recibidos a satisfacción, en los términos de la Cláusula 6 del presente contrato.</w:t>
      </w:r>
    </w:p>
    <w:p w14:paraId="7B05AB2C"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b) Recibir de la Entidad la información necesaria para la ejecución del contrato.</w:t>
      </w:r>
    </w:p>
    <w:p w14:paraId="2384BD68"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10. OBLIGACIONES DE LA ENTIDAD</w:t>
      </w:r>
    </w:p>
    <w:p w14:paraId="36631387" w14:textId="77777777" w:rsidR="00E00068" w:rsidRPr="00F47872" w:rsidRDefault="00A377E9">
      <w:pPr>
        <w:spacing w:after="120" w:line="264" w:lineRule="auto"/>
        <w:jc w:val="both"/>
      </w:pPr>
      <w:r w:rsidRPr="00F47872">
        <w:rPr>
          <w:rFonts w:ascii="Century Gothic" w:eastAsia="Arial" w:hAnsi="Century Gothic" w:cs="Arial"/>
          <w:sz w:val="18"/>
          <w:szCs w:val="18"/>
        </w:rPr>
        <w:t>La Entidad está obligada a:</w:t>
      </w:r>
    </w:p>
    <w:p w14:paraId="11F0E63B"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a) Pagar el precio en los términos pactados en el contrato.</w:t>
      </w:r>
    </w:p>
    <w:p w14:paraId="61BD2426"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b) Designar al supervisor encargado de la vigilancia y el control del contrato.</w:t>
      </w:r>
    </w:p>
    <w:p w14:paraId="3020A0EB"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c) Prestar la colaboración que requiera el Contratista para la debida ejecución del contrato.</w:t>
      </w:r>
    </w:p>
    <w:p w14:paraId="6ECA2C6A"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11. RESPONSABILIDAD</w:t>
      </w:r>
    </w:p>
    <w:p w14:paraId="5D16BE90" w14:textId="77777777" w:rsidR="00E00068" w:rsidRPr="00F47872" w:rsidRDefault="00A377E9">
      <w:pPr>
        <w:spacing w:after="120" w:line="264" w:lineRule="auto"/>
        <w:jc w:val="both"/>
      </w:pPr>
      <w:r w:rsidRPr="00F47872">
        <w:rPr>
          <w:rFonts w:ascii="Century Gothic" w:eastAsia="Arial" w:hAnsi="Century Gothic" w:cs="Arial"/>
          <w:sz w:val="18"/>
          <w:szCs w:val="18"/>
        </w:rPr>
        <w:t>El Contratista es responsable por el cumplimiento de las obligaciones pactadas en el contrato y responderá por los daños que se causen a la Entidad en su ejecución por él, sus empleados o sus subcontratistas.</w:t>
      </w:r>
    </w:p>
    <w:p w14:paraId="4C99956B"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12. INDEMNIDAD</w:t>
      </w:r>
    </w:p>
    <w:p w14:paraId="3B06146B" w14:textId="77777777" w:rsidR="00E00068" w:rsidRPr="00F47872" w:rsidRDefault="00A377E9">
      <w:pPr>
        <w:spacing w:after="120" w:line="264" w:lineRule="auto"/>
        <w:jc w:val="both"/>
      </w:pPr>
      <w:r w:rsidRPr="00F47872">
        <w:rPr>
          <w:rFonts w:ascii="Century Gothic" w:eastAsia="Arial" w:hAnsi="Century Gothic" w:cs="Arial"/>
          <w:sz w:val="18"/>
          <w:szCs w:val="18"/>
        </w:rPr>
        <w:t xml:space="preserve">El Contratista mantendrá indemne al IDER contra todo reclamo, demanda, acción legal y costo que pueda causarse por daños o lesiones a personas o bienes, ocasionados por el Contratista durante la ejecución del contrato. Si se formula un reclamo, demanda o acción legal contra el IDER por asuntos </w:t>
      </w:r>
      <w:r w:rsidRPr="00F47872">
        <w:rPr>
          <w:rFonts w:ascii="Century Gothic" w:eastAsia="Arial" w:hAnsi="Century Gothic" w:cs="Arial"/>
          <w:sz w:val="18"/>
          <w:szCs w:val="18"/>
        </w:rPr>
        <w:lastRenderedPageBreak/>
        <w:t>que según el contrato sean responsabilidad del Contratista, se le comunicará lo más pronto posible para que, por su cuenta, adopte oportunamente las medidas previstas por la ley para mantener indemne al IDER. Si el Contratista no asume debida y oportunamente la defensa del IDER, este podrá hacerlo directamente, previa comunicación escrita al Contratista, quien pagará todos los gastos en que se incurra por tal motivo. En caso de que no lo hiciere, el IDER podrá descontar el valor de tales erogaciones de cual</w:t>
      </w:r>
      <w:r w:rsidRPr="00F47872">
        <w:rPr>
          <w:rFonts w:ascii="Century Gothic" w:eastAsia="Arial" w:hAnsi="Century Gothic" w:cs="Arial"/>
          <w:sz w:val="18"/>
          <w:szCs w:val="18"/>
        </w:rPr>
        <w:t>quier suma que le adeude por razón del contrato.</w:t>
      </w:r>
    </w:p>
    <w:p w14:paraId="734A31F2"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13. MULTAS</w:t>
      </w:r>
    </w:p>
    <w:p w14:paraId="006B1265" w14:textId="77777777" w:rsidR="00E00068" w:rsidRPr="00F47872" w:rsidRDefault="00A377E9">
      <w:pPr>
        <w:spacing w:after="120" w:line="264" w:lineRule="auto"/>
        <w:jc w:val="both"/>
      </w:pPr>
      <w:r w:rsidRPr="00F47872">
        <w:rPr>
          <w:rFonts w:ascii="Century Gothic" w:eastAsia="Arial" w:hAnsi="Century Gothic" w:cs="Arial"/>
          <w:sz w:val="18"/>
          <w:szCs w:val="18"/>
        </w:rPr>
        <w:t>De conformidad con el artículo 17 de la Ley 1150 de 2007, en caso de incumplimiento parcial, defectuoso o tardío de cualquiera de las obligaciones a cargo del Contratista, y con el fin de conminarlo a su cumplimiento, el IDER, previo agotamiento del procedimiento del artículo 86 de la Ley 1474 de 2011, podrá imponerle multas diarias equivalentes al cero punto cinco por ciento (0,5 %) del valor del contrato, sin que la sumatoria de las multas supere el veinte por ciento (20 %) del valor total del contrato.</w:t>
      </w:r>
    </w:p>
    <w:p w14:paraId="26AD5B60"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14. CLÁUSULA PENAL</w:t>
      </w:r>
    </w:p>
    <w:p w14:paraId="63972B92" w14:textId="77777777" w:rsidR="00E00068" w:rsidRPr="00F47872" w:rsidRDefault="00A377E9">
      <w:pPr>
        <w:spacing w:after="120" w:line="264" w:lineRule="auto"/>
        <w:jc w:val="both"/>
      </w:pPr>
      <w:r w:rsidRPr="00F47872">
        <w:rPr>
          <w:rFonts w:ascii="Century Gothic" w:eastAsia="Arial" w:hAnsi="Century Gothic" w:cs="Arial"/>
          <w:sz w:val="18"/>
          <w:szCs w:val="18"/>
        </w:rPr>
        <w:t>En caso de declaratoria de incumplimiento total o parcial o de caducidad del contrato, el Contratista pagará al IDER, a título de estimación anticipada de perjuicios, una suma equivalente al veinte por ciento (20 %) del valor total del contrato.</w:t>
      </w:r>
    </w:p>
    <w:p w14:paraId="396F6023" w14:textId="77777777" w:rsidR="00E00068" w:rsidRPr="00F47872" w:rsidRDefault="00A377E9">
      <w:pPr>
        <w:spacing w:after="120" w:line="264" w:lineRule="auto"/>
        <w:jc w:val="both"/>
      </w:pPr>
      <w:r w:rsidRPr="00F47872">
        <w:rPr>
          <w:rFonts w:ascii="Century Gothic" w:eastAsia="Arial" w:hAnsi="Century Gothic" w:cs="Arial"/>
          <w:b/>
          <w:bCs/>
          <w:sz w:val="18"/>
          <w:szCs w:val="18"/>
        </w:rPr>
        <w:t>PARÁGRAFO PRIMERO.</w:t>
      </w:r>
      <w:r w:rsidRPr="00F47872">
        <w:rPr>
          <w:rFonts w:ascii="Century Gothic" w:eastAsia="Arial" w:hAnsi="Century Gothic" w:cs="Arial"/>
          <w:sz w:val="18"/>
          <w:szCs w:val="18"/>
        </w:rPr>
        <w:t xml:space="preserve"> El pago de la cláusula penal no impide que el IDER solicite al juez del contrato la indemnización integral de los perjuicios causados, si estos superan su valor.</w:t>
      </w:r>
    </w:p>
    <w:p w14:paraId="00C7E3A7" w14:textId="77777777" w:rsidR="00E00068" w:rsidRPr="00F47872" w:rsidRDefault="00A377E9">
      <w:pPr>
        <w:spacing w:after="120" w:line="264" w:lineRule="auto"/>
        <w:jc w:val="both"/>
      </w:pPr>
      <w:r w:rsidRPr="00F47872">
        <w:rPr>
          <w:rFonts w:ascii="Century Gothic" w:eastAsia="Arial" w:hAnsi="Century Gothic" w:cs="Arial"/>
          <w:b/>
          <w:bCs/>
          <w:sz w:val="18"/>
          <w:szCs w:val="18"/>
        </w:rPr>
        <w:t>PARÁGRAFO SEGUNDO.</w:t>
      </w:r>
      <w:r w:rsidRPr="00F47872">
        <w:rPr>
          <w:rFonts w:ascii="Century Gothic" w:eastAsia="Arial" w:hAnsi="Century Gothic" w:cs="Arial"/>
          <w:sz w:val="18"/>
          <w:szCs w:val="18"/>
        </w:rPr>
        <w:t xml:space="preserve"> Para la imposición de multas, la declaratoria de incumplimiento y la efectividad de la cláusula penal se seguirá el procedimiento del artículo 86 de la Ley 1474 de 2011 y demás normas aplicables.</w:t>
      </w:r>
    </w:p>
    <w:p w14:paraId="0F753558"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15. CLÁUSULAS EXCEPCIONALES</w:t>
      </w:r>
    </w:p>
    <w:p w14:paraId="1E8C22E0" w14:textId="77777777" w:rsidR="00E00068" w:rsidRPr="00F47872" w:rsidRDefault="00A377E9">
      <w:pPr>
        <w:spacing w:after="120" w:line="264" w:lineRule="auto"/>
        <w:jc w:val="both"/>
      </w:pPr>
      <w:r w:rsidRPr="00F47872">
        <w:rPr>
          <w:rFonts w:ascii="Century Gothic" w:eastAsia="Arial" w:hAnsi="Century Gothic" w:cs="Arial"/>
          <w:sz w:val="18"/>
          <w:szCs w:val="18"/>
        </w:rPr>
        <w:t>Se entienden incorporadas al contrato las cláusulas excepcionales de interpretación, modificación y terminación unilaterales, caducidad y sometimiento a las leyes nacionales, previstas en los artículos 14 a 18 de la Ley 80 de 1993.</w:t>
      </w:r>
    </w:p>
    <w:p w14:paraId="0122A94F"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16. GARANTÍAS</w:t>
      </w:r>
    </w:p>
    <w:p w14:paraId="29C5E0D4" w14:textId="77777777" w:rsidR="00E00068" w:rsidRPr="00F47872" w:rsidRDefault="00A377E9">
      <w:pPr>
        <w:spacing w:after="120" w:line="264" w:lineRule="auto"/>
        <w:jc w:val="both"/>
      </w:pPr>
      <w:r w:rsidRPr="00F47872">
        <w:rPr>
          <w:rFonts w:ascii="Century Gothic" w:eastAsia="Arial" w:hAnsi="Century Gothic" w:cs="Arial"/>
          <w:sz w:val="18"/>
          <w:szCs w:val="18"/>
        </w:rPr>
        <w:t>El Contratista deberá presentar la garantía de cumplimiento dentro del término establecido en el cronograma del proceso, la cual requerirá la aprobación de la Entidad y deberá tener las siguientes características:</w:t>
      </w:r>
    </w:p>
    <w:tbl>
      <w:tblPr>
        <w:tblW w:w="9500" w:type="dxa"/>
        <w:jc w:val="center"/>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4A0" w:firstRow="1" w:lastRow="0" w:firstColumn="1" w:lastColumn="0" w:noHBand="0" w:noVBand="1"/>
      </w:tblPr>
      <w:tblGrid>
        <w:gridCol w:w="4500"/>
        <w:gridCol w:w="2500"/>
        <w:gridCol w:w="2500"/>
      </w:tblGrid>
      <w:tr w:rsidR="00E00068" w:rsidRPr="00F47872" w14:paraId="3C2F107E" w14:textId="77777777" w:rsidTr="00F47872">
        <w:trPr>
          <w:cantSplit/>
          <w:jc w:val="center"/>
        </w:trPr>
        <w:tc>
          <w:tcPr>
            <w:tcW w:w="4500" w:type="dxa"/>
            <w:shd w:val="clear" w:color="auto" w:fill="7F7F7F" w:themeFill="text1" w:themeFillTint="80"/>
            <w:tcMar>
              <w:top w:w="60" w:type="dxa"/>
              <w:left w:w="100" w:type="dxa"/>
              <w:bottom w:w="60" w:type="dxa"/>
              <w:right w:w="100" w:type="dxa"/>
            </w:tcMar>
            <w:vAlign w:val="center"/>
          </w:tcPr>
          <w:p w14:paraId="274EEBCA"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t>Amparo</w:t>
            </w:r>
          </w:p>
        </w:tc>
        <w:tc>
          <w:tcPr>
            <w:tcW w:w="2500" w:type="dxa"/>
            <w:shd w:val="clear" w:color="auto" w:fill="7F7F7F" w:themeFill="text1" w:themeFillTint="80"/>
            <w:tcMar>
              <w:top w:w="60" w:type="dxa"/>
              <w:left w:w="100" w:type="dxa"/>
              <w:bottom w:w="60" w:type="dxa"/>
              <w:right w:w="100" w:type="dxa"/>
            </w:tcMar>
            <w:vAlign w:val="center"/>
          </w:tcPr>
          <w:p w14:paraId="19B865A6"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t>Valor asegurado</w:t>
            </w:r>
          </w:p>
        </w:tc>
        <w:tc>
          <w:tcPr>
            <w:tcW w:w="2500" w:type="dxa"/>
            <w:shd w:val="clear" w:color="auto" w:fill="7F7F7F" w:themeFill="text1" w:themeFillTint="80"/>
            <w:tcMar>
              <w:top w:w="60" w:type="dxa"/>
              <w:left w:w="100" w:type="dxa"/>
              <w:bottom w:w="60" w:type="dxa"/>
              <w:right w:w="100" w:type="dxa"/>
            </w:tcMar>
            <w:vAlign w:val="center"/>
          </w:tcPr>
          <w:p w14:paraId="52204CCC" w14:textId="77777777" w:rsidR="00E00068" w:rsidRPr="00F47872" w:rsidRDefault="00A377E9">
            <w:pPr>
              <w:jc w:val="center"/>
              <w:rPr>
                <w:color w:val="FFFFFF" w:themeColor="background1"/>
              </w:rPr>
            </w:pPr>
            <w:r w:rsidRPr="00F47872">
              <w:rPr>
                <w:rFonts w:ascii="Century Gothic" w:eastAsia="Arial" w:hAnsi="Century Gothic" w:cs="Arial"/>
                <w:b/>
                <w:bCs/>
                <w:color w:val="FFFFFF" w:themeColor="background1"/>
                <w:sz w:val="16"/>
                <w:szCs w:val="16"/>
              </w:rPr>
              <w:t>Vigencia</w:t>
            </w:r>
          </w:p>
        </w:tc>
      </w:tr>
      <w:tr w:rsidR="00E00068" w:rsidRPr="00F47872" w14:paraId="626F5905" w14:textId="77777777">
        <w:trPr>
          <w:cantSplit/>
          <w:jc w:val="center"/>
        </w:trPr>
        <w:tc>
          <w:tcPr>
            <w:tcW w:w="4500" w:type="dxa"/>
            <w:tcMar>
              <w:top w:w="60" w:type="dxa"/>
              <w:left w:w="100" w:type="dxa"/>
              <w:bottom w:w="60" w:type="dxa"/>
              <w:right w:w="100" w:type="dxa"/>
            </w:tcMar>
            <w:vAlign w:val="center"/>
          </w:tcPr>
          <w:p w14:paraId="74987834" w14:textId="77777777" w:rsidR="00E00068" w:rsidRPr="00F47872" w:rsidRDefault="00A377E9">
            <w:pPr>
              <w:jc w:val="center"/>
            </w:pPr>
            <w:r w:rsidRPr="00F47872">
              <w:rPr>
                <w:rFonts w:ascii="Century Gothic" w:eastAsia="Arial" w:hAnsi="Century Gothic" w:cs="Arial"/>
                <w:sz w:val="16"/>
                <w:szCs w:val="16"/>
              </w:rPr>
              <w:t>Cumplimiento general del contrato, incluido el pago de multas y cláusula penal pecuniaria</w:t>
            </w:r>
          </w:p>
        </w:tc>
        <w:tc>
          <w:tcPr>
            <w:tcW w:w="2500" w:type="dxa"/>
            <w:tcMar>
              <w:top w:w="60" w:type="dxa"/>
              <w:left w:w="100" w:type="dxa"/>
              <w:bottom w:w="60" w:type="dxa"/>
              <w:right w:w="100" w:type="dxa"/>
            </w:tcMar>
            <w:vAlign w:val="center"/>
          </w:tcPr>
          <w:p w14:paraId="18485935" w14:textId="77777777" w:rsidR="00E00068" w:rsidRPr="00F47872" w:rsidRDefault="00A377E9">
            <w:pPr>
              <w:jc w:val="center"/>
            </w:pPr>
            <w:r w:rsidRPr="00F47872">
              <w:rPr>
                <w:rFonts w:ascii="Century Gothic" w:eastAsia="Arial" w:hAnsi="Century Gothic" w:cs="Arial"/>
                <w:sz w:val="16"/>
                <w:szCs w:val="16"/>
              </w:rPr>
              <w:t>20 % del valor del contrato</w:t>
            </w:r>
          </w:p>
        </w:tc>
        <w:tc>
          <w:tcPr>
            <w:tcW w:w="2500" w:type="dxa"/>
            <w:tcMar>
              <w:top w:w="60" w:type="dxa"/>
              <w:left w:w="100" w:type="dxa"/>
              <w:bottom w:w="60" w:type="dxa"/>
              <w:right w:w="100" w:type="dxa"/>
            </w:tcMar>
            <w:vAlign w:val="center"/>
          </w:tcPr>
          <w:p w14:paraId="2A92F28A" w14:textId="77777777" w:rsidR="00E00068" w:rsidRPr="00F47872" w:rsidRDefault="00A377E9">
            <w:pPr>
              <w:jc w:val="center"/>
            </w:pPr>
            <w:r w:rsidRPr="00F47872">
              <w:rPr>
                <w:rFonts w:ascii="Century Gothic" w:eastAsia="Arial" w:hAnsi="Century Gothic" w:cs="Arial"/>
                <w:sz w:val="16"/>
                <w:szCs w:val="16"/>
              </w:rPr>
              <w:t>Hasta la liquidación del contrato</w:t>
            </w:r>
          </w:p>
        </w:tc>
      </w:tr>
      <w:tr w:rsidR="00E00068" w:rsidRPr="00F47872" w14:paraId="4893641B" w14:textId="77777777">
        <w:trPr>
          <w:cantSplit/>
          <w:jc w:val="center"/>
        </w:trPr>
        <w:tc>
          <w:tcPr>
            <w:tcW w:w="4500" w:type="dxa"/>
            <w:tcMar>
              <w:top w:w="60" w:type="dxa"/>
              <w:left w:w="100" w:type="dxa"/>
              <w:bottom w:w="60" w:type="dxa"/>
              <w:right w:w="100" w:type="dxa"/>
            </w:tcMar>
            <w:vAlign w:val="center"/>
          </w:tcPr>
          <w:p w14:paraId="64B6FA31" w14:textId="77777777" w:rsidR="00E00068" w:rsidRPr="00F47872" w:rsidRDefault="00A377E9">
            <w:pPr>
              <w:jc w:val="center"/>
            </w:pPr>
            <w:r w:rsidRPr="00F47872">
              <w:rPr>
                <w:rFonts w:ascii="Century Gothic" w:eastAsia="Arial" w:hAnsi="Century Gothic" w:cs="Arial"/>
                <w:sz w:val="16"/>
                <w:szCs w:val="16"/>
              </w:rPr>
              <w:t>Calidad de los bienes</w:t>
            </w:r>
          </w:p>
        </w:tc>
        <w:tc>
          <w:tcPr>
            <w:tcW w:w="2500" w:type="dxa"/>
            <w:tcMar>
              <w:top w:w="60" w:type="dxa"/>
              <w:left w:w="100" w:type="dxa"/>
              <w:bottom w:w="60" w:type="dxa"/>
              <w:right w:w="100" w:type="dxa"/>
            </w:tcMar>
            <w:vAlign w:val="center"/>
          </w:tcPr>
          <w:p w14:paraId="5AA920C9" w14:textId="77777777" w:rsidR="00E00068" w:rsidRPr="00F47872" w:rsidRDefault="00A377E9">
            <w:pPr>
              <w:jc w:val="center"/>
            </w:pPr>
            <w:r w:rsidRPr="00F47872">
              <w:rPr>
                <w:rFonts w:ascii="Century Gothic" w:eastAsia="Arial" w:hAnsi="Century Gothic" w:cs="Arial"/>
                <w:sz w:val="16"/>
                <w:szCs w:val="16"/>
              </w:rPr>
              <w:t>20 % del valor del contrato</w:t>
            </w:r>
          </w:p>
        </w:tc>
        <w:tc>
          <w:tcPr>
            <w:tcW w:w="2500" w:type="dxa"/>
            <w:tcMar>
              <w:top w:w="60" w:type="dxa"/>
              <w:left w:w="100" w:type="dxa"/>
              <w:bottom w:w="60" w:type="dxa"/>
              <w:right w:w="100" w:type="dxa"/>
            </w:tcMar>
            <w:vAlign w:val="center"/>
          </w:tcPr>
          <w:p w14:paraId="255BA9F2" w14:textId="77777777" w:rsidR="00E00068" w:rsidRPr="00F47872" w:rsidRDefault="00A377E9">
            <w:pPr>
              <w:jc w:val="center"/>
            </w:pPr>
            <w:r w:rsidRPr="00F47872">
              <w:rPr>
                <w:rFonts w:ascii="Century Gothic" w:eastAsia="Arial" w:hAnsi="Century Gothic" w:cs="Arial"/>
                <w:sz w:val="16"/>
                <w:szCs w:val="16"/>
              </w:rPr>
              <w:t>Hasta la liquidación del contrato</w:t>
            </w:r>
          </w:p>
        </w:tc>
      </w:tr>
    </w:tbl>
    <w:p w14:paraId="59744CAE" w14:textId="77777777" w:rsidR="00E00068" w:rsidRPr="00F47872" w:rsidRDefault="00E00068">
      <w:pPr>
        <w:spacing w:after="60" w:line="264" w:lineRule="auto"/>
      </w:pPr>
    </w:p>
    <w:p w14:paraId="5DAE8620" w14:textId="77777777" w:rsidR="00E00068" w:rsidRPr="00F47872" w:rsidRDefault="00A377E9">
      <w:pPr>
        <w:spacing w:after="120" w:line="264" w:lineRule="auto"/>
        <w:jc w:val="both"/>
      </w:pPr>
      <w:r w:rsidRPr="00F47872">
        <w:rPr>
          <w:rFonts w:ascii="Century Gothic" w:eastAsia="Arial" w:hAnsi="Century Gothic" w:cs="Arial"/>
          <w:sz w:val="18"/>
          <w:szCs w:val="18"/>
        </w:rPr>
        <w:t>El amparo de cumplimiento cubrirá al IDER de los perjuicios directos derivados del incumplimiento total o parcial de las obligaciones del contrato, de su cumplimiento tardío o defectuoso, e incluirá el pago de las multas y de la cláusula penal pecuniaria. El amparo de calidad cubrirá los perjuicios derivados de la mala calidad o deficiencias técnicas de los bienes suministrados o del incumplimiento de las especificaciones técnicas establecidas en el contrato.</w:t>
      </w:r>
    </w:p>
    <w:p w14:paraId="0B5C6E71" w14:textId="77777777" w:rsidR="00E00068" w:rsidRPr="00F47872" w:rsidRDefault="00A377E9">
      <w:pPr>
        <w:spacing w:after="120" w:line="264" w:lineRule="auto"/>
        <w:jc w:val="both"/>
      </w:pPr>
      <w:r w:rsidRPr="00F47872">
        <w:rPr>
          <w:rFonts w:ascii="Century Gothic" w:eastAsia="Arial" w:hAnsi="Century Gothic" w:cs="Arial"/>
          <w:sz w:val="18"/>
          <w:szCs w:val="18"/>
        </w:rPr>
        <w:lastRenderedPageBreak/>
        <w:t>El Contratista deberá restablecer el valor de la garantía cuando se vea reducido por las reclamaciones que efectúe la Entidad, y ampliarla en los eventos de adición o prórroga del contrato. El no restablecimiento, adición o prórroga de la garantía constituye causal de incumplimiento del contrato.</w:t>
      </w:r>
    </w:p>
    <w:p w14:paraId="74059F58"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17. INDEPENDENCIA DEL CONTRATISTA</w:t>
      </w:r>
    </w:p>
    <w:p w14:paraId="16BED8F3" w14:textId="77777777" w:rsidR="00E00068" w:rsidRPr="00F47872" w:rsidRDefault="00A377E9">
      <w:pPr>
        <w:spacing w:after="120" w:line="264" w:lineRule="auto"/>
        <w:jc w:val="both"/>
      </w:pPr>
      <w:r w:rsidRPr="00F47872">
        <w:rPr>
          <w:rFonts w:ascii="Century Gothic" w:eastAsia="Arial" w:hAnsi="Century Gothic" w:cs="Arial"/>
          <w:sz w:val="18"/>
          <w:szCs w:val="18"/>
        </w:rPr>
        <w:t>El Contratista es independiente de la Entidad y, en consecuencia, no es su representante, agente o mandatario. No tiene la facultad de hacer declaraciones, representaciones o compromisos en nombre de la Entidad, ni de tomar decisiones o iniciar acciones que generen obligaciones a su cargo.</w:t>
      </w:r>
    </w:p>
    <w:p w14:paraId="32959DFF"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18. INEXISTENCIA DE RELACIÓN LABORAL ENTRE LA ENTIDAD Y EL CONTRATISTA</w:t>
      </w:r>
    </w:p>
    <w:p w14:paraId="30DB108F" w14:textId="77777777" w:rsidR="00E00068" w:rsidRPr="00F47872" w:rsidRDefault="00A377E9">
      <w:pPr>
        <w:spacing w:after="120" w:line="264" w:lineRule="auto"/>
        <w:jc w:val="both"/>
      </w:pPr>
      <w:r w:rsidRPr="00F47872">
        <w:rPr>
          <w:rFonts w:ascii="Century Gothic" w:eastAsia="Arial" w:hAnsi="Century Gothic" w:cs="Arial"/>
          <w:sz w:val="18"/>
          <w:szCs w:val="18"/>
        </w:rPr>
        <w:t>El Contratista ejecutará el contrato con sus propios medios y con plena autonomía técnica y administrativa, y el personal que vincule será de su libre escogencia. Entre el Contratista, su personal y la Entidad no existe ni existirá vínculo laboral alguno. En consecuencia, el Contratista responderá de manera exclusiva por el pago de salarios, honorarios, prestaciones e indemnizaciones a que haya lugar, y por la afiliación de dicho personal al Sistema de Seguridad Social Integral y a los aportes parafiscales.</w:t>
      </w:r>
    </w:p>
    <w:p w14:paraId="5F171E61"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19. CESIÓN Y SUBCONTRATACIÓN</w:t>
      </w:r>
    </w:p>
    <w:p w14:paraId="14F566AD" w14:textId="77777777" w:rsidR="00E00068" w:rsidRPr="00F47872" w:rsidRDefault="00A377E9">
      <w:pPr>
        <w:spacing w:after="120" w:line="264" w:lineRule="auto"/>
        <w:jc w:val="both"/>
      </w:pPr>
      <w:r w:rsidRPr="00F47872">
        <w:rPr>
          <w:rFonts w:ascii="Century Gothic" w:eastAsia="Arial" w:hAnsi="Century Gothic" w:cs="Arial"/>
          <w:sz w:val="18"/>
          <w:szCs w:val="18"/>
        </w:rPr>
        <w:t>El Contratista no podrá ceder el contrato ni subcontratar su ejecución sin la autorización previa y escrita de la Entidad, la cual podrá reservarse las razones para negarla. La cesión se efectuará conforme al artículo 893 del Código de Comercio y las demás disposiciones aplicables. La subcontratación autorizada no releva al Contratista de su responsabilidad por el cumplimiento del contrato, y la Entidad no adquirirá relación alguna con los subcontratistas.</w:t>
      </w:r>
    </w:p>
    <w:p w14:paraId="2570C2DB"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20. LIQUIDACIÓN</w:t>
      </w:r>
    </w:p>
    <w:p w14:paraId="71F01463" w14:textId="77777777" w:rsidR="00E00068" w:rsidRPr="00F47872" w:rsidRDefault="00A377E9">
      <w:pPr>
        <w:spacing w:after="120" w:line="264" w:lineRule="auto"/>
        <w:jc w:val="both"/>
      </w:pPr>
      <w:r w:rsidRPr="00F47872">
        <w:rPr>
          <w:rFonts w:ascii="Century Gothic" w:eastAsia="Arial" w:hAnsi="Century Gothic" w:cs="Arial"/>
          <w:sz w:val="18"/>
          <w:szCs w:val="18"/>
        </w:rPr>
        <w:t>El contrato se liquidará de común acuerdo entre las partes dentro de los cuatro (4) meses siguientes a su terminación o a la expedición del acto que ordene la terminación. Si el Contratista no se presenta a la liquidación previa notificación o convocatoria que le haga la Entidad, o las partes no llegan a un acuerdo sobre su contenido, el IDER procederá a liquidarlo de forma unilateral dentro de los dos (2) meses siguientes, de conformidad con el artículo 11 de la Ley 1150 de 2007. Si no se realiza la liquid</w:t>
      </w:r>
      <w:r w:rsidRPr="00F47872">
        <w:rPr>
          <w:rFonts w:ascii="Century Gothic" w:eastAsia="Arial" w:hAnsi="Century Gothic" w:cs="Arial"/>
          <w:sz w:val="18"/>
          <w:szCs w:val="18"/>
        </w:rPr>
        <w:t>ación en dichos términos, podrá efectuarse dentro de los dos (2) años siguientes, de mutuo acuerdo o unilateralmente, sin perjuicio de lo previsto en el artículo 141 del Código de Procedimiento Administrativo y de lo Contencioso Administrativo.</w:t>
      </w:r>
    </w:p>
    <w:p w14:paraId="224B0916"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21. SUSCRIPCIÓN, PERFECCIONAMIENTO Y EJECUCIÓN</w:t>
      </w:r>
    </w:p>
    <w:p w14:paraId="33A852DB" w14:textId="77777777" w:rsidR="00E00068" w:rsidRPr="00F47872" w:rsidRDefault="00A377E9">
      <w:pPr>
        <w:spacing w:after="120" w:line="264" w:lineRule="auto"/>
        <w:jc w:val="both"/>
      </w:pPr>
      <w:r w:rsidRPr="00F47872">
        <w:rPr>
          <w:rFonts w:ascii="Century Gothic" w:eastAsia="Arial" w:hAnsi="Century Gothic" w:cs="Arial"/>
          <w:sz w:val="18"/>
          <w:szCs w:val="18"/>
        </w:rPr>
        <w:t>El contrato se perfecciona con la firma de las partes en la plataforma SECOP II. Para su ejecución se requiere la expedición del registro presupuestal, la aprobación de la garantía y la suscripción del acta de inicio. Para la suscripción, el Contratista deberá encontrarse al día en el pago de los aportes al Sistema de Seguridad Social Integral y parafiscales, cuando a ello haya lugar.</w:t>
      </w:r>
    </w:p>
    <w:p w14:paraId="5B7F686F"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22. LUGAR DE EJECUCIÓN Y DOMICILIO CONTRACTUAL</w:t>
      </w:r>
    </w:p>
    <w:p w14:paraId="41D6521A" w14:textId="77777777" w:rsidR="00E00068" w:rsidRPr="00F47872" w:rsidRDefault="00A377E9">
      <w:pPr>
        <w:spacing w:after="120" w:line="264" w:lineRule="auto"/>
        <w:jc w:val="both"/>
      </w:pPr>
      <w:r w:rsidRPr="00F47872">
        <w:rPr>
          <w:rFonts w:ascii="Century Gothic" w:eastAsia="Arial" w:hAnsi="Century Gothic" w:cs="Arial"/>
          <w:sz w:val="18"/>
          <w:szCs w:val="18"/>
        </w:rPr>
        <w:t>Las entregas se realizarán en el Distrito de Cartagena de Indias D. T. y C., en los escenarios deportivos o en el lugar que indique la supervisión en cada solicitud. Para todos los efectos legales, el domicilio contractual es el Distrito de Cartagena de Indias.</w:t>
      </w:r>
    </w:p>
    <w:p w14:paraId="561878E0"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lastRenderedPageBreak/>
        <w:t>CLÁUSULA 23. SUPERVISIÓN</w:t>
      </w:r>
    </w:p>
    <w:p w14:paraId="03E20385" w14:textId="77777777" w:rsidR="00E00068" w:rsidRPr="00F47872" w:rsidRDefault="00A377E9">
      <w:pPr>
        <w:spacing w:after="120" w:line="264" w:lineRule="auto"/>
        <w:jc w:val="both"/>
      </w:pPr>
      <w:r w:rsidRPr="00F47872">
        <w:rPr>
          <w:rFonts w:ascii="Century Gothic" w:eastAsia="Arial" w:hAnsi="Century Gothic" w:cs="Arial"/>
          <w:sz w:val="18"/>
          <w:szCs w:val="18"/>
        </w:rPr>
        <w:t>La vigilancia y el seguimiento de la ejecución del contrato estarán a cargo del Jefe de la Oficina Asesora de Infraestructura del IDER o de quien haga sus veces, de conformidad con la Ley 80 de 1993 y los artículos 83 y 84 de la Ley 1474 de 2011, quien deberá:</w:t>
      </w:r>
    </w:p>
    <w:p w14:paraId="10ADA623"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1. Realizar el seguimiento técnico, administrativo y financiero de la ejecución del contrato.</w:t>
      </w:r>
    </w:p>
    <w:p w14:paraId="70CB559E"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2. Solicitar las entregas, verificar que los bienes cumplan las fichas técnicas y expedir el recibo a satisfacción.</w:t>
      </w:r>
    </w:p>
    <w:p w14:paraId="43A0847C"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3. Resolver oportunamente las consultas de las partes.</w:t>
      </w:r>
    </w:p>
    <w:p w14:paraId="00076D15"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4. Solicitar oportuna y justificadamente la adición, prórroga, modificación o terminación del contrato.</w:t>
      </w:r>
    </w:p>
    <w:p w14:paraId="37F05E8D"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5. Autorizar los pagos, previa verificación de que el Contratista se encuentra al día en el pago de los aportes al Sistema de Seguridad Social y parafiscales.</w:t>
      </w:r>
    </w:p>
    <w:p w14:paraId="1B68093D"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6. Informar a la Entidad sobre posibles incumplimientos, para efectos del procedimiento del artículo 86 de la Ley 1474 de 2011.</w:t>
      </w:r>
    </w:p>
    <w:p w14:paraId="01372B40" w14:textId="77777777" w:rsidR="00E00068" w:rsidRPr="00F47872" w:rsidRDefault="00A377E9">
      <w:pPr>
        <w:keepNext/>
        <w:spacing w:before="200" w:after="100" w:line="264" w:lineRule="auto"/>
      </w:pPr>
      <w:r w:rsidRPr="00F47872">
        <w:rPr>
          <w:rFonts w:ascii="Century Gothic" w:eastAsia="Arial" w:hAnsi="Century Gothic" w:cs="Arial"/>
          <w:b/>
          <w:bCs/>
          <w:sz w:val="18"/>
          <w:szCs w:val="18"/>
        </w:rPr>
        <w:t>CLÁUSULA 24. DOCUMENTOS DEL CONTRATO</w:t>
      </w:r>
    </w:p>
    <w:p w14:paraId="3C82F1AB" w14:textId="77777777" w:rsidR="00E00068" w:rsidRPr="00F47872" w:rsidRDefault="00A377E9">
      <w:pPr>
        <w:spacing w:after="120" w:line="264" w:lineRule="auto"/>
        <w:jc w:val="both"/>
      </w:pPr>
      <w:r w:rsidRPr="00F47872">
        <w:rPr>
          <w:rFonts w:ascii="Century Gothic" w:eastAsia="Arial" w:hAnsi="Century Gothic" w:cs="Arial"/>
          <w:sz w:val="18"/>
          <w:szCs w:val="18"/>
        </w:rPr>
        <w:t>Hacen parte integral del contrato, y producen sus mismos efectos y obligaciones, los siguientes documentos:</w:t>
      </w:r>
    </w:p>
    <w:p w14:paraId="067E088A"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1. Los estudios y documentos previos.</w:t>
      </w:r>
    </w:p>
    <w:p w14:paraId="2C1A45CA"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2. El pliego de condiciones, sus adendas, anexos, formatos, matrices y formularios.</w:t>
      </w:r>
    </w:p>
    <w:p w14:paraId="06F41DF1"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3. La oferta presentada por el Contratista y el Formulario 1 con los precios unitarios definitivos.</w:t>
      </w:r>
    </w:p>
    <w:p w14:paraId="5E2D6BEF"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4. El acta de la audiencia de subasta inversa electrónica.</w:t>
      </w:r>
    </w:p>
    <w:p w14:paraId="0F92914F"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5. Las garantías debidamente aprobadas.</w:t>
      </w:r>
    </w:p>
    <w:p w14:paraId="04DD433E" w14:textId="77777777" w:rsidR="00E00068" w:rsidRPr="00F47872" w:rsidRDefault="00A377E9">
      <w:pPr>
        <w:spacing w:after="60" w:line="264" w:lineRule="auto"/>
        <w:ind w:left="567" w:hanging="360"/>
        <w:jc w:val="both"/>
      </w:pPr>
      <w:r w:rsidRPr="00F47872">
        <w:rPr>
          <w:rFonts w:ascii="Century Gothic" w:eastAsia="Arial" w:hAnsi="Century Gothic" w:cs="Arial"/>
          <w:sz w:val="18"/>
          <w:szCs w:val="18"/>
        </w:rPr>
        <w:t>6. La correspondencia que se surta entre las partes durante la ejecución del contrato.</w:t>
      </w:r>
    </w:p>
    <w:p w14:paraId="37695633" w14:textId="77777777" w:rsidR="00E00068" w:rsidRPr="00F47872" w:rsidRDefault="00A377E9">
      <w:pPr>
        <w:spacing w:before="200" w:after="120" w:line="264" w:lineRule="auto"/>
        <w:jc w:val="both"/>
      </w:pPr>
      <w:r w:rsidRPr="00F47872">
        <w:rPr>
          <w:rFonts w:ascii="Century Gothic" w:eastAsia="Arial" w:hAnsi="Century Gothic" w:cs="Arial"/>
          <w:sz w:val="18"/>
          <w:szCs w:val="18"/>
        </w:rPr>
        <w:t>El presente contrato se entiende firmado electrónicamente en la plataforma SECOP II por el representante legal del INSTITUTO DISTRITAL DE DEPORTE Y RECREACIÓN – IDER, ANDRÉS ALBERTO PORRAS VILLAMIL, y por el representante legal del Contratista, ______________________.</w:t>
      </w:r>
    </w:p>
    <w:sectPr w:rsidR="00E00068" w:rsidRPr="00F47872" w:rsidSect="00841B23">
      <w:headerReference w:type="default" r:id="rId12"/>
      <w:footerReference w:type="default" r:id="rId13"/>
      <w:pgSz w:w="12240" w:h="15840"/>
      <w:pgMar w:top="1843" w:right="1467" w:bottom="1417" w:left="1701"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2EDE0" w14:textId="77777777" w:rsidR="00A377E9" w:rsidRDefault="00A377E9">
      <w:r>
        <w:separator/>
      </w:r>
    </w:p>
  </w:endnote>
  <w:endnote w:type="continuationSeparator" w:id="0">
    <w:p w14:paraId="27DEF962" w14:textId="77777777" w:rsidR="00A377E9" w:rsidRDefault="00A37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Gothic">
    <w:altName w:val="Cambria"/>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PingFang SC">
    <w:panose1 w:val="00000000000000000000"/>
    <w:charset w:val="86"/>
    <w:family w:val="swiss"/>
    <w:notTrueType/>
    <w:pitch w:val="variable"/>
    <w:sig w:usb0="A00002FF" w:usb1="7ACFFDFB" w:usb2="00000017" w:usb3="00000000" w:csb0="00040001" w:csb1="00000000"/>
  </w:font>
  <w:font w:name="Lucida San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674CA" w14:textId="77777777" w:rsidR="00A938BB" w:rsidRDefault="00F5485D" w:rsidP="00C94219">
    <w:pPr>
      <w:pStyle w:val="Piedepgina"/>
      <w:ind w:left="-1701"/>
      <w:jc w:val="right"/>
    </w:pPr>
    <w:r>
      <w:rPr>
        <w:b/>
        <w:noProof/>
      </w:rPr>
      <w:drawing>
        <wp:anchor distT="0" distB="0" distL="114300" distR="114300" simplePos="0" relativeHeight="251665408" behindDoc="0" locked="0" layoutInCell="1" allowOverlap="1" wp14:anchorId="5DEE23A3" wp14:editId="69D4FA0B">
          <wp:simplePos x="0" y="0"/>
          <wp:positionH relativeFrom="margin">
            <wp:align>center</wp:align>
          </wp:positionH>
          <wp:positionV relativeFrom="paragraph">
            <wp:posOffset>36195</wp:posOffset>
          </wp:positionV>
          <wp:extent cx="7705725" cy="1166244"/>
          <wp:effectExtent l="0" t="0" r="0" b="0"/>
          <wp:wrapTopAndBottom/>
          <wp:docPr id="17289995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5725" cy="1166244"/>
                  </a:xfrm>
                  <a:prstGeom prst="rect">
                    <a:avLst/>
                  </a:prstGeom>
                  <a:noFill/>
                </pic:spPr>
              </pic:pic>
            </a:graphicData>
          </a:graphic>
          <wp14:sizeRelH relativeFrom="page">
            <wp14:pctWidth>0</wp14:pctWidth>
          </wp14:sizeRelH>
          <wp14:sizeRelV relativeFrom="page">
            <wp14:pctHeight>0</wp14:pctHeight>
          </wp14:sizeRelV>
        </wp:anchor>
      </w:drawing>
    </w:r>
    <w:r w:rsidR="00A938BB">
      <w:rPr>
        <w:b/>
      </w:rPr>
      <w:fldChar w:fldCharType="begin"/>
    </w:r>
    <w:r w:rsidR="00A938BB">
      <w:rPr>
        <w:b/>
      </w:rPr>
      <w:instrText xml:space="preserve"> PAGE </w:instrText>
    </w:r>
    <w:r w:rsidR="00A938BB">
      <w:rPr>
        <w:b/>
      </w:rPr>
      <w:fldChar w:fldCharType="separate"/>
    </w:r>
    <w:r w:rsidR="00A436DD">
      <w:rPr>
        <w:b/>
        <w:noProof/>
      </w:rPr>
      <w:t>6</w:t>
    </w:r>
    <w:r w:rsidR="00A938BB">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5E8D1" w14:textId="77777777" w:rsidR="00A377E9" w:rsidRDefault="00A377E9">
      <w:r>
        <w:separator/>
      </w:r>
    </w:p>
  </w:footnote>
  <w:footnote w:type="continuationSeparator" w:id="0">
    <w:p w14:paraId="41D3999D" w14:textId="77777777" w:rsidR="00A377E9" w:rsidRDefault="00A37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FAD7" w14:textId="77777777" w:rsidR="00F5485D" w:rsidRDefault="00F5485D">
    <w:pPr>
      <w:pStyle w:val="Encabezado"/>
    </w:pPr>
    <w:r>
      <w:rPr>
        <w:noProof/>
      </w:rPr>
      <w:drawing>
        <wp:anchor distT="0" distB="0" distL="114300" distR="114300" simplePos="0" relativeHeight="251664384" behindDoc="0" locked="0" layoutInCell="1" allowOverlap="1" wp14:anchorId="14D8D849" wp14:editId="7C01AEA3">
          <wp:simplePos x="0" y="0"/>
          <wp:positionH relativeFrom="column">
            <wp:posOffset>4143375</wp:posOffset>
          </wp:positionH>
          <wp:positionV relativeFrom="paragraph">
            <wp:posOffset>102870</wp:posOffset>
          </wp:positionV>
          <wp:extent cx="2085975" cy="914400"/>
          <wp:effectExtent l="0" t="0" r="9525" b="0"/>
          <wp:wrapNone/>
          <wp:docPr id="674985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340D9"/>
    <w:multiLevelType w:val="multilevel"/>
    <w:tmpl w:val="08201A90"/>
    <w:lvl w:ilvl="0">
      <w:start w:val="1"/>
      <w:numFmt w:val="decimal"/>
      <w:lvlText w:val="%1."/>
      <w:lvlJc w:val="left"/>
      <w:pPr>
        <w:ind w:left="720" w:hanging="360"/>
      </w:pPr>
      <w:rPr>
        <w:rFonts w:hint="default"/>
        <w:b/>
        <w:i w:val="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0638CB"/>
    <w:multiLevelType w:val="hybridMultilevel"/>
    <w:tmpl w:val="43C66D96"/>
    <w:lvl w:ilvl="0" w:tplc="7F762E8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AE3937"/>
    <w:multiLevelType w:val="hybridMultilevel"/>
    <w:tmpl w:val="6BD8A312"/>
    <w:lvl w:ilvl="0" w:tplc="A33E17C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0C29E9"/>
    <w:multiLevelType w:val="multilevel"/>
    <w:tmpl w:val="35205C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6B90568"/>
    <w:multiLevelType w:val="hybridMultilevel"/>
    <w:tmpl w:val="4E709878"/>
    <w:lvl w:ilvl="0" w:tplc="79BEDB0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D8D1781"/>
    <w:multiLevelType w:val="multilevel"/>
    <w:tmpl w:val="E41E1164"/>
    <w:lvl w:ilvl="0">
      <w:numFmt w:val="bullet"/>
      <w:lvlText w:val=""/>
      <w:lvlJc w:val="left"/>
      <w:pPr>
        <w:tabs>
          <w:tab w:val="num" w:pos="0"/>
        </w:tabs>
        <w:ind w:left="720" w:hanging="360"/>
      </w:pPr>
      <w:rPr>
        <w:rFonts w:ascii="Symbol" w:hAnsi="Symbol" w:cs="Symbol" w:hint="default"/>
        <w: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ECA1C9B"/>
    <w:multiLevelType w:val="hybridMultilevel"/>
    <w:tmpl w:val="F8486B68"/>
    <w:lvl w:ilvl="0" w:tplc="D8FAAF9E">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391CE8"/>
    <w:multiLevelType w:val="hybridMultilevel"/>
    <w:tmpl w:val="FB74183C"/>
    <w:lvl w:ilvl="0" w:tplc="E63C308C">
      <w:start w:val="1"/>
      <w:numFmt w:val="lowerLetter"/>
      <w:lvlText w:val="%1."/>
      <w:lvlJc w:val="left"/>
      <w:pPr>
        <w:ind w:left="720" w:hanging="360"/>
      </w:pPr>
      <w:rPr>
        <w:rFonts w:cs="CenturyGothic"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38E65C7"/>
    <w:multiLevelType w:val="multilevel"/>
    <w:tmpl w:val="AAB2E418"/>
    <w:lvl w:ilvl="0">
      <w:start w:val="1"/>
      <w:numFmt w:val="decimal"/>
      <w:lvlText w:val="%1."/>
      <w:lvlJc w:val="left"/>
      <w:pPr>
        <w:ind w:left="1020" w:hanging="6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78168B3"/>
    <w:multiLevelType w:val="hybridMultilevel"/>
    <w:tmpl w:val="2A5EA43C"/>
    <w:lvl w:ilvl="0" w:tplc="A594C56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3233195">
    <w:abstractNumId w:val="5"/>
  </w:num>
  <w:num w:numId="2" w16cid:durableId="2082025471">
    <w:abstractNumId w:val="3"/>
  </w:num>
  <w:num w:numId="3" w16cid:durableId="1249002061">
    <w:abstractNumId w:val="0"/>
  </w:num>
  <w:num w:numId="4" w16cid:durableId="1296594490">
    <w:abstractNumId w:val="9"/>
  </w:num>
  <w:num w:numId="5" w16cid:durableId="791824920">
    <w:abstractNumId w:val="4"/>
  </w:num>
  <w:num w:numId="6" w16cid:durableId="32461711">
    <w:abstractNumId w:val="2"/>
  </w:num>
  <w:num w:numId="7" w16cid:durableId="1066999870">
    <w:abstractNumId w:val="6"/>
  </w:num>
  <w:num w:numId="8" w16cid:durableId="410270896">
    <w:abstractNumId w:val="7"/>
  </w:num>
  <w:num w:numId="9" w16cid:durableId="1360082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52783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query w:val="SELECT * FROM Direcciones.dbo.FakeNameGenerator.com_20ba650f$"/>
  </w:mailMerge>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1F8"/>
    <w:rsid w:val="00052F06"/>
    <w:rsid w:val="001A2FEE"/>
    <w:rsid w:val="00215C5E"/>
    <w:rsid w:val="002451F8"/>
    <w:rsid w:val="003729F3"/>
    <w:rsid w:val="003C2619"/>
    <w:rsid w:val="003E0ABD"/>
    <w:rsid w:val="003E75CC"/>
    <w:rsid w:val="003F1E40"/>
    <w:rsid w:val="004855EA"/>
    <w:rsid w:val="00486890"/>
    <w:rsid w:val="00574542"/>
    <w:rsid w:val="005E370E"/>
    <w:rsid w:val="00671DC8"/>
    <w:rsid w:val="006D4EB2"/>
    <w:rsid w:val="00747A88"/>
    <w:rsid w:val="007771ED"/>
    <w:rsid w:val="007A01A3"/>
    <w:rsid w:val="0081035F"/>
    <w:rsid w:val="00841B23"/>
    <w:rsid w:val="00932382"/>
    <w:rsid w:val="00992B67"/>
    <w:rsid w:val="009E59A0"/>
    <w:rsid w:val="00A133AF"/>
    <w:rsid w:val="00A24627"/>
    <w:rsid w:val="00A26D05"/>
    <w:rsid w:val="00A377E9"/>
    <w:rsid w:val="00A436DD"/>
    <w:rsid w:val="00A938BB"/>
    <w:rsid w:val="00C679E8"/>
    <w:rsid w:val="00C87C93"/>
    <w:rsid w:val="00C94219"/>
    <w:rsid w:val="00CF1A77"/>
    <w:rsid w:val="00D00F15"/>
    <w:rsid w:val="00D5104F"/>
    <w:rsid w:val="00D809E7"/>
    <w:rsid w:val="00DE1CA3"/>
    <w:rsid w:val="00E00068"/>
    <w:rsid w:val="00E80461"/>
    <w:rsid w:val="00E83A25"/>
    <w:rsid w:val="00EB183E"/>
    <w:rsid w:val="00ED4BD1"/>
    <w:rsid w:val="00F128CB"/>
    <w:rsid w:val="00F36CB3"/>
    <w:rsid w:val="00F443AD"/>
    <w:rsid w:val="00F47872"/>
    <w:rsid w:val="00F5485D"/>
    <w:rsid w:val="00F73409"/>
    <w:rsid w:val="00F94D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ED81B"/>
  <w15:docId w15:val="{732B4696-FE40-48C1-BD24-F25713113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D0E"/>
    <w:rPr>
      <w:rFonts w:cs="Calibri"/>
      <w:lang w:val="es-CO" w:eastAsia="es-CO"/>
    </w:rPr>
  </w:style>
  <w:style w:type="paragraph" w:styleId="Ttulo1">
    <w:name w:val="heading 1"/>
    <w:basedOn w:val="Normal"/>
    <w:next w:val="Normal"/>
    <w:link w:val="Ttulo1Car"/>
    <w:qFormat/>
    <w:rsid w:val="00EF71ED"/>
    <w:pPr>
      <w:keepNext/>
      <w:keepLines/>
      <w:ind w:left="432" w:hanging="432"/>
      <w:jc w:val="both"/>
      <w:outlineLvl w:val="0"/>
    </w:pPr>
    <w:rPr>
      <w:rFonts w:ascii="Tahoma" w:hAnsi="Tahoma" w:cs="Tahoma"/>
      <w:b/>
      <w:bCs/>
      <w:sz w:val="28"/>
      <w:szCs w:val="28"/>
    </w:rPr>
  </w:style>
  <w:style w:type="paragraph" w:styleId="Ttulo2">
    <w:name w:val="heading 2"/>
    <w:basedOn w:val="Normal"/>
    <w:next w:val="Normal"/>
    <w:link w:val="Ttulo2Car"/>
    <w:qFormat/>
    <w:rsid w:val="00EF71ED"/>
    <w:pPr>
      <w:keepNext/>
      <w:widowControl w:val="0"/>
      <w:tabs>
        <w:tab w:val="left" w:pos="284"/>
        <w:tab w:val="left" w:pos="426"/>
        <w:tab w:val="left" w:pos="567"/>
      </w:tabs>
      <w:ind w:left="576" w:hanging="576"/>
      <w:jc w:val="both"/>
      <w:outlineLvl w:val="1"/>
    </w:pPr>
    <w:rPr>
      <w:rFonts w:ascii="Tahoma" w:hAnsi="Tahoma" w:cs="Tahoma"/>
      <w:b/>
      <w:sz w:val="26"/>
      <w:szCs w:val="26"/>
      <w:lang w:val="es-ES" w:eastAsia="es-ES"/>
    </w:rPr>
  </w:style>
  <w:style w:type="paragraph" w:styleId="Ttulo3">
    <w:name w:val="heading 3"/>
    <w:basedOn w:val="Normal"/>
    <w:next w:val="Normal"/>
    <w:link w:val="Ttulo3Car"/>
    <w:unhideWhenUsed/>
    <w:qFormat/>
    <w:rsid w:val="00EF71ED"/>
    <w:pPr>
      <w:keepNext/>
      <w:spacing w:before="240" w:after="60"/>
      <w:ind w:left="720" w:hanging="720"/>
      <w:jc w:val="both"/>
      <w:outlineLvl w:val="2"/>
    </w:pPr>
    <w:rPr>
      <w:rFonts w:ascii="Tahoma" w:eastAsia="Times New Roman" w:hAnsi="Tahoma" w:cs="Tahoma"/>
      <w:b/>
      <w:bCs/>
      <w:sz w:val="24"/>
      <w:szCs w:val="24"/>
      <w:lang w:val="es-MX"/>
    </w:rPr>
  </w:style>
  <w:style w:type="paragraph" w:styleId="Ttulo4">
    <w:name w:val="heading 4"/>
    <w:basedOn w:val="Normal"/>
    <w:next w:val="Normal"/>
    <w:link w:val="Ttulo4Car"/>
    <w:unhideWhenUsed/>
    <w:qFormat/>
    <w:rsid w:val="00EF71ED"/>
    <w:pPr>
      <w:keepNext/>
      <w:spacing w:before="240" w:after="60"/>
      <w:ind w:left="1006" w:hanging="864"/>
      <w:jc w:val="both"/>
      <w:outlineLvl w:val="3"/>
    </w:pPr>
    <w:rPr>
      <w:rFonts w:ascii="Tahoma" w:eastAsia="Times New Roman" w:hAnsi="Tahoma" w:cs="Tahoma"/>
      <w:b/>
      <w:bCs/>
      <w:sz w:val="24"/>
      <w:szCs w:val="24"/>
    </w:rPr>
  </w:style>
  <w:style w:type="paragraph" w:styleId="Ttulo5">
    <w:name w:val="heading 5"/>
    <w:basedOn w:val="Normal"/>
    <w:next w:val="Normal"/>
    <w:link w:val="Ttulo5Car"/>
    <w:unhideWhenUsed/>
    <w:qFormat/>
    <w:rsid w:val="00EF71ED"/>
    <w:pPr>
      <w:spacing w:before="240" w:after="60"/>
      <w:ind w:left="1008" w:hanging="1008"/>
      <w:jc w:val="both"/>
      <w:outlineLvl w:val="4"/>
    </w:pPr>
    <w:rPr>
      <w:rFonts w:eastAsia="Times New Roman" w:cs="Times New Roman"/>
      <w:b/>
      <w:bCs/>
      <w:i/>
      <w:iCs/>
      <w:sz w:val="26"/>
      <w:szCs w:val="26"/>
    </w:rPr>
  </w:style>
  <w:style w:type="paragraph" w:styleId="Ttulo6">
    <w:name w:val="heading 6"/>
    <w:basedOn w:val="Normal"/>
    <w:next w:val="Normal"/>
    <w:link w:val="Ttulo6Car"/>
    <w:qFormat/>
    <w:rsid w:val="00EF71ED"/>
    <w:pPr>
      <w:keepNext/>
      <w:ind w:left="1152" w:hanging="1152"/>
      <w:jc w:val="center"/>
      <w:outlineLvl w:val="5"/>
    </w:pPr>
    <w:rPr>
      <w:rFonts w:ascii="Times New Roman" w:eastAsia="Times New Roman" w:hAnsi="Times New Roman" w:cs="Arial"/>
      <w:b/>
      <w:sz w:val="20"/>
      <w:szCs w:val="20"/>
      <w:lang w:val="es-ES" w:eastAsia="es-ES"/>
    </w:rPr>
  </w:style>
  <w:style w:type="paragraph" w:styleId="Ttulo7">
    <w:name w:val="heading 7"/>
    <w:basedOn w:val="Normal"/>
    <w:next w:val="Normal"/>
    <w:link w:val="Ttulo7Car"/>
    <w:uiPriority w:val="99"/>
    <w:qFormat/>
    <w:rsid w:val="00EF71ED"/>
    <w:pPr>
      <w:keepNext/>
      <w:ind w:left="1296" w:hanging="1296"/>
      <w:jc w:val="center"/>
      <w:outlineLvl w:val="6"/>
    </w:pPr>
    <w:rPr>
      <w:rFonts w:ascii="Times New Roman" w:eastAsia="Times New Roman" w:hAnsi="Times New Roman" w:cs="Arial"/>
      <w:b/>
      <w:sz w:val="24"/>
      <w:szCs w:val="20"/>
      <w:lang w:val="es-ES" w:eastAsia="es-ES"/>
    </w:rPr>
  </w:style>
  <w:style w:type="paragraph" w:styleId="Ttulo8">
    <w:name w:val="heading 8"/>
    <w:basedOn w:val="Normal"/>
    <w:next w:val="Normal"/>
    <w:link w:val="Ttulo8Car"/>
    <w:uiPriority w:val="99"/>
    <w:qFormat/>
    <w:rsid w:val="00EF71ED"/>
    <w:pPr>
      <w:keepNext/>
      <w:ind w:left="1440" w:hanging="1440"/>
      <w:jc w:val="right"/>
      <w:outlineLvl w:val="7"/>
    </w:pPr>
    <w:rPr>
      <w:rFonts w:ascii="Tahoma" w:eastAsia="Times New Roman" w:hAnsi="Tahoma" w:cs="Arial"/>
      <w:b/>
      <w:sz w:val="20"/>
      <w:szCs w:val="20"/>
      <w:lang w:val="es-ES_tradnl" w:eastAsia="es-ES"/>
    </w:rPr>
  </w:style>
  <w:style w:type="paragraph" w:styleId="Ttulo9">
    <w:name w:val="heading 9"/>
    <w:basedOn w:val="Normal"/>
    <w:next w:val="Normal"/>
    <w:link w:val="Ttulo9Car"/>
    <w:uiPriority w:val="99"/>
    <w:qFormat/>
    <w:rsid w:val="00EF71ED"/>
    <w:pPr>
      <w:keepNext/>
      <w:ind w:left="1584" w:hanging="1584"/>
      <w:jc w:val="both"/>
      <w:outlineLvl w:val="8"/>
    </w:pPr>
    <w:rPr>
      <w:rFonts w:ascii="Arial" w:eastAsia="Times New Roman" w:hAnsi="Arial" w:cs="Arial"/>
      <w:b/>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uiPriority w:val="99"/>
    <w:semiHidden/>
    <w:unhideWhenUsed/>
    <w:rsid w:val="003E3D0E"/>
    <w:rPr>
      <w:color w:val="0000FF"/>
      <w:u w:val="single"/>
    </w:rPr>
  </w:style>
  <w:style w:type="character" w:customStyle="1" w:styleId="PiedepginaCar">
    <w:name w:val="Pie de página Car"/>
    <w:basedOn w:val="Fuentedeprrafopredeter"/>
    <w:link w:val="Piedepgina"/>
    <w:uiPriority w:val="99"/>
    <w:qFormat/>
    <w:rsid w:val="003E3D0E"/>
    <w:rPr>
      <w:rFonts w:ascii="Calibri" w:eastAsia="Calibri" w:hAnsi="Calibri" w:cs="Times New Roman"/>
      <w:sz w:val="20"/>
      <w:szCs w:val="20"/>
      <w:lang w:val="x-none" w:eastAsia="es-CO"/>
    </w:rPr>
  </w:style>
  <w:style w:type="character" w:customStyle="1" w:styleId="PrrafodelistaCar">
    <w:name w:val="Párrafo de lista Car"/>
    <w:link w:val="Prrafodelista"/>
    <w:uiPriority w:val="34"/>
    <w:qFormat/>
    <w:locked/>
    <w:rsid w:val="003E3D0E"/>
    <w:rPr>
      <w:rFonts w:ascii="Calibri" w:eastAsia="Calibri" w:hAnsi="Calibri" w:cs="Times New Roman"/>
      <w:sz w:val="20"/>
      <w:szCs w:val="20"/>
      <w:lang w:val="x-none" w:eastAsia="es-CO"/>
    </w:rPr>
  </w:style>
  <w:style w:type="character" w:customStyle="1" w:styleId="SinespaciadoCar">
    <w:name w:val="Sin espaciado Car"/>
    <w:link w:val="Sinespaciado"/>
    <w:uiPriority w:val="1"/>
    <w:qFormat/>
    <w:rsid w:val="003E3D0E"/>
    <w:rPr>
      <w:rFonts w:ascii="Tahoma" w:eastAsia="Times New Roman" w:hAnsi="Tahoma" w:cs="Times New Roman"/>
      <w:sz w:val="24"/>
      <w:szCs w:val="20"/>
      <w:lang w:val="es-MX" w:eastAsia="es-CO"/>
    </w:rPr>
  </w:style>
  <w:style w:type="character" w:customStyle="1" w:styleId="TextonotapieCar">
    <w:name w:val="Texto nota pie Car"/>
    <w:basedOn w:val="Fuentedeprrafopredeter"/>
    <w:link w:val="Textonotapie"/>
    <w:qFormat/>
    <w:rsid w:val="002542CB"/>
    <w:rPr>
      <w:rFonts w:ascii="Times New Roman" w:eastAsia="Times New Roman" w:hAnsi="Times New Roman" w:cs="Times New Roman"/>
      <w:sz w:val="20"/>
      <w:szCs w:val="20"/>
      <w:lang w:val="es-ES" w:eastAsia="es-ES"/>
    </w:rPr>
  </w:style>
  <w:style w:type="character" w:customStyle="1" w:styleId="Ancladenotaalpie">
    <w:name w:val="Ancla de nota al pie"/>
    <w:rPr>
      <w:vertAlign w:val="superscript"/>
    </w:rPr>
  </w:style>
  <w:style w:type="character" w:customStyle="1" w:styleId="FootnoteCharacters">
    <w:name w:val="Footnote Characters"/>
    <w:basedOn w:val="Fuentedeprrafopredeter"/>
    <w:uiPriority w:val="99"/>
    <w:qFormat/>
    <w:rsid w:val="002542CB"/>
    <w:rPr>
      <w:vertAlign w:val="superscript"/>
    </w:rPr>
  </w:style>
  <w:style w:type="character" w:customStyle="1" w:styleId="Ttulo1Car">
    <w:name w:val="Título 1 Car"/>
    <w:basedOn w:val="Fuentedeprrafopredeter"/>
    <w:link w:val="Ttulo1"/>
    <w:qFormat/>
    <w:rsid w:val="00EF71ED"/>
    <w:rPr>
      <w:rFonts w:ascii="Tahoma" w:eastAsia="Calibri" w:hAnsi="Tahoma" w:cs="Tahoma"/>
      <w:b/>
      <w:bCs/>
      <w:sz w:val="28"/>
      <w:szCs w:val="28"/>
      <w:lang w:val="es-CO" w:eastAsia="es-CO"/>
    </w:rPr>
  </w:style>
  <w:style w:type="character" w:customStyle="1" w:styleId="Ttulo2Car">
    <w:name w:val="Título 2 Car"/>
    <w:basedOn w:val="Fuentedeprrafopredeter"/>
    <w:link w:val="Ttulo2"/>
    <w:qFormat/>
    <w:rsid w:val="00EF71ED"/>
    <w:rPr>
      <w:rFonts w:ascii="Tahoma" w:eastAsia="Calibri" w:hAnsi="Tahoma" w:cs="Tahoma"/>
      <w:b/>
      <w:sz w:val="26"/>
      <w:szCs w:val="26"/>
      <w:lang w:val="es-ES" w:eastAsia="es-ES"/>
    </w:rPr>
  </w:style>
  <w:style w:type="character" w:customStyle="1" w:styleId="Ttulo3Car">
    <w:name w:val="Título 3 Car"/>
    <w:basedOn w:val="Fuentedeprrafopredeter"/>
    <w:link w:val="Ttulo3"/>
    <w:qFormat/>
    <w:rsid w:val="00EF71ED"/>
    <w:rPr>
      <w:rFonts w:ascii="Tahoma" w:eastAsia="Times New Roman" w:hAnsi="Tahoma" w:cs="Tahoma"/>
      <w:b/>
      <w:bCs/>
      <w:sz w:val="24"/>
      <w:szCs w:val="24"/>
      <w:lang w:val="es-MX" w:eastAsia="es-CO"/>
    </w:rPr>
  </w:style>
  <w:style w:type="character" w:customStyle="1" w:styleId="Ttulo4Car">
    <w:name w:val="Título 4 Car"/>
    <w:basedOn w:val="Fuentedeprrafopredeter"/>
    <w:link w:val="Ttulo4"/>
    <w:qFormat/>
    <w:rsid w:val="00EF71ED"/>
    <w:rPr>
      <w:rFonts w:ascii="Tahoma" w:eastAsia="Times New Roman" w:hAnsi="Tahoma" w:cs="Tahoma"/>
      <w:b/>
      <w:bCs/>
      <w:sz w:val="24"/>
      <w:szCs w:val="24"/>
      <w:lang w:val="es-CO" w:eastAsia="es-CO"/>
    </w:rPr>
  </w:style>
  <w:style w:type="character" w:customStyle="1" w:styleId="Ttulo5Car">
    <w:name w:val="Título 5 Car"/>
    <w:basedOn w:val="Fuentedeprrafopredeter"/>
    <w:link w:val="Ttulo5"/>
    <w:qFormat/>
    <w:rsid w:val="00EF71ED"/>
    <w:rPr>
      <w:rFonts w:ascii="Calibri" w:eastAsia="Times New Roman" w:hAnsi="Calibri" w:cs="Times New Roman"/>
      <w:b/>
      <w:bCs/>
      <w:i/>
      <w:iCs/>
      <w:sz w:val="26"/>
      <w:szCs w:val="26"/>
      <w:lang w:val="es-CO" w:eastAsia="es-CO"/>
    </w:rPr>
  </w:style>
  <w:style w:type="character" w:customStyle="1" w:styleId="Ttulo6Car">
    <w:name w:val="Título 6 Car"/>
    <w:basedOn w:val="Fuentedeprrafopredeter"/>
    <w:link w:val="Ttulo6"/>
    <w:qFormat/>
    <w:rsid w:val="00EF71ED"/>
    <w:rPr>
      <w:rFonts w:ascii="Times New Roman" w:eastAsia="Times New Roman" w:hAnsi="Times New Roman" w:cs="Arial"/>
      <w:b/>
      <w:sz w:val="20"/>
      <w:szCs w:val="20"/>
      <w:lang w:val="es-ES" w:eastAsia="es-ES"/>
    </w:rPr>
  </w:style>
  <w:style w:type="character" w:customStyle="1" w:styleId="Ttulo7Car">
    <w:name w:val="Título 7 Car"/>
    <w:basedOn w:val="Fuentedeprrafopredeter"/>
    <w:link w:val="Ttulo7"/>
    <w:uiPriority w:val="99"/>
    <w:qFormat/>
    <w:rsid w:val="00EF71ED"/>
    <w:rPr>
      <w:rFonts w:ascii="Times New Roman" w:eastAsia="Times New Roman" w:hAnsi="Times New Roman" w:cs="Arial"/>
      <w:b/>
      <w:sz w:val="24"/>
      <w:szCs w:val="20"/>
      <w:lang w:val="es-ES" w:eastAsia="es-ES"/>
    </w:rPr>
  </w:style>
  <w:style w:type="character" w:customStyle="1" w:styleId="Ttulo8Car">
    <w:name w:val="Título 8 Car"/>
    <w:basedOn w:val="Fuentedeprrafopredeter"/>
    <w:link w:val="Ttulo8"/>
    <w:uiPriority w:val="99"/>
    <w:qFormat/>
    <w:rsid w:val="00EF71ED"/>
    <w:rPr>
      <w:rFonts w:ascii="Tahoma" w:eastAsia="Times New Roman" w:hAnsi="Tahoma" w:cs="Arial"/>
      <w:b/>
      <w:sz w:val="20"/>
      <w:szCs w:val="20"/>
      <w:lang w:val="es-ES_tradnl" w:eastAsia="es-ES"/>
    </w:rPr>
  </w:style>
  <w:style w:type="character" w:customStyle="1" w:styleId="Ttulo9Car">
    <w:name w:val="Título 9 Car"/>
    <w:basedOn w:val="Fuentedeprrafopredeter"/>
    <w:link w:val="Ttulo9"/>
    <w:uiPriority w:val="99"/>
    <w:qFormat/>
    <w:rsid w:val="00EF71ED"/>
    <w:rPr>
      <w:rFonts w:ascii="Arial" w:eastAsia="Times New Roman" w:hAnsi="Arial" w:cs="Arial"/>
      <w:b/>
      <w:sz w:val="24"/>
      <w:szCs w:val="20"/>
      <w:lang w:val="es-ES" w:eastAsia="es-ES"/>
    </w:rPr>
  </w:style>
  <w:style w:type="character" w:customStyle="1" w:styleId="PrrafodelistaCar1">
    <w:name w:val="Párrafo de lista Car1"/>
    <w:uiPriority w:val="34"/>
    <w:qFormat/>
    <w:locked/>
    <w:rsid w:val="00061ABE"/>
    <w:rPr>
      <w:rFonts w:ascii="Arial Narrow" w:eastAsia="Calibri" w:hAnsi="Arial Narrow" w:cs="Times New Roman"/>
      <w:sz w:val="24"/>
      <w:szCs w:val="24"/>
      <w:lang w:val="es-ES_tradnl"/>
    </w:rPr>
  </w:style>
  <w:style w:type="character" w:customStyle="1" w:styleId="EncabezadoCar">
    <w:name w:val="Encabezado Car"/>
    <w:basedOn w:val="Fuentedeprrafopredeter"/>
    <w:link w:val="Encabezado"/>
    <w:uiPriority w:val="99"/>
    <w:qFormat/>
    <w:rsid w:val="00DE7916"/>
    <w:rPr>
      <w:rFonts w:ascii="Calibri" w:eastAsia="Calibri" w:hAnsi="Calibri" w:cs="Calibri"/>
      <w:lang w:val="es-CO" w:eastAsia="es-CO"/>
    </w:rPr>
  </w:style>
  <w:style w:type="character" w:customStyle="1" w:styleId="TextodegloboCar">
    <w:name w:val="Texto de globo Car"/>
    <w:basedOn w:val="Fuentedeprrafopredeter"/>
    <w:link w:val="Textodeglobo"/>
    <w:uiPriority w:val="99"/>
    <w:semiHidden/>
    <w:qFormat/>
    <w:rsid w:val="002968E0"/>
    <w:rPr>
      <w:rFonts w:ascii="Segoe UI" w:eastAsia="Calibri" w:hAnsi="Segoe UI" w:cs="Segoe UI"/>
      <w:sz w:val="18"/>
      <w:szCs w:val="18"/>
      <w:lang w:val="es-CO" w:eastAsia="es-CO"/>
    </w:rPr>
  </w:style>
  <w:style w:type="character" w:styleId="Refdecomentario">
    <w:name w:val="annotation reference"/>
    <w:basedOn w:val="Fuentedeprrafopredeter"/>
    <w:uiPriority w:val="99"/>
    <w:semiHidden/>
    <w:unhideWhenUsed/>
    <w:qFormat/>
    <w:rsid w:val="00461086"/>
    <w:rPr>
      <w:sz w:val="16"/>
      <w:szCs w:val="16"/>
    </w:rPr>
  </w:style>
  <w:style w:type="character" w:customStyle="1" w:styleId="TextocomentarioCar">
    <w:name w:val="Texto comentario Car"/>
    <w:basedOn w:val="Fuentedeprrafopredeter"/>
    <w:link w:val="Textocomentario"/>
    <w:uiPriority w:val="99"/>
    <w:semiHidden/>
    <w:qFormat/>
    <w:rsid w:val="00461086"/>
    <w:rPr>
      <w:rFonts w:ascii="Calibri" w:eastAsia="Calibri" w:hAnsi="Calibri" w:cs="Calibri"/>
      <w:sz w:val="20"/>
      <w:szCs w:val="20"/>
      <w:lang w:val="es-CO" w:eastAsia="es-CO"/>
    </w:rPr>
  </w:style>
  <w:style w:type="character" w:customStyle="1" w:styleId="AsuntodelcomentarioCar">
    <w:name w:val="Asunto del comentario Car"/>
    <w:basedOn w:val="TextocomentarioCar"/>
    <w:link w:val="Asuntodelcomentario"/>
    <w:uiPriority w:val="99"/>
    <w:semiHidden/>
    <w:qFormat/>
    <w:rsid w:val="00461086"/>
    <w:rPr>
      <w:rFonts w:ascii="Calibri" w:eastAsia="Calibri" w:hAnsi="Calibri" w:cs="Calibri"/>
      <w:b/>
      <w:bCs/>
      <w:sz w:val="20"/>
      <w:szCs w:val="20"/>
      <w:lang w:val="es-CO" w:eastAsia="es-CO"/>
    </w:rPr>
  </w:style>
  <w:style w:type="paragraph" w:customStyle="1" w:styleId="Ttulo10">
    <w:name w:val="Título1"/>
    <w:basedOn w:val="Normal"/>
    <w:next w:val="Textoindependiente"/>
    <w:qFormat/>
    <w:pPr>
      <w:keepNext/>
      <w:spacing w:before="240" w:after="120"/>
    </w:pPr>
    <w:rPr>
      <w:rFonts w:ascii="Liberation Sans" w:eastAsia="PingFang SC"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link w:val="PrrafodelistaCar"/>
    <w:uiPriority w:val="34"/>
    <w:qFormat/>
    <w:rsid w:val="003E3D0E"/>
    <w:pPr>
      <w:ind w:left="720"/>
    </w:pPr>
    <w:rPr>
      <w:rFonts w:cs="Times New Roman"/>
      <w:sz w:val="20"/>
      <w:szCs w:val="20"/>
      <w:lang w:val="x-none"/>
    </w:rPr>
  </w:style>
  <w:style w:type="paragraph" w:customStyle="1" w:styleId="Cabeceraypie">
    <w:name w:val="Cabecera y pie"/>
    <w:basedOn w:val="Normal"/>
    <w:qFormat/>
  </w:style>
  <w:style w:type="paragraph" w:styleId="Piedepgina">
    <w:name w:val="footer"/>
    <w:basedOn w:val="Normal"/>
    <w:link w:val="PiedepginaCar"/>
    <w:uiPriority w:val="99"/>
    <w:unhideWhenUsed/>
    <w:rsid w:val="003E3D0E"/>
    <w:pPr>
      <w:tabs>
        <w:tab w:val="center" w:pos="4419"/>
        <w:tab w:val="right" w:pos="8838"/>
      </w:tabs>
    </w:pPr>
    <w:rPr>
      <w:rFonts w:cs="Times New Roman"/>
      <w:sz w:val="20"/>
      <w:szCs w:val="20"/>
      <w:lang w:val="x-none"/>
    </w:rPr>
  </w:style>
  <w:style w:type="paragraph" w:styleId="TDC6">
    <w:name w:val="toc 6"/>
    <w:basedOn w:val="Normal"/>
    <w:next w:val="Normal"/>
    <w:autoRedefine/>
    <w:rsid w:val="0055658D"/>
    <w:pPr>
      <w:keepNext/>
      <w:jc w:val="both"/>
      <w:outlineLvl w:val="3"/>
    </w:pPr>
    <w:rPr>
      <w:rFonts w:ascii="Arial Narrow" w:eastAsia="Times New Roman" w:hAnsi="Arial Narrow" w:cs="Tahoma"/>
      <w:b/>
      <w:bCs/>
      <w:iCs/>
      <w:color w:val="000000" w:themeColor="text1"/>
      <w:sz w:val="20"/>
      <w:szCs w:val="20"/>
    </w:rPr>
  </w:style>
  <w:style w:type="paragraph" w:styleId="Sinespaciado">
    <w:name w:val="No Spacing"/>
    <w:link w:val="SinespaciadoCar"/>
    <w:uiPriority w:val="1"/>
    <w:qFormat/>
    <w:rsid w:val="003E3D0E"/>
    <w:pPr>
      <w:jc w:val="both"/>
    </w:pPr>
    <w:rPr>
      <w:rFonts w:ascii="Tahoma" w:eastAsia="Times New Roman" w:hAnsi="Tahoma" w:cs="Times New Roman"/>
      <w:sz w:val="24"/>
      <w:szCs w:val="20"/>
      <w:lang w:val="es-MX" w:eastAsia="es-CO"/>
    </w:rPr>
  </w:style>
  <w:style w:type="paragraph" w:styleId="Textonotapie">
    <w:name w:val="footnote text"/>
    <w:basedOn w:val="Normal"/>
    <w:link w:val="TextonotapieCar"/>
    <w:rsid w:val="002542CB"/>
    <w:rPr>
      <w:rFonts w:ascii="Times New Roman" w:eastAsia="Times New Roman" w:hAnsi="Times New Roman" w:cs="Times New Roman"/>
      <w:sz w:val="20"/>
      <w:szCs w:val="20"/>
      <w:lang w:val="es-ES" w:eastAsia="es-ES"/>
    </w:rPr>
  </w:style>
  <w:style w:type="paragraph" w:customStyle="1" w:styleId="Default">
    <w:name w:val="Default"/>
    <w:qFormat/>
    <w:rsid w:val="00F21710"/>
    <w:rPr>
      <w:rFonts w:ascii="Tahoma" w:eastAsia="Calibri" w:hAnsi="Tahoma" w:cs="Tahoma"/>
      <w:color w:val="000000"/>
      <w:sz w:val="24"/>
      <w:szCs w:val="24"/>
      <w:lang w:val="es-CO" w:eastAsia="es-CO"/>
    </w:rPr>
  </w:style>
  <w:style w:type="paragraph" w:styleId="Encabezado">
    <w:name w:val="header"/>
    <w:basedOn w:val="Normal"/>
    <w:link w:val="EncabezadoCar"/>
    <w:uiPriority w:val="99"/>
    <w:unhideWhenUsed/>
    <w:rsid w:val="00DE7916"/>
    <w:pPr>
      <w:tabs>
        <w:tab w:val="center" w:pos="4419"/>
        <w:tab w:val="right" w:pos="8838"/>
      </w:tabs>
    </w:pPr>
  </w:style>
  <w:style w:type="paragraph" w:styleId="Textodeglobo">
    <w:name w:val="Balloon Text"/>
    <w:basedOn w:val="Normal"/>
    <w:link w:val="TextodegloboCar"/>
    <w:uiPriority w:val="99"/>
    <w:semiHidden/>
    <w:unhideWhenUsed/>
    <w:qFormat/>
    <w:rsid w:val="002968E0"/>
    <w:rPr>
      <w:rFonts w:ascii="Segoe UI" w:hAnsi="Segoe UI" w:cs="Segoe UI"/>
      <w:sz w:val="18"/>
      <w:szCs w:val="18"/>
    </w:rPr>
  </w:style>
  <w:style w:type="paragraph" w:styleId="Textocomentario">
    <w:name w:val="annotation text"/>
    <w:basedOn w:val="Normal"/>
    <w:link w:val="TextocomentarioCar"/>
    <w:uiPriority w:val="99"/>
    <w:semiHidden/>
    <w:unhideWhenUsed/>
    <w:qFormat/>
    <w:rsid w:val="00461086"/>
    <w:rPr>
      <w:sz w:val="20"/>
      <w:szCs w:val="20"/>
    </w:rPr>
  </w:style>
  <w:style w:type="paragraph" w:styleId="Asuntodelcomentario">
    <w:name w:val="annotation subject"/>
    <w:basedOn w:val="Textocomentario"/>
    <w:next w:val="Textocomentario"/>
    <w:link w:val="AsuntodelcomentarioCar"/>
    <w:uiPriority w:val="99"/>
    <w:semiHidden/>
    <w:unhideWhenUsed/>
    <w:qFormat/>
    <w:rsid w:val="00461086"/>
    <w:rPr>
      <w:b/>
      <w:bCs/>
    </w:rPr>
  </w:style>
  <w:style w:type="character" w:customStyle="1" w:styleId="InviasNormalCar">
    <w:name w:val="Invias Normal Car"/>
    <w:link w:val="InviasNormal"/>
    <w:locked/>
    <w:rsid w:val="00F36CB3"/>
    <w:rPr>
      <w:rFonts w:ascii="Arial" w:eastAsia="Times New Roman" w:hAnsi="Arial" w:cs="Arial"/>
      <w:szCs w:val="24"/>
      <w:lang w:eastAsia="es-ES"/>
    </w:rPr>
  </w:style>
  <w:style w:type="paragraph" w:customStyle="1" w:styleId="InviasNormal">
    <w:name w:val="Invias Normal"/>
    <w:basedOn w:val="Normal"/>
    <w:link w:val="InviasNormalCar"/>
    <w:qFormat/>
    <w:rsid w:val="00F36CB3"/>
    <w:pPr>
      <w:tabs>
        <w:tab w:val="left" w:pos="-142"/>
      </w:tabs>
      <w:suppressAutoHyphens w:val="0"/>
      <w:autoSpaceDE w:val="0"/>
      <w:autoSpaceDN w:val="0"/>
      <w:adjustRightInd w:val="0"/>
      <w:spacing w:before="120" w:after="240"/>
      <w:jc w:val="both"/>
    </w:pPr>
    <w:rPr>
      <w:rFonts w:ascii="Arial" w:eastAsia="Times New Roman" w:hAnsi="Arial" w:cs="Arial"/>
      <w:szCs w:val="24"/>
      <w:lang w:val="en-US" w:eastAsia="es-ES"/>
    </w:rPr>
  </w:style>
  <w:style w:type="character" w:customStyle="1" w:styleId="FontStyle42">
    <w:name w:val="Font Style42"/>
    <w:uiPriority w:val="99"/>
    <w:rsid w:val="00E80461"/>
    <w:rPr>
      <w:rFonts w:ascii="Arial" w:hAnsi="Arial"/>
      <w:color w:val="000000"/>
      <w:sz w:val="16"/>
    </w:rPr>
  </w:style>
  <w:style w:type="paragraph" w:styleId="NormalWeb">
    <w:name w:val="Normal (Web)"/>
    <w:basedOn w:val="Normal"/>
    <w:link w:val="NormalWebCar"/>
    <w:uiPriority w:val="99"/>
    <w:rsid w:val="00E80461"/>
    <w:pPr>
      <w:suppressAutoHyphens w:val="0"/>
    </w:pPr>
    <w:rPr>
      <w:rFonts w:ascii="Times New Roman" w:eastAsia="Times New Roman" w:hAnsi="Times New Roman" w:cs="Times New Roman"/>
      <w:color w:val="000000"/>
      <w:sz w:val="18"/>
      <w:szCs w:val="18"/>
      <w:lang w:val="es-ES" w:eastAsia="es-ES"/>
    </w:rPr>
  </w:style>
  <w:style w:type="character" w:customStyle="1" w:styleId="NormalWebCar">
    <w:name w:val="Normal (Web) Car"/>
    <w:link w:val="NormalWeb"/>
    <w:uiPriority w:val="99"/>
    <w:rsid w:val="00E80461"/>
    <w:rPr>
      <w:rFonts w:ascii="Times New Roman" w:eastAsia="Times New Roman" w:hAnsi="Times New Roman" w:cs="Times New Roman"/>
      <w:color w:val="000000"/>
      <w:sz w:val="18"/>
      <w:szCs w:val="18"/>
      <w:lang w:val="es-ES" w:eastAsia="es-ES"/>
    </w:rPr>
  </w:style>
  <w:style w:type="paragraph" w:customStyle="1" w:styleId="Style1">
    <w:name w:val="Style1"/>
    <w:basedOn w:val="Normal"/>
    <w:uiPriority w:val="99"/>
    <w:rsid w:val="00A133AF"/>
    <w:pPr>
      <w:suppressAutoHyphens w:val="0"/>
      <w:spacing w:line="317" w:lineRule="exact"/>
      <w:jc w:val="both"/>
    </w:pPr>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23849">
      <w:bodyDiv w:val="1"/>
      <w:marLeft w:val="0"/>
      <w:marRight w:val="0"/>
      <w:marTop w:val="0"/>
      <w:marBottom w:val="0"/>
      <w:divBdr>
        <w:top w:val="none" w:sz="0" w:space="0" w:color="auto"/>
        <w:left w:val="none" w:sz="0" w:space="0" w:color="auto"/>
        <w:bottom w:val="none" w:sz="0" w:space="0" w:color="auto"/>
        <w:right w:val="none" w:sz="0" w:space="0" w:color="auto"/>
      </w:divBdr>
    </w:div>
    <w:div w:id="525564125">
      <w:bodyDiv w:val="1"/>
      <w:marLeft w:val="0"/>
      <w:marRight w:val="0"/>
      <w:marTop w:val="0"/>
      <w:marBottom w:val="0"/>
      <w:divBdr>
        <w:top w:val="none" w:sz="0" w:space="0" w:color="auto"/>
        <w:left w:val="none" w:sz="0" w:space="0" w:color="auto"/>
        <w:bottom w:val="none" w:sz="0" w:space="0" w:color="auto"/>
        <w:right w:val="none" w:sz="0" w:space="0" w:color="auto"/>
      </w:divBdr>
    </w:div>
    <w:div w:id="668214885">
      <w:bodyDiv w:val="1"/>
      <w:marLeft w:val="0"/>
      <w:marRight w:val="0"/>
      <w:marTop w:val="0"/>
      <w:marBottom w:val="0"/>
      <w:divBdr>
        <w:top w:val="none" w:sz="0" w:space="0" w:color="auto"/>
        <w:left w:val="none" w:sz="0" w:space="0" w:color="auto"/>
        <w:bottom w:val="none" w:sz="0" w:space="0" w:color="auto"/>
        <w:right w:val="none" w:sz="0" w:space="0" w:color="auto"/>
      </w:divBdr>
    </w:div>
    <w:div w:id="862978811">
      <w:bodyDiv w:val="1"/>
      <w:marLeft w:val="0"/>
      <w:marRight w:val="0"/>
      <w:marTop w:val="0"/>
      <w:marBottom w:val="0"/>
      <w:divBdr>
        <w:top w:val="none" w:sz="0" w:space="0" w:color="auto"/>
        <w:left w:val="none" w:sz="0" w:space="0" w:color="auto"/>
        <w:bottom w:val="none" w:sz="0" w:space="0" w:color="auto"/>
        <w:right w:val="none" w:sz="0" w:space="0" w:color="auto"/>
      </w:divBdr>
    </w:div>
    <w:div w:id="1009256851">
      <w:bodyDiv w:val="1"/>
      <w:marLeft w:val="0"/>
      <w:marRight w:val="0"/>
      <w:marTop w:val="0"/>
      <w:marBottom w:val="0"/>
      <w:divBdr>
        <w:top w:val="none" w:sz="0" w:space="0" w:color="auto"/>
        <w:left w:val="none" w:sz="0" w:space="0" w:color="auto"/>
        <w:bottom w:val="none" w:sz="0" w:space="0" w:color="auto"/>
        <w:right w:val="none" w:sz="0" w:space="0" w:color="auto"/>
      </w:divBdr>
    </w:div>
    <w:div w:id="1186794911">
      <w:bodyDiv w:val="1"/>
      <w:marLeft w:val="0"/>
      <w:marRight w:val="0"/>
      <w:marTop w:val="0"/>
      <w:marBottom w:val="0"/>
      <w:divBdr>
        <w:top w:val="none" w:sz="0" w:space="0" w:color="auto"/>
        <w:left w:val="none" w:sz="0" w:space="0" w:color="auto"/>
        <w:bottom w:val="none" w:sz="0" w:space="0" w:color="auto"/>
        <w:right w:val="none" w:sz="0" w:space="0" w:color="auto"/>
      </w:divBdr>
      <w:divsChild>
        <w:div w:id="1985502683">
          <w:marLeft w:val="0"/>
          <w:marRight w:val="0"/>
          <w:marTop w:val="0"/>
          <w:marBottom w:val="0"/>
          <w:divBdr>
            <w:top w:val="none" w:sz="0" w:space="0" w:color="auto"/>
            <w:left w:val="none" w:sz="0" w:space="0" w:color="auto"/>
            <w:bottom w:val="none" w:sz="0" w:space="0" w:color="auto"/>
            <w:right w:val="none" w:sz="0" w:space="0" w:color="auto"/>
          </w:divBdr>
          <w:divsChild>
            <w:div w:id="1837921354">
              <w:marLeft w:val="0"/>
              <w:marRight w:val="0"/>
              <w:marTop w:val="105"/>
              <w:marBottom w:val="0"/>
              <w:divBdr>
                <w:top w:val="none" w:sz="0" w:space="0" w:color="auto"/>
                <w:left w:val="none" w:sz="0" w:space="0" w:color="auto"/>
                <w:bottom w:val="none" w:sz="0" w:space="0" w:color="auto"/>
                <w:right w:val="none" w:sz="0" w:space="0" w:color="auto"/>
              </w:divBdr>
            </w:div>
          </w:divsChild>
        </w:div>
        <w:div w:id="584189708">
          <w:marLeft w:val="0"/>
          <w:marRight w:val="0"/>
          <w:marTop w:val="0"/>
          <w:marBottom w:val="0"/>
          <w:divBdr>
            <w:top w:val="none" w:sz="0" w:space="0" w:color="auto"/>
            <w:left w:val="none" w:sz="0" w:space="0" w:color="auto"/>
            <w:bottom w:val="none" w:sz="0" w:space="0" w:color="auto"/>
            <w:right w:val="none" w:sz="0" w:space="0" w:color="auto"/>
          </w:divBdr>
          <w:divsChild>
            <w:div w:id="875893809">
              <w:marLeft w:val="0"/>
              <w:marRight w:val="0"/>
              <w:marTop w:val="105"/>
              <w:marBottom w:val="0"/>
              <w:divBdr>
                <w:top w:val="none" w:sz="0" w:space="0" w:color="auto"/>
                <w:left w:val="none" w:sz="0" w:space="0" w:color="auto"/>
                <w:bottom w:val="none" w:sz="0" w:space="0" w:color="auto"/>
                <w:right w:val="none" w:sz="0" w:space="0" w:color="auto"/>
              </w:divBdr>
              <w:divsChild>
                <w:div w:id="9978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803060">
          <w:marLeft w:val="0"/>
          <w:marRight w:val="0"/>
          <w:marTop w:val="0"/>
          <w:marBottom w:val="0"/>
          <w:divBdr>
            <w:top w:val="none" w:sz="0" w:space="0" w:color="auto"/>
            <w:left w:val="none" w:sz="0" w:space="0" w:color="auto"/>
            <w:bottom w:val="none" w:sz="0" w:space="0" w:color="auto"/>
            <w:right w:val="none" w:sz="0" w:space="0" w:color="auto"/>
          </w:divBdr>
          <w:divsChild>
            <w:div w:id="115373119">
              <w:marLeft w:val="0"/>
              <w:marRight w:val="0"/>
              <w:marTop w:val="105"/>
              <w:marBottom w:val="0"/>
              <w:divBdr>
                <w:top w:val="none" w:sz="0" w:space="0" w:color="auto"/>
                <w:left w:val="none" w:sz="0" w:space="0" w:color="auto"/>
                <w:bottom w:val="none" w:sz="0" w:space="0" w:color="auto"/>
                <w:right w:val="none" w:sz="0" w:space="0" w:color="auto"/>
              </w:divBdr>
              <w:divsChild>
                <w:div w:id="150775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10106">
          <w:marLeft w:val="0"/>
          <w:marRight w:val="0"/>
          <w:marTop w:val="0"/>
          <w:marBottom w:val="0"/>
          <w:divBdr>
            <w:top w:val="none" w:sz="0" w:space="0" w:color="auto"/>
            <w:left w:val="none" w:sz="0" w:space="0" w:color="auto"/>
            <w:bottom w:val="none" w:sz="0" w:space="0" w:color="auto"/>
            <w:right w:val="none" w:sz="0" w:space="0" w:color="auto"/>
          </w:divBdr>
          <w:divsChild>
            <w:div w:id="174149662">
              <w:marLeft w:val="0"/>
              <w:marRight w:val="0"/>
              <w:marTop w:val="105"/>
              <w:marBottom w:val="0"/>
              <w:divBdr>
                <w:top w:val="none" w:sz="0" w:space="0" w:color="auto"/>
                <w:left w:val="none" w:sz="0" w:space="0" w:color="auto"/>
                <w:bottom w:val="none" w:sz="0" w:space="0" w:color="auto"/>
                <w:right w:val="none" w:sz="0" w:space="0" w:color="auto"/>
              </w:divBdr>
              <w:divsChild>
                <w:div w:id="32200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15201">
          <w:marLeft w:val="0"/>
          <w:marRight w:val="0"/>
          <w:marTop w:val="0"/>
          <w:marBottom w:val="0"/>
          <w:divBdr>
            <w:top w:val="none" w:sz="0" w:space="0" w:color="auto"/>
            <w:left w:val="none" w:sz="0" w:space="0" w:color="auto"/>
            <w:bottom w:val="none" w:sz="0" w:space="0" w:color="auto"/>
            <w:right w:val="none" w:sz="0" w:space="0" w:color="auto"/>
          </w:divBdr>
          <w:divsChild>
            <w:div w:id="266886169">
              <w:marLeft w:val="0"/>
              <w:marRight w:val="0"/>
              <w:marTop w:val="105"/>
              <w:marBottom w:val="0"/>
              <w:divBdr>
                <w:top w:val="none" w:sz="0" w:space="0" w:color="auto"/>
                <w:left w:val="none" w:sz="0" w:space="0" w:color="auto"/>
                <w:bottom w:val="none" w:sz="0" w:space="0" w:color="auto"/>
                <w:right w:val="none" w:sz="0" w:space="0" w:color="auto"/>
              </w:divBdr>
              <w:divsChild>
                <w:div w:id="30285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04567">
          <w:marLeft w:val="0"/>
          <w:marRight w:val="0"/>
          <w:marTop w:val="0"/>
          <w:marBottom w:val="0"/>
          <w:divBdr>
            <w:top w:val="none" w:sz="0" w:space="0" w:color="auto"/>
            <w:left w:val="none" w:sz="0" w:space="0" w:color="auto"/>
            <w:bottom w:val="none" w:sz="0" w:space="0" w:color="auto"/>
            <w:right w:val="none" w:sz="0" w:space="0" w:color="auto"/>
          </w:divBdr>
          <w:divsChild>
            <w:div w:id="791746380">
              <w:marLeft w:val="0"/>
              <w:marRight w:val="0"/>
              <w:marTop w:val="105"/>
              <w:marBottom w:val="0"/>
              <w:divBdr>
                <w:top w:val="none" w:sz="0" w:space="0" w:color="auto"/>
                <w:left w:val="none" w:sz="0" w:space="0" w:color="auto"/>
                <w:bottom w:val="none" w:sz="0" w:space="0" w:color="auto"/>
                <w:right w:val="none" w:sz="0" w:space="0" w:color="auto"/>
              </w:divBdr>
              <w:divsChild>
                <w:div w:id="64116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837642">
          <w:marLeft w:val="0"/>
          <w:marRight w:val="0"/>
          <w:marTop w:val="0"/>
          <w:marBottom w:val="0"/>
          <w:divBdr>
            <w:top w:val="none" w:sz="0" w:space="0" w:color="auto"/>
            <w:left w:val="none" w:sz="0" w:space="0" w:color="auto"/>
            <w:bottom w:val="none" w:sz="0" w:space="0" w:color="auto"/>
            <w:right w:val="none" w:sz="0" w:space="0" w:color="auto"/>
          </w:divBdr>
          <w:divsChild>
            <w:div w:id="680426293">
              <w:marLeft w:val="0"/>
              <w:marRight w:val="0"/>
              <w:marTop w:val="105"/>
              <w:marBottom w:val="0"/>
              <w:divBdr>
                <w:top w:val="none" w:sz="0" w:space="0" w:color="auto"/>
                <w:left w:val="none" w:sz="0" w:space="0" w:color="auto"/>
                <w:bottom w:val="none" w:sz="0" w:space="0" w:color="auto"/>
                <w:right w:val="none" w:sz="0" w:space="0" w:color="auto"/>
              </w:divBdr>
              <w:divsChild>
                <w:div w:id="6283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433901">
      <w:bodyDiv w:val="1"/>
      <w:marLeft w:val="0"/>
      <w:marRight w:val="0"/>
      <w:marTop w:val="0"/>
      <w:marBottom w:val="0"/>
      <w:divBdr>
        <w:top w:val="none" w:sz="0" w:space="0" w:color="auto"/>
        <w:left w:val="none" w:sz="0" w:space="0" w:color="auto"/>
        <w:bottom w:val="none" w:sz="0" w:space="0" w:color="auto"/>
        <w:right w:val="none" w:sz="0" w:space="0" w:color="auto"/>
      </w:divBdr>
    </w:div>
    <w:div w:id="1932932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6d3b9bfe-4dbb-4958-b890-337d0e6b7b9a">UH5WM6Y3C6RT-2129513006-13784</_dlc_DocId>
    <_dlc_DocIdUrl xmlns="6d3b9bfe-4dbb-4958-b890-337d0e6b7b9a">
      <Url>https://bna2.sharepoint.com/sites/calidad2/_layouts/15/DocIdRedir.aspx?ID=UH5WM6Y3C6RT-2129513006-13784</Url>
      <Description>UH5WM6Y3C6RT-2129513006-13784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CDC1934D8007C45869761DB71E849D2" ma:contentTypeVersion="11" ma:contentTypeDescription="Crear nuevo documento." ma:contentTypeScope="" ma:versionID="c9b883fb8c8b747f73acb5934dd01cff">
  <xsd:schema xmlns:xsd="http://www.w3.org/2001/XMLSchema" xmlns:xs="http://www.w3.org/2001/XMLSchema" xmlns:p="http://schemas.microsoft.com/office/2006/metadata/properties" xmlns:ns2="6d3b9bfe-4dbb-4958-b890-337d0e6b7b9a" xmlns:ns3="283a1cf7-1e38-42f7-9e60-ea7b52055c8e" targetNamespace="http://schemas.microsoft.com/office/2006/metadata/properties" ma:root="true" ma:fieldsID="c4f7c5a5652a3c2b58c6c46cc149a655" ns2:_="" ns3:_="">
    <xsd:import namespace="6d3b9bfe-4dbb-4958-b890-337d0e6b7b9a"/>
    <xsd:import namespace="283a1cf7-1e38-42f7-9e60-ea7b52055c8e"/>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b9bfe-4dbb-4958-b890-337d0e6b7b9a"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3a1cf7-1e38-42f7-9e60-ea7b52055c8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16D89-CF38-49C7-A2E5-2A20A14C9271}">
  <ds:schemaRefs>
    <ds:schemaRef ds:uri="http://schemas.microsoft.com/sharepoint/events"/>
  </ds:schemaRefs>
</ds:datastoreItem>
</file>

<file path=customXml/itemProps2.xml><?xml version="1.0" encoding="utf-8"?>
<ds:datastoreItem xmlns:ds="http://schemas.openxmlformats.org/officeDocument/2006/customXml" ds:itemID="{50C69866-CD3B-49BE-A6E0-889827FB26EE}">
  <ds:schemaRefs>
    <ds:schemaRef ds:uri="http://schemas.microsoft.com/sharepoint/v3/contenttype/forms"/>
  </ds:schemaRefs>
</ds:datastoreItem>
</file>

<file path=customXml/itemProps3.xml><?xml version="1.0" encoding="utf-8"?>
<ds:datastoreItem xmlns:ds="http://schemas.openxmlformats.org/officeDocument/2006/customXml" ds:itemID="{0E14CD5B-101A-4BEE-A526-7BBCBAC8260C}">
  <ds:schemaRefs>
    <ds:schemaRef ds:uri="http://schemas.microsoft.com/office/2006/metadata/properties"/>
    <ds:schemaRef ds:uri="http://schemas.microsoft.com/office/infopath/2007/PartnerControls"/>
    <ds:schemaRef ds:uri="6d3b9bfe-4dbb-4958-b890-337d0e6b7b9a"/>
  </ds:schemaRefs>
</ds:datastoreItem>
</file>

<file path=customXml/itemProps4.xml><?xml version="1.0" encoding="utf-8"?>
<ds:datastoreItem xmlns:ds="http://schemas.openxmlformats.org/officeDocument/2006/customXml" ds:itemID="{8B35A8BA-D407-4A93-AEA4-970ACE799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b9bfe-4dbb-4958-b890-337d0e6b7b9a"/>
    <ds:schemaRef ds:uri="283a1cf7-1e38-42f7-9e60-ea7b52055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ED3C3C1-C8D7-4E89-AA0E-8DFDAF20C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7</Pages>
  <Words>3104</Words>
  <Characters>17075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 pública SASI-IDER-001-2026</dc:title>
  <dc:subject>Suministro de químicos para piscinas - vigencia 2026</dc:subject>
  <dc:creator>Lina Pinto</dc:creator>
  <dc:description/>
  <cp:lastModifiedBy>MELISSA ANDREA OLAVE GUZMAN</cp:lastModifiedBy>
  <cp:revision>7</cp:revision>
  <cp:lastPrinted>2026-10-01T21:33:00Z</cp:lastPrinted>
  <dcterms:created xsi:type="dcterms:W3CDTF">2025-04-04T21:12:00Z</dcterms:created>
  <dcterms:modified xsi:type="dcterms:W3CDTF">2026-10-19T15:57:00Z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0x010100FCDC1934D8007C45869761DB71E849D2</vt:lpwstr>
  </property>
  <property fmtid="{D5CDD505-2E9C-101B-9397-08002B2CF9AE}" pid="3" name="_dlc_DocIdItemGuid">
    <vt:lpwstr>1f09f5e1-036d-4b78-9dd8-302c909484be</vt:lpwstr>
  </property>
</Properties>
</file>