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343041" w14:textId="7B504C4B" w:rsidR="00370339" w:rsidRDefault="009E18DD" w:rsidP="009E18DD">
      <w:pPr>
        <w:jc w:val="center"/>
      </w:pPr>
      <w:r>
        <w:t>PRESUPUESTO OFICIAL</w:t>
      </w:r>
      <w:r w:rsidR="00443F9E">
        <w:t xml:space="preserve"> Y MATRIZ DE RIESGO</w:t>
      </w:r>
      <w:r>
        <w:t xml:space="preserve"> CONSULTORÍA TEATRO ISCALÁ</w:t>
      </w:r>
    </w:p>
    <w:tbl>
      <w:tblPr>
        <w:tblW w:w="935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00"/>
        <w:gridCol w:w="700"/>
        <w:gridCol w:w="850"/>
        <w:gridCol w:w="1150"/>
        <w:gridCol w:w="1000"/>
        <w:gridCol w:w="700"/>
        <w:gridCol w:w="750"/>
        <w:gridCol w:w="1200"/>
      </w:tblGrid>
      <w:tr w:rsidR="009E18DD" w:rsidRPr="009E18DD" w14:paraId="1E5D5F6A" w14:textId="77777777" w:rsidTr="000E61AD">
        <w:trPr>
          <w:cantSplit/>
          <w:tblHeader/>
          <w:jc w:val="center"/>
        </w:trPr>
        <w:tc>
          <w:tcPr>
            <w:tcW w:w="3000" w:type="dxa"/>
            <w:shd w:val="clear" w:color="auto" w:fill="D9D9D9"/>
            <w:vAlign w:val="center"/>
          </w:tcPr>
          <w:p w14:paraId="741BC135" w14:textId="77777777" w:rsidR="009E18DD" w:rsidRPr="009E18DD" w:rsidRDefault="009E18DD" w:rsidP="009E18DD">
            <w:pPr>
              <w:keepNext/>
              <w:spacing w:before="20" w:after="20" w:line="240" w:lineRule="auto"/>
              <w:jc w:val="center"/>
              <w:rPr>
                <w:rFonts w:eastAsia="Arial" w:cs="Arial"/>
                <w:b/>
                <w:bCs/>
                <w:kern w:val="0"/>
                <w:sz w:val="15"/>
                <w:szCs w:val="15"/>
                <w:lang w:eastAsia="es-CO"/>
                <w14:ligatures w14:val="none"/>
              </w:rPr>
            </w:pPr>
            <w:r w:rsidRPr="009E18DD">
              <w:rPr>
                <w:rFonts w:eastAsia="Arial" w:cs="Arial"/>
                <w:b/>
                <w:bCs/>
                <w:kern w:val="0"/>
                <w:sz w:val="15"/>
                <w:szCs w:val="15"/>
                <w:lang w:eastAsia="es-CO"/>
                <w14:ligatures w14:val="none"/>
              </w:rPr>
              <w:t>Descripción</w:t>
            </w:r>
          </w:p>
        </w:tc>
        <w:tc>
          <w:tcPr>
            <w:tcW w:w="700" w:type="dxa"/>
            <w:shd w:val="clear" w:color="auto" w:fill="D9D9D9"/>
            <w:vAlign w:val="center"/>
          </w:tcPr>
          <w:p w14:paraId="67D00B28" w14:textId="77777777" w:rsidR="009E18DD" w:rsidRPr="009E18DD" w:rsidRDefault="009E18DD" w:rsidP="009E18DD">
            <w:pPr>
              <w:keepNext/>
              <w:spacing w:before="20" w:after="20" w:line="240" w:lineRule="auto"/>
              <w:jc w:val="center"/>
              <w:rPr>
                <w:rFonts w:eastAsia="Arial" w:cs="Arial"/>
                <w:b/>
                <w:bCs/>
                <w:kern w:val="0"/>
                <w:sz w:val="15"/>
                <w:szCs w:val="15"/>
                <w:lang w:eastAsia="es-CO"/>
                <w14:ligatures w14:val="none"/>
              </w:rPr>
            </w:pPr>
            <w:r w:rsidRPr="009E18DD">
              <w:rPr>
                <w:rFonts w:eastAsia="Arial" w:cs="Arial"/>
                <w:b/>
                <w:bCs/>
                <w:kern w:val="0"/>
                <w:sz w:val="15"/>
                <w:szCs w:val="15"/>
                <w:lang w:eastAsia="es-CO"/>
                <w14:ligatures w14:val="none"/>
              </w:rPr>
              <w:t>Cant.</w:t>
            </w:r>
          </w:p>
        </w:tc>
        <w:tc>
          <w:tcPr>
            <w:tcW w:w="850" w:type="dxa"/>
            <w:shd w:val="clear" w:color="auto" w:fill="D9D9D9"/>
            <w:vAlign w:val="center"/>
          </w:tcPr>
          <w:p w14:paraId="3348F5F1" w14:textId="77777777" w:rsidR="009E18DD" w:rsidRPr="009E18DD" w:rsidRDefault="009E18DD" w:rsidP="009E18DD">
            <w:pPr>
              <w:keepNext/>
              <w:spacing w:before="20" w:after="20" w:line="240" w:lineRule="auto"/>
              <w:jc w:val="center"/>
              <w:rPr>
                <w:rFonts w:eastAsia="Arial" w:cs="Arial"/>
                <w:b/>
                <w:bCs/>
                <w:kern w:val="0"/>
                <w:sz w:val="15"/>
                <w:szCs w:val="15"/>
                <w:lang w:eastAsia="es-CO"/>
                <w14:ligatures w14:val="none"/>
              </w:rPr>
            </w:pPr>
            <w:r w:rsidRPr="009E18DD">
              <w:rPr>
                <w:rFonts w:eastAsia="Arial" w:cs="Arial"/>
                <w:b/>
                <w:bCs/>
                <w:kern w:val="0"/>
                <w:sz w:val="15"/>
                <w:szCs w:val="15"/>
                <w:lang w:eastAsia="es-CO"/>
                <w14:ligatures w14:val="none"/>
              </w:rPr>
              <w:t>Unidad</w:t>
            </w:r>
          </w:p>
        </w:tc>
        <w:tc>
          <w:tcPr>
            <w:tcW w:w="1150" w:type="dxa"/>
            <w:shd w:val="clear" w:color="auto" w:fill="D9D9D9"/>
            <w:vAlign w:val="center"/>
          </w:tcPr>
          <w:p w14:paraId="110FF46C" w14:textId="77777777" w:rsidR="009E18DD" w:rsidRPr="009E18DD" w:rsidRDefault="009E18DD" w:rsidP="009E18DD">
            <w:pPr>
              <w:keepNext/>
              <w:spacing w:before="20" w:after="20" w:line="240" w:lineRule="auto"/>
              <w:jc w:val="center"/>
              <w:rPr>
                <w:rFonts w:eastAsia="Arial" w:cs="Arial"/>
                <w:b/>
                <w:bCs/>
                <w:kern w:val="0"/>
                <w:sz w:val="15"/>
                <w:szCs w:val="15"/>
                <w:lang w:eastAsia="es-CO"/>
                <w14:ligatures w14:val="none"/>
              </w:rPr>
            </w:pPr>
            <w:r w:rsidRPr="009E18DD">
              <w:rPr>
                <w:rFonts w:eastAsia="Arial" w:cs="Arial"/>
                <w:b/>
                <w:bCs/>
                <w:kern w:val="0"/>
                <w:sz w:val="15"/>
                <w:szCs w:val="15"/>
                <w:lang w:eastAsia="es-CO"/>
                <w14:ligatures w14:val="none"/>
              </w:rPr>
              <w:t>Remuneración o costo unitario</w:t>
            </w:r>
          </w:p>
        </w:tc>
        <w:tc>
          <w:tcPr>
            <w:tcW w:w="1000" w:type="dxa"/>
            <w:shd w:val="clear" w:color="auto" w:fill="D9D9D9"/>
            <w:vAlign w:val="center"/>
          </w:tcPr>
          <w:p w14:paraId="2C208CDB" w14:textId="77777777" w:rsidR="009E18DD" w:rsidRPr="009E18DD" w:rsidRDefault="009E18DD" w:rsidP="009E18DD">
            <w:pPr>
              <w:keepNext/>
              <w:spacing w:before="20" w:after="20" w:line="240" w:lineRule="auto"/>
              <w:jc w:val="center"/>
              <w:rPr>
                <w:rFonts w:eastAsia="Arial" w:cs="Arial"/>
                <w:b/>
                <w:bCs/>
                <w:kern w:val="0"/>
                <w:sz w:val="15"/>
                <w:szCs w:val="15"/>
                <w:lang w:eastAsia="es-CO"/>
                <w14:ligatures w14:val="none"/>
              </w:rPr>
            </w:pPr>
            <w:r w:rsidRPr="009E18DD">
              <w:rPr>
                <w:rFonts w:eastAsia="Arial" w:cs="Arial"/>
                <w:b/>
                <w:bCs/>
                <w:kern w:val="0"/>
                <w:sz w:val="15"/>
                <w:szCs w:val="15"/>
                <w:lang w:eastAsia="es-CO"/>
                <w14:ligatures w14:val="none"/>
              </w:rPr>
              <w:t>Dedicación</w:t>
            </w:r>
          </w:p>
        </w:tc>
        <w:tc>
          <w:tcPr>
            <w:tcW w:w="700" w:type="dxa"/>
            <w:shd w:val="clear" w:color="auto" w:fill="D9D9D9"/>
            <w:vAlign w:val="center"/>
          </w:tcPr>
          <w:p w14:paraId="77C87B2E" w14:textId="77777777" w:rsidR="009E18DD" w:rsidRPr="009E18DD" w:rsidRDefault="009E18DD" w:rsidP="009E18DD">
            <w:pPr>
              <w:keepNext/>
              <w:spacing w:before="20" w:after="20" w:line="240" w:lineRule="auto"/>
              <w:jc w:val="center"/>
              <w:rPr>
                <w:rFonts w:eastAsia="Arial" w:cs="Arial"/>
                <w:b/>
                <w:bCs/>
                <w:kern w:val="0"/>
                <w:sz w:val="15"/>
                <w:szCs w:val="15"/>
                <w:lang w:eastAsia="es-CO"/>
                <w14:ligatures w14:val="none"/>
              </w:rPr>
            </w:pPr>
            <w:r w:rsidRPr="009E18DD">
              <w:rPr>
                <w:rFonts w:eastAsia="Arial" w:cs="Arial"/>
                <w:b/>
                <w:bCs/>
                <w:kern w:val="0"/>
                <w:sz w:val="15"/>
                <w:szCs w:val="15"/>
                <w:lang w:eastAsia="es-CO"/>
                <w14:ligatures w14:val="none"/>
              </w:rPr>
              <w:t>Meses</w:t>
            </w:r>
          </w:p>
        </w:tc>
        <w:tc>
          <w:tcPr>
            <w:tcW w:w="750" w:type="dxa"/>
            <w:shd w:val="clear" w:color="auto" w:fill="D9D9D9"/>
            <w:vAlign w:val="center"/>
          </w:tcPr>
          <w:p w14:paraId="612A9ACE" w14:textId="77777777" w:rsidR="009E18DD" w:rsidRPr="009E18DD" w:rsidRDefault="009E18DD" w:rsidP="009E18DD">
            <w:pPr>
              <w:keepNext/>
              <w:spacing w:before="20" w:after="20" w:line="240" w:lineRule="auto"/>
              <w:jc w:val="center"/>
              <w:rPr>
                <w:rFonts w:eastAsia="Arial" w:cs="Arial"/>
                <w:b/>
                <w:bCs/>
                <w:kern w:val="0"/>
                <w:sz w:val="15"/>
                <w:szCs w:val="15"/>
                <w:lang w:eastAsia="es-CO"/>
                <w14:ligatures w14:val="none"/>
              </w:rPr>
            </w:pPr>
            <w:r w:rsidRPr="009E18DD">
              <w:rPr>
                <w:rFonts w:eastAsia="Arial" w:cs="Arial"/>
                <w:b/>
                <w:bCs/>
                <w:kern w:val="0"/>
                <w:sz w:val="15"/>
                <w:szCs w:val="15"/>
                <w:lang w:eastAsia="es-CO"/>
                <w14:ligatures w14:val="none"/>
              </w:rPr>
              <w:t>Factor mult.</w:t>
            </w:r>
          </w:p>
        </w:tc>
        <w:tc>
          <w:tcPr>
            <w:tcW w:w="1200" w:type="dxa"/>
            <w:shd w:val="clear" w:color="auto" w:fill="D9D9D9"/>
            <w:vAlign w:val="center"/>
          </w:tcPr>
          <w:p w14:paraId="3A81BDDB" w14:textId="77777777" w:rsidR="009E18DD" w:rsidRPr="009E18DD" w:rsidRDefault="009E18DD" w:rsidP="009E18DD">
            <w:pPr>
              <w:keepNext/>
              <w:spacing w:before="20" w:after="20" w:line="240" w:lineRule="auto"/>
              <w:jc w:val="center"/>
              <w:rPr>
                <w:rFonts w:eastAsia="Arial" w:cs="Arial"/>
                <w:b/>
                <w:bCs/>
                <w:kern w:val="0"/>
                <w:sz w:val="15"/>
                <w:szCs w:val="15"/>
                <w:lang w:eastAsia="es-CO"/>
                <w14:ligatures w14:val="none"/>
              </w:rPr>
            </w:pPr>
            <w:r w:rsidRPr="009E18DD">
              <w:rPr>
                <w:rFonts w:eastAsia="Arial" w:cs="Arial"/>
                <w:b/>
                <w:bCs/>
                <w:kern w:val="0"/>
                <w:sz w:val="15"/>
                <w:szCs w:val="15"/>
                <w:lang w:eastAsia="es-CO"/>
                <w14:ligatures w14:val="none"/>
              </w:rPr>
              <w:t>Valor total</w:t>
            </w:r>
          </w:p>
        </w:tc>
      </w:tr>
      <w:tr w:rsidR="009E18DD" w:rsidRPr="009E18DD" w14:paraId="5CF3ECE3" w14:textId="77777777" w:rsidTr="000E61AD">
        <w:trPr>
          <w:cantSplit/>
          <w:jc w:val="center"/>
        </w:trPr>
        <w:tc>
          <w:tcPr>
            <w:tcW w:w="9350" w:type="dxa"/>
            <w:gridSpan w:val="8"/>
            <w:shd w:val="clear" w:color="auto" w:fill="E7EEF5"/>
            <w:vAlign w:val="center"/>
          </w:tcPr>
          <w:p w14:paraId="7F222BB6" w14:textId="77777777" w:rsidR="009E18DD" w:rsidRPr="009E18DD" w:rsidRDefault="009E18DD" w:rsidP="009E18DD">
            <w:pPr>
              <w:spacing w:before="20" w:after="20" w:line="240" w:lineRule="auto"/>
              <w:jc w:val="left"/>
              <w:rPr>
                <w:rFonts w:eastAsia="Arial" w:cs="Arial"/>
                <w:b/>
                <w:bCs/>
                <w:kern w:val="0"/>
                <w:sz w:val="15"/>
                <w:szCs w:val="15"/>
                <w:lang w:eastAsia="es-CO"/>
                <w14:ligatures w14:val="none"/>
              </w:rPr>
            </w:pPr>
            <w:r w:rsidRPr="009E18DD">
              <w:rPr>
                <w:rFonts w:eastAsia="Arial" w:cs="Arial"/>
                <w:b/>
                <w:bCs/>
                <w:kern w:val="0"/>
                <w:sz w:val="15"/>
                <w:szCs w:val="15"/>
                <w:lang w:eastAsia="es-CO"/>
                <w14:ligatures w14:val="none"/>
              </w:rPr>
              <w:t>1. COSTOS DE PERSONAL</w:t>
            </w:r>
          </w:p>
        </w:tc>
      </w:tr>
      <w:tr w:rsidR="009E18DD" w:rsidRPr="009E18DD" w14:paraId="211E899B" w14:textId="77777777" w:rsidTr="000E61AD">
        <w:trPr>
          <w:cantSplit/>
          <w:jc w:val="center"/>
        </w:trPr>
        <w:tc>
          <w:tcPr>
            <w:tcW w:w="3000" w:type="dxa"/>
            <w:vAlign w:val="center"/>
          </w:tcPr>
          <w:p w14:paraId="14D39F67" w14:textId="77777777" w:rsidR="009E18DD" w:rsidRPr="009E18DD" w:rsidRDefault="009E18DD" w:rsidP="009E18DD">
            <w:pPr>
              <w:spacing w:before="20" w:after="20" w:line="240" w:lineRule="auto"/>
              <w:jc w:val="left"/>
              <w:rPr>
                <w:rFonts w:eastAsia="Arial" w:cs="Arial"/>
                <w:kern w:val="0"/>
                <w:sz w:val="15"/>
                <w:szCs w:val="15"/>
                <w:lang w:eastAsia="es-CO"/>
                <w14:ligatures w14:val="none"/>
              </w:rPr>
            </w:pPr>
            <w:r w:rsidRPr="009E18DD">
              <w:rPr>
                <w:rFonts w:eastAsia="Arial" w:cs="Arial"/>
                <w:kern w:val="0"/>
                <w:sz w:val="15"/>
                <w:szCs w:val="15"/>
                <w:lang w:eastAsia="es-CO"/>
                <w14:ligatures w14:val="none"/>
              </w:rPr>
              <w:t>Ingeniero consultor</w:t>
            </w:r>
          </w:p>
        </w:tc>
        <w:tc>
          <w:tcPr>
            <w:tcW w:w="700" w:type="dxa"/>
            <w:vAlign w:val="center"/>
          </w:tcPr>
          <w:p w14:paraId="1596EB37"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r w:rsidRPr="009E18DD">
              <w:rPr>
                <w:rFonts w:eastAsia="Arial" w:cs="Arial"/>
                <w:kern w:val="0"/>
                <w:sz w:val="15"/>
                <w:szCs w:val="15"/>
                <w:lang w:eastAsia="es-CO"/>
                <w14:ligatures w14:val="none"/>
              </w:rPr>
              <w:t>1</w:t>
            </w:r>
          </w:p>
        </w:tc>
        <w:tc>
          <w:tcPr>
            <w:tcW w:w="850" w:type="dxa"/>
            <w:vAlign w:val="center"/>
          </w:tcPr>
          <w:p w14:paraId="59CA6AAE"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r w:rsidRPr="009E18DD">
              <w:rPr>
                <w:rFonts w:eastAsia="Arial" w:cs="Arial"/>
                <w:kern w:val="0"/>
                <w:sz w:val="15"/>
                <w:szCs w:val="15"/>
                <w:lang w:eastAsia="es-CO"/>
                <w14:ligatures w14:val="none"/>
              </w:rPr>
              <w:t>Persona</w:t>
            </w:r>
          </w:p>
        </w:tc>
        <w:tc>
          <w:tcPr>
            <w:tcW w:w="1150" w:type="dxa"/>
            <w:vAlign w:val="center"/>
          </w:tcPr>
          <w:p w14:paraId="456B7CE9" w14:textId="77777777" w:rsidR="009E18DD" w:rsidRPr="009E18DD" w:rsidRDefault="009E18DD" w:rsidP="009E18DD">
            <w:pPr>
              <w:spacing w:before="20" w:after="20" w:line="240" w:lineRule="auto"/>
              <w:jc w:val="right"/>
              <w:rPr>
                <w:rFonts w:eastAsia="Arial" w:cs="Arial"/>
                <w:kern w:val="0"/>
                <w:sz w:val="15"/>
                <w:szCs w:val="15"/>
                <w:lang w:eastAsia="es-CO"/>
                <w14:ligatures w14:val="none"/>
              </w:rPr>
            </w:pPr>
            <w:r w:rsidRPr="009E18DD">
              <w:rPr>
                <w:rFonts w:eastAsia="Arial" w:cs="Arial"/>
                <w:kern w:val="0"/>
                <w:sz w:val="15"/>
                <w:szCs w:val="15"/>
                <w:lang w:eastAsia="es-CO"/>
                <w14:ligatures w14:val="none"/>
              </w:rPr>
              <w:t>$6.000.000</w:t>
            </w:r>
          </w:p>
        </w:tc>
        <w:tc>
          <w:tcPr>
            <w:tcW w:w="1000" w:type="dxa"/>
            <w:vAlign w:val="center"/>
          </w:tcPr>
          <w:p w14:paraId="47A3DF78"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r w:rsidRPr="009E18DD">
              <w:rPr>
                <w:rFonts w:eastAsia="Arial" w:cs="Arial"/>
                <w:kern w:val="0"/>
                <w:sz w:val="15"/>
                <w:szCs w:val="15"/>
                <w:lang w:eastAsia="es-CO"/>
                <w14:ligatures w14:val="none"/>
              </w:rPr>
              <w:t>20%</w:t>
            </w:r>
          </w:p>
        </w:tc>
        <w:tc>
          <w:tcPr>
            <w:tcW w:w="700" w:type="dxa"/>
            <w:vAlign w:val="center"/>
          </w:tcPr>
          <w:p w14:paraId="74C0DCDA"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r w:rsidRPr="009E18DD">
              <w:rPr>
                <w:rFonts w:eastAsia="Arial" w:cs="Arial"/>
                <w:kern w:val="0"/>
                <w:sz w:val="15"/>
                <w:szCs w:val="15"/>
                <w:lang w:eastAsia="es-CO"/>
                <w14:ligatures w14:val="none"/>
              </w:rPr>
              <w:t>2,00</w:t>
            </w:r>
          </w:p>
        </w:tc>
        <w:tc>
          <w:tcPr>
            <w:tcW w:w="750" w:type="dxa"/>
            <w:vAlign w:val="center"/>
          </w:tcPr>
          <w:p w14:paraId="25E5845E"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r w:rsidRPr="009E18DD">
              <w:rPr>
                <w:rFonts w:eastAsia="Arial" w:cs="Arial"/>
                <w:kern w:val="0"/>
                <w:sz w:val="15"/>
                <w:szCs w:val="15"/>
                <w:lang w:eastAsia="es-CO"/>
                <w14:ligatures w14:val="none"/>
              </w:rPr>
              <w:t>1,92</w:t>
            </w:r>
          </w:p>
        </w:tc>
        <w:tc>
          <w:tcPr>
            <w:tcW w:w="1200" w:type="dxa"/>
            <w:vAlign w:val="center"/>
          </w:tcPr>
          <w:p w14:paraId="7113D6A6" w14:textId="77777777" w:rsidR="009E18DD" w:rsidRPr="009E18DD" w:rsidRDefault="009E18DD" w:rsidP="009E18DD">
            <w:pPr>
              <w:spacing w:before="20" w:after="20" w:line="240" w:lineRule="auto"/>
              <w:jc w:val="right"/>
              <w:rPr>
                <w:rFonts w:eastAsia="Arial" w:cs="Arial"/>
                <w:kern w:val="0"/>
                <w:sz w:val="15"/>
                <w:szCs w:val="15"/>
                <w:lang w:eastAsia="es-CO"/>
                <w14:ligatures w14:val="none"/>
              </w:rPr>
            </w:pPr>
            <w:r w:rsidRPr="009E18DD">
              <w:rPr>
                <w:rFonts w:eastAsia="Arial" w:cs="Arial"/>
                <w:kern w:val="0"/>
                <w:sz w:val="15"/>
                <w:szCs w:val="15"/>
                <w:lang w:eastAsia="es-CO"/>
                <w14:ligatures w14:val="none"/>
              </w:rPr>
              <w:t>$4.608.000</w:t>
            </w:r>
          </w:p>
        </w:tc>
      </w:tr>
      <w:tr w:rsidR="009E18DD" w:rsidRPr="009E18DD" w14:paraId="16B91184" w14:textId="77777777" w:rsidTr="000E61AD">
        <w:trPr>
          <w:cantSplit/>
          <w:jc w:val="center"/>
        </w:trPr>
        <w:tc>
          <w:tcPr>
            <w:tcW w:w="3000" w:type="dxa"/>
            <w:vAlign w:val="center"/>
          </w:tcPr>
          <w:p w14:paraId="2B91B6FB" w14:textId="77777777" w:rsidR="009E18DD" w:rsidRPr="009E18DD" w:rsidRDefault="009E18DD" w:rsidP="009E18DD">
            <w:pPr>
              <w:spacing w:before="20" w:after="20" w:line="240" w:lineRule="auto"/>
              <w:jc w:val="left"/>
              <w:rPr>
                <w:rFonts w:eastAsia="Arial" w:cs="Arial"/>
                <w:kern w:val="0"/>
                <w:sz w:val="15"/>
                <w:szCs w:val="15"/>
                <w:lang w:eastAsia="es-CO"/>
                <w14:ligatures w14:val="none"/>
              </w:rPr>
            </w:pPr>
            <w:r w:rsidRPr="009E18DD">
              <w:rPr>
                <w:rFonts w:eastAsia="Arial" w:cs="Arial"/>
                <w:kern w:val="0"/>
                <w:sz w:val="15"/>
                <w:szCs w:val="15"/>
                <w:lang w:eastAsia="es-CO"/>
                <w14:ligatures w14:val="none"/>
              </w:rPr>
              <w:t>Ingeniero auxiliar</w:t>
            </w:r>
          </w:p>
        </w:tc>
        <w:tc>
          <w:tcPr>
            <w:tcW w:w="700" w:type="dxa"/>
            <w:vAlign w:val="center"/>
          </w:tcPr>
          <w:p w14:paraId="10259374"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r w:rsidRPr="009E18DD">
              <w:rPr>
                <w:rFonts w:eastAsia="Arial" w:cs="Arial"/>
                <w:kern w:val="0"/>
                <w:sz w:val="15"/>
                <w:szCs w:val="15"/>
                <w:lang w:eastAsia="es-CO"/>
                <w14:ligatures w14:val="none"/>
              </w:rPr>
              <w:t>1</w:t>
            </w:r>
          </w:p>
        </w:tc>
        <w:tc>
          <w:tcPr>
            <w:tcW w:w="850" w:type="dxa"/>
            <w:vAlign w:val="center"/>
          </w:tcPr>
          <w:p w14:paraId="0C967B92"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r w:rsidRPr="009E18DD">
              <w:rPr>
                <w:rFonts w:eastAsia="Arial" w:cs="Arial"/>
                <w:kern w:val="0"/>
                <w:sz w:val="15"/>
                <w:szCs w:val="15"/>
                <w:lang w:eastAsia="es-CO"/>
                <w14:ligatures w14:val="none"/>
              </w:rPr>
              <w:t>Persona</w:t>
            </w:r>
          </w:p>
        </w:tc>
        <w:tc>
          <w:tcPr>
            <w:tcW w:w="1150" w:type="dxa"/>
            <w:vAlign w:val="center"/>
          </w:tcPr>
          <w:p w14:paraId="040F4CE3" w14:textId="77777777" w:rsidR="009E18DD" w:rsidRPr="009E18DD" w:rsidRDefault="009E18DD" w:rsidP="009E18DD">
            <w:pPr>
              <w:spacing w:before="20" w:after="20" w:line="240" w:lineRule="auto"/>
              <w:jc w:val="right"/>
              <w:rPr>
                <w:rFonts w:eastAsia="Arial" w:cs="Arial"/>
                <w:kern w:val="0"/>
                <w:sz w:val="15"/>
                <w:szCs w:val="15"/>
                <w:lang w:eastAsia="es-CO"/>
                <w14:ligatures w14:val="none"/>
              </w:rPr>
            </w:pPr>
            <w:r w:rsidRPr="009E18DD">
              <w:rPr>
                <w:rFonts w:eastAsia="Arial" w:cs="Arial"/>
                <w:kern w:val="0"/>
                <w:sz w:val="15"/>
                <w:szCs w:val="15"/>
                <w:lang w:eastAsia="es-CO"/>
                <w14:ligatures w14:val="none"/>
              </w:rPr>
              <w:t>$3.200.000</w:t>
            </w:r>
          </w:p>
        </w:tc>
        <w:tc>
          <w:tcPr>
            <w:tcW w:w="1000" w:type="dxa"/>
            <w:vAlign w:val="center"/>
          </w:tcPr>
          <w:p w14:paraId="5A054075"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r w:rsidRPr="009E18DD">
              <w:rPr>
                <w:rFonts w:eastAsia="Arial" w:cs="Arial"/>
                <w:kern w:val="0"/>
                <w:sz w:val="15"/>
                <w:szCs w:val="15"/>
                <w:lang w:eastAsia="es-CO"/>
                <w14:ligatures w14:val="none"/>
              </w:rPr>
              <w:t>100%</w:t>
            </w:r>
          </w:p>
        </w:tc>
        <w:tc>
          <w:tcPr>
            <w:tcW w:w="700" w:type="dxa"/>
            <w:vAlign w:val="center"/>
          </w:tcPr>
          <w:p w14:paraId="1686B7DA"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r w:rsidRPr="009E18DD">
              <w:rPr>
                <w:rFonts w:eastAsia="Arial" w:cs="Arial"/>
                <w:kern w:val="0"/>
                <w:sz w:val="15"/>
                <w:szCs w:val="15"/>
                <w:lang w:eastAsia="es-CO"/>
                <w14:ligatures w14:val="none"/>
              </w:rPr>
              <w:t>2,00</w:t>
            </w:r>
          </w:p>
        </w:tc>
        <w:tc>
          <w:tcPr>
            <w:tcW w:w="750" w:type="dxa"/>
            <w:vAlign w:val="center"/>
          </w:tcPr>
          <w:p w14:paraId="4947D686"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r w:rsidRPr="009E18DD">
              <w:rPr>
                <w:rFonts w:eastAsia="Arial" w:cs="Arial"/>
                <w:kern w:val="0"/>
                <w:sz w:val="15"/>
                <w:szCs w:val="15"/>
                <w:lang w:eastAsia="es-CO"/>
                <w14:ligatures w14:val="none"/>
              </w:rPr>
              <w:t>1,92</w:t>
            </w:r>
          </w:p>
        </w:tc>
        <w:tc>
          <w:tcPr>
            <w:tcW w:w="1200" w:type="dxa"/>
            <w:vAlign w:val="center"/>
          </w:tcPr>
          <w:p w14:paraId="63FDB296" w14:textId="77777777" w:rsidR="009E18DD" w:rsidRPr="009E18DD" w:rsidRDefault="009E18DD" w:rsidP="009E18DD">
            <w:pPr>
              <w:spacing w:before="20" w:after="20" w:line="240" w:lineRule="auto"/>
              <w:jc w:val="right"/>
              <w:rPr>
                <w:rFonts w:eastAsia="Arial" w:cs="Arial"/>
                <w:kern w:val="0"/>
                <w:sz w:val="15"/>
                <w:szCs w:val="15"/>
                <w:lang w:eastAsia="es-CO"/>
                <w14:ligatures w14:val="none"/>
              </w:rPr>
            </w:pPr>
            <w:r w:rsidRPr="009E18DD">
              <w:rPr>
                <w:rFonts w:eastAsia="Arial" w:cs="Arial"/>
                <w:kern w:val="0"/>
                <w:sz w:val="15"/>
                <w:szCs w:val="15"/>
                <w:lang w:eastAsia="es-CO"/>
                <w14:ligatures w14:val="none"/>
              </w:rPr>
              <w:t>$12.288.000</w:t>
            </w:r>
          </w:p>
        </w:tc>
      </w:tr>
      <w:tr w:rsidR="009E18DD" w:rsidRPr="009E18DD" w14:paraId="36DBCF2B" w14:textId="77777777" w:rsidTr="000E61AD">
        <w:trPr>
          <w:cantSplit/>
          <w:jc w:val="center"/>
        </w:trPr>
        <w:tc>
          <w:tcPr>
            <w:tcW w:w="8150" w:type="dxa"/>
            <w:gridSpan w:val="7"/>
            <w:shd w:val="clear" w:color="auto" w:fill="F2F2F2"/>
            <w:vAlign w:val="center"/>
          </w:tcPr>
          <w:p w14:paraId="54E1B371" w14:textId="77777777" w:rsidR="009E18DD" w:rsidRPr="009E18DD" w:rsidRDefault="009E18DD" w:rsidP="009E18DD">
            <w:pPr>
              <w:spacing w:before="20" w:after="20" w:line="240" w:lineRule="auto"/>
              <w:jc w:val="left"/>
              <w:rPr>
                <w:rFonts w:eastAsia="Arial" w:cs="Arial"/>
                <w:b/>
                <w:bCs/>
                <w:kern w:val="0"/>
                <w:sz w:val="15"/>
                <w:szCs w:val="15"/>
                <w:lang w:eastAsia="es-CO"/>
                <w14:ligatures w14:val="none"/>
              </w:rPr>
            </w:pPr>
            <w:r w:rsidRPr="009E18DD">
              <w:rPr>
                <w:rFonts w:eastAsia="Arial" w:cs="Arial"/>
                <w:b/>
                <w:bCs/>
                <w:kern w:val="0"/>
                <w:sz w:val="15"/>
                <w:szCs w:val="15"/>
                <w:lang w:eastAsia="es-CO"/>
                <w14:ligatures w14:val="none"/>
              </w:rPr>
              <w:t>Subtotal costos de personal (1)</w:t>
            </w:r>
          </w:p>
        </w:tc>
        <w:tc>
          <w:tcPr>
            <w:tcW w:w="1200" w:type="dxa"/>
            <w:shd w:val="clear" w:color="auto" w:fill="F2F2F2"/>
            <w:vAlign w:val="center"/>
          </w:tcPr>
          <w:p w14:paraId="71ADE29F" w14:textId="77777777" w:rsidR="009E18DD" w:rsidRPr="009E18DD" w:rsidRDefault="009E18DD" w:rsidP="009E18DD">
            <w:pPr>
              <w:spacing w:before="20" w:after="20" w:line="240" w:lineRule="auto"/>
              <w:jc w:val="right"/>
              <w:rPr>
                <w:rFonts w:eastAsia="Arial" w:cs="Arial"/>
                <w:b/>
                <w:bCs/>
                <w:kern w:val="0"/>
                <w:sz w:val="15"/>
                <w:szCs w:val="15"/>
                <w:lang w:eastAsia="es-CO"/>
                <w14:ligatures w14:val="none"/>
              </w:rPr>
            </w:pPr>
            <w:r w:rsidRPr="009E18DD">
              <w:rPr>
                <w:rFonts w:eastAsia="Arial" w:cs="Arial"/>
                <w:b/>
                <w:bCs/>
                <w:kern w:val="0"/>
                <w:sz w:val="15"/>
                <w:szCs w:val="15"/>
                <w:lang w:eastAsia="es-CO"/>
                <w14:ligatures w14:val="none"/>
              </w:rPr>
              <w:t>$16.896.000</w:t>
            </w:r>
          </w:p>
        </w:tc>
      </w:tr>
      <w:tr w:rsidR="009E18DD" w:rsidRPr="009E18DD" w14:paraId="1A6EBDBF" w14:textId="77777777" w:rsidTr="000E61AD">
        <w:trPr>
          <w:cantSplit/>
          <w:jc w:val="center"/>
        </w:trPr>
        <w:tc>
          <w:tcPr>
            <w:tcW w:w="9350" w:type="dxa"/>
            <w:gridSpan w:val="8"/>
            <w:shd w:val="clear" w:color="auto" w:fill="E7EEF5"/>
            <w:vAlign w:val="center"/>
          </w:tcPr>
          <w:p w14:paraId="29A7838F" w14:textId="77777777" w:rsidR="009E18DD" w:rsidRPr="009E18DD" w:rsidRDefault="009E18DD" w:rsidP="009E18DD">
            <w:pPr>
              <w:spacing w:before="20" w:after="20" w:line="240" w:lineRule="auto"/>
              <w:jc w:val="left"/>
              <w:rPr>
                <w:rFonts w:eastAsia="Arial" w:cs="Arial"/>
                <w:b/>
                <w:bCs/>
                <w:kern w:val="0"/>
                <w:sz w:val="15"/>
                <w:szCs w:val="15"/>
                <w:lang w:eastAsia="es-CO"/>
                <w14:ligatures w14:val="none"/>
              </w:rPr>
            </w:pPr>
            <w:r w:rsidRPr="009E18DD">
              <w:rPr>
                <w:rFonts w:eastAsia="Arial" w:cs="Arial"/>
                <w:b/>
                <w:bCs/>
                <w:kern w:val="0"/>
                <w:sz w:val="15"/>
                <w:szCs w:val="15"/>
                <w:lang w:eastAsia="es-CO"/>
                <w14:ligatures w14:val="none"/>
              </w:rPr>
              <w:t>2. ESTUDIOS Y DISEÑOS</w:t>
            </w:r>
          </w:p>
        </w:tc>
      </w:tr>
      <w:tr w:rsidR="009E18DD" w:rsidRPr="009E18DD" w14:paraId="4913CFA7" w14:textId="77777777" w:rsidTr="000E61AD">
        <w:trPr>
          <w:cantSplit/>
          <w:jc w:val="center"/>
        </w:trPr>
        <w:tc>
          <w:tcPr>
            <w:tcW w:w="3000" w:type="dxa"/>
            <w:vAlign w:val="center"/>
          </w:tcPr>
          <w:p w14:paraId="25721617" w14:textId="77777777" w:rsidR="009E18DD" w:rsidRPr="009E18DD" w:rsidRDefault="009E18DD" w:rsidP="009E18DD">
            <w:pPr>
              <w:spacing w:before="20" w:after="20" w:line="240" w:lineRule="auto"/>
              <w:jc w:val="left"/>
              <w:rPr>
                <w:rFonts w:eastAsia="Arial" w:cs="Arial"/>
                <w:kern w:val="0"/>
                <w:sz w:val="15"/>
                <w:szCs w:val="15"/>
                <w:lang w:eastAsia="es-CO"/>
                <w14:ligatures w14:val="none"/>
              </w:rPr>
            </w:pPr>
            <w:r w:rsidRPr="009E18DD">
              <w:rPr>
                <w:rFonts w:eastAsia="Arial" w:cs="Arial"/>
                <w:kern w:val="0"/>
                <w:sz w:val="15"/>
                <w:szCs w:val="15"/>
                <w:lang w:eastAsia="es-CO"/>
                <w14:ligatures w14:val="none"/>
              </w:rPr>
              <w:t>Levantamiento topográfico (elaboración de carteras, mojones referenciados, informe topográfico, planos generales, cortes y perfiles)</w:t>
            </w:r>
          </w:p>
        </w:tc>
        <w:tc>
          <w:tcPr>
            <w:tcW w:w="700" w:type="dxa"/>
            <w:vAlign w:val="center"/>
          </w:tcPr>
          <w:p w14:paraId="24C631B2"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r w:rsidRPr="009E18DD">
              <w:rPr>
                <w:rFonts w:eastAsia="Arial" w:cs="Arial"/>
                <w:kern w:val="0"/>
                <w:sz w:val="15"/>
                <w:szCs w:val="15"/>
                <w:lang w:eastAsia="es-CO"/>
                <w14:ligatures w14:val="none"/>
              </w:rPr>
              <w:t>1</w:t>
            </w:r>
          </w:p>
        </w:tc>
        <w:tc>
          <w:tcPr>
            <w:tcW w:w="850" w:type="dxa"/>
            <w:vAlign w:val="center"/>
          </w:tcPr>
          <w:p w14:paraId="626D3C20"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r w:rsidRPr="009E18DD">
              <w:rPr>
                <w:rFonts w:eastAsia="Arial" w:cs="Arial"/>
                <w:kern w:val="0"/>
                <w:sz w:val="15"/>
                <w:szCs w:val="15"/>
                <w:lang w:eastAsia="es-CO"/>
                <w14:ligatures w14:val="none"/>
              </w:rPr>
              <w:t>Und</w:t>
            </w:r>
          </w:p>
        </w:tc>
        <w:tc>
          <w:tcPr>
            <w:tcW w:w="1150" w:type="dxa"/>
            <w:vAlign w:val="center"/>
          </w:tcPr>
          <w:p w14:paraId="13A875E3" w14:textId="77777777" w:rsidR="009E18DD" w:rsidRPr="009E18DD" w:rsidRDefault="009E18DD" w:rsidP="009E18DD">
            <w:pPr>
              <w:spacing w:before="20" w:after="20" w:line="240" w:lineRule="auto"/>
              <w:jc w:val="right"/>
              <w:rPr>
                <w:rFonts w:eastAsia="Arial" w:cs="Arial"/>
                <w:kern w:val="0"/>
                <w:sz w:val="15"/>
                <w:szCs w:val="15"/>
                <w:lang w:eastAsia="es-CO"/>
                <w14:ligatures w14:val="none"/>
              </w:rPr>
            </w:pPr>
            <w:r w:rsidRPr="009E18DD">
              <w:rPr>
                <w:rFonts w:eastAsia="Arial" w:cs="Arial"/>
                <w:kern w:val="0"/>
                <w:sz w:val="15"/>
                <w:szCs w:val="15"/>
                <w:lang w:eastAsia="es-CO"/>
                <w14:ligatures w14:val="none"/>
              </w:rPr>
              <w:t>$2.200.000</w:t>
            </w:r>
          </w:p>
        </w:tc>
        <w:tc>
          <w:tcPr>
            <w:tcW w:w="1000" w:type="dxa"/>
            <w:vAlign w:val="center"/>
          </w:tcPr>
          <w:p w14:paraId="40BF4C46"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p>
        </w:tc>
        <w:tc>
          <w:tcPr>
            <w:tcW w:w="700" w:type="dxa"/>
            <w:vAlign w:val="center"/>
          </w:tcPr>
          <w:p w14:paraId="05DDE5DC"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r w:rsidRPr="009E18DD">
              <w:rPr>
                <w:rFonts w:eastAsia="Arial" w:cs="Arial"/>
                <w:kern w:val="0"/>
                <w:sz w:val="15"/>
                <w:szCs w:val="15"/>
                <w:lang w:eastAsia="es-CO"/>
                <w14:ligatures w14:val="none"/>
              </w:rPr>
              <w:t>1,00</w:t>
            </w:r>
          </w:p>
        </w:tc>
        <w:tc>
          <w:tcPr>
            <w:tcW w:w="750" w:type="dxa"/>
            <w:vAlign w:val="center"/>
          </w:tcPr>
          <w:p w14:paraId="2CC7E6E4"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p>
        </w:tc>
        <w:tc>
          <w:tcPr>
            <w:tcW w:w="1200" w:type="dxa"/>
            <w:vAlign w:val="center"/>
          </w:tcPr>
          <w:p w14:paraId="0BF174A0" w14:textId="77777777" w:rsidR="009E18DD" w:rsidRPr="009E18DD" w:rsidRDefault="009E18DD" w:rsidP="009E18DD">
            <w:pPr>
              <w:spacing w:before="20" w:after="20" w:line="240" w:lineRule="auto"/>
              <w:jc w:val="right"/>
              <w:rPr>
                <w:rFonts w:eastAsia="Arial" w:cs="Arial"/>
                <w:kern w:val="0"/>
                <w:sz w:val="15"/>
                <w:szCs w:val="15"/>
                <w:lang w:eastAsia="es-CO"/>
                <w14:ligatures w14:val="none"/>
              </w:rPr>
            </w:pPr>
            <w:r w:rsidRPr="009E18DD">
              <w:rPr>
                <w:rFonts w:eastAsia="Arial" w:cs="Arial"/>
                <w:kern w:val="0"/>
                <w:sz w:val="15"/>
                <w:szCs w:val="15"/>
                <w:lang w:eastAsia="es-CO"/>
                <w14:ligatures w14:val="none"/>
              </w:rPr>
              <w:t>$2.200.000</w:t>
            </w:r>
          </w:p>
        </w:tc>
      </w:tr>
      <w:tr w:rsidR="009E18DD" w:rsidRPr="009E18DD" w14:paraId="7C0A5882" w14:textId="77777777" w:rsidTr="000E61AD">
        <w:trPr>
          <w:cantSplit/>
          <w:jc w:val="center"/>
        </w:trPr>
        <w:tc>
          <w:tcPr>
            <w:tcW w:w="3000" w:type="dxa"/>
            <w:vAlign w:val="center"/>
          </w:tcPr>
          <w:p w14:paraId="181215FB" w14:textId="77777777" w:rsidR="009E18DD" w:rsidRPr="009E18DD" w:rsidRDefault="009E18DD" w:rsidP="009E18DD">
            <w:pPr>
              <w:spacing w:before="20" w:after="20" w:line="240" w:lineRule="auto"/>
              <w:jc w:val="left"/>
              <w:rPr>
                <w:rFonts w:eastAsia="Arial" w:cs="Arial"/>
                <w:kern w:val="0"/>
                <w:sz w:val="15"/>
                <w:szCs w:val="15"/>
                <w:lang w:eastAsia="es-CO"/>
                <w14:ligatures w14:val="none"/>
              </w:rPr>
            </w:pPr>
            <w:r w:rsidRPr="009E18DD">
              <w:rPr>
                <w:rFonts w:eastAsia="Arial" w:cs="Arial"/>
                <w:kern w:val="0"/>
                <w:sz w:val="15"/>
                <w:szCs w:val="15"/>
                <w:lang w:eastAsia="es-CO"/>
                <w14:ligatures w14:val="none"/>
              </w:rPr>
              <w:t>Estudio de suelos según norma INVÍAS (elaboración de apiques, ensayos de laboratorio e informe geotécnico)</w:t>
            </w:r>
          </w:p>
        </w:tc>
        <w:tc>
          <w:tcPr>
            <w:tcW w:w="700" w:type="dxa"/>
            <w:vAlign w:val="center"/>
          </w:tcPr>
          <w:p w14:paraId="08E20FA2"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r w:rsidRPr="009E18DD">
              <w:rPr>
                <w:rFonts w:eastAsia="Arial" w:cs="Arial"/>
                <w:kern w:val="0"/>
                <w:sz w:val="15"/>
                <w:szCs w:val="15"/>
                <w:lang w:eastAsia="es-CO"/>
                <w14:ligatures w14:val="none"/>
              </w:rPr>
              <w:t>1</w:t>
            </w:r>
          </w:p>
        </w:tc>
        <w:tc>
          <w:tcPr>
            <w:tcW w:w="850" w:type="dxa"/>
            <w:vAlign w:val="center"/>
          </w:tcPr>
          <w:p w14:paraId="637E7E56"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r w:rsidRPr="009E18DD">
              <w:rPr>
                <w:rFonts w:eastAsia="Arial" w:cs="Arial"/>
                <w:kern w:val="0"/>
                <w:sz w:val="15"/>
                <w:szCs w:val="15"/>
                <w:lang w:eastAsia="es-CO"/>
                <w14:ligatures w14:val="none"/>
              </w:rPr>
              <w:t>Und</w:t>
            </w:r>
          </w:p>
        </w:tc>
        <w:tc>
          <w:tcPr>
            <w:tcW w:w="1150" w:type="dxa"/>
            <w:vAlign w:val="center"/>
          </w:tcPr>
          <w:p w14:paraId="06C183D6" w14:textId="77777777" w:rsidR="009E18DD" w:rsidRPr="009E18DD" w:rsidRDefault="009E18DD" w:rsidP="009E18DD">
            <w:pPr>
              <w:spacing w:before="20" w:after="20" w:line="240" w:lineRule="auto"/>
              <w:jc w:val="right"/>
              <w:rPr>
                <w:rFonts w:eastAsia="Arial" w:cs="Arial"/>
                <w:kern w:val="0"/>
                <w:sz w:val="15"/>
                <w:szCs w:val="15"/>
                <w:lang w:eastAsia="es-CO"/>
                <w14:ligatures w14:val="none"/>
              </w:rPr>
            </w:pPr>
            <w:r w:rsidRPr="009E18DD">
              <w:rPr>
                <w:rFonts w:eastAsia="Arial" w:cs="Arial"/>
                <w:kern w:val="0"/>
                <w:sz w:val="15"/>
                <w:szCs w:val="15"/>
                <w:lang w:eastAsia="es-CO"/>
                <w14:ligatures w14:val="none"/>
              </w:rPr>
              <w:t>$1.600.000</w:t>
            </w:r>
          </w:p>
        </w:tc>
        <w:tc>
          <w:tcPr>
            <w:tcW w:w="1000" w:type="dxa"/>
            <w:vAlign w:val="center"/>
          </w:tcPr>
          <w:p w14:paraId="48EB4D02"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p>
        </w:tc>
        <w:tc>
          <w:tcPr>
            <w:tcW w:w="700" w:type="dxa"/>
            <w:vAlign w:val="center"/>
          </w:tcPr>
          <w:p w14:paraId="05F61C46"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r w:rsidRPr="009E18DD">
              <w:rPr>
                <w:rFonts w:eastAsia="Arial" w:cs="Arial"/>
                <w:kern w:val="0"/>
                <w:sz w:val="15"/>
                <w:szCs w:val="15"/>
                <w:lang w:eastAsia="es-CO"/>
                <w14:ligatures w14:val="none"/>
              </w:rPr>
              <w:t>1,00</w:t>
            </w:r>
          </w:p>
        </w:tc>
        <w:tc>
          <w:tcPr>
            <w:tcW w:w="750" w:type="dxa"/>
            <w:vAlign w:val="center"/>
          </w:tcPr>
          <w:p w14:paraId="4DA7550A"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p>
        </w:tc>
        <w:tc>
          <w:tcPr>
            <w:tcW w:w="1200" w:type="dxa"/>
            <w:vAlign w:val="center"/>
          </w:tcPr>
          <w:p w14:paraId="27762F89" w14:textId="77777777" w:rsidR="009E18DD" w:rsidRPr="009E18DD" w:rsidRDefault="009E18DD" w:rsidP="009E18DD">
            <w:pPr>
              <w:spacing w:before="20" w:after="20" w:line="240" w:lineRule="auto"/>
              <w:jc w:val="right"/>
              <w:rPr>
                <w:rFonts w:eastAsia="Arial" w:cs="Arial"/>
                <w:kern w:val="0"/>
                <w:sz w:val="15"/>
                <w:szCs w:val="15"/>
                <w:lang w:eastAsia="es-CO"/>
                <w14:ligatures w14:val="none"/>
              </w:rPr>
            </w:pPr>
            <w:r w:rsidRPr="009E18DD">
              <w:rPr>
                <w:rFonts w:eastAsia="Arial" w:cs="Arial"/>
                <w:kern w:val="0"/>
                <w:sz w:val="15"/>
                <w:szCs w:val="15"/>
                <w:lang w:eastAsia="es-CO"/>
                <w14:ligatures w14:val="none"/>
              </w:rPr>
              <w:t>$1.600.000</w:t>
            </w:r>
          </w:p>
        </w:tc>
      </w:tr>
      <w:tr w:rsidR="009E18DD" w:rsidRPr="009E18DD" w14:paraId="7D0D914D" w14:textId="77777777" w:rsidTr="000E61AD">
        <w:trPr>
          <w:cantSplit/>
          <w:jc w:val="center"/>
        </w:trPr>
        <w:tc>
          <w:tcPr>
            <w:tcW w:w="3000" w:type="dxa"/>
            <w:vAlign w:val="center"/>
          </w:tcPr>
          <w:p w14:paraId="33F266D8" w14:textId="77777777" w:rsidR="009E18DD" w:rsidRPr="009E18DD" w:rsidRDefault="009E18DD" w:rsidP="009E18DD">
            <w:pPr>
              <w:spacing w:before="20" w:after="20" w:line="240" w:lineRule="auto"/>
              <w:jc w:val="left"/>
              <w:rPr>
                <w:rFonts w:eastAsia="Arial" w:cs="Arial"/>
                <w:kern w:val="0"/>
                <w:sz w:val="15"/>
                <w:szCs w:val="15"/>
                <w:lang w:eastAsia="es-CO"/>
                <w14:ligatures w14:val="none"/>
              </w:rPr>
            </w:pPr>
            <w:r w:rsidRPr="009E18DD">
              <w:rPr>
                <w:rFonts w:eastAsia="Arial" w:cs="Arial"/>
                <w:kern w:val="0"/>
                <w:sz w:val="15"/>
                <w:szCs w:val="15"/>
                <w:lang w:eastAsia="es-CO"/>
                <w14:ligatures w14:val="none"/>
              </w:rPr>
              <w:t>Diseño arquitectónico (memoria descriptiva y planos de construcción, generales y de detalle)</w:t>
            </w:r>
          </w:p>
        </w:tc>
        <w:tc>
          <w:tcPr>
            <w:tcW w:w="700" w:type="dxa"/>
            <w:vAlign w:val="center"/>
          </w:tcPr>
          <w:p w14:paraId="75602A6E"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r w:rsidRPr="009E18DD">
              <w:rPr>
                <w:rFonts w:eastAsia="Arial" w:cs="Arial"/>
                <w:kern w:val="0"/>
                <w:sz w:val="15"/>
                <w:szCs w:val="15"/>
                <w:lang w:eastAsia="es-CO"/>
                <w14:ligatures w14:val="none"/>
              </w:rPr>
              <w:t>1</w:t>
            </w:r>
          </w:p>
        </w:tc>
        <w:tc>
          <w:tcPr>
            <w:tcW w:w="850" w:type="dxa"/>
            <w:vAlign w:val="center"/>
          </w:tcPr>
          <w:p w14:paraId="0548C67C"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r w:rsidRPr="009E18DD">
              <w:rPr>
                <w:rFonts w:eastAsia="Arial" w:cs="Arial"/>
                <w:kern w:val="0"/>
                <w:sz w:val="15"/>
                <w:szCs w:val="15"/>
                <w:lang w:eastAsia="es-CO"/>
                <w14:ligatures w14:val="none"/>
              </w:rPr>
              <w:t>Und</w:t>
            </w:r>
          </w:p>
        </w:tc>
        <w:tc>
          <w:tcPr>
            <w:tcW w:w="1150" w:type="dxa"/>
            <w:vAlign w:val="center"/>
          </w:tcPr>
          <w:p w14:paraId="53F334B9" w14:textId="77777777" w:rsidR="009E18DD" w:rsidRPr="009E18DD" w:rsidRDefault="009E18DD" w:rsidP="009E18DD">
            <w:pPr>
              <w:spacing w:before="20" w:after="20" w:line="240" w:lineRule="auto"/>
              <w:jc w:val="right"/>
              <w:rPr>
                <w:rFonts w:eastAsia="Arial" w:cs="Arial"/>
                <w:kern w:val="0"/>
                <w:sz w:val="15"/>
                <w:szCs w:val="15"/>
                <w:lang w:eastAsia="es-CO"/>
                <w14:ligatures w14:val="none"/>
              </w:rPr>
            </w:pPr>
            <w:r w:rsidRPr="009E18DD">
              <w:rPr>
                <w:rFonts w:eastAsia="Arial" w:cs="Arial"/>
                <w:kern w:val="0"/>
                <w:sz w:val="15"/>
                <w:szCs w:val="15"/>
                <w:lang w:eastAsia="es-CO"/>
                <w14:ligatures w14:val="none"/>
              </w:rPr>
              <w:t>$3.300.000</w:t>
            </w:r>
          </w:p>
        </w:tc>
        <w:tc>
          <w:tcPr>
            <w:tcW w:w="1000" w:type="dxa"/>
            <w:vAlign w:val="center"/>
          </w:tcPr>
          <w:p w14:paraId="343A8775"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p>
        </w:tc>
        <w:tc>
          <w:tcPr>
            <w:tcW w:w="700" w:type="dxa"/>
            <w:vAlign w:val="center"/>
          </w:tcPr>
          <w:p w14:paraId="446B5CB5"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r w:rsidRPr="009E18DD">
              <w:rPr>
                <w:rFonts w:eastAsia="Arial" w:cs="Arial"/>
                <w:kern w:val="0"/>
                <w:sz w:val="15"/>
                <w:szCs w:val="15"/>
                <w:lang w:eastAsia="es-CO"/>
                <w14:ligatures w14:val="none"/>
              </w:rPr>
              <w:t>1,00</w:t>
            </w:r>
          </w:p>
        </w:tc>
        <w:tc>
          <w:tcPr>
            <w:tcW w:w="750" w:type="dxa"/>
            <w:vAlign w:val="center"/>
          </w:tcPr>
          <w:p w14:paraId="65D07759"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p>
        </w:tc>
        <w:tc>
          <w:tcPr>
            <w:tcW w:w="1200" w:type="dxa"/>
            <w:vAlign w:val="center"/>
          </w:tcPr>
          <w:p w14:paraId="097F8B3E" w14:textId="77777777" w:rsidR="009E18DD" w:rsidRPr="009E18DD" w:rsidRDefault="009E18DD" w:rsidP="009E18DD">
            <w:pPr>
              <w:spacing w:before="20" w:after="20" w:line="240" w:lineRule="auto"/>
              <w:jc w:val="right"/>
              <w:rPr>
                <w:rFonts w:eastAsia="Arial" w:cs="Arial"/>
                <w:kern w:val="0"/>
                <w:sz w:val="15"/>
                <w:szCs w:val="15"/>
                <w:lang w:eastAsia="es-CO"/>
                <w14:ligatures w14:val="none"/>
              </w:rPr>
            </w:pPr>
            <w:r w:rsidRPr="009E18DD">
              <w:rPr>
                <w:rFonts w:eastAsia="Arial" w:cs="Arial"/>
                <w:kern w:val="0"/>
                <w:sz w:val="15"/>
                <w:szCs w:val="15"/>
                <w:lang w:eastAsia="es-CO"/>
                <w14:ligatures w14:val="none"/>
              </w:rPr>
              <w:t>$3.300.000</w:t>
            </w:r>
          </w:p>
        </w:tc>
      </w:tr>
      <w:tr w:rsidR="009E18DD" w:rsidRPr="009E18DD" w14:paraId="1FA97F70" w14:textId="77777777" w:rsidTr="000E61AD">
        <w:trPr>
          <w:cantSplit/>
          <w:jc w:val="center"/>
        </w:trPr>
        <w:tc>
          <w:tcPr>
            <w:tcW w:w="3000" w:type="dxa"/>
            <w:vAlign w:val="center"/>
          </w:tcPr>
          <w:p w14:paraId="0C8C37A1" w14:textId="77777777" w:rsidR="009E18DD" w:rsidRPr="009E18DD" w:rsidRDefault="009E18DD" w:rsidP="009E18DD">
            <w:pPr>
              <w:spacing w:before="20" w:after="20" w:line="240" w:lineRule="auto"/>
              <w:jc w:val="left"/>
              <w:rPr>
                <w:rFonts w:eastAsia="Arial" w:cs="Arial"/>
                <w:kern w:val="0"/>
                <w:sz w:val="15"/>
                <w:szCs w:val="15"/>
                <w:lang w:eastAsia="es-CO"/>
                <w14:ligatures w14:val="none"/>
              </w:rPr>
            </w:pPr>
            <w:r w:rsidRPr="009E18DD">
              <w:rPr>
                <w:rFonts w:eastAsia="Arial" w:cs="Arial"/>
                <w:kern w:val="0"/>
                <w:sz w:val="15"/>
                <w:szCs w:val="15"/>
                <w:lang w:eastAsia="es-CO"/>
                <w14:ligatures w14:val="none"/>
              </w:rPr>
              <w:t>Diseño estructural (memorias de cálculo, informe y planos de construcción, detalles y recomendaciones)</w:t>
            </w:r>
          </w:p>
        </w:tc>
        <w:tc>
          <w:tcPr>
            <w:tcW w:w="700" w:type="dxa"/>
            <w:vAlign w:val="center"/>
          </w:tcPr>
          <w:p w14:paraId="7A3ECA51"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r w:rsidRPr="009E18DD">
              <w:rPr>
                <w:rFonts w:eastAsia="Arial" w:cs="Arial"/>
                <w:kern w:val="0"/>
                <w:sz w:val="15"/>
                <w:szCs w:val="15"/>
                <w:lang w:eastAsia="es-CO"/>
                <w14:ligatures w14:val="none"/>
              </w:rPr>
              <w:t>1</w:t>
            </w:r>
          </w:p>
        </w:tc>
        <w:tc>
          <w:tcPr>
            <w:tcW w:w="850" w:type="dxa"/>
            <w:vAlign w:val="center"/>
          </w:tcPr>
          <w:p w14:paraId="55E4736B"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r w:rsidRPr="009E18DD">
              <w:rPr>
                <w:rFonts w:eastAsia="Arial" w:cs="Arial"/>
                <w:kern w:val="0"/>
                <w:sz w:val="15"/>
                <w:szCs w:val="15"/>
                <w:lang w:eastAsia="es-CO"/>
                <w14:ligatures w14:val="none"/>
              </w:rPr>
              <w:t>Und</w:t>
            </w:r>
          </w:p>
        </w:tc>
        <w:tc>
          <w:tcPr>
            <w:tcW w:w="1150" w:type="dxa"/>
            <w:vAlign w:val="center"/>
          </w:tcPr>
          <w:p w14:paraId="382CC296" w14:textId="77777777" w:rsidR="009E18DD" w:rsidRPr="009E18DD" w:rsidRDefault="009E18DD" w:rsidP="009E18DD">
            <w:pPr>
              <w:spacing w:before="20" w:after="20" w:line="240" w:lineRule="auto"/>
              <w:jc w:val="right"/>
              <w:rPr>
                <w:rFonts w:eastAsia="Arial" w:cs="Arial"/>
                <w:kern w:val="0"/>
                <w:sz w:val="15"/>
                <w:szCs w:val="15"/>
                <w:lang w:eastAsia="es-CO"/>
                <w14:ligatures w14:val="none"/>
              </w:rPr>
            </w:pPr>
            <w:r w:rsidRPr="009E18DD">
              <w:rPr>
                <w:rFonts w:eastAsia="Arial" w:cs="Arial"/>
                <w:kern w:val="0"/>
                <w:sz w:val="15"/>
                <w:szCs w:val="15"/>
                <w:lang w:eastAsia="es-CO"/>
                <w14:ligatures w14:val="none"/>
              </w:rPr>
              <w:t>$2.800.000</w:t>
            </w:r>
          </w:p>
        </w:tc>
        <w:tc>
          <w:tcPr>
            <w:tcW w:w="1000" w:type="dxa"/>
            <w:vAlign w:val="center"/>
          </w:tcPr>
          <w:p w14:paraId="2831D1DB"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p>
        </w:tc>
        <w:tc>
          <w:tcPr>
            <w:tcW w:w="700" w:type="dxa"/>
            <w:vAlign w:val="center"/>
          </w:tcPr>
          <w:p w14:paraId="1A4C7E7A"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r w:rsidRPr="009E18DD">
              <w:rPr>
                <w:rFonts w:eastAsia="Arial" w:cs="Arial"/>
                <w:kern w:val="0"/>
                <w:sz w:val="15"/>
                <w:szCs w:val="15"/>
                <w:lang w:eastAsia="es-CO"/>
                <w14:ligatures w14:val="none"/>
              </w:rPr>
              <w:t>1,00</w:t>
            </w:r>
          </w:p>
        </w:tc>
        <w:tc>
          <w:tcPr>
            <w:tcW w:w="750" w:type="dxa"/>
            <w:vAlign w:val="center"/>
          </w:tcPr>
          <w:p w14:paraId="039CBF7A"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p>
        </w:tc>
        <w:tc>
          <w:tcPr>
            <w:tcW w:w="1200" w:type="dxa"/>
            <w:vAlign w:val="center"/>
          </w:tcPr>
          <w:p w14:paraId="2F6A64CB" w14:textId="77777777" w:rsidR="009E18DD" w:rsidRPr="009E18DD" w:rsidRDefault="009E18DD" w:rsidP="009E18DD">
            <w:pPr>
              <w:spacing w:before="20" w:after="20" w:line="240" w:lineRule="auto"/>
              <w:jc w:val="right"/>
              <w:rPr>
                <w:rFonts w:eastAsia="Arial" w:cs="Arial"/>
                <w:kern w:val="0"/>
                <w:sz w:val="15"/>
                <w:szCs w:val="15"/>
                <w:lang w:eastAsia="es-CO"/>
                <w14:ligatures w14:val="none"/>
              </w:rPr>
            </w:pPr>
            <w:r w:rsidRPr="009E18DD">
              <w:rPr>
                <w:rFonts w:eastAsia="Arial" w:cs="Arial"/>
                <w:kern w:val="0"/>
                <w:sz w:val="15"/>
                <w:szCs w:val="15"/>
                <w:lang w:eastAsia="es-CO"/>
                <w14:ligatures w14:val="none"/>
              </w:rPr>
              <w:t>$2.800.000</w:t>
            </w:r>
          </w:p>
        </w:tc>
      </w:tr>
      <w:tr w:rsidR="009E18DD" w:rsidRPr="009E18DD" w14:paraId="2624DD1D" w14:textId="77777777" w:rsidTr="000E61AD">
        <w:trPr>
          <w:cantSplit/>
          <w:jc w:val="center"/>
        </w:trPr>
        <w:tc>
          <w:tcPr>
            <w:tcW w:w="3000" w:type="dxa"/>
            <w:vAlign w:val="center"/>
          </w:tcPr>
          <w:p w14:paraId="448AAE4C" w14:textId="77777777" w:rsidR="009E18DD" w:rsidRPr="009E18DD" w:rsidRDefault="009E18DD" w:rsidP="009E18DD">
            <w:pPr>
              <w:spacing w:before="20" w:after="20" w:line="240" w:lineRule="auto"/>
              <w:jc w:val="left"/>
              <w:rPr>
                <w:rFonts w:eastAsia="Arial" w:cs="Arial"/>
                <w:kern w:val="0"/>
                <w:sz w:val="15"/>
                <w:szCs w:val="15"/>
                <w:lang w:eastAsia="es-CO"/>
                <w14:ligatures w14:val="none"/>
              </w:rPr>
            </w:pPr>
            <w:r w:rsidRPr="009E18DD">
              <w:rPr>
                <w:rFonts w:eastAsia="Arial" w:cs="Arial"/>
                <w:kern w:val="0"/>
                <w:sz w:val="15"/>
                <w:szCs w:val="15"/>
                <w:lang w:eastAsia="es-CO"/>
                <w14:ligatures w14:val="none"/>
              </w:rPr>
              <w:t>Diseño eléctrico (memorias de cálculo, informe y planos constructivos e isométricos)</w:t>
            </w:r>
          </w:p>
        </w:tc>
        <w:tc>
          <w:tcPr>
            <w:tcW w:w="700" w:type="dxa"/>
            <w:vAlign w:val="center"/>
          </w:tcPr>
          <w:p w14:paraId="174D85CF"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r w:rsidRPr="009E18DD">
              <w:rPr>
                <w:rFonts w:eastAsia="Arial" w:cs="Arial"/>
                <w:kern w:val="0"/>
                <w:sz w:val="15"/>
                <w:szCs w:val="15"/>
                <w:lang w:eastAsia="es-CO"/>
                <w14:ligatures w14:val="none"/>
              </w:rPr>
              <w:t>1</w:t>
            </w:r>
          </w:p>
        </w:tc>
        <w:tc>
          <w:tcPr>
            <w:tcW w:w="850" w:type="dxa"/>
            <w:vAlign w:val="center"/>
          </w:tcPr>
          <w:p w14:paraId="141314C4"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r w:rsidRPr="009E18DD">
              <w:rPr>
                <w:rFonts w:eastAsia="Arial" w:cs="Arial"/>
                <w:kern w:val="0"/>
                <w:sz w:val="15"/>
                <w:szCs w:val="15"/>
                <w:lang w:eastAsia="es-CO"/>
                <w14:ligatures w14:val="none"/>
              </w:rPr>
              <w:t>Und</w:t>
            </w:r>
          </w:p>
        </w:tc>
        <w:tc>
          <w:tcPr>
            <w:tcW w:w="1150" w:type="dxa"/>
            <w:vAlign w:val="center"/>
          </w:tcPr>
          <w:p w14:paraId="3B107061" w14:textId="77777777" w:rsidR="009E18DD" w:rsidRPr="009E18DD" w:rsidRDefault="009E18DD" w:rsidP="009E18DD">
            <w:pPr>
              <w:spacing w:before="20" w:after="20" w:line="240" w:lineRule="auto"/>
              <w:jc w:val="right"/>
              <w:rPr>
                <w:rFonts w:eastAsia="Arial" w:cs="Arial"/>
                <w:kern w:val="0"/>
                <w:sz w:val="15"/>
                <w:szCs w:val="15"/>
                <w:lang w:eastAsia="es-CO"/>
                <w14:ligatures w14:val="none"/>
              </w:rPr>
            </w:pPr>
            <w:r w:rsidRPr="009E18DD">
              <w:rPr>
                <w:rFonts w:eastAsia="Arial" w:cs="Arial"/>
                <w:kern w:val="0"/>
                <w:sz w:val="15"/>
                <w:szCs w:val="15"/>
                <w:lang w:eastAsia="es-CO"/>
                <w14:ligatures w14:val="none"/>
              </w:rPr>
              <w:t>$3.200.000</w:t>
            </w:r>
          </w:p>
        </w:tc>
        <w:tc>
          <w:tcPr>
            <w:tcW w:w="1000" w:type="dxa"/>
            <w:vAlign w:val="center"/>
          </w:tcPr>
          <w:p w14:paraId="00B41687"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p>
        </w:tc>
        <w:tc>
          <w:tcPr>
            <w:tcW w:w="700" w:type="dxa"/>
            <w:vAlign w:val="center"/>
          </w:tcPr>
          <w:p w14:paraId="17D0F1FE"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r w:rsidRPr="009E18DD">
              <w:rPr>
                <w:rFonts w:eastAsia="Arial" w:cs="Arial"/>
                <w:kern w:val="0"/>
                <w:sz w:val="15"/>
                <w:szCs w:val="15"/>
                <w:lang w:eastAsia="es-CO"/>
                <w14:ligatures w14:val="none"/>
              </w:rPr>
              <w:t>1,00</w:t>
            </w:r>
          </w:p>
        </w:tc>
        <w:tc>
          <w:tcPr>
            <w:tcW w:w="750" w:type="dxa"/>
            <w:vAlign w:val="center"/>
          </w:tcPr>
          <w:p w14:paraId="45E0528C"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p>
        </w:tc>
        <w:tc>
          <w:tcPr>
            <w:tcW w:w="1200" w:type="dxa"/>
            <w:vAlign w:val="center"/>
          </w:tcPr>
          <w:p w14:paraId="49CBAFD2" w14:textId="77777777" w:rsidR="009E18DD" w:rsidRPr="009E18DD" w:rsidRDefault="009E18DD" w:rsidP="009E18DD">
            <w:pPr>
              <w:spacing w:before="20" w:after="20" w:line="240" w:lineRule="auto"/>
              <w:jc w:val="right"/>
              <w:rPr>
                <w:rFonts w:eastAsia="Arial" w:cs="Arial"/>
                <w:kern w:val="0"/>
                <w:sz w:val="15"/>
                <w:szCs w:val="15"/>
                <w:lang w:eastAsia="es-CO"/>
                <w14:ligatures w14:val="none"/>
              </w:rPr>
            </w:pPr>
            <w:r w:rsidRPr="009E18DD">
              <w:rPr>
                <w:rFonts w:eastAsia="Arial" w:cs="Arial"/>
                <w:kern w:val="0"/>
                <w:sz w:val="15"/>
                <w:szCs w:val="15"/>
                <w:lang w:eastAsia="es-CO"/>
                <w14:ligatures w14:val="none"/>
              </w:rPr>
              <w:t>$3.200.000</w:t>
            </w:r>
          </w:p>
        </w:tc>
      </w:tr>
      <w:tr w:rsidR="009E18DD" w:rsidRPr="009E18DD" w14:paraId="237259C0" w14:textId="77777777" w:rsidTr="000E61AD">
        <w:trPr>
          <w:cantSplit/>
          <w:jc w:val="center"/>
        </w:trPr>
        <w:tc>
          <w:tcPr>
            <w:tcW w:w="3000" w:type="dxa"/>
            <w:vAlign w:val="center"/>
          </w:tcPr>
          <w:p w14:paraId="6F43627F" w14:textId="77777777" w:rsidR="009E18DD" w:rsidRPr="009E18DD" w:rsidRDefault="009E18DD" w:rsidP="009E18DD">
            <w:pPr>
              <w:spacing w:before="20" w:after="20" w:line="240" w:lineRule="auto"/>
              <w:jc w:val="left"/>
              <w:rPr>
                <w:rFonts w:eastAsia="Arial" w:cs="Arial"/>
                <w:kern w:val="0"/>
                <w:sz w:val="15"/>
                <w:szCs w:val="15"/>
                <w:lang w:eastAsia="es-CO"/>
                <w14:ligatures w14:val="none"/>
              </w:rPr>
            </w:pPr>
            <w:r w:rsidRPr="009E18DD">
              <w:rPr>
                <w:rFonts w:eastAsia="Arial" w:cs="Arial"/>
                <w:kern w:val="0"/>
                <w:sz w:val="15"/>
                <w:szCs w:val="15"/>
                <w:lang w:eastAsia="es-CO"/>
                <w14:ligatures w14:val="none"/>
              </w:rPr>
              <w:t>Diseño hidrosanitario y red contra incendios (memorias de cálculo, informe y planos de construcción e isométricos)</w:t>
            </w:r>
          </w:p>
        </w:tc>
        <w:tc>
          <w:tcPr>
            <w:tcW w:w="700" w:type="dxa"/>
            <w:vAlign w:val="center"/>
          </w:tcPr>
          <w:p w14:paraId="07268E7D"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r w:rsidRPr="009E18DD">
              <w:rPr>
                <w:rFonts w:eastAsia="Arial" w:cs="Arial"/>
                <w:kern w:val="0"/>
                <w:sz w:val="15"/>
                <w:szCs w:val="15"/>
                <w:lang w:eastAsia="es-CO"/>
                <w14:ligatures w14:val="none"/>
              </w:rPr>
              <w:t>1</w:t>
            </w:r>
          </w:p>
        </w:tc>
        <w:tc>
          <w:tcPr>
            <w:tcW w:w="850" w:type="dxa"/>
            <w:vAlign w:val="center"/>
          </w:tcPr>
          <w:p w14:paraId="6D34F7B2"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r w:rsidRPr="009E18DD">
              <w:rPr>
                <w:rFonts w:eastAsia="Arial" w:cs="Arial"/>
                <w:kern w:val="0"/>
                <w:sz w:val="15"/>
                <w:szCs w:val="15"/>
                <w:lang w:eastAsia="es-CO"/>
                <w14:ligatures w14:val="none"/>
              </w:rPr>
              <w:t>Und</w:t>
            </w:r>
          </w:p>
        </w:tc>
        <w:tc>
          <w:tcPr>
            <w:tcW w:w="1150" w:type="dxa"/>
            <w:vAlign w:val="center"/>
          </w:tcPr>
          <w:p w14:paraId="240F60E6" w14:textId="77777777" w:rsidR="009E18DD" w:rsidRPr="009E18DD" w:rsidRDefault="009E18DD" w:rsidP="009E18DD">
            <w:pPr>
              <w:spacing w:before="20" w:after="20" w:line="240" w:lineRule="auto"/>
              <w:jc w:val="right"/>
              <w:rPr>
                <w:rFonts w:eastAsia="Arial" w:cs="Arial"/>
                <w:kern w:val="0"/>
                <w:sz w:val="15"/>
                <w:szCs w:val="15"/>
                <w:lang w:eastAsia="es-CO"/>
                <w14:ligatures w14:val="none"/>
              </w:rPr>
            </w:pPr>
            <w:r w:rsidRPr="009E18DD">
              <w:rPr>
                <w:rFonts w:eastAsia="Arial" w:cs="Arial"/>
                <w:kern w:val="0"/>
                <w:sz w:val="15"/>
                <w:szCs w:val="15"/>
                <w:lang w:eastAsia="es-CO"/>
                <w14:ligatures w14:val="none"/>
              </w:rPr>
              <w:t>$2.000.000</w:t>
            </w:r>
          </w:p>
        </w:tc>
        <w:tc>
          <w:tcPr>
            <w:tcW w:w="1000" w:type="dxa"/>
            <w:vAlign w:val="center"/>
          </w:tcPr>
          <w:p w14:paraId="7D052D7E"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p>
        </w:tc>
        <w:tc>
          <w:tcPr>
            <w:tcW w:w="700" w:type="dxa"/>
            <w:vAlign w:val="center"/>
          </w:tcPr>
          <w:p w14:paraId="4AAF4816"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r w:rsidRPr="009E18DD">
              <w:rPr>
                <w:rFonts w:eastAsia="Arial" w:cs="Arial"/>
                <w:kern w:val="0"/>
                <w:sz w:val="15"/>
                <w:szCs w:val="15"/>
                <w:lang w:eastAsia="es-CO"/>
                <w14:ligatures w14:val="none"/>
              </w:rPr>
              <w:t>1,00</w:t>
            </w:r>
          </w:p>
        </w:tc>
        <w:tc>
          <w:tcPr>
            <w:tcW w:w="750" w:type="dxa"/>
            <w:vAlign w:val="center"/>
          </w:tcPr>
          <w:p w14:paraId="416D6403"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p>
        </w:tc>
        <w:tc>
          <w:tcPr>
            <w:tcW w:w="1200" w:type="dxa"/>
            <w:vAlign w:val="center"/>
          </w:tcPr>
          <w:p w14:paraId="1CA28FC6" w14:textId="77777777" w:rsidR="009E18DD" w:rsidRPr="009E18DD" w:rsidRDefault="009E18DD" w:rsidP="009E18DD">
            <w:pPr>
              <w:spacing w:before="20" w:after="20" w:line="240" w:lineRule="auto"/>
              <w:jc w:val="right"/>
              <w:rPr>
                <w:rFonts w:eastAsia="Arial" w:cs="Arial"/>
                <w:kern w:val="0"/>
                <w:sz w:val="15"/>
                <w:szCs w:val="15"/>
                <w:lang w:eastAsia="es-CO"/>
                <w14:ligatures w14:val="none"/>
              </w:rPr>
            </w:pPr>
            <w:r w:rsidRPr="009E18DD">
              <w:rPr>
                <w:rFonts w:eastAsia="Arial" w:cs="Arial"/>
                <w:kern w:val="0"/>
                <w:sz w:val="15"/>
                <w:szCs w:val="15"/>
                <w:lang w:eastAsia="es-CO"/>
                <w14:ligatures w14:val="none"/>
              </w:rPr>
              <w:t>$2.000.000</w:t>
            </w:r>
          </w:p>
        </w:tc>
      </w:tr>
      <w:tr w:rsidR="009E18DD" w:rsidRPr="009E18DD" w14:paraId="138F5834" w14:textId="77777777" w:rsidTr="000E61AD">
        <w:trPr>
          <w:cantSplit/>
          <w:jc w:val="center"/>
        </w:trPr>
        <w:tc>
          <w:tcPr>
            <w:tcW w:w="3000" w:type="dxa"/>
            <w:vAlign w:val="center"/>
          </w:tcPr>
          <w:p w14:paraId="74E9E4C7" w14:textId="77777777" w:rsidR="009E18DD" w:rsidRPr="009E18DD" w:rsidRDefault="009E18DD" w:rsidP="009E18DD">
            <w:pPr>
              <w:spacing w:before="20" w:after="20" w:line="240" w:lineRule="auto"/>
              <w:jc w:val="left"/>
              <w:rPr>
                <w:rFonts w:eastAsia="Arial" w:cs="Arial"/>
                <w:kern w:val="0"/>
                <w:sz w:val="15"/>
                <w:szCs w:val="15"/>
                <w:lang w:eastAsia="es-CO"/>
                <w14:ligatures w14:val="none"/>
              </w:rPr>
            </w:pPr>
            <w:r w:rsidRPr="009E18DD">
              <w:rPr>
                <w:rFonts w:eastAsia="Arial" w:cs="Arial"/>
                <w:kern w:val="0"/>
                <w:sz w:val="15"/>
                <w:szCs w:val="15"/>
                <w:lang w:eastAsia="es-CO"/>
                <w14:ligatures w14:val="none"/>
              </w:rPr>
              <w:t>Presupuesto detallado de la obra e interventoría (cantidades de obra y APU)</w:t>
            </w:r>
          </w:p>
        </w:tc>
        <w:tc>
          <w:tcPr>
            <w:tcW w:w="700" w:type="dxa"/>
            <w:vAlign w:val="center"/>
          </w:tcPr>
          <w:p w14:paraId="4BFA91D1"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r w:rsidRPr="009E18DD">
              <w:rPr>
                <w:rFonts w:eastAsia="Arial" w:cs="Arial"/>
                <w:kern w:val="0"/>
                <w:sz w:val="15"/>
                <w:szCs w:val="15"/>
                <w:lang w:eastAsia="es-CO"/>
                <w14:ligatures w14:val="none"/>
              </w:rPr>
              <w:t>1</w:t>
            </w:r>
          </w:p>
        </w:tc>
        <w:tc>
          <w:tcPr>
            <w:tcW w:w="850" w:type="dxa"/>
            <w:vAlign w:val="center"/>
          </w:tcPr>
          <w:p w14:paraId="66B8CB93"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r w:rsidRPr="009E18DD">
              <w:rPr>
                <w:rFonts w:eastAsia="Arial" w:cs="Arial"/>
                <w:kern w:val="0"/>
                <w:sz w:val="15"/>
                <w:szCs w:val="15"/>
                <w:lang w:eastAsia="es-CO"/>
                <w14:ligatures w14:val="none"/>
              </w:rPr>
              <w:t>Und</w:t>
            </w:r>
          </w:p>
        </w:tc>
        <w:tc>
          <w:tcPr>
            <w:tcW w:w="1150" w:type="dxa"/>
            <w:vAlign w:val="center"/>
          </w:tcPr>
          <w:p w14:paraId="5A66BFA3" w14:textId="77777777" w:rsidR="009E18DD" w:rsidRPr="009E18DD" w:rsidRDefault="009E18DD" w:rsidP="009E18DD">
            <w:pPr>
              <w:spacing w:before="20" w:after="20" w:line="240" w:lineRule="auto"/>
              <w:jc w:val="right"/>
              <w:rPr>
                <w:rFonts w:eastAsia="Arial" w:cs="Arial"/>
                <w:kern w:val="0"/>
                <w:sz w:val="15"/>
                <w:szCs w:val="15"/>
                <w:lang w:eastAsia="es-CO"/>
                <w14:ligatures w14:val="none"/>
              </w:rPr>
            </w:pPr>
            <w:r w:rsidRPr="009E18DD">
              <w:rPr>
                <w:rFonts w:eastAsia="Arial" w:cs="Arial"/>
                <w:kern w:val="0"/>
                <w:sz w:val="15"/>
                <w:szCs w:val="15"/>
                <w:lang w:eastAsia="es-CO"/>
                <w14:ligatures w14:val="none"/>
              </w:rPr>
              <w:t>$2.000.000</w:t>
            </w:r>
          </w:p>
        </w:tc>
        <w:tc>
          <w:tcPr>
            <w:tcW w:w="1000" w:type="dxa"/>
            <w:vAlign w:val="center"/>
          </w:tcPr>
          <w:p w14:paraId="32D2A602"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p>
        </w:tc>
        <w:tc>
          <w:tcPr>
            <w:tcW w:w="700" w:type="dxa"/>
            <w:vAlign w:val="center"/>
          </w:tcPr>
          <w:p w14:paraId="563773BE"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r w:rsidRPr="009E18DD">
              <w:rPr>
                <w:rFonts w:eastAsia="Arial" w:cs="Arial"/>
                <w:kern w:val="0"/>
                <w:sz w:val="15"/>
                <w:szCs w:val="15"/>
                <w:lang w:eastAsia="es-CO"/>
                <w14:ligatures w14:val="none"/>
              </w:rPr>
              <w:t>1,00</w:t>
            </w:r>
          </w:p>
        </w:tc>
        <w:tc>
          <w:tcPr>
            <w:tcW w:w="750" w:type="dxa"/>
            <w:vAlign w:val="center"/>
          </w:tcPr>
          <w:p w14:paraId="286011C6"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p>
        </w:tc>
        <w:tc>
          <w:tcPr>
            <w:tcW w:w="1200" w:type="dxa"/>
            <w:vAlign w:val="center"/>
          </w:tcPr>
          <w:p w14:paraId="089692EE" w14:textId="77777777" w:rsidR="009E18DD" w:rsidRPr="009E18DD" w:rsidRDefault="009E18DD" w:rsidP="009E18DD">
            <w:pPr>
              <w:spacing w:before="20" w:after="20" w:line="240" w:lineRule="auto"/>
              <w:jc w:val="right"/>
              <w:rPr>
                <w:rFonts w:eastAsia="Arial" w:cs="Arial"/>
                <w:kern w:val="0"/>
                <w:sz w:val="15"/>
                <w:szCs w:val="15"/>
                <w:lang w:eastAsia="es-CO"/>
                <w14:ligatures w14:val="none"/>
              </w:rPr>
            </w:pPr>
            <w:r w:rsidRPr="009E18DD">
              <w:rPr>
                <w:rFonts w:eastAsia="Arial" w:cs="Arial"/>
                <w:kern w:val="0"/>
                <w:sz w:val="15"/>
                <w:szCs w:val="15"/>
                <w:lang w:eastAsia="es-CO"/>
                <w14:ligatures w14:val="none"/>
              </w:rPr>
              <w:t>$2.000.000</w:t>
            </w:r>
          </w:p>
        </w:tc>
      </w:tr>
      <w:tr w:rsidR="009E18DD" w:rsidRPr="009E18DD" w14:paraId="5A3347EB" w14:textId="77777777" w:rsidTr="000E61AD">
        <w:trPr>
          <w:cantSplit/>
          <w:jc w:val="center"/>
        </w:trPr>
        <w:tc>
          <w:tcPr>
            <w:tcW w:w="3000" w:type="dxa"/>
            <w:vAlign w:val="center"/>
          </w:tcPr>
          <w:p w14:paraId="7D378F04" w14:textId="77777777" w:rsidR="009E18DD" w:rsidRPr="009E18DD" w:rsidRDefault="009E18DD" w:rsidP="009E18DD">
            <w:pPr>
              <w:spacing w:before="20" w:after="20" w:line="240" w:lineRule="auto"/>
              <w:jc w:val="left"/>
              <w:rPr>
                <w:rFonts w:eastAsia="Arial" w:cs="Arial"/>
                <w:kern w:val="0"/>
                <w:sz w:val="15"/>
                <w:szCs w:val="15"/>
                <w:lang w:eastAsia="es-CO"/>
                <w14:ligatures w14:val="none"/>
              </w:rPr>
            </w:pPr>
            <w:r w:rsidRPr="009E18DD">
              <w:rPr>
                <w:rFonts w:eastAsia="Arial" w:cs="Arial"/>
                <w:kern w:val="0"/>
                <w:sz w:val="15"/>
                <w:szCs w:val="15"/>
                <w:lang w:eastAsia="es-CO"/>
                <w14:ligatures w14:val="none"/>
              </w:rPr>
              <w:t>Especificaciones técnicas y cronograma de obra</w:t>
            </w:r>
          </w:p>
        </w:tc>
        <w:tc>
          <w:tcPr>
            <w:tcW w:w="700" w:type="dxa"/>
            <w:vAlign w:val="center"/>
          </w:tcPr>
          <w:p w14:paraId="57767B45"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r w:rsidRPr="009E18DD">
              <w:rPr>
                <w:rFonts w:eastAsia="Arial" w:cs="Arial"/>
                <w:kern w:val="0"/>
                <w:sz w:val="15"/>
                <w:szCs w:val="15"/>
                <w:lang w:eastAsia="es-CO"/>
                <w14:ligatures w14:val="none"/>
              </w:rPr>
              <w:t>1</w:t>
            </w:r>
          </w:p>
        </w:tc>
        <w:tc>
          <w:tcPr>
            <w:tcW w:w="850" w:type="dxa"/>
            <w:vAlign w:val="center"/>
          </w:tcPr>
          <w:p w14:paraId="7763F8C7"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r w:rsidRPr="009E18DD">
              <w:rPr>
                <w:rFonts w:eastAsia="Arial" w:cs="Arial"/>
                <w:kern w:val="0"/>
                <w:sz w:val="15"/>
                <w:szCs w:val="15"/>
                <w:lang w:eastAsia="es-CO"/>
                <w14:ligatures w14:val="none"/>
              </w:rPr>
              <w:t>Und</w:t>
            </w:r>
          </w:p>
        </w:tc>
        <w:tc>
          <w:tcPr>
            <w:tcW w:w="1150" w:type="dxa"/>
            <w:vAlign w:val="center"/>
          </w:tcPr>
          <w:p w14:paraId="514BEE04" w14:textId="77777777" w:rsidR="009E18DD" w:rsidRPr="009E18DD" w:rsidRDefault="009E18DD" w:rsidP="009E18DD">
            <w:pPr>
              <w:spacing w:before="20" w:after="20" w:line="240" w:lineRule="auto"/>
              <w:jc w:val="right"/>
              <w:rPr>
                <w:rFonts w:eastAsia="Arial" w:cs="Arial"/>
                <w:kern w:val="0"/>
                <w:sz w:val="15"/>
                <w:szCs w:val="15"/>
                <w:lang w:eastAsia="es-CO"/>
                <w14:ligatures w14:val="none"/>
              </w:rPr>
            </w:pPr>
            <w:r w:rsidRPr="009E18DD">
              <w:rPr>
                <w:rFonts w:eastAsia="Arial" w:cs="Arial"/>
                <w:kern w:val="0"/>
                <w:sz w:val="15"/>
                <w:szCs w:val="15"/>
                <w:lang w:eastAsia="es-CO"/>
                <w14:ligatures w14:val="none"/>
              </w:rPr>
              <w:t>$1.414.958</w:t>
            </w:r>
          </w:p>
        </w:tc>
        <w:tc>
          <w:tcPr>
            <w:tcW w:w="1000" w:type="dxa"/>
            <w:vAlign w:val="center"/>
          </w:tcPr>
          <w:p w14:paraId="68F6F5E1"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p>
        </w:tc>
        <w:tc>
          <w:tcPr>
            <w:tcW w:w="700" w:type="dxa"/>
            <w:vAlign w:val="center"/>
          </w:tcPr>
          <w:p w14:paraId="65439E30"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r w:rsidRPr="009E18DD">
              <w:rPr>
                <w:rFonts w:eastAsia="Arial" w:cs="Arial"/>
                <w:kern w:val="0"/>
                <w:sz w:val="15"/>
                <w:szCs w:val="15"/>
                <w:lang w:eastAsia="es-CO"/>
                <w14:ligatures w14:val="none"/>
              </w:rPr>
              <w:t>1,00</w:t>
            </w:r>
          </w:p>
        </w:tc>
        <w:tc>
          <w:tcPr>
            <w:tcW w:w="750" w:type="dxa"/>
            <w:vAlign w:val="center"/>
          </w:tcPr>
          <w:p w14:paraId="6E189564"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p>
        </w:tc>
        <w:tc>
          <w:tcPr>
            <w:tcW w:w="1200" w:type="dxa"/>
            <w:vAlign w:val="center"/>
          </w:tcPr>
          <w:p w14:paraId="40280421" w14:textId="77777777" w:rsidR="009E18DD" w:rsidRPr="009E18DD" w:rsidRDefault="009E18DD" w:rsidP="009E18DD">
            <w:pPr>
              <w:spacing w:before="20" w:after="20" w:line="240" w:lineRule="auto"/>
              <w:jc w:val="right"/>
              <w:rPr>
                <w:rFonts w:eastAsia="Arial" w:cs="Arial"/>
                <w:kern w:val="0"/>
                <w:sz w:val="15"/>
                <w:szCs w:val="15"/>
                <w:lang w:eastAsia="es-CO"/>
                <w14:ligatures w14:val="none"/>
              </w:rPr>
            </w:pPr>
            <w:r w:rsidRPr="009E18DD">
              <w:rPr>
                <w:rFonts w:eastAsia="Arial" w:cs="Arial"/>
                <w:kern w:val="0"/>
                <w:sz w:val="15"/>
                <w:szCs w:val="15"/>
                <w:lang w:eastAsia="es-CO"/>
                <w14:ligatures w14:val="none"/>
              </w:rPr>
              <w:t>$1.414.958</w:t>
            </w:r>
          </w:p>
        </w:tc>
      </w:tr>
      <w:tr w:rsidR="009E18DD" w:rsidRPr="009E18DD" w14:paraId="12F8F0B8" w14:textId="77777777" w:rsidTr="000E61AD">
        <w:trPr>
          <w:cantSplit/>
          <w:jc w:val="center"/>
        </w:trPr>
        <w:tc>
          <w:tcPr>
            <w:tcW w:w="8150" w:type="dxa"/>
            <w:gridSpan w:val="7"/>
            <w:shd w:val="clear" w:color="auto" w:fill="F2F2F2"/>
            <w:vAlign w:val="center"/>
          </w:tcPr>
          <w:p w14:paraId="7C5AEBB8" w14:textId="77777777" w:rsidR="009E18DD" w:rsidRPr="009E18DD" w:rsidRDefault="009E18DD" w:rsidP="009E18DD">
            <w:pPr>
              <w:spacing w:before="20" w:after="20" w:line="240" w:lineRule="auto"/>
              <w:jc w:val="left"/>
              <w:rPr>
                <w:rFonts w:eastAsia="Arial" w:cs="Arial"/>
                <w:b/>
                <w:bCs/>
                <w:kern w:val="0"/>
                <w:sz w:val="15"/>
                <w:szCs w:val="15"/>
                <w:lang w:eastAsia="es-CO"/>
                <w14:ligatures w14:val="none"/>
              </w:rPr>
            </w:pPr>
            <w:proofErr w:type="gramStart"/>
            <w:r w:rsidRPr="009E18DD">
              <w:rPr>
                <w:rFonts w:eastAsia="Arial" w:cs="Arial"/>
                <w:b/>
                <w:bCs/>
                <w:kern w:val="0"/>
                <w:sz w:val="15"/>
                <w:szCs w:val="15"/>
                <w:lang w:eastAsia="es-CO"/>
                <w14:ligatures w14:val="none"/>
              </w:rPr>
              <w:t>Total</w:t>
            </w:r>
            <w:proofErr w:type="gramEnd"/>
            <w:r w:rsidRPr="009E18DD">
              <w:rPr>
                <w:rFonts w:eastAsia="Arial" w:cs="Arial"/>
                <w:b/>
                <w:bCs/>
                <w:kern w:val="0"/>
                <w:sz w:val="15"/>
                <w:szCs w:val="15"/>
                <w:lang w:eastAsia="es-CO"/>
                <w14:ligatures w14:val="none"/>
              </w:rPr>
              <w:t xml:space="preserve"> estudios y diseños (2)</w:t>
            </w:r>
          </w:p>
        </w:tc>
        <w:tc>
          <w:tcPr>
            <w:tcW w:w="1200" w:type="dxa"/>
            <w:shd w:val="clear" w:color="auto" w:fill="F2F2F2"/>
            <w:vAlign w:val="center"/>
          </w:tcPr>
          <w:p w14:paraId="4711DA85" w14:textId="77777777" w:rsidR="009E18DD" w:rsidRPr="009E18DD" w:rsidRDefault="009E18DD" w:rsidP="009E18DD">
            <w:pPr>
              <w:spacing w:before="20" w:after="20" w:line="240" w:lineRule="auto"/>
              <w:jc w:val="right"/>
              <w:rPr>
                <w:rFonts w:eastAsia="Arial" w:cs="Arial"/>
                <w:b/>
                <w:bCs/>
                <w:kern w:val="0"/>
                <w:sz w:val="15"/>
                <w:szCs w:val="15"/>
                <w:lang w:eastAsia="es-CO"/>
                <w14:ligatures w14:val="none"/>
              </w:rPr>
            </w:pPr>
            <w:r w:rsidRPr="009E18DD">
              <w:rPr>
                <w:rFonts w:eastAsia="Arial" w:cs="Arial"/>
                <w:b/>
                <w:bCs/>
                <w:kern w:val="0"/>
                <w:sz w:val="15"/>
                <w:szCs w:val="15"/>
                <w:lang w:eastAsia="es-CO"/>
                <w14:ligatures w14:val="none"/>
              </w:rPr>
              <w:t>$18.514.958</w:t>
            </w:r>
          </w:p>
        </w:tc>
      </w:tr>
      <w:tr w:rsidR="009E18DD" w:rsidRPr="009E18DD" w14:paraId="3130600F" w14:textId="77777777" w:rsidTr="000E61AD">
        <w:trPr>
          <w:cantSplit/>
          <w:jc w:val="center"/>
        </w:trPr>
        <w:tc>
          <w:tcPr>
            <w:tcW w:w="9350" w:type="dxa"/>
            <w:gridSpan w:val="8"/>
            <w:shd w:val="clear" w:color="auto" w:fill="E7EEF5"/>
            <w:vAlign w:val="center"/>
          </w:tcPr>
          <w:p w14:paraId="7337727F" w14:textId="77777777" w:rsidR="009E18DD" w:rsidRPr="009E18DD" w:rsidRDefault="009E18DD" w:rsidP="009E18DD">
            <w:pPr>
              <w:spacing w:before="20" w:after="20" w:line="240" w:lineRule="auto"/>
              <w:jc w:val="left"/>
              <w:rPr>
                <w:rFonts w:eastAsia="Arial" w:cs="Arial"/>
                <w:b/>
                <w:bCs/>
                <w:kern w:val="0"/>
                <w:sz w:val="15"/>
                <w:szCs w:val="15"/>
                <w:lang w:eastAsia="es-CO"/>
                <w14:ligatures w14:val="none"/>
              </w:rPr>
            </w:pPr>
            <w:r w:rsidRPr="009E18DD">
              <w:rPr>
                <w:rFonts w:eastAsia="Arial" w:cs="Arial"/>
                <w:b/>
                <w:bCs/>
                <w:kern w:val="0"/>
                <w:sz w:val="15"/>
                <w:szCs w:val="15"/>
                <w:lang w:eastAsia="es-CO"/>
                <w14:ligatures w14:val="none"/>
              </w:rPr>
              <w:t>3. OTROS COSTOS</w:t>
            </w:r>
          </w:p>
        </w:tc>
      </w:tr>
      <w:tr w:rsidR="009E18DD" w:rsidRPr="009E18DD" w14:paraId="6B84D2F4" w14:textId="77777777" w:rsidTr="000E61AD">
        <w:trPr>
          <w:cantSplit/>
          <w:jc w:val="center"/>
        </w:trPr>
        <w:tc>
          <w:tcPr>
            <w:tcW w:w="3000" w:type="dxa"/>
            <w:vAlign w:val="center"/>
          </w:tcPr>
          <w:p w14:paraId="27E1E4E9" w14:textId="77777777" w:rsidR="009E18DD" w:rsidRPr="009E18DD" w:rsidRDefault="009E18DD" w:rsidP="009E18DD">
            <w:pPr>
              <w:spacing w:before="20" w:after="20" w:line="240" w:lineRule="auto"/>
              <w:jc w:val="left"/>
              <w:rPr>
                <w:rFonts w:eastAsia="Arial" w:cs="Arial"/>
                <w:kern w:val="0"/>
                <w:sz w:val="15"/>
                <w:szCs w:val="15"/>
                <w:lang w:eastAsia="es-CO"/>
                <w14:ligatures w14:val="none"/>
              </w:rPr>
            </w:pPr>
            <w:r w:rsidRPr="009E18DD">
              <w:rPr>
                <w:rFonts w:eastAsia="Arial" w:cs="Arial"/>
                <w:kern w:val="0"/>
                <w:sz w:val="15"/>
                <w:szCs w:val="15"/>
                <w:lang w:eastAsia="es-CO"/>
                <w14:ligatures w14:val="none"/>
              </w:rPr>
              <w:t>Papelería</w:t>
            </w:r>
          </w:p>
        </w:tc>
        <w:tc>
          <w:tcPr>
            <w:tcW w:w="700" w:type="dxa"/>
            <w:vAlign w:val="center"/>
          </w:tcPr>
          <w:p w14:paraId="201780BC"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r w:rsidRPr="009E18DD">
              <w:rPr>
                <w:rFonts w:eastAsia="Arial" w:cs="Arial"/>
                <w:kern w:val="0"/>
                <w:sz w:val="15"/>
                <w:szCs w:val="15"/>
                <w:lang w:eastAsia="es-CO"/>
                <w14:ligatures w14:val="none"/>
              </w:rPr>
              <w:t>1</w:t>
            </w:r>
          </w:p>
        </w:tc>
        <w:tc>
          <w:tcPr>
            <w:tcW w:w="850" w:type="dxa"/>
            <w:vAlign w:val="center"/>
          </w:tcPr>
          <w:p w14:paraId="40B267B7"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r w:rsidRPr="009E18DD">
              <w:rPr>
                <w:rFonts w:eastAsia="Arial" w:cs="Arial"/>
                <w:kern w:val="0"/>
                <w:sz w:val="15"/>
                <w:szCs w:val="15"/>
                <w:lang w:eastAsia="es-CO"/>
                <w14:ligatures w14:val="none"/>
              </w:rPr>
              <w:t>Mes</w:t>
            </w:r>
          </w:p>
        </w:tc>
        <w:tc>
          <w:tcPr>
            <w:tcW w:w="1150" w:type="dxa"/>
            <w:vAlign w:val="center"/>
          </w:tcPr>
          <w:p w14:paraId="1741B2E5" w14:textId="77777777" w:rsidR="009E18DD" w:rsidRPr="009E18DD" w:rsidRDefault="009E18DD" w:rsidP="009E18DD">
            <w:pPr>
              <w:spacing w:before="20" w:after="20" w:line="240" w:lineRule="auto"/>
              <w:jc w:val="right"/>
              <w:rPr>
                <w:rFonts w:eastAsia="Arial" w:cs="Arial"/>
                <w:kern w:val="0"/>
                <w:sz w:val="15"/>
                <w:szCs w:val="15"/>
                <w:lang w:eastAsia="es-CO"/>
                <w14:ligatures w14:val="none"/>
              </w:rPr>
            </w:pPr>
            <w:r w:rsidRPr="009E18DD">
              <w:rPr>
                <w:rFonts w:eastAsia="Arial" w:cs="Arial"/>
                <w:kern w:val="0"/>
                <w:sz w:val="15"/>
                <w:szCs w:val="15"/>
                <w:lang w:eastAsia="es-CO"/>
                <w14:ligatures w14:val="none"/>
              </w:rPr>
              <w:t>$650.000</w:t>
            </w:r>
          </w:p>
        </w:tc>
        <w:tc>
          <w:tcPr>
            <w:tcW w:w="1000" w:type="dxa"/>
            <w:vAlign w:val="center"/>
          </w:tcPr>
          <w:p w14:paraId="4E78C5BF"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p>
        </w:tc>
        <w:tc>
          <w:tcPr>
            <w:tcW w:w="700" w:type="dxa"/>
            <w:vAlign w:val="center"/>
          </w:tcPr>
          <w:p w14:paraId="0A46FFF7"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r w:rsidRPr="009E18DD">
              <w:rPr>
                <w:rFonts w:eastAsia="Arial" w:cs="Arial"/>
                <w:kern w:val="0"/>
                <w:sz w:val="15"/>
                <w:szCs w:val="15"/>
                <w:lang w:eastAsia="es-CO"/>
                <w14:ligatures w14:val="none"/>
              </w:rPr>
              <w:t>2,00</w:t>
            </w:r>
          </w:p>
        </w:tc>
        <w:tc>
          <w:tcPr>
            <w:tcW w:w="750" w:type="dxa"/>
            <w:vAlign w:val="center"/>
          </w:tcPr>
          <w:p w14:paraId="60D65675"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p>
        </w:tc>
        <w:tc>
          <w:tcPr>
            <w:tcW w:w="1200" w:type="dxa"/>
            <w:vAlign w:val="center"/>
          </w:tcPr>
          <w:p w14:paraId="19BFBB65" w14:textId="77777777" w:rsidR="009E18DD" w:rsidRPr="009E18DD" w:rsidRDefault="009E18DD" w:rsidP="009E18DD">
            <w:pPr>
              <w:spacing w:before="20" w:after="20" w:line="240" w:lineRule="auto"/>
              <w:jc w:val="right"/>
              <w:rPr>
                <w:rFonts w:eastAsia="Arial" w:cs="Arial"/>
                <w:kern w:val="0"/>
                <w:sz w:val="15"/>
                <w:szCs w:val="15"/>
                <w:lang w:eastAsia="es-CO"/>
                <w14:ligatures w14:val="none"/>
              </w:rPr>
            </w:pPr>
            <w:r w:rsidRPr="009E18DD">
              <w:rPr>
                <w:rFonts w:eastAsia="Arial" w:cs="Arial"/>
                <w:kern w:val="0"/>
                <w:sz w:val="15"/>
                <w:szCs w:val="15"/>
                <w:lang w:eastAsia="es-CO"/>
                <w14:ligatures w14:val="none"/>
              </w:rPr>
              <w:t>$1.300.000</w:t>
            </w:r>
          </w:p>
        </w:tc>
      </w:tr>
      <w:tr w:rsidR="009E18DD" w:rsidRPr="009E18DD" w14:paraId="5C03F9CE" w14:textId="77777777" w:rsidTr="000E61AD">
        <w:trPr>
          <w:cantSplit/>
          <w:jc w:val="center"/>
        </w:trPr>
        <w:tc>
          <w:tcPr>
            <w:tcW w:w="3000" w:type="dxa"/>
            <w:vAlign w:val="center"/>
          </w:tcPr>
          <w:p w14:paraId="619DBC7F" w14:textId="77777777" w:rsidR="009E18DD" w:rsidRPr="009E18DD" w:rsidRDefault="009E18DD" w:rsidP="009E18DD">
            <w:pPr>
              <w:spacing w:before="20" w:after="20" w:line="240" w:lineRule="auto"/>
              <w:jc w:val="left"/>
              <w:rPr>
                <w:rFonts w:eastAsia="Arial" w:cs="Arial"/>
                <w:kern w:val="0"/>
                <w:sz w:val="15"/>
                <w:szCs w:val="15"/>
                <w:lang w:eastAsia="es-CO"/>
                <w14:ligatures w14:val="none"/>
              </w:rPr>
            </w:pPr>
            <w:r w:rsidRPr="009E18DD">
              <w:rPr>
                <w:rFonts w:eastAsia="Arial" w:cs="Arial"/>
                <w:kern w:val="0"/>
                <w:sz w:val="15"/>
                <w:szCs w:val="15"/>
                <w:lang w:eastAsia="es-CO"/>
                <w14:ligatures w14:val="none"/>
              </w:rPr>
              <w:t>Edición de informes</w:t>
            </w:r>
          </w:p>
        </w:tc>
        <w:tc>
          <w:tcPr>
            <w:tcW w:w="700" w:type="dxa"/>
            <w:vAlign w:val="center"/>
          </w:tcPr>
          <w:p w14:paraId="7B5536AA"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r w:rsidRPr="009E18DD">
              <w:rPr>
                <w:rFonts w:eastAsia="Arial" w:cs="Arial"/>
                <w:kern w:val="0"/>
                <w:sz w:val="15"/>
                <w:szCs w:val="15"/>
                <w:lang w:eastAsia="es-CO"/>
                <w14:ligatures w14:val="none"/>
              </w:rPr>
              <w:t>1</w:t>
            </w:r>
          </w:p>
        </w:tc>
        <w:tc>
          <w:tcPr>
            <w:tcW w:w="850" w:type="dxa"/>
            <w:vAlign w:val="center"/>
          </w:tcPr>
          <w:p w14:paraId="0F1F127E"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r w:rsidRPr="009E18DD">
              <w:rPr>
                <w:rFonts w:eastAsia="Arial" w:cs="Arial"/>
                <w:kern w:val="0"/>
                <w:sz w:val="15"/>
                <w:szCs w:val="15"/>
                <w:lang w:eastAsia="es-CO"/>
                <w14:ligatures w14:val="none"/>
              </w:rPr>
              <w:t>Und</w:t>
            </w:r>
          </w:p>
        </w:tc>
        <w:tc>
          <w:tcPr>
            <w:tcW w:w="1150" w:type="dxa"/>
            <w:vAlign w:val="center"/>
          </w:tcPr>
          <w:p w14:paraId="361533A1" w14:textId="77777777" w:rsidR="009E18DD" w:rsidRPr="009E18DD" w:rsidRDefault="009E18DD" w:rsidP="009E18DD">
            <w:pPr>
              <w:spacing w:before="20" w:after="20" w:line="240" w:lineRule="auto"/>
              <w:jc w:val="right"/>
              <w:rPr>
                <w:rFonts w:eastAsia="Arial" w:cs="Arial"/>
                <w:kern w:val="0"/>
                <w:sz w:val="15"/>
                <w:szCs w:val="15"/>
                <w:lang w:eastAsia="es-CO"/>
                <w14:ligatures w14:val="none"/>
              </w:rPr>
            </w:pPr>
            <w:r w:rsidRPr="009E18DD">
              <w:rPr>
                <w:rFonts w:eastAsia="Arial" w:cs="Arial"/>
                <w:kern w:val="0"/>
                <w:sz w:val="15"/>
                <w:szCs w:val="15"/>
                <w:lang w:eastAsia="es-CO"/>
                <w14:ligatures w14:val="none"/>
              </w:rPr>
              <w:t>$552.084</w:t>
            </w:r>
          </w:p>
        </w:tc>
        <w:tc>
          <w:tcPr>
            <w:tcW w:w="1000" w:type="dxa"/>
            <w:vAlign w:val="center"/>
          </w:tcPr>
          <w:p w14:paraId="666A88BE"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p>
        </w:tc>
        <w:tc>
          <w:tcPr>
            <w:tcW w:w="700" w:type="dxa"/>
            <w:vAlign w:val="center"/>
          </w:tcPr>
          <w:p w14:paraId="200CD863"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r w:rsidRPr="009E18DD">
              <w:rPr>
                <w:rFonts w:eastAsia="Arial" w:cs="Arial"/>
                <w:kern w:val="0"/>
                <w:sz w:val="15"/>
                <w:szCs w:val="15"/>
                <w:lang w:eastAsia="es-CO"/>
                <w14:ligatures w14:val="none"/>
              </w:rPr>
              <w:t>2,00</w:t>
            </w:r>
          </w:p>
        </w:tc>
        <w:tc>
          <w:tcPr>
            <w:tcW w:w="750" w:type="dxa"/>
            <w:vAlign w:val="center"/>
          </w:tcPr>
          <w:p w14:paraId="27D60F01" w14:textId="77777777" w:rsidR="009E18DD" w:rsidRPr="009E18DD" w:rsidRDefault="009E18DD" w:rsidP="009E18DD">
            <w:pPr>
              <w:spacing w:before="20" w:after="20" w:line="240" w:lineRule="auto"/>
              <w:jc w:val="center"/>
              <w:rPr>
                <w:rFonts w:eastAsia="Arial" w:cs="Arial"/>
                <w:kern w:val="0"/>
                <w:sz w:val="15"/>
                <w:szCs w:val="15"/>
                <w:lang w:eastAsia="es-CO"/>
                <w14:ligatures w14:val="none"/>
              </w:rPr>
            </w:pPr>
          </w:p>
        </w:tc>
        <w:tc>
          <w:tcPr>
            <w:tcW w:w="1200" w:type="dxa"/>
            <w:vAlign w:val="center"/>
          </w:tcPr>
          <w:p w14:paraId="5A0A6650" w14:textId="77777777" w:rsidR="009E18DD" w:rsidRPr="009E18DD" w:rsidRDefault="009E18DD" w:rsidP="009E18DD">
            <w:pPr>
              <w:spacing w:before="20" w:after="20" w:line="240" w:lineRule="auto"/>
              <w:jc w:val="right"/>
              <w:rPr>
                <w:rFonts w:eastAsia="Arial" w:cs="Arial"/>
                <w:kern w:val="0"/>
                <w:sz w:val="15"/>
                <w:szCs w:val="15"/>
                <w:lang w:eastAsia="es-CO"/>
                <w14:ligatures w14:val="none"/>
              </w:rPr>
            </w:pPr>
            <w:r w:rsidRPr="009E18DD">
              <w:rPr>
                <w:rFonts w:eastAsia="Arial" w:cs="Arial"/>
                <w:kern w:val="0"/>
                <w:sz w:val="15"/>
                <w:szCs w:val="15"/>
                <w:lang w:eastAsia="es-CO"/>
                <w14:ligatures w14:val="none"/>
              </w:rPr>
              <w:t>$1.104.168</w:t>
            </w:r>
          </w:p>
        </w:tc>
      </w:tr>
      <w:tr w:rsidR="009E18DD" w:rsidRPr="009E18DD" w14:paraId="43A594AF" w14:textId="77777777" w:rsidTr="000E61AD">
        <w:trPr>
          <w:cantSplit/>
          <w:jc w:val="center"/>
        </w:trPr>
        <w:tc>
          <w:tcPr>
            <w:tcW w:w="8150" w:type="dxa"/>
            <w:gridSpan w:val="7"/>
            <w:shd w:val="clear" w:color="auto" w:fill="F2F2F2"/>
            <w:vAlign w:val="center"/>
          </w:tcPr>
          <w:p w14:paraId="1F933F83" w14:textId="77777777" w:rsidR="009E18DD" w:rsidRPr="009E18DD" w:rsidRDefault="009E18DD" w:rsidP="009E18DD">
            <w:pPr>
              <w:spacing w:before="20" w:after="20" w:line="240" w:lineRule="auto"/>
              <w:jc w:val="left"/>
              <w:rPr>
                <w:rFonts w:eastAsia="Arial" w:cs="Arial"/>
                <w:b/>
                <w:bCs/>
                <w:kern w:val="0"/>
                <w:sz w:val="15"/>
                <w:szCs w:val="15"/>
                <w:lang w:eastAsia="es-CO"/>
                <w14:ligatures w14:val="none"/>
              </w:rPr>
            </w:pPr>
            <w:proofErr w:type="gramStart"/>
            <w:r w:rsidRPr="009E18DD">
              <w:rPr>
                <w:rFonts w:eastAsia="Arial" w:cs="Arial"/>
                <w:b/>
                <w:bCs/>
                <w:kern w:val="0"/>
                <w:sz w:val="15"/>
                <w:szCs w:val="15"/>
                <w:lang w:eastAsia="es-CO"/>
                <w14:ligatures w14:val="none"/>
              </w:rPr>
              <w:t>Total</w:t>
            </w:r>
            <w:proofErr w:type="gramEnd"/>
            <w:r w:rsidRPr="009E18DD">
              <w:rPr>
                <w:rFonts w:eastAsia="Arial" w:cs="Arial"/>
                <w:b/>
                <w:bCs/>
                <w:kern w:val="0"/>
                <w:sz w:val="15"/>
                <w:szCs w:val="15"/>
                <w:lang w:eastAsia="es-CO"/>
                <w14:ligatures w14:val="none"/>
              </w:rPr>
              <w:t xml:space="preserve"> otros costos (3)</w:t>
            </w:r>
          </w:p>
        </w:tc>
        <w:tc>
          <w:tcPr>
            <w:tcW w:w="1200" w:type="dxa"/>
            <w:shd w:val="clear" w:color="auto" w:fill="F2F2F2"/>
            <w:vAlign w:val="center"/>
          </w:tcPr>
          <w:p w14:paraId="6EF838BD" w14:textId="77777777" w:rsidR="009E18DD" w:rsidRPr="009E18DD" w:rsidRDefault="009E18DD" w:rsidP="009E18DD">
            <w:pPr>
              <w:spacing w:before="20" w:after="20" w:line="240" w:lineRule="auto"/>
              <w:jc w:val="right"/>
              <w:rPr>
                <w:rFonts w:eastAsia="Arial" w:cs="Arial"/>
                <w:b/>
                <w:bCs/>
                <w:kern w:val="0"/>
                <w:sz w:val="15"/>
                <w:szCs w:val="15"/>
                <w:lang w:eastAsia="es-CO"/>
                <w14:ligatures w14:val="none"/>
              </w:rPr>
            </w:pPr>
            <w:r w:rsidRPr="009E18DD">
              <w:rPr>
                <w:rFonts w:eastAsia="Arial" w:cs="Arial"/>
                <w:b/>
                <w:bCs/>
                <w:kern w:val="0"/>
                <w:sz w:val="15"/>
                <w:szCs w:val="15"/>
                <w:lang w:eastAsia="es-CO"/>
                <w14:ligatures w14:val="none"/>
              </w:rPr>
              <w:t>$2.404.168</w:t>
            </w:r>
          </w:p>
        </w:tc>
      </w:tr>
      <w:tr w:rsidR="009E18DD" w:rsidRPr="009E18DD" w14:paraId="6416E7C9" w14:textId="77777777" w:rsidTr="000E61AD">
        <w:trPr>
          <w:cantSplit/>
          <w:jc w:val="center"/>
        </w:trPr>
        <w:tc>
          <w:tcPr>
            <w:tcW w:w="8150" w:type="dxa"/>
            <w:gridSpan w:val="7"/>
            <w:shd w:val="clear" w:color="auto" w:fill="F2F2F2"/>
            <w:vAlign w:val="center"/>
          </w:tcPr>
          <w:p w14:paraId="4245D850" w14:textId="77777777" w:rsidR="009E18DD" w:rsidRPr="009E18DD" w:rsidRDefault="009E18DD" w:rsidP="009E18DD">
            <w:pPr>
              <w:spacing w:before="20" w:after="20" w:line="240" w:lineRule="auto"/>
              <w:jc w:val="left"/>
              <w:rPr>
                <w:rFonts w:eastAsia="Arial" w:cs="Arial"/>
                <w:b/>
                <w:bCs/>
                <w:kern w:val="0"/>
                <w:sz w:val="15"/>
                <w:szCs w:val="15"/>
                <w:lang w:eastAsia="es-CO"/>
                <w14:ligatures w14:val="none"/>
              </w:rPr>
            </w:pPr>
            <w:r w:rsidRPr="009E18DD">
              <w:rPr>
                <w:rFonts w:eastAsia="Arial" w:cs="Arial"/>
                <w:b/>
                <w:bCs/>
                <w:kern w:val="0"/>
                <w:sz w:val="15"/>
                <w:szCs w:val="15"/>
                <w:lang w:eastAsia="es-CO"/>
                <w14:ligatures w14:val="none"/>
              </w:rPr>
              <w:t>Subtotal (1 + 2 + 3)</w:t>
            </w:r>
          </w:p>
        </w:tc>
        <w:tc>
          <w:tcPr>
            <w:tcW w:w="1200" w:type="dxa"/>
            <w:shd w:val="clear" w:color="auto" w:fill="F2F2F2"/>
            <w:vAlign w:val="center"/>
          </w:tcPr>
          <w:p w14:paraId="0C884DA2" w14:textId="77777777" w:rsidR="009E18DD" w:rsidRPr="009E18DD" w:rsidRDefault="009E18DD" w:rsidP="009E18DD">
            <w:pPr>
              <w:spacing w:before="20" w:after="20" w:line="240" w:lineRule="auto"/>
              <w:jc w:val="right"/>
              <w:rPr>
                <w:rFonts w:eastAsia="Arial" w:cs="Arial"/>
                <w:b/>
                <w:bCs/>
                <w:kern w:val="0"/>
                <w:sz w:val="15"/>
                <w:szCs w:val="15"/>
                <w:lang w:eastAsia="es-CO"/>
                <w14:ligatures w14:val="none"/>
              </w:rPr>
            </w:pPr>
            <w:r w:rsidRPr="009E18DD">
              <w:rPr>
                <w:rFonts w:eastAsia="Arial" w:cs="Arial"/>
                <w:b/>
                <w:bCs/>
                <w:kern w:val="0"/>
                <w:sz w:val="15"/>
                <w:szCs w:val="15"/>
                <w:lang w:eastAsia="es-CO"/>
                <w14:ligatures w14:val="none"/>
              </w:rPr>
              <w:t>$37.815.126</w:t>
            </w:r>
          </w:p>
        </w:tc>
      </w:tr>
      <w:tr w:rsidR="009E18DD" w:rsidRPr="009E18DD" w14:paraId="3B0D5D04" w14:textId="77777777" w:rsidTr="000E61AD">
        <w:trPr>
          <w:cantSplit/>
          <w:jc w:val="center"/>
        </w:trPr>
        <w:tc>
          <w:tcPr>
            <w:tcW w:w="8150" w:type="dxa"/>
            <w:gridSpan w:val="7"/>
            <w:vAlign w:val="center"/>
          </w:tcPr>
          <w:p w14:paraId="5DC7031A" w14:textId="77777777" w:rsidR="009E18DD" w:rsidRPr="009E18DD" w:rsidRDefault="009E18DD" w:rsidP="009E18DD">
            <w:pPr>
              <w:spacing w:before="20" w:after="20" w:line="240" w:lineRule="auto"/>
              <w:jc w:val="left"/>
              <w:rPr>
                <w:rFonts w:eastAsia="Arial" w:cs="Arial"/>
                <w:kern w:val="0"/>
                <w:sz w:val="15"/>
                <w:szCs w:val="15"/>
                <w:lang w:eastAsia="es-CO"/>
                <w14:ligatures w14:val="none"/>
              </w:rPr>
            </w:pPr>
            <w:r w:rsidRPr="009E18DD">
              <w:rPr>
                <w:rFonts w:eastAsia="Arial" w:cs="Arial"/>
                <w:kern w:val="0"/>
                <w:sz w:val="15"/>
                <w:szCs w:val="15"/>
                <w:lang w:eastAsia="es-CO"/>
                <w14:ligatures w14:val="none"/>
              </w:rPr>
              <w:t>IVA (19%)</w:t>
            </w:r>
          </w:p>
        </w:tc>
        <w:tc>
          <w:tcPr>
            <w:tcW w:w="1200" w:type="dxa"/>
            <w:vAlign w:val="center"/>
          </w:tcPr>
          <w:p w14:paraId="36CEEAAA" w14:textId="77777777" w:rsidR="009E18DD" w:rsidRPr="009E18DD" w:rsidRDefault="009E18DD" w:rsidP="009E18DD">
            <w:pPr>
              <w:spacing w:before="20" w:after="20" w:line="240" w:lineRule="auto"/>
              <w:jc w:val="right"/>
              <w:rPr>
                <w:rFonts w:eastAsia="Arial" w:cs="Arial"/>
                <w:kern w:val="0"/>
                <w:sz w:val="15"/>
                <w:szCs w:val="15"/>
                <w:lang w:eastAsia="es-CO"/>
                <w14:ligatures w14:val="none"/>
              </w:rPr>
            </w:pPr>
            <w:r w:rsidRPr="009E18DD">
              <w:rPr>
                <w:rFonts w:eastAsia="Arial" w:cs="Arial"/>
                <w:kern w:val="0"/>
                <w:sz w:val="15"/>
                <w:szCs w:val="15"/>
                <w:lang w:eastAsia="es-CO"/>
                <w14:ligatures w14:val="none"/>
              </w:rPr>
              <w:t>$7.184.874</w:t>
            </w:r>
          </w:p>
        </w:tc>
      </w:tr>
      <w:tr w:rsidR="009E18DD" w:rsidRPr="009E18DD" w14:paraId="67ED73A9" w14:textId="77777777" w:rsidTr="000E61AD">
        <w:trPr>
          <w:cantSplit/>
          <w:jc w:val="center"/>
        </w:trPr>
        <w:tc>
          <w:tcPr>
            <w:tcW w:w="8150" w:type="dxa"/>
            <w:gridSpan w:val="7"/>
            <w:shd w:val="clear" w:color="auto" w:fill="D9D9D9"/>
            <w:vAlign w:val="center"/>
          </w:tcPr>
          <w:p w14:paraId="0AB63374" w14:textId="77777777" w:rsidR="009E18DD" w:rsidRPr="009E18DD" w:rsidRDefault="009E18DD" w:rsidP="009E18DD">
            <w:pPr>
              <w:spacing w:before="20" w:after="20" w:line="240" w:lineRule="auto"/>
              <w:jc w:val="left"/>
              <w:rPr>
                <w:rFonts w:eastAsia="Arial" w:cs="Arial"/>
                <w:b/>
                <w:bCs/>
                <w:kern w:val="0"/>
                <w:sz w:val="15"/>
                <w:szCs w:val="15"/>
                <w:lang w:eastAsia="es-CO"/>
                <w14:ligatures w14:val="none"/>
              </w:rPr>
            </w:pPr>
            <w:r w:rsidRPr="009E18DD">
              <w:rPr>
                <w:rFonts w:eastAsia="Arial" w:cs="Arial"/>
                <w:b/>
                <w:bCs/>
                <w:kern w:val="0"/>
                <w:sz w:val="15"/>
                <w:szCs w:val="15"/>
                <w:lang w:eastAsia="es-CO"/>
                <w14:ligatures w14:val="none"/>
              </w:rPr>
              <w:t>VALOR TOTAL DEL PRESUPUESTO OFICIAL</w:t>
            </w:r>
          </w:p>
        </w:tc>
        <w:tc>
          <w:tcPr>
            <w:tcW w:w="1200" w:type="dxa"/>
            <w:shd w:val="clear" w:color="auto" w:fill="D9D9D9"/>
            <w:vAlign w:val="center"/>
          </w:tcPr>
          <w:p w14:paraId="0AE0AA2F" w14:textId="77777777" w:rsidR="009E18DD" w:rsidRPr="009E18DD" w:rsidRDefault="009E18DD" w:rsidP="009E18DD">
            <w:pPr>
              <w:spacing w:before="20" w:after="20" w:line="240" w:lineRule="auto"/>
              <w:jc w:val="right"/>
              <w:rPr>
                <w:rFonts w:eastAsia="Arial" w:cs="Arial"/>
                <w:b/>
                <w:bCs/>
                <w:kern w:val="0"/>
                <w:sz w:val="15"/>
                <w:szCs w:val="15"/>
                <w:lang w:eastAsia="es-CO"/>
                <w14:ligatures w14:val="none"/>
              </w:rPr>
            </w:pPr>
            <w:r w:rsidRPr="009E18DD">
              <w:rPr>
                <w:rFonts w:eastAsia="Arial" w:cs="Arial"/>
                <w:b/>
                <w:bCs/>
                <w:kern w:val="0"/>
                <w:sz w:val="15"/>
                <w:szCs w:val="15"/>
                <w:lang w:eastAsia="es-CO"/>
                <w14:ligatures w14:val="none"/>
              </w:rPr>
              <w:t>$45.000.000</w:t>
            </w:r>
          </w:p>
        </w:tc>
      </w:tr>
    </w:tbl>
    <w:p w14:paraId="020EB0F0" w14:textId="77777777" w:rsidR="00443F9E" w:rsidRDefault="00443F9E">
      <w:pPr>
        <w:sectPr w:rsidR="00443F9E" w:rsidSect="009B308C">
          <w:pgSz w:w="12240" w:h="15840"/>
          <w:pgMar w:top="1440" w:right="1440" w:bottom="1440" w:left="1440" w:header="720" w:footer="720" w:gutter="0"/>
          <w:cols w:space="708"/>
          <w:docGrid w:linePitch="299"/>
        </w:sect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416"/>
        <w:gridCol w:w="416"/>
        <w:gridCol w:w="416"/>
        <w:gridCol w:w="416"/>
        <w:gridCol w:w="416"/>
        <w:gridCol w:w="990"/>
        <w:gridCol w:w="975"/>
        <w:gridCol w:w="416"/>
        <w:gridCol w:w="417"/>
        <w:gridCol w:w="417"/>
        <w:gridCol w:w="462"/>
        <w:gridCol w:w="762"/>
        <w:gridCol w:w="1341"/>
        <w:gridCol w:w="417"/>
        <w:gridCol w:w="417"/>
        <w:gridCol w:w="417"/>
        <w:gridCol w:w="462"/>
        <w:gridCol w:w="417"/>
        <w:gridCol w:w="778"/>
        <w:gridCol w:w="417"/>
        <w:gridCol w:w="417"/>
        <w:gridCol w:w="931"/>
        <w:gridCol w:w="417"/>
      </w:tblGrid>
      <w:tr w:rsidR="00443F9E" w:rsidRPr="00443F9E" w14:paraId="66349A46" w14:textId="77777777" w:rsidTr="000E61AD">
        <w:trPr>
          <w:tblHeader/>
        </w:trPr>
        <w:tc>
          <w:tcPr>
            <w:tcW w:w="154" w:type="pct"/>
            <w:vMerge w:val="restart"/>
            <w:tcBorders>
              <w:top w:val="single" w:sz="4" w:space="0" w:color="808080"/>
              <w:left w:val="single" w:sz="4" w:space="0" w:color="808080"/>
              <w:bottom w:val="single" w:sz="4" w:space="0" w:color="808080"/>
              <w:right w:val="single" w:sz="4" w:space="0" w:color="808080"/>
            </w:tcBorders>
            <w:shd w:val="clear" w:color="auto" w:fill="D9E2F3"/>
            <w:tcMar>
              <w:top w:w="30" w:type="dxa"/>
              <w:left w:w="40" w:type="dxa"/>
              <w:bottom w:w="30" w:type="dxa"/>
              <w:right w:w="40" w:type="dxa"/>
            </w:tcMar>
            <w:textDirection w:val="btLr"/>
            <w:vAlign w:val="center"/>
          </w:tcPr>
          <w:p w14:paraId="08A6A71B"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lastRenderedPageBreak/>
              <w:t>N</w:t>
            </w:r>
          </w:p>
        </w:tc>
        <w:tc>
          <w:tcPr>
            <w:tcW w:w="153" w:type="pct"/>
            <w:vMerge w:val="restart"/>
            <w:tcBorders>
              <w:top w:val="single" w:sz="4" w:space="0" w:color="808080"/>
              <w:left w:val="single" w:sz="4" w:space="0" w:color="808080"/>
              <w:bottom w:val="single" w:sz="4" w:space="0" w:color="808080"/>
              <w:right w:val="single" w:sz="4" w:space="0" w:color="808080"/>
            </w:tcBorders>
            <w:shd w:val="clear" w:color="auto" w:fill="D9E2F3"/>
            <w:tcMar>
              <w:top w:w="30" w:type="dxa"/>
              <w:left w:w="40" w:type="dxa"/>
              <w:bottom w:w="30" w:type="dxa"/>
              <w:right w:w="40" w:type="dxa"/>
            </w:tcMar>
            <w:textDirection w:val="btLr"/>
            <w:vAlign w:val="center"/>
          </w:tcPr>
          <w:p w14:paraId="7C6567F6"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Clase</w:t>
            </w:r>
          </w:p>
        </w:tc>
        <w:tc>
          <w:tcPr>
            <w:tcW w:w="153" w:type="pct"/>
            <w:vMerge w:val="restart"/>
            <w:tcBorders>
              <w:top w:val="single" w:sz="4" w:space="0" w:color="808080"/>
              <w:left w:val="single" w:sz="4" w:space="0" w:color="808080"/>
              <w:bottom w:val="single" w:sz="4" w:space="0" w:color="808080"/>
              <w:right w:val="single" w:sz="4" w:space="0" w:color="808080"/>
            </w:tcBorders>
            <w:shd w:val="clear" w:color="auto" w:fill="D9E2F3"/>
            <w:tcMar>
              <w:top w:w="30" w:type="dxa"/>
              <w:left w:w="40" w:type="dxa"/>
              <w:bottom w:w="30" w:type="dxa"/>
              <w:right w:w="40" w:type="dxa"/>
            </w:tcMar>
            <w:textDirection w:val="btLr"/>
            <w:vAlign w:val="center"/>
          </w:tcPr>
          <w:p w14:paraId="59523F31"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Fuente</w:t>
            </w:r>
          </w:p>
        </w:tc>
        <w:tc>
          <w:tcPr>
            <w:tcW w:w="153" w:type="pct"/>
            <w:vMerge w:val="restart"/>
            <w:tcBorders>
              <w:top w:val="single" w:sz="4" w:space="0" w:color="808080"/>
              <w:left w:val="single" w:sz="4" w:space="0" w:color="808080"/>
              <w:bottom w:val="single" w:sz="4" w:space="0" w:color="808080"/>
              <w:right w:val="single" w:sz="4" w:space="0" w:color="808080"/>
            </w:tcBorders>
            <w:shd w:val="clear" w:color="auto" w:fill="D9E2F3"/>
            <w:tcMar>
              <w:top w:w="30" w:type="dxa"/>
              <w:left w:w="40" w:type="dxa"/>
              <w:bottom w:w="30" w:type="dxa"/>
              <w:right w:w="40" w:type="dxa"/>
            </w:tcMar>
            <w:textDirection w:val="btLr"/>
            <w:vAlign w:val="center"/>
          </w:tcPr>
          <w:p w14:paraId="434F2F04"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Etapa</w:t>
            </w:r>
          </w:p>
        </w:tc>
        <w:tc>
          <w:tcPr>
            <w:tcW w:w="153" w:type="pct"/>
            <w:vMerge w:val="restart"/>
            <w:tcBorders>
              <w:top w:val="single" w:sz="4" w:space="0" w:color="808080"/>
              <w:left w:val="single" w:sz="4" w:space="0" w:color="808080"/>
              <w:bottom w:val="single" w:sz="4" w:space="0" w:color="808080"/>
              <w:right w:val="single" w:sz="4" w:space="0" w:color="808080"/>
            </w:tcBorders>
            <w:shd w:val="clear" w:color="auto" w:fill="D9E2F3"/>
            <w:tcMar>
              <w:top w:w="30" w:type="dxa"/>
              <w:left w:w="40" w:type="dxa"/>
              <w:bottom w:w="30" w:type="dxa"/>
              <w:right w:w="40" w:type="dxa"/>
            </w:tcMar>
            <w:textDirection w:val="btLr"/>
            <w:vAlign w:val="center"/>
          </w:tcPr>
          <w:p w14:paraId="4FCB7BBA"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Tipo</w:t>
            </w:r>
          </w:p>
        </w:tc>
        <w:tc>
          <w:tcPr>
            <w:tcW w:w="365" w:type="pct"/>
            <w:vMerge w:val="restart"/>
            <w:tcBorders>
              <w:top w:val="single" w:sz="4" w:space="0" w:color="808080"/>
              <w:left w:val="single" w:sz="4" w:space="0" w:color="808080"/>
              <w:bottom w:val="single" w:sz="4" w:space="0" w:color="808080"/>
              <w:right w:val="single" w:sz="4" w:space="0" w:color="808080"/>
            </w:tcBorders>
            <w:shd w:val="clear" w:color="auto" w:fill="D9E2F3"/>
            <w:tcMar>
              <w:top w:w="30" w:type="dxa"/>
              <w:left w:w="40" w:type="dxa"/>
              <w:bottom w:w="30" w:type="dxa"/>
              <w:right w:w="40" w:type="dxa"/>
            </w:tcMar>
            <w:vAlign w:val="center"/>
          </w:tcPr>
          <w:p w14:paraId="4C566F27"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Descripción</w:t>
            </w:r>
          </w:p>
        </w:tc>
        <w:tc>
          <w:tcPr>
            <w:tcW w:w="360" w:type="pct"/>
            <w:vMerge w:val="restart"/>
            <w:tcBorders>
              <w:top w:val="single" w:sz="4" w:space="0" w:color="808080"/>
              <w:left w:val="single" w:sz="4" w:space="0" w:color="808080"/>
              <w:bottom w:val="single" w:sz="4" w:space="0" w:color="808080"/>
              <w:right w:val="single" w:sz="4" w:space="0" w:color="808080"/>
            </w:tcBorders>
            <w:shd w:val="clear" w:color="auto" w:fill="D9E2F3"/>
            <w:tcMar>
              <w:top w:w="30" w:type="dxa"/>
              <w:left w:w="40" w:type="dxa"/>
              <w:bottom w:w="30" w:type="dxa"/>
              <w:right w:w="40" w:type="dxa"/>
            </w:tcMar>
            <w:vAlign w:val="center"/>
          </w:tcPr>
          <w:p w14:paraId="2AF30A2E"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Consecuencia de la ocurrencia del evento</w:t>
            </w:r>
          </w:p>
        </w:tc>
        <w:tc>
          <w:tcPr>
            <w:tcW w:w="152" w:type="pct"/>
            <w:vMerge w:val="restart"/>
            <w:tcBorders>
              <w:top w:val="single" w:sz="4" w:space="0" w:color="808080"/>
              <w:left w:val="single" w:sz="4" w:space="0" w:color="808080"/>
              <w:bottom w:val="single" w:sz="4" w:space="0" w:color="808080"/>
              <w:right w:val="single" w:sz="4" w:space="0" w:color="808080"/>
            </w:tcBorders>
            <w:shd w:val="clear" w:color="auto" w:fill="D9E2F3"/>
            <w:tcMar>
              <w:top w:w="30" w:type="dxa"/>
              <w:left w:w="40" w:type="dxa"/>
              <w:bottom w:w="30" w:type="dxa"/>
              <w:right w:w="40" w:type="dxa"/>
            </w:tcMar>
            <w:textDirection w:val="btLr"/>
            <w:vAlign w:val="center"/>
          </w:tcPr>
          <w:p w14:paraId="48DA467A"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Probabilidad</w:t>
            </w:r>
          </w:p>
        </w:tc>
        <w:tc>
          <w:tcPr>
            <w:tcW w:w="152" w:type="pct"/>
            <w:vMerge w:val="restart"/>
            <w:tcBorders>
              <w:top w:val="single" w:sz="4" w:space="0" w:color="808080"/>
              <w:left w:val="single" w:sz="4" w:space="0" w:color="808080"/>
              <w:bottom w:val="single" w:sz="4" w:space="0" w:color="808080"/>
              <w:right w:val="single" w:sz="4" w:space="0" w:color="808080"/>
            </w:tcBorders>
            <w:shd w:val="clear" w:color="auto" w:fill="D9E2F3"/>
            <w:tcMar>
              <w:top w:w="30" w:type="dxa"/>
              <w:left w:w="40" w:type="dxa"/>
              <w:bottom w:w="30" w:type="dxa"/>
              <w:right w:w="40" w:type="dxa"/>
            </w:tcMar>
            <w:textDirection w:val="btLr"/>
            <w:vAlign w:val="center"/>
          </w:tcPr>
          <w:p w14:paraId="78CE7FE6"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Impacto</w:t>
            </w:r>
          </w:p>
        </w:tc>
        <w:tc>
          <w:tcPr>
            <w:tcW w:w="152" w:type="pct"/>
            <w:vMerge w:val="restart"/>
            <w:tcBorders>
              <w:top w:val="single" w:sz="4" w:space="0" w:color="808080"/>
              <w:left w:val="single" w:sz="4" w:space="0" w:color="808080"/>
              <w:bottom w:val="single" w:sz="4" w:space="0" w:color="808080"/>
              <w:right w:val="single" w:sz="4" w:space="0" w:color="808080"/>
            </w:tcBorders>
            <w:shd w:val="clear" w:color="auto" w:fill="D9E2F3"/>
            <w:tcMar>
              <w:top w:w="30" w:type="dxa"/>
              <w:left w:w="40" w:type="dxa"/>
              <w:bottom w:w="30" w:type="dxa"/>
              <w:right w:w="40" w:type="dxa"/>
            </w:tcMar>
            <w:textDirection w:val="btLr"/>
            <w:vAlign w:val="center"/>
          </w:tcPr>
          <w:p w14:paraId="250D82A2"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Valoración</w:t>
            </w:r>
          </w:p>
        </w:tc>
        <w:tc>
          <w:tcPr>
            <w:tcW w:w="169" w:type="pct"/>
            <w:vMerge w:val="restart"/>
            <w:tcBorders>
              <w:top w:val="single" w:sz="4" w:space="0" w:color="808080"/>
              <w:left w:val="single" w:sz="4" w:space="0" w:color="808080"/>
              <w:bottom w:val="single" w:sz="4" w:space="0" w:color="808080"/>
              <w:right w:val="single" w:sz="4" w:space="0" w:color="808080"/>
            </w:tcBorders>
            <w:shd w:val="clear" w:color="auto" w:fill="D9E2F3"/>
            <w:tcMar>
              <w:top w:w="30" w:type="dxa"/>
              <w:left w:w="40" w:type="dxa"/>
              <w:bottom w:w="30" w:type="dxa"/>
              <w:right w:w="40" w:type="dxa"/>
            </w:tcMar>
            <w:textDirection w:val="btLr"/>
            <w:vAlign w:val="center"/>
          </w:tcPr>
          <w:p w14:paraId="12593FDF"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Categoría</w:t>
            </w:r>
          </w:p>
        </w:tc>
        <w:tc>
          <w:tcPr>
            <w:tcW w:w="280" w:type="pct"/>
            <w:vMerge w:val="restart"/>
            <w:tcBorders>
              <w:top w:val="single" w:sz="4" w:space="0" w:color="808080"/>
              <w:left w:val="single" w:sz="4" w:space="0" w:color="808080"/>
              <w:bottom w:val="single" w:sz="4" w:space="0" w:color="808080"/>
              <w:right w:val="single" w:sz="4" w:space="0" w:color="808080"/>
            </w:tcBorders>
            <w:shd w:val="clear" w:color="auto" w:fill="D9E2F3"/>
            <w:tcMar>
              <w:top w:w="30" w:type="dxa"/>
              <w:left w:w="40" w:type="dxa"/>
              <w:bottom w:w="30" w:type="dxa"/>
              <w:right w:w="40" w:type="dxa"/>
            </w:tcMar>
            <w:vAlign w:val="center"/>
          </w:tcPr>
          <w:p w14:paraId="04F3F846"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¿A quién se le asigna?</w:t>
            </w:r>
          </w:p>
        </w:tc>
        <w:tc>
          <w:tcPr>
            <w:tcW w:w="495" w:type="pct"/>
            <w:vMerge w:val="restart"/>
            <w:tcBorders>
              <w:top w:val="single" w:sz="4" w:space="0" w:color="808080"/>
              <w:left w:val="single" w:sz="4" w:space="0" w:color="808080"/>
              <w:bottom w:val="single" w:sz="4" w:space="0" w:color="808080"/>
              <w:right w:val="single" w:sz="4" w:space="0" w:color="808080"/>
            </w:tcBorders>
            <w:shd w:val="clear" w:color="auto" w:fill="D9E2F3"/>
            <w:tcMar>
              <w:top w:w="30" w:type="dxa"/>
              <w:left w:w="40" w:type="dxa"/>
              <w:bottom w:w="30" w:type="dxa"/>
              <w:right w:w="40" w:type="dxa"/>
            </w:tcMar>
            <w:vAlign w:val="center"/>
          </w:tcPr>
          <w:p w14:paraId="1E8859FE"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Tratamiento/Control a ser implementado</w:t>
            </w:r>
          </w:p>
        </w:tc>
        <w:tc>
          <w:tcPr>
            <w:tcW w:w="628" w:type="pct"/>
            <w:gridSpan w:val="4"/>
            <w:tcBorders>
              <w:top w:val="single" w:sz="4" w:space="0" w:color="808080"/>
              <w:left w:val="single" w:sz="4" w:space="0" w:color="808080"/>
              <w:bottom w:val="single" w:sz="4" w:space="0" w:color="808080"/>
              <w:right w:val="single" w:sz="4" w:space="0" w:color="808080"/>
            </w:tcBorders>
            <w:shd w:val="clear" w:color="auto" w:fill="D9E2F3"/>
            <w:tcMar>
              <w:top w:w="30" w:type="dxa"/>
              <w:left w:w="40" w:type="dxa"/>
              <w:bottom w:w="30" w:type="dxa"/>
              <w:right w:w="40" w:type="dxa"/>
            </w:tcMar>
            <w:vAlign w:val="center"/>
          </w:tcPr>
          <w:p w14:paraId="6FF12077"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Impacto después del tratamiento</w:t>
            </w:r>
          </w:p>
        </w:tc>
        <w:tc>
          <w:tcPr>
            <w:tcW w:w="235" w:type="pct"/>
            <w:vMerge w:val="restart"/>
            <w:tcBorders>
              <w:top w:val="single" w:sz="4" w:space="0" w:color="808080"/>
              <w:left w:val="single" w:sz="4" w:space="0" w:color="808080"/>
              <w:bottom w:val="single" w:sz="4" w:space="0" w:color="808080"/>
              <w:right w:val="single" w:sz="4" w:space="0" w:color="808080"/>
            </w:tcBorders>
            <w:shd w:val="clear" w:color="auto" w:fill="D9E2F3"/>
            <w:tcMar>
              <w:top w:w="30" w:type="dxa"/>
              <w:left w:w="40" w:type="dxa"/>
              <w:bottom w:w="30" w:type="dxa"/>
              <w:right w:w="40" w:type="dxa"/>
            </w:tcMar>
            <w:textDirection w:val="btLr"/>
            <w:vAlign w:val="center"/>
          </w:tcPr>
          <w:p w14:paraId="1077621B"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¿Afecta la ejecución del contrato?</w:t>
            </w:r>
          </w:p>
        </w:tc>
        <w:tc>
          <w:tcPr>
            <w:tcW w:w="286" w:type="pct"/>
            <w:vMerge w:val="restart"/>
            <w:tcBorders>
              <w:top w:val="single" w:sz="4" w:space="0" w:color="808080"/>
              <w:left w:val="single" w:sz="4" w:space="0" w:color="808080"/>
              <w:bottom w:val="single" w:sz="4" w:space="0" w:color="808080"/>
              <w:right w:val="single" w:sz="4" w:space="0" w:color="808080"/>
            </w:tcBorders>
            <w:shd w:val="clear" w:color="auto" w:fill="D9E2F3"/>
            <w:tcMar>
              <w:top w:w="30" w:type="dxa"/>
              <w:left w:w="40" w:type="dxa"/>
              <w:bottom w:w="30" w:type="dxa"/>
              <w:right w:w="40" w:type="dxa"/>
            </w:tcMar>
            <w:textDirection w:val="btLr"/>
            <w:vAlign w:val="center"/>
          </w:tcPr>
          <w:p w14:paraId="4EFB5670"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Responsable por implementar el tratamiento</w:t>
            </w:r>
          </w:p>
        </w:tc>
        <w:tc>
          <w:tcPr>
            <w:tcW w:w="235" w:type="pct"/>
            <w:vMerge w:val="restart"/>
            <w:tcBorders>
              <w:top w:val="single" w:sz="4" w:space="0" w:color="808080"/>
              <w:left w:val="single" w:sz="4" w:space="0" w:color="808080"/>
              <w:bottom w:val="single" w:sz="4" w:space="0" w:color="808080"/>
              <w:right w:val="single" w:sz="4" w:space="0" w:color="808080"/>
            </w:tcBorders>
            <w:shd w:val="clear" w:color="auto" w:fill="D9E2F3"/>
            <w:tcMar>
              <w:top w:w="30" w:type="dxa"/>
              <w:left w:w="40" w:type="dxa"/>
              <w:bottom w:w="30" w:type="dxa"/>
              <w:right w:w="40" w:type="dxa"/>
            </w:tcMar>
            <w:textDirection w:val="btLr"/>
            <w:vAlign w:val="center"/>
          </w:tcPr>
          <w:p w14:paraId="1B2FDC1C"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Fecha estimada en que se inicia el tratamiento</w:t>
            </w:r>
          </w:p>
        </w:tc>
        <w:tc>
          <w:tcPr>
            <w:tcW w:w="235" w:type="pct"/>
            <w:vMerge w:val="restart"/>
            <w:tcBorders>
              <w:top w:val="single" w:sz="4" w:space="0" w:color="808080"/>
              <w:left w:val="single" w:sz="4" w:space="0" w:color="808080"/>
              <w:bottom w:val="single" w:sz="4" w:space="0" w:color="808080"/>
              <w:right w:val="single" w:sz="4" w:space="0" w:color="808080"/>
            </w:tcBorders>
            <w:shd w:val="clear" w:color="auto" w:fill="D9E2F3"/>
            <w:tcMar>
              <w:top w:w="30" w:type="dxa"/>
              <w:left w:w="40" w:type="dxa"/>
              <w:bottom w:w="30" w:type="dxa"/>
              <w:right w:w="40" w:type="dxa"/>
            </w:tcMar>
            <w:textDirection w:val="btLr"/>
            <w:vAlign w:val="center"/>
          </w:tcPr>
          <w:p w14:paraId="161BD459"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Fecha estimada en que se completa el tratamiento</w:t>
            </w:r>
          </w:p>
        </w:tc>
        <w:tc>
          <w:tcPr>
            <w:tcW w:w="490" w:type="pct"/>
            <w:gridSpan w:val="2"/>
            <w:tcBorders>
              <w:top w:val="single" w:sz="4" w:space="0" w:color="808080"/>
              <w:left w:val="single" w:sz="4" w:space="0" w:color="808080"/>
              <w:bottom w:val="single" w:sz="4" w:space="0" w:color="808080"/>
              <w:right w:val="single" w:sz="4" w:space="0" w:color="808080"/>
            </w:tcBorders>
            <w:shd w:val="clear" w:color="auto" w:fill="D9E2F3"/>
            <w:tcMar>
              <w:top w:w="30" w:type="dxa"/>
              <w:left w:w="40" w:type="dxa"/>
              <w:bottom w:w="30" w:type="dxa"/>
              <w:right w:w="40" w:type="dxa"/>
            </w:tcMar>
            <w:vAlign w:val="center"/>
          </w:tcPr>
          <w:p w14:paraId="44AE1A52"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Monitoreo y revisión</w:t>
            </w:r>
          </w:p>
        </w:tc>
      </w:tr>
      <w:tr w:rsidR="00443F9E" w:rsidRPr="00443F9E" w14:paraId="6472285F" w14:textId="77777777" w:rsidTr="000E61AD">
        <w:trPr>
          <w:cantSplit/>
          <w:trHeight w:val="1134"/>
          <w:tblHeader/>
        </w:trPr>
        <w:tc>
          <w:tcPr>
            <w:tcW w:w="154" w:type="pct"/>
            <w:vMerge/>
            <w:tcBorders>
              <w:top w:val="single" w:sz="4" w:space="0" w:color="808080"/>
              <w:left w:val="single" w:sz="4" w:space="0" w:color="808080"/>
              <w:bottom w:val="single" w:sz="4" w:space="0" w:color="808080"/>
              <w:right w:val="single" w:sz="4" w:space="0" w:color="808080"/>
            </w:tcBorders>
            <w:shd w:val="clear" w:color="auto" w:fill="D9E2F3"/>
            <w:tcMar>
              <w:top w:w="30" w:type="dxa"/>
              <w:left w:w="40" w:type="dxa"/>
              <w:bottom w:w="30" w:type="dxa"/>
              <w:right w:w="40" w:type="dxa"/>
            </w:tcMar>
            <w:textDirection w:val="btLr"/>
            <w:vAlign w:val="center"/>
          </w:tcPr>
          <w:p w14:paraId="0B0F4B25" w14:textId="77777777" w:rsidR="00443F9E" w:rsidRPr="00443F9E" w:rsidRDefault="00443F9E" w:rsidP="00443F9E">
            <w:pPr>
              <w:widowControl w:val="0"/>
              <w:pBdr>
                <w:top w:val="nil"/>
                <w:left w:val="nil"/>
                <w:bottom w:val="nil"/>
                <w:right w:val="nil"/>
                <w:between w:val="nil"/>
              </w:pBdr>
              <w:spacing w:before="0" w:after="0" w:line="276" w:lineRule="auto"/>
              <w:ind w:left="113" w:right="113"/>
              <w:jc w:val="center"/>
              <w:rPr>
                <w:rFonts w:eastAsia="Arial" w:cs="Arial"/>
                <w:kern w:val="0"/>
                <w:sz w:val="14"/>
                <w:szCs w:val="14"/>
                <w:lang w:eastAsia="es-CO"/>
                <w14:ligatures w14:val="none"/>
              </w:rPr>
            </w:pPr>
          </w:p>
        </w:tc>
        <w:tc>
          <w:tcPr>
            <w:tcW w:w="153" w:type="pct"/>
            <w:vMerge/>
            <w:tcBorders>
              <w:top w:val="single" w:sz="4" w:space="0" w:color="808080"/>
              <w:left w:val="single" w:sz="4" w:space="0" w:color="808080"/>
              <w:bottom w:val="single" w:sz="4" w:space="0" w:color="808080"/>
              <w:right w:val="single" w:sz="4" w:space="0" w:color="808080"/>
            </w:tcBorders>
            <w:shd w:val="clear" w:color="auto" w:fill="D9E2F3"/>
            <w:tcMar>
              <w:top w:w="30" w:type="dxa"/>
              <w:left w:w="40" w:type="dxa"/>
              <w:bottom w:w="30" w:type="dxa"/>
              <w:right w:w="40" w:type="dxa"/>
            </w:tcMar>
            <w:textDirection w:val="btLr"/>
            <w:vAlign w:val="center"/>
          </w:tcPr>
          <w:p w14:paraId="64C28A81" w14:textId="77777777" w:rsidR="00443F9E" w:rsidRPr="00443F9E" w:rsidRDefault="00443F9E" w:rsidP="00443F9E">
            <w:pPr>
              <w:widowControl w:val="0"/>
              <w:pBdr>
                <w:top w:val="nil"/>
                <w:left w:val="nil"/>
                <w:bottom w:val="nil"/>
                <w:right w:val="nil"/>
                <w:between w:val="nil"/>
              </w:pBdr>
              <w:spacing w:before="0" w:after="0" w:line="276" w:lineRule="auto"/>
              <w:ind w:left="113" w:right="113"/>
              <w:jc w:val="center"/>
              <w:rPr>
                <w:rFonts w:eastAsia="Arial" w:cs="Arial"/>
                <w:kern w:val="0"/>
                <w:sz w:val="14"/>
                <w:szCs w:val="14"/>
                <w:lang w:eastAsia="es-CO"/>
                <w14:ligatures w14:val="none"/>
              </w:rPr>
            </w:pPr>
          </w:p>
        </w:tc>
        <w:tc>
          <w:tcPr>
            <w:tcW w:w="153" w:type="pct"/>
            <w:vMerge/>
            <w:tcBorders>
              <w:top w:val="single" w:sz="4" w:space="0" w:color="808080"/>
              <w:left w:val="single" w:sz="4" w:space="0" w:color="808080"/>
              <w:bottom w:val="single" w:sz="4" w:space="0" w:color="808080"/>
              <w:right w:val="single" w:sz="4" w:space="0" w:color="808080"/>
            </w:tcBorders>
            <w:shd w:val="clear" w:color="auto" w:fill="D9E2F3"/>
            <w:tcMar>
              <w:top w:w="30" w:type="dxa"/>
              <w:left w:w="40" w:type="dxa"/>
              <w:bottom w:w="30" w:type="dxa"/>
              <w:right w:w="40" w:type="dxa"/>
            </w:tcMar>
            <w:textDirection w:val="btLr"/>
            <w:vAlign w:val="center"/>
          </w:tcPr>
          <w:p w14:paraId="16485C52" w14:textId="77777777" w:rsidR="00443F9E" w:rsidRPr="00443F9E" w:rsidRDefault="00443F9E" w:rsidP="00443F9E">
            <w:pPr>
              <w:widowControl w:val="0"/>
              <w:pBdr>
                <w:top w:val="nil"/>
                <w:left w:val="nil"/>
                <w:bottom w:val="nil"/>
                <w:right w:val="nil"/>
                <w:between w:val="nil"/>
              </w:pBdr>
              <w:spacing w:before="0" w:after="0" w:line="276" w:lineRule="auto"/>
              <w:ind w:left="113" w:right="113"/>
              <w:jc w:val="center"/>
              <w:rPr>
                <w:rFonts w:eastAsia="Arial" w:cs="Arial"/>
                <w:kern w:val="0"/>
                <w:sz w:val="14"/>
                <w:szCs w:val="14"/>
                <w:lang w:eastAsia="es-CO"/>
                <w14:ligatures w14:val="none"/>
              </w:rPr>
            </w:pPr>
          </w:p>
        </w:tc>
        <w:tc>
          <w:tcPr>
            <w:tcW w:w="153" w:type="pct"/>
            <w:vMerge/>
            <w:tcBorders>
              <w:top w:val="single" w:sz="4" w:space="0" w:color="808080"/>
              <w:left w:val="single" w:sz="4" w:space="0" w:color="808080"/>
              <w:bottom w:val="single" w:sz="4" w:space="0" w:color="808080"/>
              <w:right w:val="single" w:sz="4" w:space="0" w:color="808080"/>
            </w:tcBorders>
            <w:shd w:val="clear" w:color="auto" w:fill="D9E2F3"/>
            <w:tcMar>
              <w:top w:w="30" w:type="dxa"/>
              <w:left w:w="40" w:type="dxa"/>
              <w:bottom w:w="30" w:type="dxa"/>
              <w:right w:w="40" w:type="dxa"/>
            </w:tcMar>
            <w:textDirection w:val="btLr"/>
            <w:vAlign w:val="center"/>
          </w:tcPr>
          <w:p w14:paraId="710A6704" w14:textId="77777777" w:rsidR="00443F9E" w:rsidRPr="00443F9E" w:rsidRDefault="00443F9E" w:rsidP="00443F9E">
            <w:pPr>
              <w:widowControl w:val="0"/>
              <w:pBdr>
                <w:top w:val="nil"/>
                <w:left w:val="nil"/>
                <w:bottom w:val="nil"/>
                <w:right w:val="nil"/>
                <w:between w:val="nil"/>
              </w:pBdr>
              <w:spacing w:before="0" w:after="0" w:line="276" w:lineRule="auto"/>
              <w:ind w:left="113" w:right="113"/>
              <w:jc w:val="center"/>
              <w:rPr>
                <w:rFonts w:eastAsia="Arial" w:cs="Arial"/>
                <w:kern w:val="0"/>
                <w:sz w:val="14"/>
                <w:szCs w:val="14"/>
                <w:lang w:eastAsia="es-CO"/>
                <w14:ligatures w14:val="none"/>
              </w:rPr>
            </w:pPr>
          </w:p>
        </w:tc>
        <w:tc>
          <w:tcPr>
            <w:tcW w:w="153" w:type="pct"/>
            <w:vMerge/>
            <w:tcBorders>
              <w:top w:val="single" w:sz="4" w:space="0" w:color="808080"/>
              <w:left w:val="single" w:sz="4" w:space="0" w:color="808080"/>
              <w:bottom w:val="single" w:sz="4" w:space="0" w:color="808080"/>
              <w:right w:val="single" w:sz="4" w:space="0" w:color="808080"/>
            </w:tcBorders>
            <w:shd w:val="clear" w:color="auto" w:fill="D9E2F3"/>
            <w:tcMar>
              <w:top w:w="30" w:type="dxa"/>
              <w:left w:w="40" w:type="dxa"/>
              <w:bottom w:w="30" w:type="dxa"/>
              <w:right w:w="40" w:type="dxa"/>
            </w:tcMar>
            <w:textDirection w:val="btLr"/>
            <w:vAlign w:val="center"/>
          </w:tcPr>
          <w:p w14:paraId="371EEB41" w14:textId="77777777" w:rsidR="00443F9E" w:rsidRPr="00443F9E" w:rsidRDefault="00443F9E" w:rsidP="00443F9E">
            <w:pPr>
              <w:widowControl w:val="0"/>
              <w:pBdr>
                <w:top w:val="nil"/>
                <w:left w:val="nil"/>
                <w:bottom w:val="nil"/>
                <w:right w:val="nil"/>
                <w:between w:val="nil"/>
              </w:pBdr>
              <w:spacing w:before="0" w:after="0" w:line="276" w:lineRule="auto"/>
              <w:ind w:left="113" w:right="113"/>
              <w:jc w:val="center"/>
              <w:rPr>
                <w:rFonts w:eastAsia="Arial" w:cs="Arial"/>
                <w:kern w:val="0"/>
                <w:sz w:val="14"/>
                <w:szCs w:val="14"/>
                <w:lang w:eastAsia="es-CO"/>
                <w14:ligatures w14:val="none"/>
              </w:rPr>
            </w:pPr>
          </w:p>
        </w:tc>
        <w:tc>
          <w:tcPr>
            <w:tcW w:w="365" w:type="pct"/>
            <w:vMerge/>
            <w:tcBorders>
              <w:top w:val="single" w:sz="4" w:space="0" w:color="808080"/>
              <w:left w:val="single" w:sz="4" w:space="0" w:color="808080"/>
              <w:bottom w:val="single" w:sz="4" w:space="0" w:color="808080"/>
              <w:right w:val="single" w:sz="4" w:space="0" w:color="808080"/>
            </w:tcBorders>
            <w:shd w:val="clear" w:color="auto" w:fill="D9E2F3"/>
            <w:tcMar>
              <w:top w:w="30" w:type="dxa"/>
              <w:left w:w="40" w:type="dxa"/>
              <w:bottom w:w="30" w:type="dxa"/>
              <w:right w:w="40" w:type="dxa"/>
            </w:tcMar>
            <w:vAlign w:val="center"/>
          </w:tcPr>
          <w:p w14:paraId="3833FE8C" w14:textId="77777777" w:rsidR="00443F9E" w:rsidRPr="00443F9E" w:rsidRDefault="00443F9E" w:rsidP="00443F9E">
            <w:pPr>
              <w:widowControl w:val="0"/>
              <w:pBdr>
                <w:top w:val="nil"/>
                <w:left w:val="nil"/>
                <w:bottom w:val="nil"/>
                <w:right w:val="nil"/>
                <w:between w:val="nil"/>
              </w:pBdr>
              <w:spacing w:before="0" w:after="0" w:line="276" w:lineRule="auto"/>
              <w:jc w:val="left"/>
              <w:rPr>
                <w:rFonts w:eastAsia="Arial" w:cs="Arial"/>
                <w:kern w:val="0"/>
                <w:sz w:val="14"/>
                <w:szCs w:val="14"/>
                <w:lang w:eastAsia="es-CO"/>
                <w14:ligatures w14:val="none"/>
              </w:rPr>
            </w:pPr>
          </w:p>
        </w:tc>
        <w:tc>
          <w:tcPr>
            <w:tcW w:w="360" w:type="pct"/>
            <w:vMerge/>
            <w:tcBorders>
              <w:top w:val="single" w:sz="4" w:space="0" w:color="808080"/>
              <w:left w:val="single" w:sz="4" w:space="0" w:color="808080"/>
              <w:bottom w:val="single" w:sz="4" w:space="0" w:color="808080"/>
              <w:right w:val="single" w:sz="4" w:space="0" w:color="808080"/>
            </w:tcBorders>
            <w:shd w:val="clear" w:color="auto" w:fill="D9E2F3"/>
            <w:tcMar>
              <w:top w:w="30" w:type="dxa"/>
              <w:left w:w="40" w:type="dxa"/>
              <w:bottom w:w="30" w:type="dxa"/>
              <w:right w:w="40" w:type="dxa"/>
            </w:tcMar>
            <w:vAlign w:val="center"/>
          </w:tcPr>
          <w:p w14:paraId="3DB903D9" w14:textId="77777777" w:rsidR="00443F9E" w:rsidRPr="00443F9E" w:rsidRDefault="00443F9E" w:rsidP="00443F9E">
            <w:pPr>
              <w:widowControl w:val="0"/>
              <w:pBdr>
                <w:top w:val="nil"/>
                <w:left w:val="nil"/>
                <w:bottom w:val="nil"/>
                <w:right w:val="nil"/>
                <w:between w:val="nil"/>
              </w:pBdr>
              <w:spacing w:before="0" w:after="0" w:line="276" w:lineRule="auto"/>
              <w:jc w:val="left"/>
              <w:rPr>
                <w:rFonts w:eastAsia="Arial" w:cs="Arial"/>
                <w:kern w:val="0"/>
                <w:sz w:val="14"/>
                <w:szCs w:val="14"/>
                <w:lang w:eastAsia="es-CO"/>
                <w14:ligatures w14:val="none"/>
              </w:rPr>
            </w:pPr>
          </w:p>
        </w:tc>
        <w:tc>
          <w:tcPr>
            <w:tcW w:w="152" w:type="pct"/>
            <w:vMerge/>
            <w:tcBorders>
              <w:top w:val="single" w:sz="4" w:space="0" w:color="808080"/>
              <w:left w:val="single" w:sz="4" w:space="0" w:color="808080"/>
              <w:bottom w:val="single" w:sz="4" w:space="0" w:color="808080"/>
              <w:right w:val="single" w:sz="4" w:space="0" w:color="808080"/>
            </w:tcBorders>
            <w:shd w:val="clear" w:color="auto" w:fill="D9E2F3"/>
            <w:tcMar>
              <w:top w:w="30" w:type="dxa"/>
              <w:left w:w="40" w:type="dxa"/>
              <w:bottom w:w="30" w:type="dxa"/>
              <w:right w:w="40" w:type="dxa"/>
            </w:tcMar>
            <w:vAlign w:val="center"/>
          </w:tcPr>
          <w:p w14:paraId="7DD55E24" w14:textId="77777777" w:rsidR="00443F9E" w:rsidRPr="00443F9E" w:rsidRDefault="00443F9E" w:rsidP="00443F9E">
            <w:pPr>
              <w:widowControl w:val="0"/>
              <w:pBdr>
                <w:top w:val="nil"/>
                <w:left w:val="nil"/>
                <w:bottom w:val="nil"/>
                <w:right w:val="nil"/>
                <w:between w:val="nil"/>
              </w:pBdr>
              <w:spacing w:before="0" w:after="0" w:line="276" w:lineRule="auto"/>
              <w:jc w:val="left"/>
              <w:rPr>
                <w:rFonts w:eastAsia="Arial" w:cs="Arial"/>
                <w:kern w:val="0"/>
                <w:sz w:val="14"/>
                <w:szCs w:val="14"/>
                <w:lang w:eastAsia="es-CO"/>
                <w14:ligatures w14:val="none"/>
              </w:rPr>
            </w:pPr>
          </w:p>
        </w:tc>
        <w:tc>
          <w:tcPr>
            <w:tcW w:w="152" w:type="pct"/>
            <w:vMerge/>
            <w:tcBorders>
              <w:top w:val="single" w:sz="4" w:space="0" w:color="808080"/>
              <w:left w:val="single" w:sz="4" w:space="0" w:color="808080"/>
              <w:bottom w:val="single" w:sz="4" w:space="0" w:color="808080"/>
              <w:right w:val="single" w:sz="4" w:space="0" w:color="808080"/>
            </w:tcBorders>
            <w:shd w:val="clear" w:color="auto" w:fill="D9E2F3"/>
            <w:tcMar>
              <w:top w:w="30" w:type="dxa"/>
              <w:left w:w="40" w:type="dxa"/>
              <w:bottom w:w="30" w:type="dxa"/>
              <w:right w:w="40" w:type="dxa"/>
            </w:tcMar>
            <w:vAlign w:val="center"/>
          </w:tcPr>
          <w:p w14:paraId="7D8981C3" w14:textId="77777777" w:rsidR="00443F9E" w:rsidRPr="00443F9E" w:rsidRDefault="00443F9E" w:rsidP="00443F9E">
            <w:pPr>
              <w:widowControl w:val="0"/>
              <w:pBdr>
                <w:top w:val="nil"/>
                <w:left w:val="nil"/>
                <w:bottom w:val="nil"/>
                <w:right w:val="nil"/>
                <w:between w:val="nil"/>
              </w:pBdr>
              <w:spacing w:before="0" w:after="0" w:line="276" w:lineRule="auto"/>
              <w:jc w:val="left"/>
              <w:rPr>
                <w:rFonts w:eastAsia="Arial" w:cs="Arial"/>
                <w:kern w:val="0"/>
                <w:sz w:val="14"/>
                <w:szCs w:val="14"/>
                <w:lang w:eastAsia="es-CO"/>
                <w14:ligatures w14:val="none"/>
              </w:rPr>
            </w:pPr>
          </w:p>
        </w:tc>
        <w:tc>
          <w:tcPr>
            <w:tcW w:w="152" w:type="pct"/>
            <w:vMerge/>
            <w:tcBorders>
              <w:top w:val="single" w:sz="4" w:space="0" w:color="808080"/>
              <w:left w:val="single" w:sz="4" w:space="0" w:color="808080"/>
              <w:bottom w:val="single" w:sz="4" w:space="0" w:color="808080"/>
              <w:right w:val="single" w:sz="4" w:space="0" w:color="808080"/>
            </w:tcBorders>
            <w:shd w:val="clear" w:color="auto" w:fill="D9E2F3"/>
            <w:tcMar>
              <w:top w:w="30" w:type="dxa"/>
              <w:left w:w="40" w:type="dxa"/>
              <w:bottom w:w="30" w:type="dxa"/>
              <w:right w:w="40" w:type="dxa"/>
            </w:tcMar>
            <w:vAlign w:val="center"/>
          </w:tcPr>
          <w:p w14:paraId="1F440B41" w14:textId="77777777" w:rsidR="00443F9E" w:rsidRPr="00443F9E" w:rsidRDefault="00443F9E" w:rsidP="00443F9E">
            <w:pPr>
              <w:widowControl w:val="0"/>
              <w:pBdr>
                <w:top w:val="nil"/>
                <w:left w:val="nil"/>
                <w:bottom w:val="nil"/>
                <w:right w:val="nil"/>
                <w:between w:val="nil"/>
              </w:pBdr>
              <w:spacing w:before="0" w:after="0" w:line="276" w:lineRule="auto"/>
              <w:jc w:val="left"/>
              <w:rPr>
                <w:rFonts w:eastAsia="Arial" w:cs="Arial"/>
                <w:kern w:val="0"/>
                <w:sz w:val="14"/>
                <w:szCs w:val="14"/>
                <w:lang w:eastAsia="es-CO"/>
                <w14:ligatures w14:val="none"/>
              </w:rPr>
            </w:pPr>
          </w:p>
        </w:tc>
        <w:tc>
          <w:tcPr>
            <w:tcW w:w="169" w:type="pct"/>
            <w:vMerge/>
            <w:tcBorders>
              <w:top w:val="single" w:sz="4" w:space="0" w:color="808080"/>
              <w:left w:val="single" w:sz="4" w:space="0" w:color="808080"/>
              <w:bottom w:val="single" w:sz="4" w:space="0" w:color="808080"/>
              <w:right w:val="single" w:sz="4" w:space="0" w:color="808080"/>
            </w:tcBorders>
            <w:shd w:val="clear" w:color="auto" w:fill="D9E2F3"/>
            <w:tcMar>
              <w:top w:w="30" w:type="dxa"/>
              <w:left w:w="40" w:type="dxa"/>
              <w:bottom w:w="30" w:type="dxa"/>
              <w:right w:w="40" w:type="dxa"/>
            </w:tcMar>
            <w:vAlign w:val="center"/>
          </w:tcPr>
          <w:p w14:paraId="1070885E" w14:textId="77777777" w:rsidR="00443F9E" w:rsidRPr="00443F9E" w:rsidRDefault="00443F9E" w:rsidP="00443F9E">
            <w:pPr>
              <w:widowControl w:val="0"/>
              <w:pBdr>
                <w:top w:val="nil"/>
                <w:left w:val="nil"/>
                <w:bottom w:val="nil"/>
                <w:right w:val="nil"/>
                <w:between w:val="nil"/>
              </w:pBdr>
              <w:spacing w:before="0" w:after="0" w:line="276" w:lineRule="auto"/>
              <w:jc w:val="left"/>
              <w:rPr>
                <w:rFonts w:eastAsia="Arial" w:cs="Arial"/>
                <w:kern w:val="0"/>
                <w:sz w:val="14"/>
                <w:szCs w:val="14"/>
                <w:lang w:eastAsia="es-CO"/>
                <w14:ligatures w14:val="none"/>
              </w:rPr>
            </w:pPr>
          </w:p>
        </w:tc>
        <w:tc>
          <w:tcPr>
            <w:tcW w:w="280" w:type="pct"/>
            <w:vMerge/>
            <w:tcBorders>
              <w:top w:val="single" w:sz="4" w:space="0" w:color="808080"/>
              <w:left w:val="single" w:sz="4" w:space="0" w:color="808080"/>
              <w:bottom w:val="single" w:sz="4" w:space="0" w:color="808080"/>
              <w:right w:val="single" w:sz="4" w:space="0" w:color="808080"/>
            </w:tcBorders>
            <w:shd w:val="clear" w:color="auto" w:fill="D9E2F3"/>
            <w:tcMar>
              <w:top w:w="30" w:type="dxa"/>
              <w:left w:w="40" w:type="dxa"/>
              <w:bottom w:w="30" w:type="dxa"/>
              <w:right w:w="40" w:type="dxa"/>
            </w:tcMar>
            <w:vAlign w:val="center"/>
          </w:tcPr>
          <w:p w14:paraId="482C4A20" w14:textId="77777777" w:rsidR="00443F9E" w:rsidRPr="00443F9E" w:rsidRDefault="00443F9E" w:rsidP="00443F9E">
            <w:pPr>
              <w:widowControl w:val="0"/>
              <w:pBdr>
                <w:top w:val="nil"/>
                <w:left w:val="nil"/>
                <w:bottom w:val="nil"/>
                <w:right w:val="nil"/>
                <w:between w:val="nil"/>
              </w:pBdr>
              <w:spacing w:before="0" w:after="0" w:line="276" w:lineRule="auto"/>
              <w:jc w:val="left"/>
              <w:rPr>
                <w:rFonts w:eastAsia="Arial" w:cs="Arial"/>
                <w:kern w:val="0"/>
                <w:sz w:val="14"/>
                <w:szCs w:val="14"/>
                <w:lang w:eastAsia="es-CO"/>
                <w14:ligatures w14:val="none"/>
              </w:rPr>
            </w:pPr>
          </w:p>
        </w:tc>
        <w:tc>
          <w:tcPr>
            <w:tcW w:w="495" w:type="pct"/>
            <w:vMerge/>
            <w:tcBorders>
              <w:top w:val="single" w:sz="4" w:space="0" w:color="808080"/>
              <w:left w:val="single" w:sz="4" w:space="0" w:color="808080"/>
              <w:bottom w:val="single" w:sz="4" w:space="0" w:color="808080"/>
              <w:right w:val="single" w:sz="4" w:space="0" w:color="808080"/>
            </w:tcBorders>
            <w:shd w:val="clear" w:color="auto" w:fill="D9E2F3"/>
            <w:tcMar>
              <w:top w:w="30" w:type="dxa"/>
              <w:left w:w="40" w:type="dxa"/>
              <w:bottom w:w="30" w:type="dxa"/>
              <w:right w:w="40" w:type="dxa"/>
            </w:tcMar>
            <w:vAlign w:val="center"/>
          </w:tcPr>
          <w:p w14:paraId="66248E81" w14:textId="77777777" w:rsidR="00443F9E" w:rsidRPr="00443F9E" w:rsidRDefault="00443F9E" w:rsidP="00443F9E">
            <w:pPr>
              <w:widowControl w:val="0"/>
              <w:pBdr>
                <w:top w:val="nil"/>
                <w:left w:val="nil"/>
                <w:bottom w:val="nil"/>
                <w:right w:val="nil"/>
                <w:between w:val="nil"/>
              </w:pBdr>
              <w:spacing w:before="0" w:after="0" w:line="276" w:lineRule="auto"/>
              <w:jc w:val="left"/>
              <w:rPr>
                <w:rFonts w:eastAsia="Arial" w:cs="Arial"/>
                <w:kern w:val="0"/>
                <w:sz w:val="14"/>
                <w:szCs w:val="14"/>
                <w:lang w:eastAsia="es-CO"/>
                <w14:ligatures w14:val="none"/>
              </w:rPr>
            </w:pPr>
          </w:p>
        </w:tc>
        <w:tc>
          <w:tcPr>
            <w:tcW w:w="152" w:type="pct"/>
            <w:tcBorders>
              <w:top w:val="single" w:sz="4" w:space="0" w:color="808080"/>
              <w:left w:val="single" w:sz="4" w:space="0" w:color="808080"/>
              <w:bottom w:val="single" w:sz="4" w:space="0" w:color="808080"/>
              <w:right w:val="single" w:sz="4" w:space="0" w:color="808080"/>
            </w:tcBorders>
            <w:shd w:val="clear" w:color="auto" w:fill="D9E2F3"/>
            <w:tcMar>
              <w:top w:w="30" w:type="dxa"/>
              <w:left w:w="40" w:type="dxa"/>
              <w:bottom w:w="30" w:type="dxa"/>
              <w:right w:w="40" w:type="dxa"/>
            </w:tcMar>
            <w:textDirection w:val="btLr"/>
            <w:vAlign w:val="center"/>
          </w:tcPr>
          <w:p w14:paraId="237BE5BF"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Probabilidad</w:t>
            </w:r>
          </w:p>
        </w:tc>
        <w:tc>
          <w:tcPr>
            <w:tcW w:w="152" w:type="pct"/>
            <w:tcBorders>
              <w:top w:val="single" w:sz="4" w:space="0" w:color="808080"/>
              <w:left w:val="single" w:sz="4" w:space="0" w:color="808080"/>
              <w:bottom w:val="single" w:sz="4" w:space="0" w:color="808080"/>
              <w:right w:val="single" w:sz="4" w:space="0" w:color="808080"/>
            </w:tcBorders>
            <w:shd w:val="clear" w:color="auto" w:fill="D9E2F3"/>
            <w:tcMar>
              <w:top w:w="30" w:type="dxa"/>
              <w:left w:w="40" w:type="dxa"/>
              <w:bottom w:w="30" w:type="dxa"/>
              <w:right w:w="40" w:type="dxa"/>
            </w:tcMar>
            <w:textDirection w:val="btLr"/>
            <w:vAlign w:val="center"/>
          </w:tcPr>
          <w:p w14:paraId="6329A607"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Impacto</w:t>
            </w:r>
          </w:p>
        </w:tc>
        <w:tc>
          <w:tcPr>
            <w:tcW w:w="152" w:type="pct"/>
            <w:tcBorders>
              <w:top w:val="single" w:sz="4" w:space="0" w:color="808080"/>
              <w:left w:val="single" w:sz="4" w:space="0" w:color="808080"/>
              <w:bottom w:val="single" w:sz="4" w:space="0" w:color="808080"/>
              <w:right w:val="single" w:sz="4" w:space="0" w:color="808080"/>
            </w:tcBorders>
            <w:shd w:val="clear" w:color="auto" w:fill="D9E2F3"/>
            <w:tcMar>
              <w:top w:w="30" w:type="dxa"/>
              <w:left w:w="40" w:type="dxa"/>
              <w:bottom w:w="30" w:type="dxa"/>
              <w:right w:w="40" w:type="dxa"/>
            </w:tcMar>
            <w:textDirection w:val="btLr"/>
            <w:vAlign w:val="center"/>
          </w:tcPr>
          <w:p w14:paraId="4FD34BFC"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Valoración</w:t>
            </w:r>
          </w:p>
        </w:tc>
        <w:tc>
          <w:tcPr>
            <w:tcW w:w="172" w:type="pct"/>
            <w:tcBorders>
              <w:top w:val="single" w:sz="4" w:space="0" w:color="808080"/>
              <w:left w:val="single" w:sz="4" w:space="0" w:color="808080"/>
              <w:bottom w:val="single" w:sz="4" w:space="0" w:color="808080"/>
              <w:right w:val="single" w:sz="4" w:space="0" w:color="808080"/>
            </w:tcBorders>
            <w:shd w:val="clear" w:color="auto" w:fill="D9E2F3"/>
            <w:tcMar>
              <w:top w:w="30" w:type="dxa"/>
              <w:left w:w="40" w:type="dxa"/>
              <w:bottom w:w="30" w:type="dxa"/>
              <w:right w:w="40" w:type="dxa"/>
            </w:tcMar>
            <w:textDirection w:val="btLr"/>
            <w:vAlign w:val="center"/>
          </w:tcPr>
          <w:p w14:paraId="7816DC88"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Categoría</w:t>
            </w:r>
          </w:p>
        </w:tc>
        <w:tc>
          <w:tcPr>
            <w:tcW w:w="235" w:type="pct"/>
            <w:vMerge/>
            <w:tcBorders>
              <w:top w:val="single" w:sz="4" w:space="0" w:color="808080"/>
              <w:left w:val="single" w:sz="4" w:space="0" w:color="808080"/>
              <w:bottom w:val="single" w:sz="4" w:space="0" w:color="808080"/>
              <w:right w:val="single" w:sz="4" w:space="0" w:color="808080"/>
            </w:tcBorders>
            <w:shd w:val="clear" w:color="auto" w:fill="D9E2F3"/>
            <w:tcMar>
              <w:top w:w="30" w:type="dxa"/>
              <w:left w:w="40" w:type="dxa"/>
              <w:bottom w:w="30" w:type="dxa"/>
              <w:right w:w="40" w:type="dxa"/>
            </w:tcMar>
            <w:vAlign w:val="center"/>
          </w:tcPr>
          <w:p w14:paraId="20175361" w14:textId="77777777" w:rsidR="00443F9E" w:rsidRPr="00443F9E" w:rsidRDefault="00443F9E" w:rsidP="00443F9E">
            <w:pPr>
              <w:widowControl w:val="0"/>
              <w:pBdr>
                <w:top w:val="nil"/>
                <w:left w:val="nil"/>
                <w:bottom w:val="nil"/>
                <w:right w:val="nil"/>
                <w:between w:val="nil"/>
              </w:pBdr>
              <w:spacing w:before="0" w:after="0" w:line="276" w:lineRule="auto"/>
              <w:jc w:val="left"/>
              <w:rPr>
                <w:rFonts w:eastAsia="Arial" w:cs="Arial"/>
                <w:kern w:val="0"/>
                <w:sz w:val="14"/>
                <w:szCs w:val="14"/>
                <w:lang w:eastAsia="es-CO"/>
                <w14:ligatures w14:val="none"/>
              </w:rPr>
            </w:pPr>
          </w:p>
        </w:tc>
        <w:tc>
          <w:tcPr>
            <w:tcW w:w="286" w:type="pct"/>
            <w:vMerge/>
            <w:tcBorders>
              <w:top w:val="single" w:sz="4" w:space="0" w:color="808080"/>
              <w:left w:val="single" w:sz="4" w:space="0" w:color="808080"/>
              <w:bottom w:val="single" w:sz="4" w:space="0" w:color="808080"/>
              <w:right w:val="single" w:sz="4" w:space="0" w:color="808080"/>
            </w:tcBorders>
            <w:shd w:val="clear" w:color="auto" w:fill="D9E2F3"/>
            <w:tcMar>
              <w:top w:w="30" w:type="dxa"/>
              <w:left w:w="40" w:type="dxa"/>
              <w:bottom w:w="30" w:type="dxa"/>
              <w:right w:w="40" w:type="dxa"/>
            </w:tcMar>
            <w:vAlign w:val="center"/>
          </w:tcPr>
          <w:p w14:paraId="39E68163" w14:textId="77777777" w:rsidR="00443F9E" w:rsidRPr="00443F9E" w:rsidRDefault="00443F9E" w:rsidP="00443F9E">
            <w:pPr>
              <w:widowControl w:val="0"/>
              <w:pBdr>
                <w:top w:val="nil"/>
                <w:left w:val="nil"/>
                <w:bottom w:val="nil"/>
                <w:right w:val="nil"/>
                <w:between w:val="nil"/>
              </w:pBdr>
              <w:spacing w:before="0" w:after="0" w:line="276" w:lineRule="auto"/>
              <w:jc w:val="left"/>
              <w:rPr>
                <w:rFonts w:eastAsia="Arial" w:cs="Arial"/>
                <w:kern w:val="0"/>
                <w:sz w:val="14"/>
                <w:szCs w:val="14"/>
                <w:lang w:eastAsia="es-CO"/>
                <w14:ligatures w14:val="none"/>
              </w:rPr>
            </w:pPr>
          </w:p>
        </w:tc>
        <w:tc>
          <w:tcPr>
            <w:tcW w:w="235" w:type="pct"/>
            <w:vMerge/>
            <w:tcBorders>
              <w:top w:val="single" w:sz="4" w:space="0" w:color="808080"/>
              <w:left w:val="single" w:sz="4" w:space="0" w:color="808080"/>
              <w:bottom w:val="single" w:sz="4" w:space="0" w:color="808080"/>
              <w:right w:val="single" w:sz="4" w:space="0" w:color="808080"/>
            </w:tcBorders>
            <w:shd w:val="clear" w:color="auto" w:fill="D9E2F3"/>
            <w:tcMar>
              <w:top w:w="30" w:type="dxa"/>
              <w:left w:w="40" w:type="dxa"/>
              <w:bottom w:w="30" w:type="dxa"/>
              <w:right w:w="40" w:type="dxa"/>
            </w:tcMar>
            <w:textDirection w:val="btLr"/>
            <w:vAlign w:val="center"/>
          </w:tcPr>
          <w:p w14:paraId="5AFE81F0" w14:textId="77777777" w:rsidR="00443F9E" w:rsidRPr="00443F9E" w:rsidRDefault="00443F9E" w:rsidP="00443F9E">
            <w:pPr>
              <w:widowControl w:val="0"/>
              <w:pBdr>
                <w:top w:val="nil"/>
                <w:left w:val="nil"/>
                <w:bottom w:val="nil"/>
                <w:right w:val="nil"/>
                <w:between w:val="nil"/>
              </w:pBdr>
              <w:spacing w:before="0" w:after="0" w:line="276" w:lineRule="auto"/>
              <w:ind w:left="113" w:right="113"/>
              <w:jc w:val="left"/>
              <w:rPr>
                <w:rFonts w:eastAsia="Arial" w:cs="Arial"/>
                <w:kern w:val="0"/>
                <w:sz w:val="14"/>
                <w:szCs w:val="14"/>
                <w:lang w:eastAsia="es-CO"/>
                <w14:ligatures w14:val="none"/>
              </w:rPr>
            </w:pPr>
          </w:p>
        </w:tc>
        <w:tc>
          <w:tcPr>
            <w:tcW w:w="235" w:type="pct"/>
            <w:vMerge/>
            <w:tcBorders>
              <w:top w:val="single" w:sz="4" w:space="0" w:color="808080"/>
              <w:left w:val="single" w:sz="4" w:space="0" w:color="808080"/>
              <w:bottom w:val="single" w:sz="4" w:space="0" w:color="808080"/>
              <w:right w:val="single" w:sz="4" w:space="0" w:color="808080"/>
            </w:tcBorders>
            <w:shd w:val="clear" w:color="auto" w:fill="D9E2F3"/>
            <w:tcMar>
              <w:top w:w="30" w:type="dxa"/>
              <w:left w:w="40" w:type="dxa"/>
              <w:bottom w:w="30" w:type="dxa"/>
              <w:right w:w="40" w:type="dxa"/>
            </w:tcMar>
            <w:textDirection w:val="btLr"/>
            <w:vAlign w:val="center"/>
          </w:tcPr>
          <w:p w14:paraId="70CBBF42" w14:textId="77777777" w:rsidR="00443F9E" w:rsidRPr="00443F9E" w:rsidRDefault="00443F9E" w:rsidP="00443F9E">
            <w:pPr>
              <w:widowControl w:val="0"/>
              <w:pBdr>
                <w:top w:val="nil"/>
                <w:left w:val="nil"/>
                <w:bottom w:val="nil"/>
                <w:right w:val="nil"/>
                <w:between w:val="nil"/>
              </w:pBdr>
              <w:spacing w:before="0" w:after="0" w:line="276" w:lineRule="auto"/>
              <w:ind w:left="113" w:right="113"/>
              <w:jc w:val="left"/>
              <w:rPr>
                <w:rFonts w:eastAsia="Arial" w:cs="Arial"/>
                <w:kern w:val="0"/>
                <w:sz w:val="14"/>
                <w:szCs w:val="14"/>
                <w:lang w:eastAsia="es-CO"/>
                <w14:ligatures w14:val="none"/>
              </w:rPr>
            </w:pPr>
          </w:p>
        </w:tc>
        <w:tc>
          <w:tcPr>
            <w:tcW w:w="343" w:type="pct"/>
            <w:tcBorders>
              <w:top w:val="single" w:sz="4" w:space="0" w:color="808080"/>
              <w:left w:val="single" w:sz="4" w:space="0" w:color="808080"/>
              <w:bottom w:val="single" w:sz="4" w:space="0" w:color="808080"/>
              <w:right w:val="single" w:sz="4" w:space="0" w:color="808080"/>
            </w:tcBorders>
            <w:shd w:val="clear" w:color="auto" w:fill="D9E2F3"/>
            <w:tcMar>
              <w:top w:w="30" w:type="dxa"/>
              <w:left w:w="40" w:type="dxa"/>
              <w:bottom w:w="30" w:type="dxa"/>
              <w:right w:w="40" w:type="dxa"/>
            </w:tcMar>
            <w:vAlign w:val="center"/>
          </w:tcPr>
          <w:p w14:paraId="53753678"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¿Cómo se realiza el monitoreo?</w:t>
            </w:r>
          </w:p>
        </w:tc>
        <w:tc>
          <w:tcPr>
            <w:tcW w:w="147" w:type="pct"/>
            <w:tcBorders>
              <w:top w:val="single" w:sz="4" w:space="0" w:color="808080"/>
              <w:left w:val="single" w:sz="4" w:space="0" w:color="808080"/>
              <w:bottom w:val="single" w:sz="4" w:space="0" w:color="808080"/>
              <w:right w:val="single" w:sz="4" w:space="0" w:color="808080"/>
            </w:tcBorders>
            <w:shd w:val="clear" w:color="auto" w:fill="D9E2F3"/>
            <w:tcMar>
              <w:top w:w="30" w:type="dxa"/>
              <w:left w:w="40" w:type="dxa"/>
              <w:bottom w:w="30" w:type="dxa"/>
              <w:right w:w="40" w:type="dxa"/>
            </w:tcMar>
            <w:textDirection w:val="btLr"/>
            <w:vAlign w:val="center"/>
          </w:tcPr>
          <w:p w14:paraId="52B77E39"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Periodicidad</w:t>
            </w:r>
          </w:p>
        </w:tc>
      </w:tr>
      <w:tr w:rsidR="00443F9E" w:rsidRPr="00443F9E" w14:paraId="1E803D93" w14:textId="77777777" w:rsidTr="000E61AD">
        <w:trPr>
          <w:cantSplit/>
          <w:trHeight w:val="1134"/>
        </w:trPr>
        <w:tc>
          <w:tcPr>
            <w:tcW w:w="154"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0A83B249"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1</w:t>
            </w:r>
          </w:p>
        </w:tc>
        <w:tc>
          <w:tcPr>
            <w:tcW w:w="153"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795B51F7"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General</w:t>
            </w:r>
          </w:p>
        </w:tc>
        <w:tc>
          <w:tcPr>
            <w:tcW w:w="153"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3F645A74"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Externo</w:t>
            </w:r>
          </w:p>
        </w:tc>
        <w:tc>
          <w:tcPr>
            <w:tcW w:w="153"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07EEF95F"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Selección</w:t>
            </w:r>
          </w:p>
        </w:tc>
        <w:tc>
          <w:tcPr>
            <w:tcW w:w="153"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75E17432"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Económico</w:t>
            </w:r>
          </w:p>
        </w:tc>
        <w:tc>
          <w:tcPr>
            <w:tcW w:w="365"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65339554" w14:textId="77777777" w:rsidR="00443F9E" w:rsidRPr="00443F9E" w:rsidRDefault="00443F9E" w:rsidP="00443F9E">
            <w:pPr>
              <w:spacing w:line="276" w:lineRule="auto"/>
              <w:rPr>
                <w:rFonts w:eastAsia="Arial" w:cs="Arial"/>
                <w:kern w:val="0"/>
                <w:sz w:val="14"/>
                <w:szCs w:val="14"/>
                <w:lang w:eastAsia="es-CO"/>
                <w14:ligatures w14:val="none"/>
              </w:rPr>
            </w:pPr>
            <w:r w:rsidRPr="00443F9E">
              <w:rPr>
                <w:rFonts w:eastAsia="Arial" w:cs="Arial"/>
                <w:kern w:val="0"/>
                <w:sz w:val="14"/>
                <w:szCs w:val="14"/>
                <w:lang w:eastAsia="es-CO"/>
                <w14:ligatures w14:val="none"/>
              </w:rPr>
              <w:t>Declaratoria de desierto del proceso por ausencia de ofertas, por ofertas que superen el presupuesto oficial de $45.000.000 o porque ningún oferente acredite la capacidad jurídica y técnica exigida. En 2025, 116 de los 252 procesos de mínima cuantía de consultoría de la clase UNSPSC 811015 adjudicados en SECOP II (46,0%) tuvieron uno o ningún proveedor con respuesta, con una mediana de dos oferentes por proceso.</w:t>
            </w:r>
          </w:p>
        </w:tc>
        <w:tc>
          <w:tcPr>
            <w:tcW w:w="360"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06F49867" w14:textId="77777777" w:rsidR="00443F9E" w:rsidRPr="00443F9E" w:rsidRDefault="00443F9E" w:rsidP="00443F9E">
            <w:pPr>
              <w:spacing w:line="276" w:lineRule="auto"/>
              <w:rPr>
                <w:rFonts w:eastAsia="Arial" w:cs="Arial"/>
                <w:kern w:val="0"/>
                <w:sz w:val="14"/>
                <w:szCs w:val="14"/>
                <w:lang w:eastAsia="es-CO"/>
                <w14:ligatures w14:val="none"/>
              </w:rPr>
            </w:pPr>
            <w:r w:rsidRPr="00443F9E">
              <w:rPr>
                <w:rFonts w:eastAsia="Arial" w:cs="Arial"/>
                <w:kern w:val="0"/>
                <w:sz w:val="14"/>
                <w:szCs w:val="14"/>
                <w:lang w:eastAsia="es-CO"/>
                <w14:ligatures w14:val="none"/>
              </w:rPr>
              <w:t>Reinicio del proceso de selección, retraso en la obtención de los estudios y diseños y aplazamiento de la gestión de financiación y contratación de las obras de adecuación del Teatro Iscalá.</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70875592"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2</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12EABE0C"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3</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52899D83"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5</w:t>
            </w:r>
          </w:p>
        </w:tc>
        <w:tc>
          <w:tcPr>
            <w:tcW w:w="169" w:type="pct"/>
            <w:tcBorders>
              <w:top w:val="single" w:sz="4" w:space="0" w:color="808080"/>
              <w:left w:val="single" w:sz="4" w:space="0" w:color="808080"/>
              <w:bottom w:val="single" w:sz="4" w:space="0" w:color="808080"/>
              <w:right w:val="single" w:sz="4" w:space="0" w:color="808080"/>
            </w:tcBorders>
            <w:shd w:val="clear" w:color="auto" w:fill="FFE699"/>
            <w:tcMar>
              <w:top w:w="30" w:type="dxa"/>
              <w:left w:w="40" w:type="dxa"/>
              <w:bottom w:w="30" w:type="dxa"/>
              <w:right w:w="40" w:type="dxa"/>
            </w:tcMar>
            <w:vAlign w:val="center"/>
          </w:tcPr>
          <w:p w14:paraId="046C8B8D"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Medio</w:t>
            </w:r>
          </w:p>
        </w:tc>
        <w:tc>
          <w:tcPr>
            <w:tcW w:w="280"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53325559"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Entidad Estatal</w:t>
            </w:r>
          </w:p>
        </w:tc>
        <w:tc>
          <w:tcPr>
            <w:tcW w:w="495"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4D0108DB" w14:textId="77777777" w:rsidR="00443F9E" w:rsidRPr="00443F9E" w:rsidRDefault="00443F9E" w:rsidP="00443F9E">
            <w:pPr>
              <w:spacing w:line="276" w:lineRule="auto"/>
              <w:rPr>
                <w:rFonts w:eastAsia="Arial" w:cs="Arial"/>
                <w:kern w:val="0"/>
                <w:sz w:val="14"/>
                <w:szCs w:val="14"/>
                <w:lang w:eastAsia="es-CO"/>
                <w14:ligatures w14:val="none"/>
              </w:rPr>
            </w:pPr>
            <w:r w:rsidRPr="00443F9E">
              <w:rPr>
                <w:rFonts w:eastAsia="Arial" w:cs="Arial"/>
                <w:kern w:val="0"/>
                <w:sz w:val="14"/>
                <w:szCs w:val="14"/>
                <w:lang w:eastAsia="es-CO"/>
                <w14:ligatures w14:val="none"/>
              </w:rPr>
              <w:t>Mantener el presupuesto oficial en $45.000.000, valor en el que coinciden la mediana y el promedio de tres cotizaciones con coeficiente de variación de 1,5%, y no en el valor mínimo cotizado. Exigir requisitos habilitantes proporcionales al valor y a la complejidad del objeto, sin experiencia del personal que exceda lo necesario. Informar la publicación de la invitación a los tres cotizantes y a los proveedores identificados en el estudio de la oferta. Si el proceso se declara desierto, adelantar uno nuevo con las condiciones revisadas.</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3BBD8503"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1</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70A49A8E"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3</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75CA2AF3"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4</w:t>
            </w:r>
          </w:p>
        </w:tc>
        <w:tc>
          <w:tcPr>
            <w:tcW w:w="172" w:type="pct"/>
            <w:tcBorders>
              <w:top w:val="single" w:sz="4" w:space="0" w:color="808080"/>
              <w:left w:val="single" w:sz="4" w:space="0" w:color="808080"/>
              <w:bottom w:val="single" w:sz="4" w:space="0" w:color="808080"/>
              <w:right w:val="single" w:sz="4" w:space="0" w:color="808080"/>
            </w:tcBorders>
            <w:shd w:val="clear" w:color="auto" w:fill="C6E0B4"/>
            <w:tcMar>
              <w:top w:w="30" w:type="dxa"/>
              <w:left w:w="40" w:type="dxa"/>
              <w:bottom w:w="30" w:type="dxa"/>
              <w:right w:w="40" w:type="dxa"/>
            </w:tcMar>
            <w:vAlign w:val="center"/>
          </w:tcPr>
          <w:p w14:paraId="67DEA5BC"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Bajo</w:t>
            </w:r>
          </w:p>
        </w:tc>
        <w:tc>
          <w:tcPr>
            <w:tcW w:w="235"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63890811"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No</w:t>
            </w:r>
          </w:p>
        </w:tc>
        <w:tc>
          <w:tcPr>
            <w:tcW w:w="286"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1B076E29"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Entidad Estatal</w:t>
            </w:r>
          </w:p>
        </w:tc>
        <w:tc>
          <w:tcPr>
            <w:tcW w:w="235"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0719E9A6"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Publicación de la invitación pública en SECOP II</w:t>
            </w:r>
          </w:p>
        </w:tc>
        <w:tc>
          <w:tcPr>
            <w:tcW w:w="235"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0825351D"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Comunicación de la aceptación de la oferta</w:t>
            </w:r>
          </w:p>
        </w:tc>
        <w:tc>
          <w:tcPr>
            <w:tcW w:w="343"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167348AB" w14:textId="77777777" w:rsidR="00443F9E" w:rsidRPr="00443F9E" w:rsidRDefault="00443F9E" w:rsidP="00443F9E">
            <w:pPr>
              <w:spacing w:line="276" w:lineRule="auto"/>
              <w:rPr>
                <w:rFonts w:eastAsia="Arial" w:cs="Arial"/>
                <w:kern w:val="0"/>
                <w:sz w:val="14"/>
                <w:szCs w:val="14"/>
                <w:lang w:eastAsia="es-CO"/>
                <w14:ligatures w14:val="none"/>
              </w:rPr>
            </w:pPr>
            <w:r w:rsidRPr="00443F9E">
              <w:rPr>
                <w:rFonts w:eastAsia="Arial" w:cs="Arial"/>
                <w:kern w:val="0"/>
                <w:sz w:val="14"/>
                <w:szCs w:val="14"/>
                <w:lang w:eastAsia="es-CO"/>
                <w14:ligatures w14:val="none"/>
              </w:rPr>
              <w:t>Seguimiento en SECOP II de las observaciones y de las ofertas recibidas; revisión de las condiciones de la invitación si se presentan observaciones sobre requisitos o presupuesto.</w:t>
            </w:r>
          </w:p>
        </w:tc>
        <w:tc>
          <w:tcPr>
            <w:tcW w:w="147"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5FB78543"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Diaria durante el término de la invitación</w:t>
            </w:r>
          </w:p>
        </w:tc>
      </w:tr>
      <w:tr w:rsidR="00443F9E" w:rsidRPr="00443F9E" w14:paraId="294CD406" w14:textId="77777777" w:rsidTr="000E61AD">
        <w:trPr>
          <w:cantSplit/>
          <w:trHeight w:val="1134"/>
        </w:trPr>
        <w:tc>
          <w:tcPr>
            <w:tcW w:w="154"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38C6E8E6"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lastRenderedPageBreak/>
              <w:t>2</w:t>
            </w:r>
          </w:p>
        </w:tc>
        <w:tc>
          <w:tcPr>
            <w:tcW w:w="153"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41E197BF"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Específico</w:t>
            </w:r>
          </w:p>
        </w:tc>
        <w:tc>
          <w:tcPr>
            <w:tcW w:w="153"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06874C36"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Interno</w:t>
            </w:r>
          </w:p>
        </w:tc>
        <w:tc>
          <w:tcPr>
            <w:tcW w:w="153"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0F837495"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Ejecución</w:t>
            </w:r>
          </w:p>
        </w:tc>
        <w:tc>
          <w:tcPr>
            <w:tcW w:w="153"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411C3E1D"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Operacional</w:t>
            </w:r>
          </w:p>
        </w:tc>
        <w:tc>
          <w:tcPr>
            <w:tcW w:w="365"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7387AB09" w14:textId="77777777" w:rsidR="00443F9E" w:rsidRPr="00443F9E" w:rsidRDefault="00443F9E" w:rsidP="00443F9E">
            <w:pPr>
              <w:spacing w:line="276" w:lineRule="auto"/>
              <w:rPr>
                <w:rFonts w:eastAsia="Arial" w:cs="Arial"/>
                <w:kern w:val="0"/>
                <w:sz w:val="14"/>
                <w:szCs w:val="14"/>
                <w:lang w:eastAsia="es-CO"/>
                <w14:ligatures w14:val="none"/>
              </w:rPr>
            </w:pPr>
            <w:r w:rsidRPr="00443F9E">
              <w:rPr>
                <w:rFonts w:eastAsia="Arial" w:cs="Arial"/>
                <w:kern w:val="0"/>
                <w:sz w:val="14"/>
                <w:szCs w:val="14"/>
                <w:lang w:eastAsia="es-CO"/>
                <w14:ligatures w14:val="none"/>
              </w:rPr>
              <w:t>Retraso o insuficiencia en la entrega, por parte de la Secretaría de Planeación, de la información existente del inmueble (planos, antecedentes, información de redes de servicios públicos e instrumentos de planificación) y en la disponibilidad de acceso a la edificación para las visitas técnicas, el levantamiento topográfico y la exploración del subsuelo.</w:t>
            </w:r>
          </w:p>
        </w:tc>
        <w:tc>
          <w:tcPr>
            <w:tcW w:w="360"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36B96391" w14:textId="77777777" w:rsidR="00443F9E" w:rsidRPr="00443F9E" w:rsidRDefault="00443F9E" w:rsidP="00443F9E">
            <w:pPr>
              <w:spacing w:line="276" w:lineRule="auto"/>
              <w:rPr>
                <w:rFonts w:eastAsia="Arial" w:cs="Arial"/>
                <w:kern w:val="0"/>
                <w:sz w:val="14"/>
                <w:szCs w:val="14"/>
                <w:lang w:eastAsia="es-CO"/>
                <w14:ligatures w14:val="none"/>
              </w:rPr>
            </w:pPr>
            <w:r w:rsidRPr="00443F9E">
              <w:rPr>
                <w:rFonts w:eastAsia="Arial" w:cs="Arial"/>
                <w:kern w:val="0"/>
                <w:sz w:val="14"/>
                <w:szCs w:val="14"/>
                <w:lang w:eastAsia="es-CO"/>
                <w14:ligatures w14:val="none"/>
              </w:rPr>
              <w:t>Retraso del diagnóstico, que es insumo de todas las etapas siguientes de la consultoría, y afectación del plazo de dos (2) meses. Posibles reclamaciones del contratista por mayor permanencia.</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012D8FB7"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3</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4BEF1162"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3</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2D7AB565"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6</w:t>
            </w:r>
          </w:p>
        </w:tc>
        <w:tc>
          <w:tcPr>
            <w:tcW w:w="169" w:type="pct"/>
            <w:tcBorders>
              <w:top w:val="single" w:sz="4" w:space="0" w:color="808080"/>
              <w:left w:val="single" w:sz="4" w:space="0" w:color="808080"/>
              <w:bottom w:val="single" w:sz="4" w:space="0" w:color="808080"/>
              <w:right w:val="single" w:sz="4" w:space="0" w:color="808080"/>
            </w:tcBorders>
            <w:shd w:val="clear" w:color="auto" w:fill="F4B183"/>
            <w:tcMar>
              <w:top w:w="30" w:type="dxa"/>
              <w:left w:w="40" w:type="dxa"/>
              <w:bottom w:w="30" w:type="dxa"/>
              <w:right w:w="40" w:type="dxa"/>
            </w:tcMar>
            <w:vAlign w:val="center"/>
          </w:tcPr>
          <w:p w14:paraId="578DABFF"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Alto</w:t>
            </w:r>
          </w:p>
        </w:tc>
        <w:tc>
          <w:tcPr>
            <w:tcW w:w="280"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710C3A56"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Entidad Estatal</w:t>
            </w:r>
          </w:p>
        </w:tc>
        <w:tc>
          <w:tcPr>
            <w:tcW w:w="495"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7D26FA3D" w14:textId="77777777" w:rsidR="00443F9E" w:rsidRPr="00443F9E" w:rsidRDefault="00443F9E" w:rsidP="00443F9E">
            <w:pPr>
              <w:spacing w:line="276" w:lineRule="auto"/>
              <w:rPr>
                <w:rFonts w:eastAsia="Arial" w:cs="Arial"/>
                <w:kern w:val="0"/>
                <w:sz w:val="14"/>
                <w:szCs w:val="14"/>
                <w:lang w:eastAsia="es-CO"/>
                <w14:ligatures w14:val="none"/>
              </w:rPr>
            </w:pPr>
            <w:r w:rsidRPr="00443F9E">
              <w:rPr>
                <w:rFonts w:eastAsia="Arial" w:cs="Arial"/>
                <w:kern w:val="0"/>
                <w:sz w:val="14"/>
                <w:szCs w:val="14"/>
                <w:lang w:eastAsia="es-CO"/>
                <w14:ligatures w14:val="none"/>
              </w:rPr>
              <w:t>Consolidar antes del acta de inicio la información disponible del inmueble y entregarla al contratista mediante acta. Concertar en el plan de trabajo el calendario de acceso a la edificación para visitas, levantamiento y apiques. El supervisor deja constancia de la información faltante y, si la demora es imputable a la Entidad, evalúa la suspensión del plazo mediante acta.</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5B5ADFE2"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2</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484BC654"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2</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1E046D91"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4</w:t>
            </w:r>
          </w:p>
        </w:tc>
        <w:tc>
          <w:tcPr>
            <w:tcW w:w="172" w:type="pct"/>
            <w:tcBorders>
              <w:top w:val="single" w:sz="4" w:space="0" w:color="808080"/>
              <w:left w:val="single" w:sz="4" w:space="0" w:color="808080"/>
              <w:bottom w:val="single" w:sz="4" w:space="0" w:color="808080"/>
              <w:right w:val="single" w:sz="4" w:space="0" w:color="808080"/>
            </w:tcBorders>
            <w:shd w:val="clear" w:color="auto" w:fill="C6E0B4"/>
            <w:tcMar>
              <w:top w:w="30" w:type="dxa"/>
              <w:left w:w="40" w:type="dxa"/>
              <w:bottom w:w="30" w:type="dxa"/>
              <w:right w:w="40" w:type="dxa"/>
            </w:tcMar>
            <w:vAlign w:val="center"/>
          </w:tcPr>
          <w:p w14:paraId="2AEC207B"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Bajo</w:t>
            </w:r>
          </w:p>
        </w:tc>
        <w:tc>
          <w:tcPr>
            <w:tcW w:w="235"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3FA6C921"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Sí</w:t>
            </w:r>
          </w:p>
        </w:tc>
        <w:tc>
          <w:tcPr>
            <w:tcW w:w="286"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7C7EC489"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Entidad Estatal (Secretaría de Planeación y supervisor)</w:t>
            </w:r>
          </w:p>
        </w:tc>
        <w:tc>
          <w:tcPr>
            <w:tcW w:w="235"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2646BBE6"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Suscripción del contrato</w:t>
            </w:r>
          </w:p>
        </w:tc>
        <w:tc>
          <w:tcPr>
            <w:tcW w:w="235"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02A3316A"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Aprobación del informe de diagnóstico</w:t>
            </w:r>
          </w:p>
        </w:tc>
        <w:tc>
          <w:tcPr>
            <w:tcW w:w="343"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49AB4E3A" w14:textId="77777777" w:rsidR="00443F9E" w:rsidRPr="00443F9E" w:rsidRDefault="00443F9E" w:rsidP="00443F9E">
            <w:pPr>
              <w:spacing w:line="276" w:lineRule="auto"/>
              <w:rPr>
                <w:rFonts w:eastAsia="Arial" w:cs="Arial"/>
                <w:kern w:val="0"/>
                <w:sz w:val="14"/>
                <w:szCs w:val="14"/>
                <w:lang w:eastAsia="es-CO"/>
                <w14:ligatures w14:val="none"/>
              </w:rPr>
            </w:pPr>
            <w:r w:rsidRPr="00443F9E">
              <w:rPr>
                <w:rFonts w:eastAsia="Arial" w:cs="Arial"/>
                <w:kern w:val="0"/>
                <w:sz w:val="14"/>
                <w:szCs w:val="14"/>
                <w:lang w:eastAsia="es-CO"/>
                <w14:ligatures w14:val="none"/>
              </w:rPr>
              <w:t>Verificación del acta de entrega de información y del cumplimiento del calendario de acceso en las reuniones de seguimiento.</w:t>
            </w:r>
          </w:p>
        </w:tc>
        <w:tc>
          <w:tcPr>
            <w:tcW w:w="147"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4BE4F30B"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Semanal</w:t>
            </w:r>
          </w:p>
        </w:tc>
      </w:tr>
      <w:tr w:rsidR="00443F9E" w:rsidRPr="00443F9E" w14:paraId="700E571A" w14:textId="77777777" w:rsidTr="000E61AD">
        <w:trPr>
          <w:cantSplit/>
          <w:trHeight w:val="1134"/>
        </w:trPr>
        <w:tc>
          <w:tcPr>
            <w:tcW w:w="154"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036EBAA8"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lastRenderedPageBreak/>
              <w:t>3</w:t>
            </w:r>
          </w:p>
        </w:tc>
        <w:tc>
          <w:tcPr>
            <w:tcW w:w="153"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49FB75A7"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Específico</w:t>
            </w:r>
          </w:p>
        </w:tc>
        <w:tc>
          <w:tcPr>
            <w:tcW w:w="153"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4EDD7177"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Interno</w:t>
            </w:r>
          </w:p>
        </w:tc>
        <w:tc>
          <w:tcPr>
            <w:tcW w:w="153"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2056CE5B"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Ejecución</w:t>
            </w:r>
          </w:p>
        </w:tc>
        <w:tc>
          <w:tcPr>
            <w:tcW w:w="153"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3D3730A8"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Operacional</w:t>
            </w:r>
          </w:p>
        </w:tc>
        <w:tc>
          <w:tcPr>
            <w:tcW w:w="365"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09526E55" w14:textId="77777777" w:rsidR="00443F9E" w:rsidRPr="00443F9E" w:rsidRDefault="00443F9E" w:rsidP="00443F9E">
            <w:pPr>
              <w:spacing w:line="276" w:lineRule="auto"/>
              <w:rPr>
                <w:rFonts w:eastAsia="Arial" w:cs="Arial"/>
                <w:kern w:val="0"/>
                <w:sz w:val="14"/>
                <w:szCs w:val="14"/>
                <w:lang w:eastAsia="es-CO"/>
                <w14:ligatures w14:val="none"/>
              </w:rPr>
            </w:pPr>
            <w:r w:rsidRPr="00443F9E">
              <w:rPr>
                <w:rFonts w:eastAsia="Arial" w:cs="Arial"/>
                <w:kern w:val="0"/>
                <w:sz w:val="14"/>
                <w:szCs w:val="14"/>
                <w:lang w:eastAsia="es-CO"/>
                <w14:ligatures w14:val="none"/>
              </w:rPr>
              <w:t>Cambios o indefiniciones en el programa de necesidades durante la ejecución. Los estudios previos proyectan para el inmueble usos diversos: centro de convenciones, centro de monitoreo de ciudad inteligente, sede de la Agencia Municipal de Turismo y espacio para actividades comerciales, recreativas, culturales, agrícolas y deportivas.</w:t>
            </w:r>
          </w:p>
        </w:tc>
        <w:tc>
          <w:tcPr>
            <w:tcW w:w="360"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3A5F696D" w14:textId="77777777" w:rsidR="00443F9E" w:rsidRPr="00443F9E" w:rsidRDefault="00443F9E" w:rsidP="00443F9E">
            <w:pPr>
              <w:spacing w:line="276" w:lineRule="auto"/>
              <w:rPr>
                <w:rFonts w:eastAsia="Arial" w:cs="Arial"/>
                <w:kern w:val="0"/>
                <w:sz w:val="14"/>
                <w:szCs w:val="14"/>
                <w:lang w:eastAsia="es-CO"/>
                <w14:ligatures w14:val="none"/>
              </w:rPr>
            </w:pPr>
            <w:r w:rsidRPr="00443F9E">
              <w:rPr>
                <w:rFonts w:eastAsia="Arial" w:cs="Arial"/>
                <w:kern w:val="0"/>
                <w:sz w:val="14"/>
                <w:szCs w:val="14"/>
                <w:lang w:eastAsia="es-CO"/>
                <w14:ligatures w14:val="none"/>
              </w:rPr>
              <w:t>Reprocesos en el diseño arquitectónico y en los diseños de ingeniería que dependen de él, incumplimiento del plazo y solicitudes de mayor valor o de modificación del contrato.</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795C5D6D"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3</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67790ED7"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3</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2A3B2BD8"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6</w:t>
            </w:r>
          </w:p>
        </w:tc>
        <w:tc>
          <w:tcPr>
            <w:tcW w:w="169" w:type="pct"/>
            <w:tcBorders>
              <w:top w:val="single" w:sz="4" w:space="0" w:color="808080"/>
              <w:left w:val="single" w:sz="4" w:space="0" w:color="808080"/>
              <w:bottom w:val="single" w:sz="4" w:space="0" w:color="808080"/>
              <w:right w:val="single" w:sz="4" w:space="0" w:color="808080"/>
            </w:tcBorders>
            <w:shd w:val="clear" w:color="auto" w:fill="F4B183"/>
            <w:tcMar>
              <w:top w:w="30" w:type="dxa"/>
              <w:left w:w="40" w:type="dxa"/>
              <w:bottom w:w="30" w:type="dxa"/>
              <w:right w:w="40" w:type="dxa"/>
            </w:tcMar>
            <w:vAlign w:val="center"/>
          </w:tcPr>
          <w:p w14:paraId="3B0DB9DD"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Alto</w:t>
            </w:r>
          </w:p>
        </w:tc>
        <w:tc>
          <w:tcPr>
            <w:tcW w:w="280"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18A01633"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Entidad Estatal</w:t>
            </w:r>
          </w:p>
        </w:tc>
        <w:tc>
          <w:tcPr>
            <w:tcW w:w="495"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50805DDF" w14:textId="77777777" w:rsidR="00443F9E" w:rsidRPr="00443F9E" w:rsidRDefault="00443F9E" w:rsidP="00443F9E">
            <w:pPr>
              <w:spacing w:line="276" w:lineRule="auto"/>
              <w:rPr>
                <w:rFonts w:eastAsia="Arial" w:cs="Arial"/>
                <w:kern w:val="0"/>
                <w:sz w:val="14"/>
                <w:szCs w:val="14"/>
                <w:lang w:eastAsia="es-CO"/>
                <w14:ligatures w14:val="none"/>
              </w:rPr>
            </w:pPr>
            <w:r w:rsidRPr="00443F9E">
              <w:rPr>
                <w:rFonts w:eastAsia="Arial" w:cs="Arial"/>
                <w:kern w:val="0"/>
                <w:sz w:val="14"/>
                <w:szCs w:val="14"/>
                <w:lang w:eastAsia="es-CO"/>
                <w14:ligatures w14:val="none"/>
              </w:rPr>
              <w:t>Aprobar por escrito, dentro de la primera semana de ejecución, el programa de necesidades con las áreas y los usos que debe resolver el diseño. Validar en mesa técnica la alternativa de intervención seleccionada antes de iniciar los diseños de detalle. Todo cambio posterior se tramita como modificación contractual justificada, con su efecto en plazo y valor.</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679E0874"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2</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34B73F2E"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2</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74FF96E8"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4</w:t>
            </w:r>
          </w:p>
        </w:tc>
        <w:tc>
          <w:tcPr>
            <w:tcW w:w="172" w:type="pct"/>
            <w:tcBorders>
              <w:top w:val="single" w:sz="4" w:space="0" w:color="808080"/>
              <w:left w:val="single" w:sz="4" w:space="0" w:color="808080"/>
              <w:bottom w:val="single" w:sz="4" w:space="0" w:color="808080"/>
              <w:right w:val="single" w:sz="4" w:space="0" w:color="808080"/>
            </w:tcBorders>
            <w:shd w:val="clear" w:color="auto" w:fill="C6E0B4"/>
            <w:tcMar>
              <w:top w:w="30" w:type="dxa"/>
              <w:left w:w="40" w:type="dxa"/>
              <w:bottom w:w="30" w:type="dxa"/>
              <w:right w:w="40" w:type="dxa"/>
            </w:tcMar>
            <w:vAlign w:val="center"/>
          </w:tcPr>
          <w:p w14:paraId="0C4D4243"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Bajo</w:t>
            </w:r>
          </w:p>
        </w:tc>
        <w:tc>
          <w:tcPr>
            <w:tcW w:w="235"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0AF3C11C"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Sí</w:t>
            </w:r>
          </w:p>
        </w:tc>
        <w:tc>
          <w:tcPr>
            <w:tcW w:w="286"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44440E90"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Entidad Estatal (Secretaría de Planeación y supervisor)</w:t>
            </w:r>
          </w:p>
        </w:tc>
        <w:tc>
          <w:tcPr>
            <w:tcW w:w="235"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01EF776B"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Acta de inicio</w:t>
            </w:r>
          </w:p>
        </w:tc>
        <w:tc>
          <w:tcPr>
            <w:tcW w:w="235"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5AC4F3D3"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Aprobación de la alternativa de intervención</w:t>
            </w:r>
          </w:p>
        </w:tc>
        <w:tc>
          <w:tcPr>
            <w:tcW w:w="343"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50CAC915" w14:textId="77777777" w:rsidR="00443F9E" w:rsidRPr="00443F9E" w:rsidRDefault="00443F9E" w:rsidP="00443F9E">
            <w:pPr>
              <w:spacing w:line="276" w:lineRule="auto"/>
              <w:rPr>
                <w:rFonts w:eastAsia="Arial" w:cs="Arial"/>
                <w:kern w:val="0"/>
                <w:sz w:val="14"/>
                <w:szCs w:val="14"/>
                <w:lang w:eastAsia="es-CO"/>
                <w14:ligatures w14:val="none"/>
              </w:rPr>
            </w:pPr>
            <w:r w:rsidRPr="00443F9E">
              <w:rPr>
                <w:rFonts w:eastAsia="Arial" w:cs="Arial"/>
                <w:kern w:val="0"/>
                <w:sz w:val="14"/>
                <w:szCs w:val="14"/>
                <w:lang w:eastAsia="es-CO"/>
                <w14:ligatures w14:val="none"/>
              </w:rPr>
              <w:t>Acta de aprobación del programa de necesidades y actas de las mesas técnicas; control de cambios por parte del supervisor.</w:t>
            </w:r>
          </w:p>
        </w:tc>
        <w:tc>
          <w:tcPr>
            <w:tcW w:w="147"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0E911CE6"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Semanal</w:t>
            </w:r>
          </w:p>
        </w:tc>
      </w:tr>
      <w:tr w:rsidR="00443F9E" w:rsidRPr="00443F9E" w14:paraId="4718F7A5" w14:textId="77777777" w:rsidTr="000E61AD">
        <w:trPr>
          <w:cantSplit/>
          <w:trHeight w:val="1134"/>
        </w:trPr>
        <w:tc>
          <w:tcPr>
            <w:tcW w:w="154"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71307F72"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lastRenderedPageBreak/>
              <w:t>4</w:t>
            </w:r>
          </w:p>
        </w:tc>
        <w:tc>
          <w:tcPr>
            <w:tcW w:w="153"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6C96341E"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Específico</w:t>
            </w:r>
          </w:p>
        </w:tc>
        <w:tc>
          <w:tcPr>
            <w:tcW w:w="153"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595A5EE7"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Externo</w:t>
            </w:r>
          </w:p>
        </w:tc>
        <w:tc>
          <w:tcPr>
            <w:tcW w:w="153"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7AF7B56E"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Ejecución</w:t>
            </w:r>
          </w:p>
        </w:tc>
        <w:tc>
          <w:tcPr>
            <w:tcW w:w="153"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0BF84449"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Regulatorio</w:t>
            </w:r>
          </w:p>
        </w:tc>
        <w:tc>
          <w:tcPr>
            <w:tcW w:w="365"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4E6059CB" w14:textId="77777777" w:rsidR="00443F9E" w:rsidRPr="00443F9E" w:rsidRDefault="00443F9E" w:rsidP="00443F9E">
            <w:pPr>
              <w:spacing w:line="276" w:lineRule="auto"/>
              <w:rPr>
                <w:rFonts w:eastAsia="Arial" w:cs="Arial"/>
                <w:kern w:val="0"/>
                <w:sz w:val="14"/>
                <w:szCs w:val="14"/>
                <w:lang w:eastAsia="es-CO"/>
                <w14:ligatures w14:val="none"/>
              </w:rPr>
            </w:pPr>
            <w:r w:rsidRPr="00443F9E">
              <w:rPr>
                <w:rFonts w:eastAsia="Arial" w:cs="Arial"/>
                <w:kern w:val="0"/>
                <w:sz w:val="14"/>
                <w:szCs w:val="14"/>
                <w:lang w:eastAsia="es-CO"/>
                <w14:ligatures w14:val="none"/>
              </w:rPr>
              <w:t>Existencia de una declaratoria de bien de interés cultural sobre el inmueble o de restricciones urbanísticas no identificadas antes del diseño. El análisis del sector señala que la Ley 397 de 1997 aplica si el inmueble cuenta con esa declaratoria y deja su verificación al diagnóstico del consultor.</w:t>
            </w:r>
          </w:p>
        </w:tc>
        <w:tc>
          <w:tcPr>
            <w:tcW w:w="360"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6161A034" w14:textId="77777777" w:rsidR="00443F9E" w:rsidRPr="00443F9E" w:rsidRDefault="00443F9E" w:rsidP="00443F9E">
            <w:pPr>
              <w:spacing w:line="276" w:lineRule="auto"/>
              <w:rPr>
                <w:rFonts w:eastAsia="Arial" w:cs="Arial"/>
                <w:kern w:val="0"/>
                <w:sz w:val="14"/>
                <w:szCs w:val="14"/>
                <w:lang w:eastAsia="es-CO"/>
                <w14:ligatures w14:val="none"/>
              </w:rPr>
            </w:pPr>
            <w:r w:rsidRPr="00443F9E">
              <w:rPr>
                <w:rFonts w:eastAsia="Arial" w:cs="Arial"/>
                <w:kern w:val="0"/>
                <w:sz w:val="14"/>
                <w:szCs w:val="14"/>
                <w:lang w:eastAsia="es-CO"/>
                <w14:ligatures w14:val="none"/>
              </w:rPr>
              <w:t>Propuesta arquitectónica no viable ante la autoridad competente, rediseño e imposibilidad de tramitar la licencia o la autorización de intervención. Si el inmueble tiene la declaratoria, el alcance, el plazo y el presupuesto del proceso pueden resultar insuficientes.</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794BD476"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2</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6D22B072"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4</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66D7EFBC"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6</w:t>
            </w:r>
          </w:p>
        </w:tc>
        <w:tc>
          <w:tcPr>
            <w:tcW w:w="169" w:type="pct"/>
            <w:tcBorders>
              <w:top w:val="single" w:sz="4" w:space="0" w:color="808080"/>
              <w:left w:val="single" w:sz="4" w:space="0" w:color="808080"/>
              <w:bottom w:val="single" w:sz="4" w:space="0" w:color="808080"/>
              <w:right w:val="single" w:sz="4" w:space="0" w:color="808080"/>
            </w:tcBorders>
            <w:shd w:val="clear" w:color="auto" w:fill="F4B183"/>
            <w:tcMar>
              <w:top w:w="30" w:type="dxa"/>
              <w:left w:w="40" w:type="dxa"/>
              <w:bottom w:w="30" w:type="dxa"/>
              <w:right w:w="40" w:type="dxa"/>
            </w:tcMar>
            <w:vAlign w:val="center"/>
          </w:tcPr>
          <w:p w14:paraId="0514F5EA"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Alto</w:t>
            </w:r>
          </w:p>
        </w:tc>
        <w:tc>
          <w:tcPr>
            <w:tcW w:w="280"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102AB3BB"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Entidad Estatal</w:t>
            </w:r>
          </w:p>
        </w:tc>
        <w:tc>
          <w:tcPr>
            <w:tcW w:w="495"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513DB65E" w14:textId="77777777" w:rsidR="00443F9E" w:rsidRPr="00443F9E" w:rsidRDefault="00443F9E" w:rsidP="00443F9E">
            <w:pPr>
              <w:spacing w:line="276" w:lineRule="auto"/>
              <w:rPr>
                <w:rFonts w:eastAsia="Arial" w:cs="Arial"/>
                <w:kern w:val="0"/>
                <w:sz w:val="14"/>
                <w:szCs w:val="14"/>
                <w:lang w:eastAsia="es-CO"/>
                <w14:ligatures w14:val="none"/>
              </w:rPr>
            </w:pPr>
            <w:r w:rsidRPr="00443F9E">
              <w:rPr>
                <w:rFonts w:eastAsia="Arial" w:cs="Arial"/>
                <w:kern w:val="0"/>
                <w:sz w:val="14"/>
                <w:szCs w:val="14"/>
                <w:lang w:eastAsia="es-CO"/>
                <w14:ligatures w14:val="none"/>
              </w:rPr>
              <w:t>Antes de publicar la invitación, la Secretaría de Planeación verifica y deja constancia en el expediente de si el inmueble tiene declaratoria de bien de interés cultural y de la norma urbanística aplicable. Si existe declaratoria, ajustar el alcance, el plazo y el presupuesto antes de publicar. El consultor incorpora en el diagnóstico las restricciones normativas verificadas.</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478A1F25"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1</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18D9B6F8"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4</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734D0A7A"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5</w:t>
            </w:r>
          </w:p>
        </w:tc>
        <w:tc>
          <w:tcPr>
            <w:tcW w:w="172" w:type="pct"/>
            <w:tcBorders>
              <w:top w:val="single" w:sz="4" w:space="0" w:color="808080"/>
              <w:left w:val="single" w:sz="4" w:space="0" w:color="808080"/>
              <w:bottom w:val="single" w:sz="4" w:space="0" w:color="808080"/>
              <w:right w:val="single" w:sz="4" w:space="0" w:color="808080"/>
            </w:tcBorders>
            <w:shd w:val="clear" w:color="auto" w:fill="FFE699"/>
            <w:tcMar>
              <w:top w:w="30" w:type="dxa"/>
              <w:left w:w="40" w:type="dxa"/>
              <w:bottom w:w="30" w:type="dxa"/>
              <w:right w:w="40" w:type="dxa"/>
            </w:tcMar>
            <w:vAlign w:val="center"/>
          </w:tcPr>
          <w:p w14:paraId="6D97E7F9"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Medio</w:t>
            </w:r>
          </w:p>
        </w:tc>
        <w:tc>
          <w:tcPr>
            <w:tcW w:w="235"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77AB2CD2"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Sí</w:t>
            </w:r>
          </w:p>
        </w:tc>
        <w:tc>
          <w:tcPr>
            <w:tcW w:w="286"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7CE36DBF"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Entidad Estatal (Secretaría de Planeación)</w:t>
            </w:r>
          </w:p>
        </w:tc>
        <w:tc>
          <w:tcPr>
            <w:tcW w:w="235"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3BF62329"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Elaboración de los estudios previos</w:t>
            </w:r>
          </w:p>
        </w:tc>
        <w:tc>
          <w:tcPr>
            <w:tcW w:w="235"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6CAFAF96"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Publicación de la invitación pública</w:t>
            </w:r>
          </w:p>
        </w:tc>
        <w:tc>
          <w:tcPr>
            <w:tcW w:w="343"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2AF00993" w14:textId="77777777" w:rsidR="00443F9E" w:rsidRPr="00443F9E" w:rsidRDefault="00443F9E" w:rsidP="00443F9E">
            <w:pPr>
              <w:spacing w:line="276" w:lineRule="auto"/>
              <w:rPr>
                <w:rFonts w:eastAsia="Arial" w:cs="Arial"/>
                <w:kern w:val="0"/>
                <w:sz w:val="14"/>
                <w:szCs w:val="14"/>
                <w:lang w:eastAsia="es-CO"/>
                <w14:ligatures w14:val="none"/>
              </w:rPr>
            </w:pPr>
            <w:r w:rsidRPr="00443F9E">
              <w:rPr>
                <w:rFonts w:eastAsia="Arial" w:cs="Arial"/>
                <w:kern w:val="0"/>
                <w:sz w:val="14"/>
                <w:szCs w:val="14"/>
                <w:lang w:eastAsia="es-CO"/>
                <w14:ligatures w14:val="none"/>
              </w:rPr>
              <w:t>Constancia de verificación en el expediente del proceso; revisión de las restricciones normativas en el informe de diagnóstico.</w:t>
            </w:r>
          </w:p>
        </w:tc>
        <w:tc>
          <w:tcPr>
            <w:tcW w:w="147"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55AC1E73"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Única, antes de la publicación, y en la entrega del diagnóstico</w:t>
            </w:r>
          </w:p>
        </w:tc>
      </w:tr>
      <w:tr w:rsidR="00443F9E" w:rsidRPr="00443F9E" w14:paraId="2E8009BC" w14:textId="77777777" w:rsidTr="000E61AD">
        <w:trPr>
          <w:cantSplit/>
          <w:trHeight w:val="1134"/>
        </w:trPr>
        <w:tc>
          <w:tcPr>
            <w:tcW w:w="154"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23E154ED"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lastRenderedPageBreak/>
              <w:t>5</w:t>
            </w:r>
          </w:p>
        </w:tc>
        <w:tc>
          <w:tcPr>
            <w:tcW w:w="153"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1683D5BA"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Específico</w:t>
            </w:r>
          </w:p>
        </w:tc>
        <w:tc>
          <w:tcPr>
            <w:tcW w:w="153"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5AAAFAF0"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Externo</w:t>
            </w:r>
          </w:p>
        </w:tc>
        <w:tc>
          <w:tcPr>
            <w:tcW w:w="153"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6C69B621"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Ejecución</w:t>
            </w:r>
          </w:p>
        </w:tc>
        <w:tc>
          <w:tcPr>
            <w:tcW w:w="153"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2E7D143D"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Operacional</w:t>
            </w:r>
          </w:p>
        </w:tc>
        <w:tc>
          <w:tcPr>
            <w:tcW w:w="365"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0F7E3291" w14:textId="77777777" w:rsidR="00443F9E" w:rsidRPr="00443F9E" w:rsidRDefault="00443F9E" w:rsidP="00443F9E">
            <w:pPr>
              <w:spacing w:line="276" w:lineRule="auto"/>
              <w:rPr>
                <w:rFonts w:eastAsia="Arial" w:cs="Arial"/>
                <w:kern w:val="0"/>
                <w:sz w:val="14"/>
                <w:szCs w:val="14"/>
                <w:lang w:eastAsia="es-CO"/>
                <w14:ligatures w14:val="none"/>
              </w:rPr>
            </w:pPr>
            <w:r w:rsidRPr="00443F9E">
              <w:rPr>
                <w:rFonts w:eastAsia="Arial" w:cs="Arial"/>
                <w:kern w:val="0"/>
                <w:sz w:val="14"/>
                <w:szCs w:val="14"/>
                <w:lang w:eastAsia="es-CO"/>
                <w14:ligatures w14:val="none"/>
              </w:rPr>
              <w:t>Hallazgos en el diagnóstico de la edificación existente (patologías, deterioros, ausencia de información sobre la estructura o condiciones del subsuelo) que exijan exploraciones, ensayos o apiques adicionales a los previstos por el consultor. A diferencia de un diseño de obra nueva, la adecuación exige conciliar la propuesta con las condiciones reales del inmueble.</w:t>
            </w:r>
          </w:p>
        </w:tc>
        <w:tc>
          <w:tcPr>
            <w:tcW w:w="360"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7766A64F" w14:textId="77777777" w:rsidR="00443F9E" w:rsidRPr="00443F9E" w:rsidRDefault="00443F9E" w:rsidP="00443F9E">
            <w:pPr>
              <w:spacing w:line="276" w:lineRule="auto"/>
              <w:rPr>
                <w:rFonts w:eastAsia="Arial" w:cs="Arial"/>
                <w:kern w:val="0"/>
                <w:sz w:val="14"/>
                <w:szCs w:val="14"/>
                <w:lang w:eastAsia="es-CO"/>
                <w14:ligatures w14:val="none"/>
              </w:rPr>
            </w:pPr>
            <w:r w:rsidRPr="00443F9E">
              <w:rPr>
                <w:rFonts w:eastAsia="Arial" w:cs="Arial"/>
                <w:kern w:val="0"/>
                <w:sz w:val="14"/>
                <w:szCs w:val="14"/>
                <w:lang w:eastAsia="es-CO"/>
                <w14:ligatures w14:val="none"/>
              </w:rPr>
              <w:t>Mayores costos para el contratista, demoras en el estudio geotécnico y en la evaluación estructural, y diseños soportados en información insuficiente.</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38072966"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3</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05CBFBE9"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3</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7D8BC28D"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6</w:t>
            </w:r>
          </w:p>
        </w:tc>
        <w:tc>
          <w:tcPr>
            <w:tcW w:w="169" w:type="pct"/>
            <w:tcBorders>
              <w:top w:val="single" w:sz="4" w:space="0" w:color="808080"/>
              <w:left w:val="single" w:sz="4" w:space="0" w:color="808080"/>
              <w:bottom w:val="single" w:sz="4" w:space="0" w:color="808080"/>
              <w:right w:val="single" w:sz="4" w:space="0" w:color="808080"/>
            </w:tcBorders>
            <w:shd w:val="clear" w:color="auto" w:fill="F4B183"/>
            <w:tcMar>
              <w:top w:w="30" w:type="dxa"/>
              <w:left w:w="40" w:type="dxa"/>
              <w:bottom w:w="30" w:type="dxa"/>
              <w:right w:w="40" w:type="dxa"/>
            </w:tcMar>
            <w:vAlign w:val="center"/>
          </w:tcPr>
          <w:p w14:paraId="75B3A22A"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Alto</w:t>
            </w:r>
          </w:p>
        </w:tc>
        <w:tc>
          <w:tcPr>
            <w:tcW w:w="280"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07612AB5"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Contratista</w:t>
            </w:r>
          </w:p>
        </w:tc>
        <w:tc>
          <w:tcPr>
            <w:tcW w:w="495"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35B02890" w14:textId="77777777" w:rsidR="00443F9E" w:rsidRPr="00443F9E" w:rsidRDefault="00443F9E" w:rsidP="00443F9E">
            <w:pPr>
              <w:spacing w:line="276" w:lineRule="auto"/>
              <w:rPr>
                <w:rFonts w:eastAsia="Arial" w:cs="Arial"/>
                <w:kern w:val="0"/>
                <w:sz w:val="14"/>
                <w:szCs w:val="14"/>
                <w:lang w:eastAsia="es-CO"/>
                <w14:ligatures w14:val="none"/>
              </w:rPr>
            </w:pPr>
            <w:r w:rsidRPr="00443F9E">
              <w:rPr>
                <w:rFonts w:eastAsia="Arial" w:cs="Arial"/>
                <w:kern w:val="0"/>
                <w:sz w:val="14"/>
                <w:szCs w:val="14"/>
                <w:lang w:eastAsia="es-CO"/>
                <w14:ligatures w14:val="none"/>
              </w:rPr>
              <w:t>La invitación informa las condiciones conocidas del inmueble para que los interesados las consideren en su oferta. El diagnóstico, la evaluación de la estructura existente y el estudio geotécnico hacen parte del alcance y del precio ofertado. El plan de trabajo incluye el plan de exploración y ensayos, que el supervisor revisa al inicio. El informe de diagnóstico documenta las limitaciones de la información y las recomendaciones para la etapa de obra.</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4210E8BD"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2</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1DBD7EFE"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3</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09BD9212"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5</w:t>
            </w:r>
          </w:p>
        </w:tc>
        <w:tc>
          <w:tcPr>
            <w:tcW w:w="172" w:type="pct"/>
            <w:tcBorders>
              <w:top w:val="single" w:sz="4" w:space="0" w:color="808080"/>
              <w:left w:val="single" w:sz="4" w:space="0" w:color="808080"/>
              <w:bottom w:val="single" w:sz="4" w:space="0" w:color="808080"/>
              <w:right w:val="single" w:sz="4" w:space="0" w:color="808080"/>
            </w:tcBorders>
            <w:shd w:val="clear" w:color="auto" w:fill="FFE699"/>
            <w:tcMar>
              <w:top w:w="30" w:type="dxa"/>
              <w:left w:w="40" w:type="dxa"/>
              <w:bottom w:w="30" w:type="dxa"/>
              <w:right w:w="40" w:type="dxa"/>
            </w:tcMar>
            <w:vAlign w:val="center"/>
          </w:tcPr>
          <w:p w14:paraId="48996E11"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Medio</w:t>
            </w:r>
          </w:p>
        </w:tc>
        <w:tc>
          <w:tcPr>
            <w:tcW w:w="235"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41205E7D"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Sí</w:t>
            </w:r>
          </w:p>
        </w:tc>
        <w:tc>
          <w:tcPr>
            <w:tcW w:w="286"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11D5B2DC"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Contratista</w:t>
            </w:r>
          </w:p>
        </w:tc>
        <w:tc>
          <w:tcPr>
            <w:tcW w:w="235"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4E3B6668"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Acta de inicio</w:t>
            </w:r>
          </w:p>
        </w:tc>
        <w:tc>
          <w:tcPr>
            <w:tcW w:w="235"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57D47E5E"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Aprobación del estudio geotécnico y de la evaluación estructural</w:t>
            </w:r>
          </w:p>
        </w:tc>
        <w:tc>
          <w:tcPr>
            <w:tcW w:w="343"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0E00CD25" w14:textId="77777777" w:rsidR="00443F9E" w:rsidRPr="00443F9E" w:rsidRDefault="00443F9E" w:rsidP="00443F9E">
            <w:pPr>
              <w:spacing w:line="276" w:lineRule="auto"/>
              <w:rPr>
                <w:rFonts w:eastAsia="Arial" w:cs="Arial"/>
                <w:kern w:val="0"/>
                <w:sz w:val="14"/>
                <w:szCs w:val="14"/>
                <w:lang w:eastAsia="es-CO"/>
                <w14:ligatures w14:val="none"/>
              </w:rPr>
            </w:pPr>
            <w:r w:rsidRPr="00443F9E">
              <w:rPr>
                <w:rFonts w:eastAsia="Arial" w:cs="Arial"/>
                <w:kern w:val="0"/>
                <w:sz w:val="14"/>
                <w:szCs w:val="14"/>
                <w:lang w:eastAsia="es-CO"/>
                <w14:ligatures w14:val="none"/>
              </w:rPr>
              <w:t>Revisión del plan de exploración y del informe de diagnóstico por parte del supervisor.</w:t>
            </w:r>
          </w:p>
        </w:tc>
        <w:tc>
          <w:tcPr>
            <w:tcW w:w="147"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4FCAB49F"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Quincenal</w:t>
            </w:r>
          </w:p>
        </w:tc>
      </w:tr>
      <w:tr w:rsidR="00443F9E" w:rsidRPr="00443F9E" w14:paraId="49471CDC" w14:textId="77777777" w:rsidTr="000E61AD">
        <w:trPr>
          <w:cantSplit/>
          <w:trHeight w:val="1134"/>
        </w:trPr>
        <w:tc>
          <w:tcPr>
            <w:tcW w:w="154"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01024033"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lastRenderedPageBreak/>
              <w:t>6</w:t>
            </w:r>
          </w:p>
        </w:tc>
        <w:tc>
          <w:tcPr>
            <w:tcW w:w="153"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4E65A245"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Específico</w:t>
            </w:r>
          </w:p>
        </w:tc>
        <w:tc>
          <w:tcPr>
            <w:tcW w:w="153"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2C0EFE52"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Interno</w:t>
            </w:r>
          </w:p>
        </w:tc>
        <w:tc>
          <w:tcPr>
            <w:tcW w:w="153"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563F5925"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Ejecución</w:t>
            </w:r>
          </w:p>
        </w:tc>
        <w:tc>
          <w:tcPr>
            <w:tcW w:w="153"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574BB39C"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Operacional</w:t>
            </w:r>
          </w:p>
        </w:tc>
        <w:tc>
          <w:tcPr>
            <w:tcW w:w="365"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0E365957" w14:textId="77777777" w:rsidR="00443F9E" w:rsidRPr="00443F9E" w:rsidRDefault="00443F9E" w:rsidP="00443F9E">
            <w:pPr>
              <w:spacing w:line="276" w:lineRule="auto"/>
              <w:rPr>
                <w:rFonts w:eastAsia="Arial" w:cs="Arial"/>
                <w:kern w:val="0"/>
                <w:sz w:val="14"/>
                <w:szCs w:val="14"/>
                <w:lang w:eastAsia="es-CO"/>
                <w14:ligatures w14:val="none"/>
              </w:rPr>
            </w:pPr>
            <w:r w:rsidRPr="00443F9E">
              <w:rPr>
                <w:rFonts w:eastAsia="Arial" w:cs="Arial"/>
                <w:kern w:val="0"/>
                <w:sz w:val="14"/>
                <w:szCs w:val="14"/>
                <w:lang w:eastAsia="es-CO"/>
                <w14:ligatures w14:val="none"/>
              </w:rPr>
              <w:t>No conformidad técnica de los productos o falta de coordinación entre especialidades: diseños arquitectónico, estructural, eléctrico, hidrosanitario y de red contra incendios que no cumplan la NSR-10, el RETIE, el RETILAP, la NTC 1500 o las condiciones de accesibilidad de la Ley 1618 de 2013, o cantidades de obra, análisis de precios unitarios y presupuesto que no correspondan con los planos.</w:t>
            </w:r>
          </w:p>
        </w:tc>
        <w:tc>
          <w:tcPr>
            <w:tcW w:w="360"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560E2723" w14:textId="77777777" w:rsidR="00443F9E" w:rsidRPr="00443F9E" w:rsidRDefault="00443F9E" w:rsidP="00443F9E">
            <w:pPr>
              <w:spacing w:line="276" w:lineRule="auto"/>
              <w:rPr>
                <w:rFonts w:eastAsia="Arial" w:cs="Arial"/>
                <w:kern w:val="0"/>
                <w:sz w:val="14"/>
                <w:szCs w:val="14"/>
                <w:lang w:eastAsia="es-CO"/>
                <w14:ligatures w14:val="none"/>
              </w:rPr>
            </w:pPr>
            <w:r w:rsidRPr="00443F9E">
              <w:rPr>
                <w:rFonts w:eastAsia="Arial" w:cs="Arial"/>
                <w:kern w:val="0"/>
                <w:sz w:val="14"/>
                <w:szCs w:val="14"/>
                <w:lang w:eastAsia="es-CO"/>
                <w14:ligatures w14:val="none"/>
              </w:rPr>
              <w:t>Paquete técnico sin el grado de definición de estudios y diseños definitivos, imposibilidad de gestionar la financiación y la licencia, y sobrecostos o mayores cantidades en la futura obra.</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78003CF5"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3</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3C2F7BA4"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4</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04A70724"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7</w:t>
            </w:r>
          </w:p>
        </w:tc>
        <w:tc>
          <w:tcPr>
            <w:tcW w:w="169" w:type="pct"/>
            <w:tcBorders>
              <w:top w:val="single" w:sz="4" w:space="0" w:color="808080"/>
              <w:left w:val="single" w:sz="4" w:space="0" w:color="808080"/>
              <w:bottom w:val="single" w:sz="4" w:space="0" w:color="808080"/>
              <w:right w:val="single" w:sz="4" w:space="0" w:color="808080"/>
            </w:tcBorders>
            <w:shd w:val="clear" w:color="auto" w:fill="F4B183"/>
            <w:tcMar>
              <w:top w:w="30" w:type="dxa"/>
              <w:left w:w="40" w:type="dxa"/>
              <w:bottom w:w="30" w:type="dxa"/>
              <w:right w:w="40" w:type="dxa"/>
            </w:tcMar>
            <w:vAlign w:val="center"/>
          </w:tcPr>
          <w:p w14:paraId="16C9AB46"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Alto</w:t>
            </w:r>
          </w:p>
        </w:tc>
        <w:tc>
          <w:tcPr>
            <w:tcW w:w="280"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51BC62F0"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Contratista</w:t>
            </w:r>
          </w:p>
        </w:tc>
        <w:tc>
          <w:tcPr>
            <w:tcW w:w="495"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432C681B" w14:textId="77777777" w:rsidR="00443F9E" w:rsidRPr="00443F9E" w:rsidRDefault="00443F9E" w:rsidP="00443F9E">
            <w:pPr>
              <w:spacing w:line="276" w:lineRule="auto"/>
              <w:rPr>
                <w:rFonts w:eastAsia="Arial" w:cs="Arial"/>
                <w:kern w:val="0"/>
                <w:sz w:val="14"/>
                <w:szCs w:val="14"/>
                <w:lang w:eastAsia="es-CO"/>
                <w14:ligatures w14:val="none"/>
              </w:rPr>
            </w:pPr>
            <w:r w:rsidRPr="00443F9E">
              <w:rPr>
                <w:rFonts w:eastAsia="Arial" w:cs="Arial"/>
                <w:kern w:val="0"/>
                <w:sz w:val="14"/>
                <w:szCs w:val="14"/>
                <w:lang w:eastAsia="es-CO"/>
                <w14:ligatures w14:val="none"/>
              </w:rPr>
              <w:t>Adoptar como anexo del contrato una lista de chequeo de productos por componente, con base en la tabla de entregables del análisis del sector. El supervisor revisa cada entrega en mesa técnica y formula observaciones por escrito. Los planos y memorias van firmados por profesionales con matrícula vigente, verificable ante el COPNIA y el CPNAA. El pago único procede contra la totalidad de los productos aprobados. Garantía de calidad del servicio; requerimientos y apremios por incumplimiento.</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19A2A243"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2</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0F379EA3"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3</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63CD92D4"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5</w:t>
            </w:r>
          </w:p>
        </w:tc>
        <w:tc>
          <w:tcPr>
            <w:tcW w:w="172" w:type="pct"/>
            <w:tcBorders>
              <w:top w:val="single" w:sz="4" w:space="0" w:color="808080"/>
              <w:left w:val="single" w:sz="4" w:space="0" w:color="808080"/>
              <w:bottom w:val="single" w:sz="4" w:space="0" w:color="808080"/>
              <w:right w:val="single" w:sz="4" w:space="0" w:color="808080"/>
            </w:tcBorders>
            <w:shd w:val="clear" w:color="auto" w:fill="FFE699"/>
            <w:tcMar>
              <w:top w:w="30" w:type="dxa"/>
              <w:left w:w="40" w:type="dxa"/>
              <w:bottom w:w="30" w:type="dxa"/>
              <w:right w:w="40" w:type="dxa"/>
            </w:tcMar>
            <w:vAlign w:val="center"/>
          </w:tcPr>
          <w:p w14:paraId="6086B105"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Medio</w:t>
            </w:r>
          </w:p>
        </w:tc>
        <w:tc>
          <w:tcPr>
            <w:tcW w:w="235"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2A41FD23"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Sí</w:t>
            </w:r>
          </w:p>
        </w:tc>
        <w:tc>
          <w:tcPr>
            <w:tcW w:w="286"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4098E5E8"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Contratista</w:t>
            </w:r>
          </w:p>
        </w:tc>
        <w:tc>
          <w:tcPr>
            <w:tcW w:w="235"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44B8C5FB"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Acta de inicio</w:t>
            </w:r>
          </w:p>
        </w:tc>
        <w:tc>
          <w:tcPr>
            <w:tcW w:w="235"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7F8FF9B5"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Vencimiento de la garantía de calidad del servicio</w:t>
            </w:r>
          </w:p>
        </w:tc>
        <w:tc>
          <w:tcPr>
            <w:tcW w:w="343"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516B988D" w14:textId="77777777" w:rsidR="00443F9E" w:rsidRPr="00443F9E" w:rsidRDefault="00443F9E" w:rsidP="00443F9E">
            <w:pPr>
              <w:spacing w:line="276" w:lineRule="auto"/>
              <w:rPr>
                <w:rFonts w:eastAsia="Arial" w:cs="Arial"/>
                <w:kern w:val="0"/>
                <w:sz w:val="14"/>
                <w:szCs w:val="14"/>
                <w:lang w:eastAsia="es-CO"/>
                <w14:ligatures w14:val="none"/>
              </w:rPr>
            </w:pPr>
            <w:r w:rsidRPr="00443F9E">
              <w:rPr>
                <w:rFonts w:eastAsia="Arial" w:cs="Arial"/>
                <w:kern w:val="0"/>
                <w:sz w:val="14"/>
                <w:szCs w:val="14"/>
                <w:lang w:eastAsia="es-CO"/>
                <w14:ligatures w14:val="none"/>
              </w:rPr>
              <w:t>Revisión técnica de cada entrega frente a la lista de chequeo y de la coherencia entre planos, cantidades y presupuesto.</w:t>
            </w:r>
          </w:p>
        </w:tc>
        <w:tc>
          <w:tcPr>
            <w:tcW w:w="147"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27C8468B"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En cada entrega parcial y en la entrega final</w:t>
            </w:r>
          </w:p>
        </w:tc>
      </w:tr>
      <w:tr w:rsidR="00443F9E" w:rsidRPr="00443F9E" w14:paraId="435E71B7" w14:textId="77777777" w:rsidTr="000E61AD">
        <w:trPr>
          <w:cantSplit/>
          <w:trHeight w:val="1134"/>
        </w:trPr>
        <w:tc>
          <w:tcPr>
            <w:tcW w:w="154"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482B0002"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lastRenderedPageBreak/>
              <w:t>7</w:t>
            </w:r>
          </w:p>
        </w:tc>
        <w:tc>
          <w:tcPr>
            <w:tcW w:w="153"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34AC2FA2"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General</w:t>
            </w:r>
          </w:p>
        </w:tc>
        <w:tc>
          <w:tcPr>
            <w:tcW w:w="153"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4CAC2AB3"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Interno</w:t>
            </w:r>
          </w:p>
        </w:tc>
        <w:tc>
          <w:tcPr>
            <w:tcW w:w="153"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03EEEE7F"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Ejecución</w:t>
            </w:r>
          </w:p>
        </w:tc>
        <w:tc>
          <w:tcPr>
            <w:tcW w:w="153"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00402CF9"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Operacional</w:t>
            </w:r>
          </w:p>
        </w:tc>
        <w:tc>
          <w:tcPr>
            <w:tcW w:w="365"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3909EDBA" w14:textId="77777777" w:rsidR="00443F9E" w:rsidRPr="00443F9E" w:rsidRDefault="00443F9E" w:rsidP="00443F9E">
            <w:pPr>
              <w:spacing w:line="276" w:lineRule="auto"/>
              <w:rPr>
                <w:rFonts w:eastAsia="Arial" w:cs="Arial"/>
                <w:kern w:val="0"/>
                <w:sz w:val="14"/>
                <w:szCs w:val="14"/>
                <w:lang w:eastAsia="es-CO"/>
                <w14:ligatures w14:val="none"/>
              </w:rPr>
            </w:pPr>
            <w:r w:rsidRPr="00443F9E">
              <w:rPr>
                <w:rFonts w:eastAsia="Arial" w:cs="Arial"/>
                <w:kern w:val="0"/>
                <w:sz w:val="14"/>
                <w:szCs w:val="14"/>
                <w:lang w:eastAsia="es-CO"/>
                <w14:ligatures w14:val="none"/>
              </w:rPr>
              <w:t>Incumplimiento del cronograma de dos (2) meses por causas imputables al contratista: desarticulación del equipo (director con dedicación del 20% y coordinador con dedicación del 100%), demoras de terceros a su cargo como el topógrafo o el laboratorio de suelos, o cambio de personal sin autorización. Las etapas de la consultoría son secuenciales, por lo que un retraso en el diagnóstico se traslada a los diseños y al presupuesto.</w:t>
            </w:r>
          </w:p>
        </w:tc>
        <w:tc>
          <w:tcPr>
            <w:tcW w:w="360"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4CF1C4EC" w14:textId="77777777" w:rsidR="00443F9E" w:rsidRPr="00443F9E" w:rsidRDefault="00443F9E" w:rsidP="00443F9E">
            <w:pPr>
              <w:spacing w:line="276" w:lineRule="auto"/>
              <w:rPr>
                <w:rFonts w:eastAsia="Arial" w:cs="Arial"/>
                <w:kern w:val="0"/>
                <w:sz w:val="14"/>
                <w:szCs w:val="14"/>
                <w:lang w:eastAsia="es-CO"/>
                <w14:ligatures w14:val="none"/>
              </w:rPr>
            </w:pPr>
            <w:r w:rsidRPr="00443F9E">
              <w:rPr>
                <w:rFonts w:eastAsia="Arial" w:cs="Arial"/>
                <w:kern w:val="0"/>
                <w:sz w:val="14"/>
                <w:szCs w:val="14"/>
                <w:lang w:eastAsia="es-CO"/>
                <w14:ligatures w14:val="none"/>
              </w:rPr>
              <w:t>Entrega tardía de los productos, afectación de la planeación de la inversión y necesidad de prórrogas.</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721C7D7B"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3</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4A06B92A"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3</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7EFA663B"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6</w:t>
            </w:r>
          </w:p>
        </w:tc>
        <w:tc>
          <w:tcPr>
            <w:tcW w:w="169" w:type="pct"/>
            <w:tcBorders>
              <w:top w:val="single" w:sz="4" w:space="0" w:color="808080"/>
              <w:left w:val="single" w:sz="4" w:space="0" w:color="808080"/>
              <w:bottom w:val="single" w:sz="4" w:space="0" w:color="808080"/>
              <w:right w:val="single" w:sz="4" w:space="0" w:color="808080"/>
            </w:tcBorders>
            <w:shd w:val="clear" w:color="auto" w:fill="F4B183"/>
            <w:tcMar>
              <w:top w:w="30" w:type="dxa"/>
              <w:left w:w="40" w:type="dxa"/>
              <w:bottom w:w="30" w:type="dxa"/>
              <w:right w:w="40" w:type="dxa"/>
            </w:tcMar>
            <w:vAlign w:val="center"/>
          </w:tcPr>
          <w:p w14:paraId="6730EDCD"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Alto</w:t>
            </w:r>
          </w:p>
        </w:tc>
        <w:tc>
          <w:tcPr>
            <w:tcW w:w="280"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5B1FC1CA"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Contratista</w:t>
            </w:r>
          </w:p>
        </w:tc>
        <w:tc>
          <w:tcPr>
            <w:tcW w:w="495"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6C5A46EF" w14:textId="77777777" w:rsidR="00443F9E" w:rsidRPr="00443F9E" w:rsidRDefault="00443F9E" w:rsidP="00443F9E">
            <w:pPr>
              <w:spacing w:line="276" w:lineRule="auto"/>
              <w:rPr>
                <w:rFonts w:eastAsia="Arial" w:cs="Arial"/>
                <w:kern w:val="0"/>
                <w:sz w:val="14"/>
                <w:szCs w:val="14"/>
                <w:lang w:eastAsia="es-CO"/>
                <w14:ligatures w14:val="none"/>
              </w:rPr>
            </w:pPr>
            <w:r w:rsidRPr="00443F9E">
              <w:rPr>
                <w:rFonts w:eastAsia="Arial" w:cs="Arial"/>
                <w:kern w:val="0"/>
                <w:sz w:val="14"/>
                <w:szCs w:val="14"/>
                <w:lang w:eastAsia="es-CO"/>
                <w14:ligatures w14:val="none"/>
              </w:rPr>
              <w:t>Plan de trabajo y cronograma por etapas aprobados por el supervisor al inicio, con la programación del trabajo de campo y de los ensayos de laboratorio. Seguimiento semanal del avance. Sustitución de personal solo con perfil igual o superior y autorización previa del supervisor. Garantía de cumplimiento; requerimientos y apremios por retraso.</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5E6035E2"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2</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2C001112"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2</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199B9D95"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4</w:t>
            </w:r>
          </w:p>
        </w:tc>
        <w:tc>
          <w:tcPr>
            <w:tcW w:w="172" w:type="pct"/>
            <w:tcBorders>
              <w:top w:val="single" w:sz="4" w:space="0" w:color="808080"/>
              <w:left w:val="single" w:sz="4" w:space="0" w:color="808080"/>
              <w:bottom w:val="single" w:sz="4" w:space="0" w:color="808080"/>
              <w:right w:val="single" w:sz="4" w:space="0" w:color="808080"/>
            </w:tcBorders>
            <w:shd w:val="clear" w:color="auto" w:fill="C6E0B4"/>
            <w:tcMar>
              <w:top w:w="30" w:type="dxa"/>
              <w:left w:w="40" w:type="dxa"/>
              <w:bottom w:w="30" w:type="dxa"/>
              <w:right w:w="40" w:type="dxa"/>
            </w:tcMar>
            <w:vAlign w:val="center"/>
          </w:tcPr>
          <w:p w14:paraId="01F91FE5"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Bajo</w:t>
            </w:r>
          </w:p>
        </w:tc>
        <w:tc>
          <w:tcPr>
            <w:tcW w:w="235"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4D494199"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Sí</w:t>
            </w:r>
          </w:p>
        </w:tc>
        <w:tc>
          <w:tcPr>
            <w:tcW w:w="286"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0E666746"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Contratista</w:t>
            </w:r>
          </w:p>
        </w:tc>
        <w:tc>
          <w:tcPr>
            <w:tcW w:w="235"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0994A700"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Acta de inicio</w:t>
            </w:r>
          </w:p>
        </w:tc>
        <w:tc>
          <w:tcPr>
            <w:tcW w:w="235"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26D751D1"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Recibo a satisfacción de la entrega final</w:t>
            </w:r>
          </w:p>
        </w:tc>
        <w:tc>
          <w:tcPr>
            <w:tcW w:w="343"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2D6A75DA" w14:textId="77777777" w:rsidR="00443F9E" w:rsidRPr="00443F9E" w:rsidRDefault="00443F9E" w:rsidP="00443F9E">
            <w:pPr>
              <w:spacing w:line="276" w:lineRule="auto"/>
              <w:rPr>
                <w:rFonts w:eastAsia="Arial" w:cs="Arial"/>
                <w:kern w:val="0"/>
                <w:sz w:val="14"/>
                <w:szCs w:val="14"/>
                <w:lang w:eastAsia="es-CO"/>
                <w14:ligatures w14:val="none"/>
              </w:rPr>
            </w:pPr>
            <w:r w:rsidRPr="00443F9E">
              <w:rPr>
                <w:rFonts w:eastAsia="Arial" w:cs="Arial"/>
                <w:kern w:val="0"/>
                <w:sz w:val="14"/>
                <w:szCs w:val="14"/>
                <w:lang w:eastAsia="es-CO"/>
                <w14:ligatures w14:val="none"/>
              </w:rPr>
              <w:t>Comparación del avance real frente al cronograma aprobado en los informes y reuniones de seguimiento.</w:t>
            </w:r>
          </w:p>
        </w:tc>
        <w:tc>
          <w:tcPr>
            <w:tcW w:w="147"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6837E524"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Semanal</w:t>
            </w:r>
          </w:p>
        </w:tc>
      </w:tr>
      <w:tr w:rsidR="00443F9E" w:rsidRPr="00443F9E" w14:paraId="4A789C4C" w14:textId="77777777" w:rsidTr="000E61AD">
        <w:trPr>
          <w:cantSplit/>
          <w:trHeight w:val="1134"/>
        </w:trPr>
        <w:tc>
          <w:tcPr>
            <w:tcW w:w="154"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193D58F1"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lastRenderedPageBreak/>
              <w:t>8</w:t>
            </w:r>
          </w:p>
        </w:tc>
        <w:tc>
          <w:tcPr>
            <w:tcW w:w="153"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6189D8C2"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General</w:t>
            </w:r>
          </w:p>
        </w:tc>
        <w:tc>
          <w:tcPr>
            <w:tcW w:w="153"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004D8810"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Externo</w:t>
            </w:r>
          </w:p>
        </w:tc>
        <w:tc>
          <w:tcPr>
            <w:tcW w:w="153"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39696B69"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Ejecución</w:t>
            </w:r>
          </w:p>
        </w:tc>
        <w:tc>
          <w:tcPr>
            <w:tcW w:w="153"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1C4A6B52"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Financiero</w:t>
            </w:r>
          </w:p>
        </w:tc>
        <w:tc>
          <w:tcPr>
            <w:tcW w:w="365"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6E03F849" w14:textId="77777777" w:rsidR="00443F9E" w:rsidRPr="00443F9E" w:rsidRDefault="00443F9E" w:rsidP="00443F9E">
            <w:pPr>
              <w:spacing w:line="276" w:lineRule="auto"/>
              <w:rPr>
                <w:rFonts w:eastAsia="Arial" w:cs="Arial"/>
                <w:kern w:val="0"/>
                <w:sz w:val="14"/>
                <w:szCs w:val="14"/>
                <w:lang w:eastAsia="es-CO"/>
                <w14:ligatures w14:val="none"/>
              </w:rPr>
            </w:pPr>
            <w:r w:rsidRPr="00443F9E">
              <w:rPr>
                <w:rFonts w:eastAsia="Arial" w:cs="Arial"/>
                <w:kern w:val="0"/>
                <w:sz w:val="14"/>
                <w:szCs w:val="14"/>
                <w:lang w:eastAsia="es-CO"/>
                <w14:ligatures w14:val="none"/>
              </w:rPr>
              <w:t>Oferta que no consideró las deducciones, retenciones y estampillas aplicables (</w:t>
            </w:r>
            <w:proofErr w:type="gramStart"/>
            <w:r w:rsidRPr="00443F9E">
              <w:rPr>
                <w:rFonts w:eastAsia="Arial" w:cs="Arial"/>
                <w:kern w:val="0"/>
                <w:sz w:val="14"/>
                <w:szCs w:val="14"/>
                <w:lang w:eastAsia="es-CO"/>
                <w14:ligatures w14:val="none"/>
              </w:rPr>
              <w:t>Pro Cultura</w:t>
            </w:r>
            <w:proofErr w:type="gramEnd"/>
            <w:r w:rsidRPr="00443F9E">
              <w:rPr>
                <w:rFonts w:eastAsia="Arial" w:cs="Arial"/>
                <w:kern w:val="0"/>
                <w:sz w:val="14"/>
                <w:szCs w:val="14"/>
                <w:lang w:eastAsia="es-CO"/>
                <w14:ligatures w14:val="none"/>
              </w:rPr>
              <w:t xml:space="preserve"> 2%, </w:t>
            </w:r>
            <w:proofErr w:type="gramStart"/>
            <w:r w:rsidRPr="00443F9E">
              <w:rPr>
                <w:rFonts w:eastAsia="Arial" w:cs="Arial"/>
                <w:kern w:val="0"/>
                <w:sz w:val="14"/>
                <w:szCs w:val="14"/>
                <w:lang w:eastAsia="es-CO"/>
                <w14:ligatures w14:val="none"/>
              </w:rPr>
              <w:t>Pro Adulto</w:t>
            </w:r>
            <w:proofErr w:type="gramEnd"/>
            <w:r w:rsidRPr="00443F9E">
              <w:rPr>
                <w:rFonts w:eastAsia="Arial" w:cs="Arial"/>
                <w:kern w:val="0"/>
                <w:sz w:val="14"/>
                <w:szCs w:val="14"/>
                <w:lang w:eastAsia="es-CO"/>
                <w14:ligatures w14:val="none"/>
              </w:rPr>
              <w:t xml:space="preserve"> Mayor 4%, </w:t>
            </w:r>
            <w:proofErr w:type="gramStart"/>
            <w:r w:rsidRPr="00443F9E">
              <w:rPr>
                <w:rFonts w:eastAsia="Arial" w:cs="Arial"/>
                <w:kern w:val="0"/>
                <w:sz w:val="14"/>
                <w:szCs w:val="14"/>
                <w:lang w:eastAsia="es-CO"/>
                <w14:ligatures w14:val="none"/>
              </w:rPr>
              <w:t>Pro Deporte</w:t>
            </w:r>
            <w:proofErr w:type="gramEnd"/>
            <w:r w:rsidRPr="00443F9E">
              <w:rPr>
                <w:rFonts w:eastAsia="Arial" w:cs="Arial"/>
                <w:kern w:val="0"/>
                <w:sz w:val="14"/>
                <w:szCs w:val="14"/>
                <w:lang w:eastAsia="es-CO"/>
                <w14:ligatures w14:val="none"/>
              </w:rPr>
              <w:t xml:space="preserve"> 2,5%, </w:t>
            </w:r>
            <w:proofErr w:type="gramStart"/>
            <w:r w:rsidRPr="00443F9E">
              <w:rPr>
                <w:rFonts w:eastAsia="Arial" w:cs="Arial"/>
                <w:kern w:val="0"/>
                <w:sz w:val="14"/>
                <w:szCs w:val="14"/>
                <w:lang w:eastAsia="es-CO"/>
                <w14:ligatures w14:val="none"/>
              </w:rPr>
              <w:t>Pro Justicia</w:t>
            </w:r>
            <w:proofErr w:type="gramEnd"/>
            <w:r w:rsidRPr="00443F9E">
              <w:rPr>
                <w:rFonts w:eastAsia="Arial" w:cs="Arial"/>
                <w:kern w:val="0"/>
                <w:sz w:val="14"/>
                <w:szCs w:val="14"/>
                <w:lang w:eastAsia="es-CO"/>
                <w14:ligatures w14:val="none"/>
              </w:rPr>
              <w:t xml:space="preserve"> Familiar 2%, </w:t>
            </w:r>
            <w:proofErr w:type="gramStart"/>
            <w:r w:rsidRPr="00443F9E">
              <w:rPr>
                <w:rFonts w:eastAsia="Arial" w:cs="Arial"/>
                <w:kern w:val="0"/>
                <w:sz w:val="14"/>
                <w:szCs w:val="14"/>
                <w:lang w:eastAsia="es-CO"/>
                <w14:ligatures w14:val="none"/>
              </w:rPr>
              <w:t>Pro Hospital</w:t>
            </w:r>
            <w:proofErr w:type="gramEnd"/>
            <w:r w:rsidRPr="00443F9E">
              <w:rPr>
                <w:rFonts w:eastAsia="Arial" w:cs="Arial"/>
                <w:kern w:val="0"/>
                <w:sz w:val="14"/>
                <w:szCs w:val="14"/>
                <w:lang w:eastAsia="es-CO"/>
                <w14:ligatures w14:val="none"/>
              </w:rPr>
              <w:t xml:space="preserve"> 2% y </w:t>
            </w:r>
            <w:proofErr w:type="gramStart"/>
            <w:r w:rsidRPr="00443F9E">
              <w:rPr>
                <w:rFonts w:eastAsia="Arial" w:cs="Arial"/>
                <w:kern w:val="0"/>
                <w:sz w:val="14"/>
                <w:szCs w:val="14"/>
                <w:lang w:eastAsia="es-CO"/>
                <w14:ligatures w14:val="none"/>
              </w:rPr>
              <w:t>Pro Universidad</w:t>
            </w:r>
            <w:proofErr w:type="gramEnd"/>
            <w:r w:rsidRPr="00443F9E">
              <w:rPr>
                <w:rFonts w:eastAsia="Arial" w:cs="Arial"/>
                <w:kern w:val="0"/>
                <w:sz w:val="14"/>
                <w:szCs w:val="14"/>
                <w:lang w:eastAsia="es-CO"/>
                <w14:ligatures w14:val="none"/>
              </w:rPr>
              <w:t xml:space="preserve"> 1%, que suman 13,5%, además de retención en la fuente e ICA), o demora en el pago único a la entrega por trámite del PAC.</w:t>
            </w:r>
          </w:p>
        </w:tc>
        <w:tc>
          <w:tcPr>
            <w:tcW w:w="360"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2958FE02" w14:textId="77777777" w:rsidR="00443F9E" w:rsidRPr="00443F9E" w:rsidRDefault="00443F9E" w:rsidP="00443F9E">
            <w:pPr>
              <w:spacing w:line="276" w:lineRule="auto"/>
              <w:rPr>
                <w:rFonts w:eastAsia="Arial" w:cs="Arial"/>
                <w:kern w:val="0"/>
                <w:sz w:val="14"/>
                <w:szCs w:val="14"/>
                <w:lang w:eastAsia="es-CO"/>
                <w14:ligatures w14:val="none"/>
              </w:rPr>
            </w:pPr>
            <w:r w:rsidRPr="00443F9E">
              <w:rPr>
                <w:rFonts w:eastAsia="Arial" w:cs="Arial"/>
                <w:kern w:val="0"/>
                <w:sz w:val="14"/>
                <w:szCs w:val="14"/>
                <w:lang w:eastAsia="es-CO"/>
                <w14:ligatures w14:val="none"/>
              </w:rPr>
              <w:t>Desequilibrio en la ecuación económica del contratista, reclamaciones por mayores valores y afectación de su flujo de caja, dado que financia la totalidad de la ejecución hasta el pago único.</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5615655F"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3</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0DDED4C4"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2</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38952238"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5</w:t>
            </w:r>
          </w:p>
        </w:tc>
        <w:tc>
          <w:tcPr>
            <w:tcW w:w="169" w:type="pct"/>
            <w:tcBorders>
              <w:top w:val="single" w:sz="4" w:space="0" w:color="808080"/>
              <w:left w:val="single" w:sz="4" w:space="0" w:color="808080"/>
              <w:bottom w:val="single" w:sz="4" w:space="0" w:color="808080"/>
              <w:right w:val="single" w:sz="4" w:space="0" w:color="808080"/>
            </w:tcBorders>
            <w:shd w:val="clear" w:color="auto" w:fill="FFE699"/>
            <w:tcMar>
              <w:top w:w="30" w:type="dxa"/>
              <w:left w:w="40" w:type="dxa"/>
              <w:bottom w:w="30" w:type="dxa"/>
              <w:right w:w="40" w:type="dxa"/>
            </w:tcMar>
            <w:vAlign w:val="center"/>
          </w:tcPr>
          <w:p w14:paraId="4C4E8EF7"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Medio</w:t>
            </w:r>
          </w:p>
        </w:tc>
        <w:tc>
          <w:tcPr>
            <w:tcW w:w="280"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7CCF84A6"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Compartido</w:t>
            </w:r>
          </w:p>
        </w:tc>
        <w:tc>
          <w:tcPr>
            <w:tcW w:w="495"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4020DC3A" w14:textId="77777777" w:rsidR="00443F9E" w:rsidRPr="00443F9E" w:rsidRDefault="00443F9E" w:rsidP="00443F9E">
            <w:pPr>
              <w:spacing w:line="276" w:lineRule="auto"/>
              <w:rPr>
                <w:rFonts w:eastAsia="Arial" w:cs="Arial"/>
                <w:kern w:val="0"/>
                <w:sz w:val="14"/>
                <w:szCs w:val="14"/>
                <w:lang w:eastAsia="es-CO"/>
                <w14:ligatures w14:val="none"/>
              </w:rPr>
            </w:pPr>
            <w:r w:rsidRPr="00443F9E">
              <w:rPr>
                <w:rFonts w:eastAsia="Arial" w:cs="Arial"/>
                <w:kern w:val="0"/>
                <w:sz w:val="14"/>
                <w:szCs w:val="14"/>
                <w:lang w:eastAsia="es-CO"/>
                <w14:ligatures w14:val="none"/>
              </w:rPr>
              <w:t>Publicar como anexo de la invitación el cuadro de deducciones y contribuciones del numeral 6.2 del análisis del sector, e indicar que el valor ofertado incluye IVA y todos los costos y gastos. La Entidad programa el PAC para pagar dentro del término pactado, una vez recibidos a satisfacción los productos y presentada la factura con sus soportes.</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47AD63BA"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2</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61D7BB6C"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2</w:t>
            </w:r>
          </w:p>
        </w:tc>
        <w:tc>
          <w:tcPr>
            <w:tcW w:w="152"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2C3E0ACF"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4</w:t>
            </w:r>
          </w:p>
        </w:tc>
        <w:tc>
          <w:tcPr>
            <w:tcW w:w="172" w:type="pct"/>
            <w:tcBorders>
              <w:top w:val="single" w:sz="4" w:space="0" w:color="808080"/>
              <w:left w:val="single" w:sz="4" w:space="0" w:color="808080"/>
              <w:bottom w:val="single" w:sz="4" w:space="0" w:color="808080"/>
              <w:right w:val="single" w:sz="4" w:space="0" w:color="808080"/>
            </w:tcBorders>
            <w:shd w:val="clear" w:color="auto" w:fill="C6E0B4"/>
            <w:tcMar>
              <w:top w:w="30" w:type="dxa"/>
              <w:left w:w="40" w:type="dxa"/>
              <w:bottom w:w="30" w:type="dxa"/>
              <w:right w:w="40" w:type="dxa"/>
            </w:tcMar>
            <w:vAlign w:val="center"/>
          </w:tcPr>
          <w:p w14:paraId="6331623E"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b/>
                <w:bCs/>
                <w:kern w:val="0"/>
                <w:sz w:val="14"/>
                <w:szCs w:val="14"/>
                <w:lang w:eastAsia="es-CO"/>
                <w14:ligatures w14:val="none"/>
              </w:rPr>
              <w:t>Bajo</w:t>
            </w:r>
          </w:p>
        </w:tc>
        <w:tc>
          <w:tcPr>
            <w:tcW w:w="235"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7892C374"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No</w:t>
            </w:r>
          </w:p>
        </w:tc>
        <w:tc>
          <w:tcPr>
            <w:tcW w:w="286"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31613EAA" w14:textId="77777777" w:rsidR="00443F9E" w:rsidRPr="00443F9E" w:rsidRDefault="00443F9E" w:rsidP="00443F9E">
            <w:pPr>
              <w:spacing w:line="276" w:lineRule="auto"/>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Contratista y Entidad Estatal (área financiera)</w:t>
            </w:r>
          </w:p>
        </w:tc>
        <w:tc>
          <w:tcPr>
            <w:tcW w:w="235"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7AADCD9B"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Publicación de la invitación pública</w:t>
            </w:r>
          </w:p>
        </w:tc>
        <w:tc>
          <w:tcPr>
            <w:tcW w:w="235"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78B5A8F1"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Pago y liquidación del contrato</w:t>
            </w:r>
          </w:p>
        </w:tc>
        <w:tc>
          <w:tcPr>
            <w:tcW w:w="343"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vAlign w:val="center"/>
          </w:tcPr>
          <w:p w14:paraId="6C1F2CA5" w14:textId="77777777" w:rsidR="00443F9E" w:rsidRPr="00443F9E" w:rsidRDefault="00443F9E" w:rsidP="00443F9E">
            <w:pPr>
              <w:spacing w:line="276" w:lineRule="auto"/>
              <w:rPr>
                <w:rFonts w:eastAsia="Arial" w:cs="Arial"/>
                <w:kern w:val="0"/>
                <w:sz w:val="14"/>
                <w:szCs w:val="14"/>
                <w:lang w:eastAsia="es-CO"/>
                <w14:ligatures w14:val="none"/>
              </w:rPr>
            </w:pPr>
            <w:r w:rsidRPr="00443F9E">
              <w:rPr>
                <w:rFonts w:eastAsia="Arial" w:cs="Arial"/>
                <w:kern w:val="0"/>
                <w:sz w:val="14"/>
                <w:szCs w:val="14"/>
                <w:lang w:eastAsia="es-CO"/>
                <w14:ligatures w14:val="none"/>
              </w:rPr>
              <w:t>Verificación de la publicación del anexo de deducciones; seguimiento del trámite de la cuenta de cobro.</w:t>
            </w:r>
          </w:p>
        </w:tc>
        <w:tc>
          <w:tcPr>
            <w:tcW w:w="147" w:type="pct"/>
            <w:tcBorders>
              <w:top w:val="single" w:sz="4" w:space="0" w:color="808080"/>
              <w:left w:val="single" w:sz="4" w:space="0" w:color="808080"/>
              <w:bottom w:val="single" w:sz="4" w:space="0" w:color="808080"/>
              <w:right w:val="single" w:sz="4" w:space="0" w:color="808080"/>
            </w:tcBorders>
            <w:tcMar>
              <w:top w:w="30" w:type="dxa"/>
              <w:left w:w="40" w:type="dxa"/>
              <w:bottom w:w="30" w:type="dxa"/>
              <w:right w:w="40" w:type="dxa"/>
            </w:tcMar>
            <w:textDirection w:val="btLr"/>
            <w:vAlign w:val="center"/>
          </w:tcPr>
          <w:p w14:paraId="0300A2F7" w14:textId="77777777" w:rsidR="00443F9E" w:rsidRPr="00443F9E" w:rsidRDefault="00443F9E" w:rsidP="00443F9E">
            <w:pPr>
              <w:spacing w:line="276" w:lineRule="auto"/>
              <w:ind w:left="113" w:right="113"/>
              <w:jc w:val="center"/>
              <w:rPr>
                <w:rFonts w:eastAsia="Arial" w:cs="Arial"/>
                <w:kern w:val="0"/>
                <w:sz w:val="14"/>
                <w:szCs w:val="14"/>
                <w:lang w:eastAsia="es-CO"/>
                <w14:ligatures w14:val="none"/>
              </w:rPr>
            </w:pPr>
            <w:r w:rsidRPr="00443F9E">
              <w:rPr>
                <w:rFonts w:eastAsia="Arial" w:cs="Arial"/>
                <w:kern w:val="0"/>
                <w:sz w:val="14"/>
                <w:szCs w:val="14"/>
                <w:lang w:eastAsia="es-CO"/>
                <w14:ligatures w14:val="none"/>
              </w:rPr>
              <w:t>Al publicar y al tramitar el pago</w:t>
            </w:r>
          </w:p>
        </w:tc>
      </w:tr>
    </w:tbl>
    <w:p w14:paraId="2E259D99" w14:textId="77777777" w:rsidR="009E18DD" w:rsidRDefault="009E18DD"/>
    <w:sectPr w:rsidR="009E18DD" w:rsidSect="00443F9E">
      <w:pgSz w:w="15840" w:h="12240" w:orient="landscape"/>
      <w:pgMar w:top="1440" w:right="1440" w:bottom="1440" w:left="1440" w:header="720" w:footer="720" w:gutter="0"/>
      <w:cols w:space="708"/>
      <w:docGrid w:linePitch="32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08"/>
  <w:hyphenationZone w:val="425"/>
  <w:drawingGridHorizontalSpacing w:val="110"/>
  <w:drawingGridVerticalSpacing w:val="299"/>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8DD"/>
    <w:rsid w:val="00014FB5"/>
    <w:rsid w:val="00054E9B"/>
    <w:rsid w:val="000B4298"/>
    <w:rsid w:val="00165A55"/>
    <w:rsid w:val="00187A48"/>
    <w:rsid w:val="001D107F"/>
    <w:rsid w:val="002B4443"/>
    <w:rsid w:val="003104B2"/>
    <w:rsid w:val="00332D5E"/>
    <w:rsid w:val="00351982"/>
    <w:rsid w:val="00370339"/>
    <w:rsid w:val="004038A5"/>
    <w:rsid w:val="00443F9E"/>
    <w:rsid w:val="006E3B82"/>
    <w:rsid w:val="007C5A76"/>
    <w:rsid w:val="008444FF"/>
    <w:rsid w:val="00875338"/>
    <w:rsid w:val="008A61E0"/>
    <w:rsid w:val="008F13DC"/>
    <w:rsid w:val="009B308C"/>
    <w:rsid w:val="009E18DD"/>
    <w:rsid w:val="00A456C0"/>
    <w:rsid w:val="00AE2789"/>
    <w:rsid w:val="00D20FCD"/>
    <w:rsid w:val="00D36E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24A43E"/>
  <w15:chartTrackingRefBased/>
  <w15:docId w15:val="{539D617E-0CBC-4D38-8853-DE5B544D00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4"/>
        <w:szCs w:val="24"/>
        <w:lang w:val="es-CO" w:eastAsia="en-US" w:bidi="ar-SA"/>
        <w14:ligatures w14:val="standardContextual"/>
      </w:rPr>
    </w:rPrDefault>
    <w:pPrDefault>
      <w:pPr>
        <w:spacing w:before="80" w:after="80" w:line="278"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9E18DD"/>
    <w:pPr>
      <w:keepNext/>
      <w:keepLines/>
      <w:spacing w:before="36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E18DD"/>
    <w:pPr>
      <w:keepNext/>
      <w:keepLines/>
      <w:spacing w:before="16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E18DD"/>
    <w:pPr>
      <w:keepNext/>
      <w:keepLines/>
      <w:spacing w:before="160"/>
      <w:outlineLvl w:val="2"/>
    </w:pPr>
    <w:rPr>
      <w:rFonts w:asciiTheme="minorHAnsi" w:eastAsiaTheme="majorEastAsia" w:hAnsiTheme="minorHAnsi"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E18DD"/>
    <w:pPr>
      <w:keepNext/>
      <w:keepLines/>
      <w:spacing w:after="40"/>
      <w:outlineLvl w:val="3"/>
    </w:pPr>
    <w:rPr>
      <w:rFonts w:asciiTheme="minorHAnsi" w:eastAsiaTheme="majorEastAsia" w:hAnsiTheme="minorHAnsi" w:cstheme="majorBidi"/>
      <w:i/>
      <w:iCs/>
      <w:color w:val="0F4761" w:themeColor="accent1" w:themeShade="BF"/>
    </w:rPr>
  </w:style>
  <w:style w:type="paragraph" w:styleId="Ttulo5">
    <w:name w:val="heading 5"/>
    <w:basedOn w:val="Normal"/>
    <w:next w:val="Normal"/>
    <w:link w:val="Ttulo5Car"/>
    <w:uiPriority w:val="9"/>
    <w:semiHidden/>
    <w:unhideWhenUsed/>
    <w:qFormat/>
    <w:rsid w:val="009E18DD"/>
    <w:pPr>
      <w:keepNext/>
      <w:keepLines/>
      <w:spacing w:after="40"/>
      <w:outlineLvl w:val="4"/>
    </w:pPr>
    <w:rPr>
      <w:rFonts w:asciiTheme="minorHAnsi" w:eastAsiaTheme="majorEastAsia" w:hAnsiTheme="minorHAnsi" w:cstheme="majorBidi"/>
      <w:color w:val="0F4761" w:themeColor="accent1" w:themeShade="BF"/>
    </w:rPr>
  </w:style>
  <w:style w:type="paragraph" w:styleId="Ttulo6">
    <w:name w:val="heading 6"/>
    <w:basedOn w:val="Normal"/>
    <w:next w:val="Normal"/>
    <w:link w:val="Ttulo6Car"/>
    <w:uiPriority w:val="9"/>
    <w:semiHidden/>
    <w:unhideWhenUsed/>
    <w:qFormat/>
    <w:rsid w:val="009E18DD"/>
    <w:pPr>
      <w:keepNext/>
      <w:keepLines/>
      <w:spacing w:before="40" w:after="0"/>
      <w:outlineLvl w:val="5"/>
    </w:pPr>
    <w:rPr>
      <w:rFonts w:asciiTheme="minorHAnsi" w:eastAsiaTheme="majorEastAsia" w:hAnsiTheme="minorHAnsi" w:cstheme="majorBidi"/>
      <w:i/>
      <w:iCs/>
      <w:color w:val="595959" w:themeColor="text1" w:themeTint="A6"/>
    </w:rPr>
  </w:style>
  <w:style w:type="paragraph" w:styleId="Ttulo7">
    <w:name w:val="heading 7"/>
    <w:basedOn w:val="Normal"/>
    <w:next w:val="Normal"/>
    <w:link w:val="Ttulo7Car"/>
    <w:uiPriority w:val="9"/>
    <w:semiHidden/>
    <w:unhideWhenUsed/>
    <w:qFormat/>
    <w:rsid w:val="009E18DD"/>
    <w:pPr>
      <w:keepNext/>
      <w:keepLines/>
      <w:spacing w:before="40" w:after="0"/>
      <w:outlineLvl w:val="6"/>
    </w:pPr>
    <w:rPr>
      <w:rFonts w:asciiTheme="minorHAnsi" w:eastAsiaTheme="majorEastAsia" w:hAnsiTheme="minorHAnsi" w:cstheme="majorBidi"/>
      <w:color w:val="595959" w:themeColor="text1" w:themeTint="A6"/>
    </w:rPr>
  </w:style>
  <w:style w:type="paragraph" w:styleId="Ttulo8">
    <w:name w:val="heading 8"/>
    <w:basedOn w:val="Normal"/>
    <w:next w:val="Normal"/>
    <w:link w:val="Ttulo8Car"/>
    <w:uiPriority w:val="9"/>
    <w:semiHidden/>
    <w:unhideWhenUsed/>
    <w:qFormat/>
    <w:rsid w:val="009E18DD"/>
    <w:pPr>
      <w:keepNext/>
      <w:keepLines/>
      <w:spacing w:before="0" w:after="0"/>
      <w:outlineLvl w:val="7"/>
    </w:pPr>
    <w:rPr>
      <w:rFonts w:asciiTheme="minorHAnsi" w:eastAsiaTheme="majorEastAsia" w:hAnsiTheme="minorHAnsi" w:cstheme="majorBidi"/>
      <w:i/>
      <w:iCs/>
      <w:color w:val="272727" w:themeColor="text1" w:themeTint="D8"/>
    </w:rPr>
  </w:style>
  <w:style w:type="paragraph" w:styleId="Ttulo9">
    <w:name w:val="heading 9"/>
    <w:basedOn w:val="Normal"/>
    <w:next w:val="Normal"/>
    <w:link w:val="Ttulo9Car"/>
    <w:uiPriority w:val="9"/>
    <w:semiHidden/>
    <w:unhideWhenUsed/>
    <w:qFormat/>
    <w:rsid w:val="009E18DD"/>
    <w:pPr>
      <w:keepNext/>
      <w:keepLines/>
      <w:spacing w:before="0" w:after="0"/>
      <w:outlineLvl w:val="8"/>
    </w:pPr>
    <w:rPr>
      <w:rFonts w:asciiTheme="minorHAnsi" w:eastAsiaTheme="majorEastAsia" w:hAnsiTheme="minorHAnsi"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DC1">
    <w:name w:val="toc 1"/>
    <w:basedOn w:val="Normal"/>
    <w:next w:val="Normal"/>
    <w:autoRedefine/>
    <w:uiPriority w:val="39"/>
    <w:unhideWhenUsed/>
    <w:rsid w:val="00351982"/>
    <w:pPr>
      <w:spacing w:after="100" w:line="360" w:lineRule="auto"/>
    </w:pPr>
    <w:rPr>
      <w:rFonts w:eastAsia="Arial" w:cs="Arial"/>
      <w:kern w:val="0"/>
      <w:sz w:val="16"/>
      <w:lang w:eastAsia="es-CO"/>
      <w14:ligatures w14:val="none"/>
    </w:rPr>
  </w:style>
  <w:style w:type="paragraph" w:styleId="TDC2">
    <w:name w:val="toc 2"/>
    <w:basedOn w:val="Normal"/>
    <w:next w:val="Normal"/>
    <w:autoRedefine/>
    <w:uiPriority w:val="39"/>
    <w:unhideWhenUsed/>
    <w:rsid w:val="00351982"/>
    <w:pPr>
      <w:spacing w:after="100" w:line="360" w:lineRule="auto"/>
      <w:ind w:left="240"/>
    </w:pPr>
    <w:rPr>
      <w:rFonts w:eastAsia="Arial" w:cs="Arial"/>
      <w:kern w:val="0"/>
      <w:sz w:val="16"/>
      <w:lang w:eastAsia="es-CO"/>
      <w14:ligatures w14:val="none"/>
    </w:rPr>
  </w:style>
  <w:style w:type="paragraph" w:styleId="TDC3">
    <w:name w:val="toc 3"/>
    <w:basedOn w:val="Normal"/>
    <w:next w:val="Normal"/>
    <w:autoRedefine/>
    <w:uiPriority w:val="39"/>
    <w:unhideWhenUsed/>
    <w:rsid w:val="00351982"/>
    <w:pPr>
      <w:spacing w:after="100" w:line="360" w:lineRule="auto"/>
      <w:ind w:left="480"/>
    </w:pPr>
    <w:rPr>
      <w:rFonts w:eastAsia="Arial" w:cs="Arial"/>
      <w:kern w:val="0"/>
      <w:sz w:val="16"/>
      <w:lang w:eastAsia="es-CO"/>
      <w14:ligatures w14:val="none"/>
    </w:rPr>
  </w:style>
  <w:style w:type="paragraph" w:styleId="TDC4">
    <w:name w:val="toc 4"/>
    <w:basedOn w:val="Normal"/>
    <w:next w:val="Normal"/>
    <w:autoRedefine/>
    <w:uiPriority w:val="39"/>
    <w:semiHidden/>
    <w:unhideWhenUsed/>
    <w:rsid w:val="00875338"/>
    <w:pPr>
      <w:spacing w:before="0" w:after="100" w:line="276" w:lineRule="auto"/>
      <w:ind w:left="660"/>
    </w:pPr>
    <w:rPr>
      <w:rFonts w:eastAsia="Arial" w:cs="Arial"/>
      <w:kern w:val="0"/>
      <w:sz w:val="20"/>
      <w:szCs w:val="22"/>
      <w:lang w:val="en" w:eastAsia="es-CO"/>
      <w14:ligatures w14:val="none"/>
    </w:rPr>
  </w:style>
  <w:style w:type="character" w:customStyle="1" w:styleId="Ttulo1Car">
    <w:name w:val="Título 1 Car"/>
    <w:basedOn w:val="Fuentedeprrafopredeter"/>
    <w:link w:val="Ttulo1"/>
    <w:uiPriority w:val="9"/>
    <w:rsid w:val="009E18DD"/>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E18DD"/>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E18DD"/>
    <w:rPr>
      <w:rFonts w:asciiTheme="minorHAnsi" w:eastAsiaTheme="majorEastAsia" w:hAnsiTheme="minorHAnsi"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E18DD"/>
    <w:rPr>
      <w:rFonts w:asciiTheme="minorHAnsi" w:eastAsiaTheme="majorEastAsia" w:hAnsiTheme="minorHAnsi" w:cstheme="majorBidi"/>
      <w:i/>
      <w:iCs/>
      <w:color w:val="0F4761" w:themeColor="accent1" w:themeShade="BF"/>
    </w:rPr>
  </w:style>
  <w:style w:type="character" w:customStyle="1" w:styleId="Ttulo5Car">
    <w:name w:val="Título 5 Car"/>
    <w:basedOn w:val="Fuentedeprrafopredeter"/>
    <w:link w:val="Ttulo5"/>
    <w:uiPriority w:val="9"/>
    <w:semiHidden/>
    <w:rsid w:val="009E18DD"/>
    <w:rPr>
      <w:rFonts w:asciiTheme="minorHAnsi" w:eastAsiaTheme="majorEastAsia" w:hAnsiTheme="minorHAnsi" w:cstheme="majorBidi"/>
      <w:color w:val="0F4761" w:themeColor="accent1" w:themeShade="BF"/>
    </w:rPr>
  </w:style>
  <w:style w:type="character" w:customStyle="1" w:styleId="Ttulo6Car">
    <w:name w:val="Título 6 Car"/>
    <w:basedOn w:val="Fuentedeprrafopredeter"/>
    <w:link w:val="Ttulo6"/>
    <w:uiPriority w:val="9"/>
    <w:semiHidden/>
    <w:rsid w:val="009E18DD"/>
    <w:rPr>
      <w:rFonts w:asciiTheme="minorHAnsi" w:eastAsiaTheme="majorEastAsia" w:hAnsiTheme="minorHAnsi" w:cstheme="majorBidi"/>
      <w:i/>
      <w:iCs/>
      <w:color w:val="595959" w:themeColor="text1" w:themeTint="A6"/>
    </w:rPr>
  </w:style>
  <w:style w:type="character" w:customStyle="1" w:styleId="Ttulo7Car">
    <w:name w:val="Título 7 Car"/>
    <w:basedOn w:val="Fuentedeprrafopredeter"/>
    <w:link w:val="Ttulo7"/>
    <w:uiPriority w:val="9"/>
    <w:semiHidden/>
    <w:rsid w:val="009E18DD"/>
    <w:rPr>
      <w:rFonts w:asciiTheme="minorHAnsi" w:eastAsiaTheme="majorEastAsia" w:hAnsiTheme="minorHAnsi" w:cstheme="majorBidi"/>
      <w:color w:val="595959" w:themeColor="text1" w:themeTint="A6"/>
    </w:rPr>
  </w:style>
  <w:style w:type="character" w:customStyle="1" w:styleId="Ttulo8Car">
    <w:name w:val="Título 8 Car"/>
    <w:basedOn w:val="Fuentedeprrafopredeter"/>
    <w:link w:val="Ttulo8"/>
    <w:uiPriority w:val="9"/>
    <w:semiHidden/>
    <w:rsid w:val="009E18DD"/>
    <w:rPr>
      <w:rFonts w:asciiTheme="minorHAnsi" w:eastAsiaTheme="majorEastAsia" w:hAnsiTheme="minorHAnsi" w:cstheme="majorBidi"/>
      <w:i/>
      <w:iCs/>
      <w:color w:val="272727" w:themeColor="text1" w:themeTint="D8"/>
    </w:rPr>
  </w:style>
  <w:style w:type="character" w:customStyle="1" w:styleId="Ttulo9Car">
    <w:name w:val="Título 9 Car"/>
    <w:basedOn w:val="Fuentedeprrafopredeter"/>
    <w:link w:val="Ttulo9"/>
    <w:uiPriority w:val="9"/>
    <w:semiHidden/>
    <w:rsid w:val="009E18DD"/>
    <w:rPr>
      <w:rFonts w:asciiTheme="minorHAnsi" w:eastAsiaTheme="majorEastAsia" w:hAnsiTheme="minorHAnsi" w:cstheme="majorBidi"/>
      <w:color w:val="272727" w:themeColor="text1" w:themeTint="D8"/>
    </w:rPr>
  </w:style>
  <w:style w:type="paragraph" w:styleId="Ttulo">
    <w:name w:val="Title"/>
    <w:basedOn w:val="Normal"/>
    <w:next w:val="Normal"/>
    <w:link w:val="TtuloCar"/>
    <w:uiPriority w:val="10"/>
    <w:qFormat/>
    <w:rsid w:val="009E18DD"/>
    <w:pPr>
      <w:spacing w:before="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E18DD"/>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E18DD"/>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E18DD"/>
    <w:rPr>
      <w:rFonts w:asciiTheme="minorHAnsi" w:eastAsiaTheme="majorEastAsia" w:hAnsiTheme="minorHAnsi" w:cstheme="majorBidi"/>
      <w:color w:val="595959" w:themeColor="text1" w:themeTint="A6"/>
      <w:spacing w:val="15"/>
      <w:sz w:val="28"/>
      <w:szCs w:val="28"/>
    </w:rPr>
  </w:style>
  <w:style w:type="paragraph" w:styleId="Cita">
    <w:name w:val="Quote"/>
    <w:basedOn w:val="Normal"/>
    <w:next w:val="Normal"/>
    <w:link w:val="CitaCar"/>
    <w:uiPriority w:val="29"/>
    <w:qFormat/>
    <w:rsid w:val="009E18DD"/>
    <w:pPr>
      <w:spacing w:before="160" w:after="160"/>
      <w:jc w:val="center"/>
    </w:pPr>
    <w:rPr>
      <w:i/>
      <w:iCs/>
      <w:color w:val="404040" w:themeColor="text1" w:themeTint="BF"/>
    </w:rPr>
  </w:style>
  <w:style w:type="character" w:customStyle="1" w:styleId="CitaCar">
    <w:name w:val="Cita Car"/>
    <w:basedOn w:val="Fuentedeprrafopredeter"/>
    <w:link w:val="Cita"/>
    <w:uiPriority w:val="29"/>
    <w:rsid w:val="009E18DD"/>
    <w:rPr>
      <w:i/>
      <w:iCs/>
      <w:color w:val="404040" w:themeColor="text1" w:themeTint="BF"/>
    </w:rPr>
  </w:style>
  <w:style w:type="paragraph" w:styleId="Prrafodelista">
    <w:name w:val="List Paragraph"/>
    <w:basedOn w:val="Normal"/>
    <w:uiPriority w:val="34"/>
    <w:qFormat/>
    <w:rsid w:val="009E18DD"/>
    <w:pPr>
      <w:ind w:left="720"/>
      <w:contextualSpacing/>
    </w:pPr>
  </w:style>
  <w:style w:type="character" w:styleId="nfasisintenso">
    <w:name w:val="Intense Emphasis"/>
    <w:basedOn w:val="Fuentedeprrafopredeter"/>
    <w:uiPriority w:val="21"/>
    <w:qFormat/>
    <w:rsid w:val="009E18DD"/>
    <w:rPr>
      <w:i/>
      <w:iCs/>
      <w:color w:val="0F4761" w:themeColor="accent1" w:themeShade="BF"/>
    </w:rPr>
  </w:style>
  <w:style w:type="paragraph" w:styleId="Citadestacada">
    <w:name w:val="Intense Quote"/>
    <w:basedOn w:val="Normal"/>
    <w:next w:val="Normal"/>
    <w:link w:val="CitadestacadaCar"/>
    <w:uiPriority w:val="30"/>
    <w:qFormat/>
    <w:rsid w:val="009E18D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E18DD"/>
    <w:rPr>
      <w:i/>
      <w:iCs/>
      <w:color w:val="0F4761" w:themeColor="accent1" w:themeShade="BF"/>
    </w:rPr>
  </w:style>
  <w:style w:type="character" w:styleId="Referenciaintensa">
    <w:name w:val="Intense Reference"/>
    <w:basedOn w:val="Fuentedeprrafopredeter"/>
    <w:uiPriority w:val="32"/>
    <w:qFormat/>
    <w:rsid w:val="009E18D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9</Pages>
  <Words>1938</Words>
  <Characters>10663</Characters>
  <Application>Microsoft Office Word</Application>
  <DocSecurity>0</DocSecurity>
  <Lines>88</Lines>
  <Paragraphs>25</Paragraphs>
  <ScaleCrop>false</ScaleCrop>
  <Company/>
  <LinksUpToDate>false</LinksUpToDate>
  <CharactersWithSpaces>12576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Javier Castellanos</dc:creator>
  <cp:keywords/>
  <dc:description/>
  <cp:lastModifiedBy>Javier Castellanos</cp:lastModifiedBy>
  <cp:revision>2</cp:revision>
  <dcterms:created xsi:type="dcterms:W3CDTF">2026-09-24T21:47:00Z</dcterms:created>
  <dcterms:modified xsi:type="dcterms:W3CDTF">2026-09-24T21:49:00Z</dcterms:modified>
</cp:coreProperties>
</file>