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12</w:t>
      </w:r>
    </w:p>
    <w:p>
      <w:pPr>
        <w:spacing w:after="120" w:before="0"/>
        <w:jc w:val="center"/>
      </w:pPr>
      <w:r>
        <w:rPr>
          <w:rFonts w:ascii="Arial" w:hAnsi="Arial" w:cs="Arial" w:eastAsia="Arial"/>
          <w:b/>
          <w:i w:val="0"/>
          <w:sz w:val="22"/>
        </w:rPr>
        <w:t>ACREDITACIÓN DE FACTORES DE DESEMPATE</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20" w:before="0"/>
        <w:jc w:val="both"/>
      </w:pPr>
      <w:r>
        <w:rPr>
          <w:rFonts w:ascii="Arial" w:hAnsi="Arial" w:cs="Arial" w:eastAsia="Arial"/>
          <w:b w:val="0"/>
          <w:i w:val="0"/>
          <w:sz w:val="21"/>
        </w:rPr>
        <w:t>Para el caso de empate entre ofertas en el proceso MC-118-CENACTOLEMAIDA-2026, el proponente manifiesta los factores de desempate del artículo 35 de la Ley 2069 de 2020, reglamentado por el artículo 3 del Decreto 1860 de 2021 y acreditados conforme al artículo 2.2.1.2.4.2.17 del Decreto 1082 de 2015. Los factores se aplican de forma sucesiva y excluyente; marque los que le aplican y anexe el soporte. Los documentos de factores que contengan datos sensibles tienen reserva legal.</w:t>
      </w:r>
    </w:p>
    <w:tbl>
      <w:tblPr>
        <w:tblW w:type="dxa" w:w="920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520"/>
        <w:gridCol w:w="5280"/>
        <w:gridCol w:w="1100"/>
        <w:gridCol w:w="2300"/>
      </w:tblGrid>
      <w:tr>
        <w:tc>
          <w:tcPr>
            <w:tcW w:type="dxa" w:w="520"/>
            <w:shd w:val="clear" w:color="auto" w:fill="D9D9D9"/>
          </w:tcPr>
          <w:p>
            <w:pPr>
              <w:spacing w:after="40"/>
              <w:jc w:val="center"/>
            </w:pPr>
            <w:r/>
            <w:r>
              <w:rPr>
                <w:rFonts w:ascii="Arial" w:hAnsi="Arial" w:cs="Arial" w:eastAsia="Arial"/>
                <w:b/>
                <w:sz w:val="17"/>
              </w:rPr>
              <w:t>N°</w:t>
            </w:r>
          </w:p>
        </w:tc>
        <w:tc>
          <w:tcPr>
            <w:tcW w:type="dxa" w:w="5280"/>
            <w:shd w:val="clear" w:color="auto" w:fill="D9D9D9"/>
          </w:tcPr>
          <w:p>
            <w:pPr>
              <w:spacing w:after="40"/>
              <w:jc w:val="center"/>
            </w:pPr>
            <w:r/>
            <w:r>
              <w:rPr>
                <w:rFonts w:ascii="Arial" w:hAnsi="Arial" w:cs="Arial" w:eastAsia="Arial"/>
                <w:b/>
                <w:sz w:val="17"/>
              </w:rPr>
              <w:t>FACTOR DE DESEMPATE (art. 35, Ley 2069 de 2020)</w:t>
            </w:r>
          </w:p>
        </w:tc>
        <w:tc>
          <w:tcPr>
            <w:tcW w:type="dxa" w:w="1100"/>
            <w:shd w:val="clear" w:color="auto" w:fill="D9D9D9"/>
          </w:tcPr>
          <w:p>
            <w:pPr>
              <w:spacing w:after="40"/>
              <w:jc w:val="center"/>
            </w:pPr>
            <w:r/>
            <w:r>
              <w:rPr>
                <w:rFonts w:ascii="Arial" w:hAnsi="Arial" w:cs="Arial" w:eastAsia="Arial"/>
                <w:b/>
                <w:sz w:val="17"/>
              </w:rPr>
              <w:t>APLICA (SI / NO)</w:t>
            </w:r>
          </w:p>
        </w:tc>
        <w:tc>
          <w:tcPr>
            <w:tcW w:type="dxa" w:w="2300"/>
            <w:shd w:val="clear" w:color="auto" w:fill="D9D9D9"/>
          </w:tcPr>
          <w:p>
            <w:pPr>
              <w:spacing w:after="40"/>
              <w:jc w:val="center"/>
            </w:pPr>
            <w:r/>
            <w:r>
              <w:rPr>
                <w:rFonts w:ascii="Arial" w:hAnsi="Arial" w:cs="Arial" w:eastAsia="Arial"/>
                <w:b/>
                <w:sz w:val="17"/>
              </w:rPr>
              <w:t>DOCUMENTO DE SOPORTE Y FOLIO</w:t>
            </w:r>
          </w:p>
        </w:tc>
      </w:tr>
      <w:tr>
        <w:tc>
          <w:tcPr>
            <w:tcW w:type="dxa" w:w="520"/>
          </w:tcPr>
          <w:p>
            <w:pPr>
              <w:spacing w:after="40"/>
              <w:jc w:val="center"/>
            </w:pPr>
            <w:r/>
            <w:r>
              <w:rPr>
                <w:rFonts w:ascii="Arial" w:hAnsi="Arial" w:cs="Arial" w:eastAsia="Arial"/>
                <w:b w:val="0"/>
                <w:sz w:val="17"/>
              </w:rPr>
              <w:t>1</w:t>
            </w:r>
          </w:p>
        </w:tc>
        <w:tc>
          <w:tcPr>
            <w:tcW w:type="dxa" w:w="5280"/>
          </w:tcPr>
          <w:p>
            <w:pPr>
              <w:spacing w:after="40"/>
              <w:jc w:val="both"/>
            </w:pPr>
            <w:r/>
            <w:r>
              <w:rPr>
                <w:rFonts w:ascii="Arial" w:hAnsi="Arial" w:cs="Arial" w:eastAsia="Arial"/>
                <w:b w:val="0"/>
                <w:sz w:val="17"/>
              </w:rPr>
              <w:t>Oferta de bienes o servicios nacionales frente a extranjeros.</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2</w:t>
            </w:r>
          </w:p>
        </w:tc>
        <w:tc>
          <w:tcPr>
            <w:tcW w:type="dxa" w:w="5280"/>
          </w:tcPr>
          <w:p>
            <w:pPr>
              <w:spacing w:after="40"/>
              <w:jc w:val="both"/>
            </w:pPr>
            <w:r/>
            <w:r>
              <w:rPr>
                <w:rFonts w:ascii="Arial" w:hAnsi="Arial" w:cs="Arial" w:eastAsia="Arial"/>
                <w:b w:val="0"/>
                <w:sz w:val="17"/>
              </w:rPr>
              <w:t>Mujer cabeza de familia o víctima de violencia intrafamiliar, o persona jurídica en la que participen mayoritariamente (o proponente plural así constituido).</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3</w:t>
            </w:r>
          </w:p>
        </w:tc>
        <w:tc>
          <w:tcPr>
            <w:tcW w:type="dxa" w:w="5280"/>
          </w:tcPr>
          <w:p>
            <w:pPr>
              <w:spacing w:after="40"/>
              <w:jc w:val="both"/>
            </w:pPr>
            <w:r/>
            <w:r>
              <w:rPr>
                <w:rFonts w:ascii="Arial" w:hAnsi="Arial" w:cs="Arial" w:eastAsia="Arial"/>
                <w:b w:val="0"/>
                <w:sz w:val="17"/>
              </w:rPr>
              <w:t>Oferente con por lo menos el 10% de su nómina en condición de discapacidad (Ley 361 de 1997).</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4</w:t>
            </w:r>
          </w:p>
        </w:tc>
        <w:tc>
          <w:tcPr>
            <w:tcW w:type="dxa" w:w="5280"/>
          </w:tcPr>
          <w:p>
            <w:pPr>
              <w:spacing w:after="40"/>
              <w:jc w:val="both"/>
            </w:pPr>
            <w:r/>
            <w:r>
              <w:rPr>
                <w:rFonts w:ascii="Arial" w:hAnsi="Arial" w:cs="Arial" w:eastAsia="Arial"/>
                <w:b w:val="0"/>
                <w:sz w:val="17"/>
              </w:rPr>
              <w:t>Mayor proporción de personas mayores que no sean beneficiarias de pensión de vejez, familiar o de sobrevivencia y hayan cumplido la edad de pensión.</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5</w:t>
            </w:r>
          </w:p>
        </w:tc>
        <w:tc>
          <w:tcPr>
            <w:tcW w:type="dxa" w:w="5280"/>
          </w:tcPr>
          <w:p>
            <w:pPr>
              <w:spacing w:after="40"/>
              <w:jc w:val="both"/>
            </w:pPr>
            <w:r/>
            <w:r>
              <w:rPr>
                <w:rFonts w:ascii="Arial" w:hAnsi="Arial" w:cs="Arial" w:eastAsia="Arial"/>
                <w:b w:val="0"/>
                <w:sz w:val="17"/>
              </w:rPr>
              <w:t>Por lo menos el 10% de su nómina perteneciente a población indígena, negra, afrocolombiana, raizal, palenquera, Rrom o gitana.</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6</w:t>
            </w:r>
          </w:p>
        </w:tc>
        <w:tc>
          <w:tcPr>
            <w:tcW w:type="dxa" w:w="5280"/>
          </w:tcPr>
          <w:p>
            <w:pPr>
              <w:spacing w:after="40"/>
              <w:jc w:val="both"/>
            </w:pPr>
            <w:r/>
            <w:r>
              <w:rPr>
                <w:rFonts w:ascii="Arial" w:hAnsi="Arial" w:cs="Arial" w:eastAsia="Arial"/>
                <w:b w:val="0"/>
                <w:sz w:val="17"/>
              </w:rPr>
              <w:t>Personas en proceso de reintegración o reincorporación, o persona jurídica en la que participen mayoritariamente (o proponente plural así constituido).</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7</w:t>
            </w:r>
          </w:p>
        </w:tc>
        <w:tc>
          <w:tcPr>
            <w:tcW w:type="dxa" w:w="5280"/>
          </w:tcPr>
          <w:p>
            <w:pPr>
              <w:spacing w:after="40"/>
              <w:jc w:val="both"/>
            </w:pPr>
            <w:r/>
            <w:r>
              <w:rPr>
                <w:rFonts w:ascii="Arial" w:hAnsi="Arial" w:cs="Arial" w:eastAsia="Arial"/>
                <w:b w:val="0"/>
                <w:sz w:val="17"/>
              </w:rPr>
              <w:t>Proponente plural con madre cabeza de familia y/o persona en proceso de reincorporación o reintegración con participación mínima del 25% y aporte mínimo del 25% de la experiencia.</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8</w:t>
            </w:r>
          </w:p>
        </w:tc>
        <w:tc>
          <w:tcPr>
            <w:tcW w:type="dxa" w:w="5280"/>
          </w:tcPr>
          <w:p>
            <w:pPr>
              <w:spacing w:after="40"/>
              <w:jc w:val="both"/>
            </w:pPr>
            <w:r/>
            <w:r>
              <w:rPr>
                <w:rFonts w:ascii="Arial" w:hAnsi="Arial" w:cs="Arial" w:eastAsia="Arial"/>
                <w:b w:val="0"/>
                <w:sz w:val="17"/>
              </w:rPr>
              <w:t>Oferta presentada por una MiPyme, cooperativa o asociación mutual, o proponente plural constituido por ellas.</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9</w:t>
            </w:r>
          </w:p>
        </w:tc>
        <w:tc>
          <w:tcPr>
            <w:tcW w:type="dxa" w:w="5280"/>
          </w:tcPr>
          <w:p>
            <w:pPr>
              <w:spacing w:after="40"/>
              <w:jc w:val="both"/>
            </w:pPr>
            <w:r/>
            <w:r>
              <w:rPr>
                <w:rFonts w:ascii="Arial" w:hAnsi="Arial" w:cs="Arial" w:eastAsia="Arial"/>
                <w:b w:val="0"/>
                <w:sz w:val="17"/>
              </w:rPr>
              <w:t>Proponente plural constituido por micro y/o pequeñas empresas, cooperativas o asociaciones mutuales.</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10</w:t>
            </w:r>
          </w:p>
        </w:tc>
        <w:tc>
          <w:tcPr>
            <w:tcW w:type="dxa" w:w="5280"/>
          </w:tcPr>
          <w:p>
            <w:pPr>
              <w:spacing w:after="40"/>
              <w:jc w:val="both"/>
            </w:pPr>
            <w:r/>
            <w:r>
              <w:rPr>
                <w:rFonts w:ascii="Arial" w:hAnsi="Arial" w:cs="Arial" w:eastAsia="Arial"/>
                <w:b w:val="0"/>
                <w:sz w:val="17"/>
              </w:rPr>
              <w:t>Oferente que acredite, con estados financieros a 31 de diciembre del año anterior, mínimo el 25% de pagos a MiPymes, cooperativas o asociaciones mutuales por proveeduría (o proponente plural en las condiciones de la norma).</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11</w:t>
            </w:r>
          </w:p>
        </w:tc>
        <w:tc>
          <w:tcPr>
            <w:tcW w:type="dxa" w:w="5280"/>
          </w:tcPr>
          <w:p>
            <w:pPr>
              <w:spacing w:after="40"/>
              <w:jc w:val="both"/>
            </w:pPr>
            <w:r/>
            <w:r>
              <w:rPr>
                <w:rFonts w:ascii="Arial" w:hAnsi="Arial" w:cs="Arial" w:eastAsia="Arial"/>
                <w:b w:val="0"/>
                <w:sz w:val="17"/>
              </w:rPr>
              <w:t>Empresas reconocidas como Sociedad de Beneficio e Interés Colectivo (BIC) del segmento MiPymes.</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r>
        <w:tc>
          <w:tcPr>
            <w:tcW w:type="dxa" w:w="520"/>
          </w:tcPr>
          <w:p>
            <w:pPr>
              <w:spacing w:after="40"/>
              <w:jc w:val="center"/>
            </w:pPr>
            <w:r/>
            <w:r>
              <w:rPr>
                <w:rFonts w:ascii="Arial" w:hAnsi="Arial" w:cs="Arial" w:eastAsia="Arial"/>
                <w:b w:val="0"/>
                <w:sz w:val="17"/>
              </w:rPr>
              <w:t>12</w:t>
            </w:r>
          </w:p>
        </w:tc>
        <w:tc>
          <w:tcPr>
            <w:tcW w:type="dxa" w:w="5280"/>
          </w:tcPr>
          <w:p>
            <w:pPr>
              <w:spacing w:after="40"/>
              <w:jc w:val="both"/>
            </w:pPr>
            <w:r/>
            <w:r>
              <w:rPr>
                <w:rFonts w:ascii="Arial" w:hAnsi="Arial" w:cs="Arial" w:eastAsia="Arial"/>
                <w:b w:val="0"/>
                <w:sz w:val="17"/>
              </w:rPr>
              <w:t>Si el empate persiste: método aleatorio (sorteo con balotas), según la invitación pública, numeral 1.7.</w:t>
            </w:r>
          </w:p>
        </w:tc>
        <w:tc>
          <w:tcPr>
            <w:tcW w:type="dxa" w:w="1100"/>
          </w:tcPr>
          <w:p>
            <w:pPr>
              <w:spacing w:after="40"/>
              <w:jc w:val="center"/>
            </w:pPr>
            <w:r/>
            <w:r>
              <w:rPr>
                <w:rFonts w:ascii="Arial" w:hAnsi="Arial" w:cs="Arial" w:eastAsia="Arial"/>
                <w:b w:val="0"/>
                <w:sz w:val="17"/>
              </w:rPr>
            </w:r>
          </w:p>
        </w:tc>
        <w:tc>
          <w:tcPr>
            <w:tcW w:type="dxa" w:w="2300"/>
          </w:tcPr>
          <w:p>
            <w:pPr>
              <w:spacing w:after="40"/>
              <w:jc w:val="left"/>
            </w:pPr>
            <w:r/>
            <w:r>
              <w:rPr>
                <w:rFonts w:ascii="Arial" w:hAnsi="Arial" w:cs="Arial" w:eastAsia="Arial"/>
                <w:b w:val="0"/>
                <w:sz w:val="17"/>
              </w:rPr>
            </w:r>
          </w:p>
        </w:tc>
      </w:tr>
    </w:tbl>
    <w:p>
      <w:pPr>
        <w:spacing w:after="80"/>
      </w:pPr>
    </w:p>
    <w:p>
      <w:pPr>
        <w:spacing w:after="120" w:before="0"/>
        <w:jc w:val="both"/>
      </w:pPr>
      <w:r>
        <w:rPr>
          <w:rFonts w:ascii="Arial" w:hAnsi="Arial" w:cs="Arial" w:eastAsia="Arial"/>
          <w:b w:val="0"/>
          <w:i w:val="0"/>
          <w:sz w:val="19"/>
        </w:rPr>
        <w:t>Declaro bajo la gravedad de juramento que la información es veraz. Los factores que involucren vinculación de capital humano se acreditan con antigüedad igual o mayor a un (1) año (artículo 35, parágrafo 2, de la Ley 2069 de 2020).</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