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2E21596" w14:textId="77777777" w:rsidR="002D6116" w:rsidRPr="002D6116" w:rsidRDefault="002D6116">
      <w:pPr>
        <w:spacing w:after="40"/>
        <w:jc w:val="center"/>
        <w:rPr>
          <w:rFonts w:cs="Arial"/>
          <w:b/>
          <w:color w:val="000000" w:themeColor="text1"/>
          <w:sz w:val="22"/>
          <w:lang w:val="es-ES"/>
        </w:rPr>
      </w:pPr>
    </w:p>
    <w:p w14:paraId="43A04C81" w14:textId="1187D424" w:rsidR="002442A0" w:rsidRPr="002D6116" w:rsidRDefault="00000000">
      <w:pPr>
        <w:spacing w:after="40"/>
        <w:jc w:val="center"/>
        <w:rPr>
          <w:rFonts w:cs="Arial"/>
          <w:color w:val="000000" w:themeColor="text1"/>
          <w:sz w:val="22"/>
          <w:lang w:val="es-ES"/>
        </w:rPr>
      </w:pPr>
      <w:r w:rsidRPr="002D6116">
        <w:rPr>
          <w:rFonts w:cs="Arial"/>
          <w:b/>
          <w:color w:val="000000" w:themeColor="text1"/>
          <w:sz w:val="22"/>
          <w:lang w:val="es-ES"/>
        </w:rPr>
        <w:t>OPERACIÓN SECUNDARIA / FASE 2</w:t>
      </w:r>
    </w:p>
    <w:p w14:paraId="77A3CC7F" w14:textId="77777777" w:rsidR="002442A0" w:rsidRPr="002D6116" w:rsidRDefault="00000000">
      <w:pPr>
        <w:spacing w:after="200"/>
        <w:jc w:val="center"/>
        <w:rPr>
          <w:rFonts w:cs="Arial"/>
          <w:color w:val="000000" w:themeColor="text1"/>
          <w:sz w:val="22"/>
          <w:lang w:val="es-ES"/>
        </w:rPr>
      </w:pPr>
      <w:r w:rsidRPr="002D6116">
        <w:rPr>
          <w:rFonts w:cs="Arial"/>
          <w:b/>
          <w:color w:val="000000" w:themeColor="text1"/>
          <w:sz w:val="22"/>
          <w:lang w:val="es-ES"/>
        </w:rPr>
        <w:t>GRUPO No. 6 – INSUMOS DE TOMA DE MUESTRAS</w:t>
      </w:r>
    </w:p>
    <w:p w14:paraId="61E929F5" w14:textId="77777777" w:rsidR="002442A0" w:rsidRPr="002D6116" w:rsidRDefault="00000000">
      <w:pPr>
        <w:spacing w:after="120"/>
        <w:jc w:val="both"/>
        <w:rPr>
          <w:rFonts w:cs="Arial"/>
          <w:color w:val="000000" w:themeColor="text1"/>
          <w:sz w:val="22"/>
          <w:lang w:val="es-ES"/>
        </w:rPr>
      </w:pPr>
      <w:r w:rsidRPr="002D6116">
        <w:rPr>
          <w:rFonts w:cs="Arial"/>
          <w:b/>
          <w:color w:val="000000" w:themeColor="text1"/>
          <w:sz w:val="22"/>
          <w:lang w:val="es-ES"/>
        </w:rPr>
        <w:t xml:space="preserve">ENTIDAD: </w:t>
      </w:r>
      <w:r w:rsidRPr="002D6116">
        <w:rPr>
          <w:rFonts w:cs="Arial"/>
          <w:color w:val="000000" w:themeColor="text1"/>
          <w:sz w:val="22"/>
          <w:lang w:val="es-ES"/>
        </w:rPr>
        <w:t>Subred Integrada de Servicios de Salud Sur E.S.E.</w:t>
      </w:r>
    </w:p>
    <w:p w14:paraId="48FB8594" w14:textId="77777777" w:rsidR="002442A0" w:rsidRPr="002D6116" w:rsidRDefault="00000000">
      <w:pPr>
        <w:spacing w:after="120"/>
        <w:jc w:val="both"/>
        <w:rPr>
          <w:rFonts w:cs="Arial"/>
          <w:color w:val="000000" w:themeColor="text1"/>
          <w:sz w:val="22"/>
          <w:lang w:val="es-ES"/>
        </w:rPr>
      </w:pPr>
      <w:r w:rsidRPr="002D6116">
        <w:rPr>
          <w:rFonts w:cs="Arial"/>
          <w:b/>
          <w:color w:val="000000" w:themeColor="text1"/>
          <w:sz w:val="22"/>
          <w:lang w:val="es-ES"/>
        </w:rPr>
        <w:t xml:space="preserve">OBJETO: </w:t>
      </w:r>
      <w:r w:rsidRPr="002D6116">
        <w:rPr>
          <w:rFonts w:cs="Arial"/>
          <w:color w:val="000000" w:themeColor="text1"/>
          <w:sz w:val="22"/>
          <w:lang w:val="es-ES"/>
        </w:rPr>
        <w:t>Contratar el suministro de insumos y dispositivos médicos requeridos para la toma de muestras de exámenes de laboratorio clínico de la Subred Integrada de Servicios de Salud Sur E.S.E.</w:t>
      </w:r>
    </w:p>
    <w:p w14:paraId="744055FB" w14:textId="77777777" w:rsidR="002442A0" w:rsidRPr="002D6116" w:rsidRDefault="00000000">
      <w:pPr>
        <w:spacing w:after="160"/>
        <w:jc w:val="both"/>
        <w:rPr>
          <w:rFonts w:cs="Arial"/>
          <w:color w:val="000000" w:themeColor="text1"/>
          <w:sz w:val="22"/>
          <w:lang w:val="es-ES"/>
        </w:rPr>
      </w:pPr>
      <w:r w:rsidRPr="002D6116">
        <w:rPr>
          <w:rFonts w:cs="Arial"/>
          <w:b/>
          <w:color w:val="000000" w:themeColor="text1"/>
          <w:sz w:val="22"/>
          <w:lang w:val="es-ES"/>
        </w:rPr>
        <w:t xml:space="preserve">ÁMBITO DE APLICACIÓN: </w:t>
      </w:r>
      <w:r w:rsidRPr="002D6116">
        <w:rPr>
          <w:rFonts w:cs="Arial"/>
          <w:color w:val="000000" w:themeColor="text1"/>
          <w:sz w:val="22"/>
          <w:lang w:val="es-ES"/>
        </w:rPr>
        <w:t>Instrucciones para los proveedores habilitados para los ítems requeridos en el catálogo del Acuerdo Comercial CP-001-2026 – Grupo No. 6. La presente solicitud de cotización constituye la operación secundaria del acuerdo y no una nueva convocatoria pública.</w:t>
      </w:r>
    </w:p>
    <w:p w14:paraId="632F6881" w14:textId="2CD55F1B" w:rsidR="002442A0" w:rsidRPr="002D6116" w:rsidRDefault="00000000" w:rsidP="002D6116">
      <w:pPr>
        <w:pStyle w:val="Ttulo2"/>
        <w:numPr>
          <w:ilvl w:val="0"/>
          <w:numId w:val="11"/>
        </w:numPr>
        <w:tabs>
          <w:tab w:val="left" w:pos="993"/>
        </w:tabs>
        <w:rPr>
          <w:rFonts w:ascii="Arial" w:hAnsi="Arial" w:cs="Arial"/>
          <w:color w:val="000000" w:themeColor="text1"/>
          <w:sz w:val="22"/>
          <w:szCs w:val="22"/>
          <w:lang w:val="es-ES"/>
        </w:rPr>
      </w:pPr>
      <w:r w:rsidRPr="002D6116">
        <w:rPr>
          <w:rFonts w:ascii="Arial" w:hAnsi="Arial" w:cs="Arial"/>
          <w:color w:val="000000" w:themeColor="text1"/>
          <w:sz w:val="22"/>
          <w:szCs w:val="22"/>
          <w:lang w:val="es-ES"/>
        </w:rPr>
        <w:t>CONSULTA DE LA SOLICITUD Y PRESENTACIÓN EN SECOP II</w:t>
      </w:r>
    </w:p>
    <w:p w14:paraId="3997252E" w14:textId="77777777" w:rsidR="002D6116" w:rsidRPr="002D6116" w:rsidRDefault="002D6116" w:rsidP="002D6116">
      <w:pPr>
        <w:rPr>
          <w:lang w:val="es-ES"/>
        </w:rPr>
      </w:pPr>
    </w:p>
    <w:p w14:paraId="2CC9137A" w14:textId="77777777" w:rsidR="002442A0" w:rsidRPr="002D6116"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 xml:space="preserve">1.  Ingreso a la solicitud. </w:t>
      </w:r>
      <w:r w:rsidRPr="002D6116">
        <w:rPr>
          <w:rFonts w:cs="Arial"/>
          <w:color w:val="000000" w:themeColor="text1"/>
          <w:sz w:val="22"/>
          <w:lang w:val="es-ES"/>
        </w:rPr>
        <w:t>Revisar el evento de solicitud de cotización publicado por la Subred Sur en SECOP II, bajo el régimen especial, así como el estudio previo, el catálogo, las especificaciones técnicas, los anexos y el cronograma vigente.</w:t>
      </w:r>
    </w:p>
    <w:p w14:paraId="38FCF767" w14:textId="77777777" w:rsidR="002442A0" w:rsidRPr="002D6116"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 xml:space="preserve">2.  Proveedores habilitados. </w:t>
      </w:r>
      <w:r w:rsidRPr="002D6116">
        <w:rPr>
          <w:rFonts w:cs="Arial"/>
          <w:color w:val="000000" w:themeColor="text1"/>
          <w:sz w:val="22"/>
          <w:lang w:val="es-ES"/>
        </w:rPr>
        <w:t>Podrán presentar oferta exclusivamente los proveedores habilitados en el Acuerdo Comercial para los ítems objeto de la solicitud. En el catálogo correspondiente al Grupo No. 6 figuran ANNAR DIAGNOSTICA IMPORT S.A.S. y QUINBERLAB S.A.S., sin perjuicio de las incorporaciones o ampliaciones que se efectúen conforme al Acuerdo Comercial.</w:t>
      </w:r>
    </w:p>
    <w:p w14:paraId="5BABFA37" w14:textId="77777777" w:rsidR="002442A0" w:rsidRPr="002D6116"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 xml:space="preserve">3.  Verificación técnica. </w:t>
      </w:r>
      <w:r w:rsidRPr="002D6116">
        <w:rPr>
          <w:rFonts w:cs="Arial"/>
          <w:color w:val="000000" w:themeColor="text1"/>
          <w:sz w:val="22"/>
          <w:lang w:val="es-ES"/>
        </w:rPr>
        <w:t>Antes de cotizar, comprobar que cada bien ofertado cumpla la descripción, la presentación, la unidad de medida y las demás especificaciones técnicas exigidas en la solicitud y en el catálogo. No se considerarán ofertas de bienes que incumplan las condiciones técnicas aplicables.</w:t>
      </w:r>
    </w:p>
    <w:p w14:paraId="6FAAFAFA" w14:textId="77777777" w:rsidR="002442A0" w:rsidRPr="002D6116"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 xml:space="preserve">4.  Observaciones. </w:t>
      </w:r>
      <w:r w:rsidRPr="002D6116">
        <w:rPr>
          <w:rFonts w:cs="Arial"/>
          <w:color w:val="000000" w:themeColor="text1"/>
          <w:sz w:val="22"/>
          <w:lang w:val="es-ES"/>
        </w:rPr>
        <w:t>Presentar las observaciones a la solicitud y a sus anexos únicamente a través de los canales habilitados en SECOP II, dentro del plazo establecido en el cronograma publicado por la Subred Sur.</w:t>
      </w:r>
    </w:p>
    <w:p w14:paraId="0D6B3159" w14:textId="77777777" w:rsidR="002442A0"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 xml:space="preserve">5.  Presentación oportuna. </w:t>
      </w:r>
      <w:r w:rsidRPr="002D6116">
        <w:rPr>
          <w:rFonts w:cs="Arial"/>
          <w:color w:val="000000" w:themeColor="text1"/>
          <w:sz w:val="22"/>
          <w:lang w:val="es-ES"/>
        </w:rPr>
        <w:t>Diligenciar y enviar la oferta y sus soportes por SECOP II antes de la fecha y hora de cierre fijadas en el evento. Verificar que el sistema registre correctamente el envío y conservar la constancia electrónica de presentación.</w:t>
      </w:r>
    </w:p>
    <w:p w14:paraId="53EB9BFF" w14:textId="77777777" w:rsidR="002D6116" w:rsidRPr="002D6116" w:rsidRDefault="002D6116" w:rsidP="002D6116">
      <w:pPr>
        <w:pStyle w:val="Instruccion"/>
        <w:ind w:left="567" w:firstLine="0"/>
        <w:jc w:val="both"/>
        <w:rPr>
          <w:rFonts w:cs="Arial"/>
          <w:color w:val="000000" w:themeColor="text1"/>
          <w:sz w:val="22"/>
          <w:lang w:val="es-ES"/>
        </w:rPr>
      </w:pPr>
    </w:p>
    <w:p w14:paraId="6450E5CB" w14:textId="77777777" w:rsidR="002442A0" w:rsidRPr="002D6116" w:rsidRDefault="00000000" w:rsidP="002D6116">
      <w:pPr>
        <w:pStyle w:val="Ttulo2"/>
        <w:ind w:left="709" w:hanging="142"/>
        <w:rPr>
          <w:rFonts w:ascii="Arial" w:hAnsi="Arial" w:cs="Arial"/>
          <w:color w:val="000000" w:themeColor="text1"/>
          <w:sz w:val="22"/>
          <w:szCs w:val="22"/>
          <w:lang w:val="es-ES"/>
        </w:rPr>
      </w:pPr>
      <w:r w:rsidRPr="002D6116">
        <w:rPr>
          <w:rFonts w:ascii="Arial" w:hAnsi="Arial" w:cs="Arial"/>
          <w:color w:val="000000" w:themeColor="text1"/>
          <w:sz w:val="22"/>
          <w:szCs w:val="22"/>
          <w:lang w:val="es-ES"/>
        </w:rPr>
        <w:t>2. DILIGENCIAMIENTO DE LA PROPUESTA ECONÓMICA</w:t>
      </w:r>
    </w:p>
    <w:p w14:paraId="308EF38A" w14:textId="77777777" w:rsidR="002D6116" w:rsidRPr="002D6116" w:rsidRDefault="002D6116" w:rsidP="002D6116">
      <w:pPr>
        <w:rPr>
          <w:lang w:val="es-ES"/>
        </w:rPr>
      </w:pPr>
    </w:p>
    <w:p w14:paraId="0E8C7B02" w14:textId="4C23BDC2" w:rsidR="002442A0" w:rsidRPr="002D6116" w:rsidRDefault="002D6116"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 xml:space="preserve">1. </w:t>
      </w:r>
      <w:r w:rsidR="00000000" w:rsidRPr="002D6116">
        <w:rPr>
          <w:rFonts w:cs="Arial"/>
          <w:b/>
          <w:color w:val="000000" w:themeColor="text1"/>
          <w:sz w:val="22"/>
          <w:lang w:val="es-ES"/>
        </w:rPr>
        <w:t xml:space="preserve">Cuestionario de SECOP II. </w:t>
      </w:r>
      <w:r w:rsidR="00000000" w:rsidRPr="002D6116">
        <w:rPr>
          <w:rFonts w:cs="Arial"/>
          <w:color w:val="000000" w:themeColor="text1"/>
          <w:sz w:val="22"/>
          <w:lang w:val="es-ES"/>
        </w:rPr>
        <w:t xml:space="preserve">Diligenciar el cuestionario económico de la plataforma conforme a los campos y reglas del evento de solicitud de cotización. Cuando corresponda a suministro a demanda, atender la instrucción específica del </w:t>
      </w:r>
      <w:r w:rsidR="00000000" w:rsidRPr="002D6116">
        <w:rPr>
          <w:rFonts w:cs="Arial"/>
          <w:color w:val="000000" w:themeColor="text1"/>
          <w:sz w:val="22"/>
          <w:lang w:val="es-ES"/>
        </w:rPr>
        <w:lastRenderedPageBreak/>
        <w:t>evento sobre el valor total o presupuesto, sin sustituir por ello el detalle de precios unitarios.</w:t>
      </w:r>
    </w:p>
    <w:p w14:paraId="3E57C289" w14:textId="02E2B264" w:rsidR="002442A0" w:rsidRPr="002D6116" w:rsidRDefault="002D6116"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 xml:space="preserve">2. </w:t>
      </w:r>
      <w:r w:rsidR="00000000" w:rsidRPr="002D6116">
        <w:rPr>
          <w:rFonts w:cs="Arial"/>
          <w:b/>
          <w:color w:val="000000" w:themeColor="text1"/>
          <w:sz w:val="22"/>
          <w:lang w:val="es-ES"/>
        </w:rPr>
        <w:t xml:space="preserve">Anexo de precios. </w:t>
      </w:r>
      <w:r w:rsidR="00000000" w:rsidRPr="002D6116">
        <w:rPr>
          <w:rFonts w:cs="Arial"/>
          <w:color w:val="000000" w:themeColor="text1"/>
          <w:sz w:val="22"/>
          <w:lang w:val="es-ES"/>
        </w:rPr>
        <w:t>Adjuntar el formato Excel de propuesta económica dispuesto por la Subred Sur, con los ítems solicitados, las especificaciones y presentaciones correspondientes, las cantidades que indique la solicitud, el precio unitario, los impuestos aplicables y el valor total. Incorporar en los valores ofrecidos los costos de entrega, transporte, fletes y demás conceptos asociados al suministro que estén a cargo del proveedor.</w:t>
      </w:r>
    </w:p>
    <w:p w14:paraId="47CECE32" w14:textId="17C7E6A8" w:rsidR="002442A0" w:rsidRPr="002D6116" w:rsidRDefault="002D6116"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 xml:space="preserve">3. </w:t>
      </w:r>
      <w:r w:rsidR="00000000" w:rsidRPr="002D6116">
        <w:rPr>
          <w:rFonts w:cs="Arial"/>
          <w:b/>
          <w:color w:val="000000" w:themeColor="text1"/>
          <w:sz w:val="22"/>
          <w:lang w:val="es-ES"/>
        </w:rPr>
        <w:t xml:space="preserve">Concordancia de valores. </w:t>
      </w:r>
      <w:r w:rsidR="00000000" w:rsidRPr="002D6116">
        <w:rPr>
          <w:rFonts w:cs="Arial"/>
          <w:color w:val="000000" w:themeColor="text1"/>
          <w:sz w:val="22"/>
          <w:lang w:val="es-ES"/>
        </w:rPr>
        <w:t>Verificar que los valores totales registrados en SECOP II y en el anexo económico sean consistentes, siguiendo las instrucciones particulares del evento. En caso de discrepancia, la entidad adelantará la verificación correspondiente conforme a la solicitud publicada y al Acuerdo Comercial.</w:t>
      </w:r>
    </w:p>
    <w:p w14:paraId="63C9387E" w14:textId="5515F4A5" w:rsidR="002442A0" w:rsidRPr="002D6116" w:rsidRDefault="002D6116"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 xml:space="preserve">4. </w:t>
      </w:r>
      <w:r w:rsidR="00000000" w:rsidRPr="002D6116">
        <w:rPr>
          <w:rFonts w:cs="Arial"/>
          <w:b/>
          <w:color w:val="000000" w:themeColor="text1"/>
          <w:sz w:val="22"/>
          <w:lang w:val="es-ES"/>
        </w:rPr>
        <w:t xml:space="preserve">Precios máximos. </w:t>
      </w:r>
      <w:r w:rsidR="00000000" w:rsidRPr="002D6116">
        <w:rPr>
          <w:rFonts w:cs="Arial"/>
          <w:color w:val="000000" w:themeColor="text1"/>
          <w:sz w:val="22"/>
          <w:lang w:val="es-ES"/>
        </w:rPr>
        <w:t>Ningún precio ofertado podrá superar el valor máximo del ítem previsto en el catálogo vigente ni el valor techo fijado expresamente en la solicitud. La propuesta no podrá condicionarse a prestaciones o costos ajenos a los términos del Acuerdo Comercial.</w:t>
      </w:r>
    </w:p>
    <w:p w14:paraId="5C01515A" w14:textId="628D4BFD" w:rsidR="002442A0" w:rsidRDefault="002D6116"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 xml:space="preserve">5. </w:t>
      </w:r>
      <w:r w:rsidR="00000000" w:rsidRPr="002D6116">
        <w:rPr>
          <w:rFonts w:cs="Arial"/>
          <w:b/>
          <w:color w:val="000000" w:themeColor="text1"/>
          <w:sz w:val="22"/>
          <w:lang w:val="es-ES"/>
        </w:rPr>
        <w:t xml:space="preserve">Cobertura de la oferta. </w:t>
      </w:r>
      <w:r w:rsidR="00000000" w:rsidRPr="002D6116">
        <w:rPr>
          <w:rFonts w:cs="Arial"/>
          <w:color w:val="000000" w:themeColor="text1"/>
          <w:sz w:val="22"/>
          <w:lang w:val="es-ES"/>
        </w:rPr>
        <w:t>Cotizar los ítems solicitados para los cuales el proveedor esté habilitado, de acuerdo con la estructura del evento. Las ofertas parciales o alternativas solo procederán cuando la solicitud o el Acuerdo Comercial lo permitan expresamente.</w:t>
      </w:r>
    </w:p>
    <w:p w14:paraId="62897046" w14:textId="77777777" w:rsidR="002D6116" w:rsidRPr="002D6116" w:rsidRDefault="002D6116" w:rsidP="002D6116">
      <w:pPr>
        <w:pStyle w:val="Instruccion"/>
        <w:ind w:left="567" w:firstLine="0"/>
        <w:jc w:val="both"/>
        <w:rPr>
          <w:rFonts w:cs="Arial"/>
          <w:color w:val="000000" w:themeColor="text1"/>
          <w:sz w:val="22"/>
          <w:lang w:val="es-ES"/>
        </w:rPr>
      </w:pPr>
    </w:p>
    <w:p w14:paraId="399AC602" w14:textId="77777777" w:rsidR="002442A0" w:rsidRDefault="00000000" w:rsidP="002D6116">
      <w:pPr>
        <w:pStyle w:val="Ttulo2"/>
        <w:ind w:left="567"/>
        <w:rPr>
          <w:rFonts w:ascii="Arial" w:hAnsi="Arial" w:cs="Arial"/>
          <w:color w:val="000000" w:themeColor="text1"/>
          <w:sz w:val="22"/>
          <w:szCs w:val="22"/>
          <w:lang w:val="es-ES"/>
        </w:rPr>
      </w:pPr>
      <w:r w:rsidRPr="002D6116">
        <w:rPr>
          <w:rFonts w:ascii="Arial" w:hAnsi="Arial" w:cs="Arial"/>
          <w:color w:val="000000" w:themeColor="text1"/>
          <w:sz w:val="22"/>
          <w:szCs w:val="22"/>
          <w:lang w:val="es-ES"/>
        </w:rPr>
        <w:t>3. DOCUMENTOS QUE DEBEN ADJUNTARSE</w:t>
      </w:r>
    </w:p>
    <w:p w14:paraId="795F53DB" w14:textId="77777777" w:rsidR="002D6116" w:rsidRPr="002D6116" w:rsidRDefault="002D6116" w:rsidP="002D6116">
      <w:pPr>
        <w:rPr>
          <w:lang w:val="es-ES"/>
        </w:rPr>
      </w:pPr>
    </w:p>
    <w:p w14:paraId="01AB0C2E" w14:textId="77777777" w:rsidR="002442A0" w:rsidRPr="002D6116" w:rsidRDefault="00000000">
      <w:pPr>
        <w:spacing w:after="120"/>
        <w:jc w:val="both"/>
        <w:rPr>
          <w:rFonts w:cs="Arial"/>
          <w:sz w:val="22"/>
          <w:lang w:val="es-ES"/>
        </w:rPr>
      </w:pPr>
      <w:r w:rsidRPr="002D6116">
        <w:rPr>
          <w:rFonts w:cs="Arial"/>
          <w:sz w:val="22"/>
          <w:lang w:val="es-ES"/>
        </w:rPr>
        <w:t>En consideración a que los requisitos de habilitación fueron verificados durante la operación principal, para esta solicitud se adjuntarán únicamente los documentos previstos en el estudio previo de la Subred Sur:</w:t>
      </w:r>
    </w:p>
    <w:p w14:paraId="19FEDED6" w14:textId="77777777" w:rsidR="002442A0" w:rsidRPr="002D6116"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a)  Antecedentes judiciales:</w:t>
      </w:r>
      <w:r w:rsidRPr="002D6116">
        <w:rPr>
          <w:rFonts w:cs="Arial"/>
          <w:color w:val="000000" w:themeColor="text1"/>
          <w:sz w:val="22"/>
          <w:lang w:val="es-ES"/>
        </w:rPr>
        <w:t xml:space="preserve"> consulta de la Policía Nacional correspondiente al representante legal.</w:t>
      </w:r>
    </w:p>
    <w:p w14:paraId="61B76BF8" w14:textId="77777777" w:rsidR="002442A0" w:rsidRPr="002D6116"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b)  Antecedentes disciplinarios:</w:t>
      </w:r>
      <w:r w:rsidRPr="002D6116">
        <w:rPr>
          <w:rFonts w:cs="Arial"/>
          <w:color w:val="000000" w:themeColor="text1"/>
          <w:sz w:val="22"/>
          <w:lang w:val="es-ES"/>
        </w:rPr>
        <w:t xml:space="preserve"> certificados vigentes de la Procuraduría General de la Nación de la persona jurídica y de su representante legal.</w:t>
      </w:r>
    </w:p>
    <w:p w14:paraId="54B5EAB9" w14:textId="77777777" w:rsidR="002442A0" w:rsidRPr="002D6116"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c)  Antecedentes fiscales:</w:t>
      </w:r>
      <w:r w:rsidRPr="002D6116">
        <w:rPr>
          <w:rFonts w:cs="Arial"/>
          <w:color w:val="000000" w:themeColor="text1"/>
          <w:sz w:val="22"/>
          <w:lang w:val="es-ES"/>
        </w:rPr>
        <w:t xml:space="preserve"> certificados vigentes de la Contraloría General de la República de la persona jurídica y de su representante legal.</w:t>
      </w:r>
    </w:p>
    <w:p w14:paraId="61FAAF0B" w14:textId="77777777" w:rsidR="002442A0" w:rsidRPr="002D6116"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d)  Inhabilidades e incompatibilidades:</w:t>
      </w:r>
      <w:r w:rsidRPr="002D6116">
        <w:rPr>
          <w:rFonts w:cs="Arial"/>
          <w:color w:val="000000" w:themeColor="text1"/>
          <w:sz w:val="22"/>
          <w:lang w:val="es-ES"/>
        </w:rPr>
        <w:t xml:space="preserve"> certificación suscrita por el representante legal, bajo gravedad de juramento, respecto de él y de la persona jurídica que representa.</w:t>
      </w:r>
    </w:p>
    <w:p w14:paraId="691A3227" w14:textId="77777777" w:rsidR="002442A0"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e)  Propuesta económica:</w:t>
      </w:r>
      <w:r w:rsidRPr="002D6116">
        <w:rPr>
          <w:rFonts w:cs="Arial"/>
          <w:color w:val="000000" w:themeColor="text1"/>
          <w:sz w:val="22"/>
          <w:lang w:val="es-ES"/>
        </w:rPr>
        <w:t xml:space="preserve"> formato de cotización diligenciado y suscrito por el representante legal, con el detalle de precios unitarios, impuestos y valor total.</w:t>
      </w:r>
    </w:p>
    <w:p w14:paraId="7D2B9281" w14:textId="77777777" w:rsidR="002D6116" w:rsidRPr="002D6116" w:rsidRDefault="002D6116" w:rsidP="002D6116">
      <w:pPr>
        <w:pStyle w:val="Instruccion"/>
        <w:ind w:left="567" w:firstLine="0"/>
        <w:jc w:val="both"/>
        <w:rPr>
          <w:rFonts w:cs="Arial"/>
          <w:color w:val="000000" w:themeColor="text1"/>
          <w:sz w:val="22"/>
          <w:lang w:val="es-ES"/>
        </w:rPr>
      </w:pPr>
    </w:p>
    <w:p w14:paraId="2D02F75B" w14:textId="77777777" w:rsidR="002442A0" w:rsidRDefault="00000000">
      <w:pPr>
        <w:spacing w:after="120"/>
        <w:jc w:val="both"/>
        <w:rPr>
          <w:rFonts w:cs="Arial"/>
          <w:i/>
          <w:sz w:val="22"/>
          <w:lang w:val="es-ES"/>
        </w:rPr>
      </w:pPr>
      <w:r w:rsidRPr="002D6116">
        <w:rPr>
          <w:rFonts w:cs="Arial"/>
          <w:i/>
          <w:sz w:val="22"/>
          <w:lang w:val="es-ES"/>
        </w:rPr>
        <w:lastRenderedPageBreak/>
        <w:t>No se solicitará nuevamente, como requisito para presentar esta cotización, la documentación jurídica, financiera o de experiencia ya evaluada en la operación principal, sin perjuicio de las verificaciones y actualizaciones que legal o contractualmente correspondan para la celebración del contrato.</w:t>
      </w:r>
    </w:p>
    <w:p w14:paraId="675FE61F" w14:textId="77777777" w:rsidR="002D6116" w:rsidRPr="002D6116" w:rsidRDefault="002D6116">
      <w:pPr>
        <w:spacing w:after="120"/>
        <w:jc w:val="both"/>
        <w:rPr>
          <w:rFonts w:cs="Arial"/>
          <w:sz w:val="22"/>
          <w:lang w:val="es-ES"/>
        </w:rPr>
      </w:pPr>
    </w:p>
    <w:p w14:paraId="65D83B31" w14:textId="77777777" w:rsidR="002442A0" w:rsidRPr="002D6116" w:rsidRDefault="00000000" w:rsidP="002D6116">
      <w:pPr>
        <w:pStyle w:val="Ttulo2"/>
        <w:ind w:left="567"/>
        <w:rPr>
          <w:rFonts w:ascii="Arial" w:hAnsi="Arial" w:cs="Arial"/>
          <w:color w:val="000000" w:themeColor="text1"/>
          <w:sz w:val="22"/>
          <w:szCs w:val="22"/>
          <w:lang w:val="es-ES"/>
        </w:rPr>
      </w:pPr>
      <w:r w:rsidRPr="002D6116">
        <w:rPr>
          <w:rFonts w:ascii="Arial" w:hAnsi="Arial" w:cs="Arial"/>
          <w:color w:val="000000" w:themeColor="text1"/>
          <w:sz w:val="22"/>
          <w:szCs w:val="22"/>
          <w:lang w:val="es-ES"/>
        </w:rPr>
        <w:t>4. INDISPONIBILIDAD DE LA PLATAFORMA</w:t>
      </w:r>
    </w:p>
    <w:p w14:paraId="33D11283" w14:textId="77777777" w:rsidR="002D6116" w:rsidRPr="002D6116" w:rsidRDefault="002D6116" w:rsidP="002D6116">
      <w:pPr>
        <w:rPr>
          <w:lang w:val="es-ES"/>
        </w:rPr>
      </w:pPr>
    </w:p>
    <w:p w14:paraId="3363BE8A" w14:textId="3B44AF0A" w:rsidR="002442A0" w:rsidRPr="002D6116" w:rsidRDefault="002D6116" w:rsidP="002D6116">
      <w:pPr>
        <w:pStyle w:val="Instruccion"/>
        <w:ind w:left="567" w:firstLine="0"/>
        <w:jc w:val="both"/>
        <w:rPr>
          <w:rFonts w:cs="Arial"/>
          <w:color w:val="000000" w:themeColor="text1"/>
          <w:sz w:val="22"/>
          <w:lang w:val="es-ES"/>
        </w:rPr>
      </w:pPr>
      <w:r>
        <w:rPr>
          <w:rFonts w:cs="Arial"/>
          <w:b/>
          <w:color w:val="000000" w:themeColor="text1"/>
          <w:sz w:val="22"/>
          <w:lang w:val="es-ES"/>
        </w:rPr>
        <w:t xml:space="preserve">1. </w:t>
      </w:r>
      <w:r w:rsidR="00000000" w:rsidRPr="002D6116">
        <w:rPr>
          <w:rFonts w:cs="Arial"/>
          <w:b/>
          <w:color w:val="000000" w:themeColor="text1"/>
          <w:sz w:val="22"/>
          <w:lang w:val="es-ES"/>
        </w:rPr>
        <w:t xml:space="preserve">Contingencia de SECOP II. </w:t>
      </w:r>
      <w:r w:rsidR="00000000" w:rsidRPr="002D6116">
        <w:rPr>
          <w:rFonts w:cs="Arial"/>
          <w:color w:val="000000" w:themeColor="text1"/>
          <w:sz w:val="22"/>
          <w:lang w:val="es-ES"/>
        </w:rPr>
        <w:t>Si ocurre una falla de la plataforma durante el plazo de presentación, consultar y seguir el protocolo de indisponibilidad de Colombia Compra Eficiente y las comunicaciones oficiales de la Subred Sur. Conservar la constancia o certificado de indisponibilidad, las evidencias de la falla y el registro de los intentos de presentación.</w:t>
      </w:r>
    </w:p>
    <w:p w14:paraId="149171A7" w14:textId="6229142E" w:rsidR="002442A0" w:rsidRDefault="002D6116" w:rsidP="002D6116">
      <w:pPr>
        <w:pStyle w:val="Instruccion"/>
        <w:ind w:left="567" w:firstLine="0"/>
        <w:jc w:val="both"/>
        <w:rPr>
          <w:rFonts w:cs="Arial"/>
          <w:color w:val="000000" w:themeColor="text1"/>
          <w:sz w:val="22"/>
          <w:lang w:val="es-ES"/>
        </w:rPr>
      </w:pPr>
      <w:r>
        <w:rPr>
          <w:rFonts w:cs="Arial"/>
          <w:b/>
          <w:color w:val="000000" w:themeColor="text1"/>
          <w:sz w:val="22"/>
          <w:lang w:val="es-ES"/>
        </w:rPr>
        <w:t xml:space="preserve">2. </w:t>
      </w:r>
      <w:r w:rsidR="00000000" w:rsidRPr="002D6116">
        <w:rPr>
          <w:rFonts w:cs="Arial"/>
          <w:b/>
          <w:color w:val="000000" w:themeColor="text1"/>
          <w:sz w:val="22"/>
          <w:lang w:val="es-ES"/>
        </w:rPr>
        <w:t xml:space="preserve">Medios excepcionales. </w:t>
      </w:r>
      <w:r w:rsidR="00000000" w:rsidRPr="002D6116">
        <w:rPr>
          <w:rFonts w:cs="Arial"/>
          <w:color w:val="000000" w:themeColor="text1"/>
          <w:sz w:val="22"/>
          <w:lang w:val="es-ES"/>
        </w:rPr>
        <w:t>La remisión por un canal distinto de SECOP II únicamente podrá realizarse si la Subred Sur lo autoriza expresamente, por el medio y dentro del término que comunique oficialmente. No utilizar las direcciones de correo o autorizaciones expedidas por otras subredes.</w:t>
      </w:r>
    </w:p>
    <w:p w14:paraId="761C0704" w14:textId="77777777" w:rsidR="002D6116" w:rsidRPr="002D6116" w:rsidRDefault="002D6116" w:rsidP="002D6116">
      <w:pPr>
        <w:pStyle w:val="Instruccion"/>
        <w:ind w:left="567" w:firstLine="0"/>
        <w:jc w:val="both"/>
        <w:rPr>
          <w:rFonts w:cs="Arial"/>
          <w:color w:val="000000" w:themeColor="text1"/>
          <w:sz w:val="22"/>
          <w:lang w:val="es-ES"/>
        </w:rPr>
      </w:pPr>
    </w:p>
    <w:p w14:paraId="2AC1CC04" w14:textId="77777777" w:rsidR="002442A0" w:rsidRPr="002D6116" w:rsidRDefault="00000000" w:rsidP="002D6116">
      <w:pPr>
        <w:pStyle w:val="Ttulo2"/>
        <w:ind w:left="567"/>
        <w:rPr>
          <w:rFonts w:ascii="Arial" w:hAnsi="Arial" w:cs="Arial"/>
          <w:color w:val="000000" w:themeColor="text1"/>
          <w:sz w:val="22"/>
          <w:szCs w:val="22"/>
          <w:lang w:val="es-ES"/>
        </w:rPr>
      </w:pPr>
      <w:r w:rsidRPr="002D6116">
        <w:rPr>
          <w:rFonts w:ascii="Arial" w:hAnsi="Arial" w:cs="Arial"/>
          <w:color w:val="000000" w:themeColor="text1"/>
          <w:sz w:val="22"/>
          <w:szCs w:val="22"/>
          <w:lang w:val="es-ES"/>
        </w:rPr>
        <w:t>5. VERIFICACIÓN Y SELECCIÓN</w:t>
      </w:r>
    </w:p>
    <w:p w14:paraId="670E8C04" w14:textId="77777777" w:rsidR="002D6116" w:rsidRPr="002D6116" w:rsidRDefault="002D6116" w:rsidP="002D6116">
      <w:pPr>
        <w:rPr>
          <w:color w:val="000000" w:themeColor="text1"/>
          <w:lang w:val="es-ES"/>
        </w:rPr>
      </w:pPr>
    </w:p>
    <w:p w14:paraId="67BC7FB4" w14:textId="011DC25B" w:rsidR="002442A0" w:rsidRPr="002D6116"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1</w:t>
      </w:r>
      <w:r w:rsidR="002D6116" w:rsidRPr="002D6116">
        <w:rPr>
          <w:rFonts w:cs="Arial"/>
          <w:b/>
          <w:color w:val="000000" w:themeColor="text1"/>
          <w:sz w:val="22"/>
          <w:lang w:val="es-ES"/>
        </w:rPr>
        <w:t xml:space="preserve">. </w:t>
      </w:r>
      <w:r w:rsidRPr="002D6116">
        <w:rPr>
          <w:rFonts w:cs="Arial"/>
          <w:b/>
          <w:color w:val="000000" w:themeColor="text1"/>
          <w:sz w:val="22"/>
          <w:lang w:val="es-ES"/>
        </w:rPr>
        <w:t xml:space="preserve">Evaluación técnica y económica. </w:t>
      </w:r>
      <w:r w:rsidRPr="002D6116">
        <w:rPr>
          <w:rFonts w:cs="Arial"/>
          <w:color w:val="000000" w:themeColor="text1"/>
          <w:sz w:val="22"/>
          <w:lang w:val="es-ES"/>
        </w:rPr>
        <w:t>Una vez cierre el evento, la Subred Sur verificará las especificaciones técnicas, los documentos exigidos y los precios ofertados, incluido el análisis de posibles precios artificialmente bajos y la oportunidad del proveedor para sustentar su estructura de costos, cuando proceda.</w:t>
      </w:r>
    </w:p>
    <w:p w14:paraId="457C1CD1" w14:textId="7161A2E9" w:rsidR="002442A0" w:rsidRDefault="002D6116"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 xml:space="preserve">2. </w:t>
      </w:r>
      <w:r w:rsidR="00000000" w:rsidRPr="002D6116">
        <w:rPr>
          <w:rFonts w:cs="Arial"/>
          <w:b/>
          <w:color w:val="000000" w:themeColor="text1"/>
          <w:sz w:val="22"/>
          <w:lang w:val="es-ES"/>
        </w:rPr>
        <w:t xml:space="preserve">Selección de la cotización. </w:t>
      </w:r>
      <w:r w:rsidR="00000000" w:rsidRPr="002D6116">
        <w:rPr>
          <w:rFonts w:cs="Arial"/>
          <w:color w:val="000000" w:themeColor="text1"/>
          <w:sz w:val="22"/>
          <w:lang w:val="es-ES"/>
        </w:rPr>
        <w:t>De acuerdo con la cláusula séptima del Acuerdo Comercial, se seleccionará la cotización de menor precio o de mayor descuento, según la estructura del evento, entre las que cumplan las condiciones requeridas. La decisión se documentará mediante la justificación de compra y las verificaciones de inhabilidades, incompatibilidades, multas y sanciones. En caso de empate se aplicarán las reglas previstas en el Acuerdo.</w:t>
      </w:r>
    </w:p>
    <w:p w14:paraId="0F6E4F58" w14:textId="77777777" w:rsidR="002D6116" w:rsidRPr="002D6116" w:rsidRDefault="002D6116" w:rsidP="002D6116">
      <w:pPr>
        <w:pStyle w:val="Instruccion"/>
        <w:ind w:left="567" w:firstLine="0"/>
        <w:jc w:val="both"/>
        <w:rPr>
          <w:rFonts w:cs="Arial"/>
          <w:color w:val="000000" w:themeColor="text1"/>
          <w:sz w:val="22"/>
          <w:lang w:val="es-ES"/>
        </w:rPr>
      </w:pPr>
    </w:p>
    <w:p w14:paraId="456A6481" w14:textId="77777777" w:rsidR="002442A0" w:rsidRDefault="00000000" w:rsidP="002D6116">
      <w:pPr>
        <w:pStyle w:val="Ttulo2"/>
        <w:ind w:left="567"/>
        <w:rPr>
          <w:rFonts w:ascii="Arial" w:hAnsi="Arial" w:cs="Arial"/>
          <w:color w:val="000000" w:themeColor="text1"/>
          <w:sz w:val="22"/>
          <w:szCs w:val="22"/>
          <w:lang w:val="es-ES"/>
        </w:rPr>
      </w:pPr>
      <w:r w:rsidRPr="002D6116">
        <w:rPr>
          <w:rFonts w:ascii="Arial" w:hAnsi="Arial" w:cs="Arial"/>
          <w:color w:val="000000" w:themeColor="text1"/>
          <w:sz w:val="22"/>
          <w:szCs w:val="22"/>
          <w:lang w:val="es-ES"/>
        </w:rPr>
        <w:t>6. CONDICIONES DE EJECUCIÓN RELEVANTES</w:t>
      </w:r>
    </w:p>
    <w:p w14:paraId="0EAA95E1" w14:textId="77777777" w:rsidR="002D6116" w:rsidRPr="002D6116" w:rsidRDefault="002D6116" w:rsidP="002D6116">
      <w:pPr>
        <w:rPr>
          <w:lang w:val="es-ES"/>
        </w:rPr>
      </w:pPr>
    </w:p>
    <w:p w14:paraId="1D9E75E4" w14:textId="3BFE7D5B" w:rsidR="002442A0" w:rsidRPr="002D6116" w:rsidRDefault="00000000" w:rsidP="002D6116">
      <w:pPr>
        <w:pStyle w:val="Instruccion"/>
        <w:ind w:left="567" w:firstLine="0"/>
        <w:jc w:val="both"/>
        <w:rPr>
          <w:rFonts w:cs="Arial"/>
          <w:color w:val="000000" w:themeColor="text1"/>
          <w:sz w:val="22"/>
          <w:lang w:val="es-ES"/>
        </w:rPr>
      </w:pPr>
      <w:r w:rsidRPr="002D6116">
        <w:rPr>
          <w:rFonts w:cs="Arial"/>
          <w:b/>
          <w:color w:val="000000" w:themeColor="text1"/>
          <w:sz w:val="22"/>
          <w:lang w:val="es-ES"/>
        </w:rPr>
        <w:t>1</w:t>
      </w:r>
      <w:r w:rsidR="002D6116">
        <w:rPr>
          <w:rFonts w:cs="Arial"/>
          <w:b/>
          <w:color w:val="000000" w:themeColor="text1"/>
          <w:sz w:val="22"/>
          <w:lang w:val="es-ES"/>
        </w:rPr>
        <w:t xml:space="preserve">. </w:t>
      </w:r>
      <w:r w:rsidRPr="002D6116">
        <w:rPr>
          <w:rFonts w:cs="Arial"/>
          <w:b/>
          <w:color w:val="000000" w:themeColor="text1"/>
          <w:sz w:val="22"/>
          <w:lang w:val="es-ES"/>
        </w:rPr>
        <w:t xml:space="preserve">Plazo de entrega. </w:t>
      </w:r>
      <w:r w:rsidRPr="002D6116">
        <w:rPr>
          <w:rFonts w:cs="Arial"/>
          <w:color w:val="000000" w:themeColor="text1"/>
          <w:sz w:val="22"/>
          <w:lang w:val="es-ES"/>
        </w:rPr>
        <w:t>El proveedor seleccionado deberá suministrar los insumos en el plazo máximo de cinco (5) días calendario contado a partir de la solicitud de la supervisión, en las sedes y horarios indicados por la Subred Sur, conforme al estudio previo y al Acuerdo Comercial.</w:t>
      </w:r>
    </w:p>
    <w:p w14:paraId="631D7B2D" w14:textId="0874820A" w:rsidR="002442A0" w:rsidRDefault="002D6116" w:rsidP="002D6116">
      <w:pPr>
        <w:pStyle w:val="Instruccion"/>
        <w:ind w:left="567" w:firstLine="0"/>
        <w:jc w:val="both"/>
        <w:rPr>
          <w:rFonts w:cs="Arial"/>
          <w:color w:val="000000" w:themeColor="text1"/>
          <w:sz w:val="22"/>
          <w:lang w:val="es-ES"/>
        </w:rPr>
      </w:pPr>
      <w:r>
        <w:rPr>
          <w:rFonts w:cs="Arial"/>
          <w:b/>
          <w:color w:val="000000" w:themeColor="text1"/>
          <w:sz w:val="22"/>
          <w:lang w:val="es-ES"/>
        </w:rPr>
        <w:t xml:space="preserve">2. </w:t>
      </w:r>
      <w:r w:rsidR="00000000" w:rsidRPr="002D6116">
        <w:rPr>
          <w:rFonts w:cs="Arial"/>
          <w:b/>
          <w:color w:val="000000" w:themeColor="text1"/>
          <w:sz w:val="22"/>
          <w:lang w:val="es-ES"/>
        </w:rPr>
        <w:t xml:space="preserve">Documentos y pagos. </w:t>
      </w:r>
      <w:r w:rsidR="00000000" w:rsidRPr="002D6116">
        <w:rPr>
          <w:rFonts w:cs="Arial"/>
          <w:color w:val="000000" w:themeColor="text1"/>
          <w:sz w:val="22"/>
          <w:lang w:val="es-ES"/>
        </w:rPr>
        <w:t xml:space="preserve">La facturación y los pagos se tramitarán en los términos previstos en el contrato y el estudio previo de la Subred Sur, respecto de los bienes </w:t>
      </w:r>
      <w:r w:rsidR="00000000" w:rsidRPr="002D6116">
        <w:rPr>
          <w:rFonts w:cs="Arial"/>
          <w:color w:val="000000" w:themeColor="text1"/>
          <w:sz w:val="22"/>
          <w:lang w:val="es-ES"/>
        </w:rPr>
        <w:lastRenderedPageBreak/>
        <w:t>efectivamente entregados y recibidos a satisfacción, con los soportes de ejecución y de seguridad social que correspondan. No se incorporan a esta solicitud condiciones de pago, anticipos ni exigencias de apoyo tecnológico procedentes de formatos de otras subredes.</w:t>
      </w:r>
    </w:p>
    <w:p w14:paraId="4A8B008F" w14:textId="77777777" w:rsidR="002D6116" w:rsidRPr="002D6116" w:rsidRDefault="002D6116" w:rsidP="002D6116">
      <w:pPr>
        <w:pStyle w:val="Instruccion"/>
        <w:ind w:left="567" w:firstLine="0"/>
        <w:jc w:val="both"/>
        <w:rPr>
          <w:rFonts w:cs="Arial"/>
          <w:color w:val="000000" w:themeColor="text1"/>
          <w:sz w:val="22"/>
          <w:lang w:val="es-ES"/>
        </w:rPr>
      </w:pPr>
    </w:p>
    <w:p w14:paraId="7D0B54E5" w14:textId="77777777" w:rsidR="002442A0" w:rsidRDefault="00000000">
      <w:pPr>
        <w:spacing w:after="120"/>
        <w:jc w:val="both"/>
        <w:rPr>
          <w:rFonts w:cs="Arial"/>
          <w:color w:val="000000" w:themeColor="text1"/>
          <w:sz w:val="22"/>
          <w:lang w:val="es-ES"/>
        </w:rPr>
      </w:pPr>
      <w:r w:rsidRPr="002D6116">
        <w:rPr>
          <w:rFonts w:cs="Arial"/>
          <w:b/>
          <w:color w:val="000000" w:themeColor="text1"/>
          <w:sz w:val="22"/>
          <w:lang w:val="es-ES"/>
        </w:rPr>
        <w:t xml:space="preserve">PUBLICIDAD Y COMUNICACIONES: </w:t>
      </w:r>
      <w:r w:rsidRPr="002D6116">
        <w:rPr>
          <w:rFonts w:cs="Arial"/>
          <w:color w:val="000000" w:themeColor="text1"/>
          <w:sz w:val="22"/>
          <w:lang w:val="es-ES"/>
        </w:rPr>
        <w:t>El cronograma, las observaciones, las comunicaciones y los documentos oficiales de la operación secundaria estarán disponibles en SECOP II, conforme al evento que publique la Subred Sur.</w:t>
      </w:r>
    </w:p>
    <w:p w14:paraId="7B861AF5" w14:textId="77777777" w:rsidR="002D6116" w:rsidRPr="002D6116" w:rsidRDefault="002D6116">
      <w:pPr>
        <w:spacing w:after="120"/>
        <w:jc w:val="both"/>
        <w:rPr>
          <w:rFonts w:cs="Arial"/>
          <w:color w:val="000000" w:themeColor="text1"/>
          <w:sz w:val="22"/>
          <w:lang w:val="es-ES"/>
        </w:rPr>
      </w:pPr>
    </w:p>
    <w:p w14:paraId="36C4D672" w14:textId="77777777" w:rsidR="002442A0" w:rsidRPr="002D6116" w:rsidRDefault="00000000">
      <w:pPr>
        <w:spacing w:after="0"/>
        <w:jc w:val="center"/>
        <w:rPr>
          <w:rFonts w:cs="Arial"/>
          <w:color w:val="000000" w:themeColor="text1"/>
          <w:sz w:val="22"/>
          <w:lang w:val="es-ES"/>
        </w:rPr>
      </w:pPr>
      <w:r w:rsidRPr="002D6116">
        <w:rPr>
          <w:rFonts w:cs="Arial"/>
          <w:b/>
          <w:color w:val="000000" w:themeColor="text1"/>
          <w:sz w:val="22"/>
          <w:lang w:val="es-ES"/>
        </w:rPr>
        <w:t>SUBRED INTEGRADA DE SERVICIOS DE SALUD SUR E.S.E.</w:t>
      </w:r>
    </w:p>
    <w:sectPr w:rsidR="002442A0" w:rsidRPr="002D6116" w:rsidSect="002D6116">
      <w:headerReference w:type="default" r:id="rId8"/>
      <w:footerReference w:type="default" r:id="rId9"/>
      <w:pgSz w:w="12240" w:h="15840"/>
      <w:pgMar w:top="1417" w:right="1701" w:bottom="1417" w:left="1701" w:header="346" w:footer="47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461DC0" w14:textId="77777777" w:rsidR="009B526D" w:rsidRDefault="009B526D">
      <w:pPr>
        <w:spacing w:after="0" w:line="240" w:lineRule="auto"/>
      </w:pPr>
      <w:r>
        <w:separator/>
      </w:r>
    </w:p>
  </w:endnote>
  <w:endnote w:type="continuationSeparator" w:id="0">
    <w:p w14:paraId="117F75EE" w14:textId="77777777" w:rsidR="009B526D" w:rsidRDefault="009B5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87D618" w14:textId="65D549BB" w:rsidR="002442A0" w:rsidRDefault="002442A0">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B5D5C4" w14:textId="77777777" w:rsidR="009B526D" w:rsidRDefault="009B526D">
      <w:pPr>
        <w:spacing w:after="0" w:line="240" w:lineRule="auto"/>
      </w:pPr>
      <w:r>
        <w:separator/>
      </w:r>
    </w:p>
  </w:footnote>
  <w:footnote w:type="continuationSeparator" w:id="0">
    <w:p w14:paraId="7C50022A" w14:textId="77777777" w:rsidR="009B526D" w:rsidRDefault="009B5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905AE6" w14:textId="77777777" w:rsidR="002442A0" w:rsidRDefault="002442A0">
    <w:pPr>
      <w:pStyle w:val="Encabezado"/>
    </w:pPr>
  </w:p>
  <w:tbl>
    <w:tblPr>
      <w:tblW w:w="0" w:type="auto"/>
      <w:jc w:val="center"/>
      <w:tblBorders>
        <w:top w:val="single" w:sz="10" w:space="0" w:color="455464"/>
        <w:left w:val="single" w:sz="10" w:space="0" w:color="455464"/>
        <w:bottom w:val="single" w:sz="10" w:space="0" w:color="455464"/>
        <w:right w:val="single" w:sz="10" w:space="0" w:color="455464"/>
        <w:insideH w:val="single" w:sz="10" w:space="0" w:color="455464"/>
        <w:insideV w:val="single" w:sz="10" w:space="0" w:color="455464"/>
      </w:tblBorders>
      <w:tblLayout w:type="fixed"/>
      <w:tblLook w:val="04A0" w:firstRow="1" w:lastRow="0" w:firstColumn="1" w:lastColumn="0" w:noHBand="0" w:noVBand="1"/>
    </w:tblPr>
    <w:tblGrid>
      <w:gridCol w:w="1411"/>
      <w:gridCol w:w="6653"/>
      <w:gridCol w:w="1987"/>
    </w:tblGrid>
    <w:tr w:rsidR="002442A0" w14:paraId="6D7309A4" w14:textId="77777777">
      <w:trPr>
        <w:jc w:val="center"/>
      </w:trPr>
      <w:tc>
        <w:tcPr>
          <w:tcW w:w="1411" w:type="dxa"/>
          <w:vMerge w:val="restart"/>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11FC0545" w14:textId="77777777" w:rsidR="002442A0" w:rsidRDefault="00000000">
          <w:pPr>
            <w:spacing w:after="0"/>
            <w:jc w:val="center"/>
          </w:pPr>
          <w:r>
            <w:rPr>
              <w:noProof/>
            </w:rPr>
            <w:drawing>
              <wp:inline distT="0" distB="0" distL="0" distR="0" wp14:anchorId="55EAA0DC" wp14:editId="2529EC4B">
                <wp:extent cx="704088" cy="6232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bred_sur_image1.png"/>
                        <pic:cNvPicPr/>
                      </pic:nvPicPr>
                      <pic:blipFill>
                        <a:blip r:embed="rId1"/>
                        <a:stretch>
                          <a:fillRect/>
                        </a:stretch>
                      </pic:blipFill>
                      <pic:spPr>
                        <a:xfrm>
                          <a:off x="0" y="0"/>
                          <a:ext cx="704088" cy="623291"/>
                        </a:xfrm>
                        <a:prstGeom prst="rect">
                          <a:avLst/>
                        </a:prstGeom>
                      </pic:spPr>
                    </pic:pic>
                  </a:graphicData>
                </a:graphic>
              </wp:inline>
            </w:drawing>
          </w:r>
        </w:p>
      </w:tc>
      <w:tc>
        <w:tcPr>
          <w:tcW w:w="6653"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0C62E822" w14:textId="77777777" w:rsidR="002442A0" w:rsidRPr="002D6116" w:rsidRDefault="00000000">
          <w:pPr>
            <w:spacing w:after="0" w:line="250" w:lineRule="auto"/>
            <w:jc w:val="center"/>
            <w:rPr>
              <w:b/>
              <w:color w:val="000000" w:themeColor="text1"/>
            </w:rPr>
          </w:pPr>
          <w:r w:rsidRPr="002D6116">
            <w:rPr>
              <w:b/>
              <w:color w:val="000000" w:themeColor="text1"/>
              <w:sz w:val="17"/>
            </w:rPr>
            <w:t>SUBRED INTEGRADA DE SERVICIOS DE SALUD SUR E.S.E.</w:t>
          </w:r>
        </w:p>
      </w:tc>
      <w:tc>
        <w:tcPr>
          <w:tcW w:w="1987"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49701F71" w14:textId="3A12C165" w:rsidR="002442A0" w:rsidRDefault="00000000" w:rsidP="002D6116">
          <w:pPr>
            <w:spacing w:after="0" w:line="245" w:lineRule="auto"/>
          </w:pPr>
          <w:r>
            <w:rPr>
              <w:sz w:val="14"/>
            </w:rPr>
            <w:t>VERSIÓN: ____</w:t>
          </w:r>
          <w:r w:rsidR="002D6116">
            <w:rPr>
              <w:sz w:val="14"/>
            </w:rPr>
            <w:t>_________</w:t>
          </w:r>
        </w:p>
      </w:tc>
    </w:tr>
    <w:tr w:rsidR="002442A0" w14:paraId="4CB362A4" w14:textId="77777777">
      <w:trPr>
        <w:jc w:val="center"/>
      </w:trPr>
      <w:tc>
        <w:tcPr>
          <w:tcW w:w="1411" w:type="dxa"/>
          <w:vMerge/>
        </w:tcPr>
        <w:p w14:paraId="7145BF61" w14:textId="77777777" w:rsidR="002442A0" w:rsidRDefault="002442A0"/>
      </w:tc>
      <w:tc>
        <w:tcPr>
          <w:tcW w:w="6653"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1BCBCE2C" w14:textId="77777777" w:rsidR="002442A0" w:rsidRPr="002D6116" w:rsidRDefault="00000000">
          <w:pPr>
            <w:spacing w:after="0" w:line="245" w:lineRule="auto"/>
            <w:jc w:val="center"/>
            <w:rPr>
              <w:b/>
              <w:color w:val="000000" w:themeColor="text1"/>
            </w:rPr>
          </w:pPr>
          <w:r w:rsidRPr="002D6116">
            <w:rPr>
              <w:b/>
              <w:color w:val="000000" w:themeColor="text1"/>
              <w:sz w:val="17"/>
            </w:rPr>
            <w:t>INSTRUCCIONES PARA PRESENTAR OFERTAS</w:t>
          </w:r>
        </w:p>
      </w:tc>
      <w:tc>
        <w:tcPr>
          <w:tcW w:w="1987"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74B1310B" w14:textId="6DF309A4" w:rsidR="002442A0" w:rsidRDefault="00000000" w:rsidP="002D6116">
          <w:pPr>
            <w:spacing w:after="0" w:line="245" w:lineRule="auto"/>
          </w:pPr>
          <w:r>
            <w:rPr>
              <w:sz w:val="14"/>
            </w:rPr>
            <w:t>FECHA DE APROBACIÓN:</w:t>
          </w:r>
          <w:r>
            <w:rPr>
              <w:sz w:val="14"/>
            </w:rPr>
            <w:br/>
            <w:t>________________</w:t>
          </w:r>
          <w:r w:rsidR="002D6116">
            <w:rPr>
              <w:sz w:val="14"/>
            </w:rPr>
            <w:t>______</w:t>
          </w:r>
        </w:p>
      </w:tc>
    </w:tr>
    <w:tr w:rsidR="002442A0" w14:paraId="0134F3CA" w14:textId="77777777">
      <w:trPr>
        <w:jc w:val="center"/>
      </w:trPr>
      <w:tc>
        <w:tcPr>
          <w:tcW w:w="1411" w:type="dxa"/>
          <w:vMerge/>
        </w:tcPr>
        <w:p w14:paraId="18DBF9C8" w14:textId="77777777" w:rsidR="002442A0" w:rsidRDefault="002442A0"/>
      </w:tc>
      <w:tc>
        <w:tcPr>
          <w:tcW w:w="6653"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4A0A3D14" w14:textId="646FB9FA" w:rsidR="002442A0" w:rsidRPr="002D6116" w:rsidRDefault="00000000">
          <w:pPr>
            <w:spacing w:after="0" w:line="245" w:lineRule="auto"/>
            <w:jc w:val="center"/>
            <w:rPr>
              <w:b/>
              <w:color w:val="000000" w:themeColor="text1"/>
            </w:rPr>
          </w:pPr>
          <w:r w:rsidRPr="002D6116">
            <w:rPr>
              <w:b/>
              <w:color w:val="000000" w:themeColor="text1"/>
              <w:sz w:val="16"/>
            </w:rPr>
            <w:t>ACUERDO COMERCIAL CP-001-</w:t>
          </w:r>
          <w:r w:rsidR="002D6116" w:rsidRPr="002D6116">
            <w:rPr>
              <w:b/>
              <w:color w:val="000000" w:themeColor="text1"/>
              <w:sz w:val="16"/>
            </w:rPr>
            <w:t>2026 | GRUPO</w:t>
          </w:r>
          <w:r w:rsidRPr="002D6116">
            <w:rPr>
              <w:b/>
              <w:color w:val="000000" w:themeColor="text1"/>
              <w:sz w:val="16"/>
            </w:rPr>
            <w:t xml:space="preserve"> No. 6</w:t>
          </w:r>
        </w:p>
      </w:tc>
      <w:tc>
        <w:tcPr>
          <w:tcW w:w="1987"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05D616CA" w14:textId="5E345867" w:rsidR="002442A0" w:rsidRDefault="00000000" w:rsidP="002D6116">
          <w:pPr>
            <w:spacing w:after="0" w:line="245" w:lineRule="auto"/>
          </w:pPr>
          <w:r>
            <w:rPr>
              <w:sz w:val="14"/>
            </w:rPr>
            <w:t>CÓDIGO: __________</w:t>
          </w:r>
          <w:r w:rsidR="002D6116">
            <w:rPr>
              <w:sz w:val="14"/>
            </w:rPr>
            <w:t>____</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3CD74953"/>
    <w:multiLevelType w:val="hybridMultilevel"/>
    <w:tmpl w:val="09EC1C00"/>
    <w:lvl w:ilvl="0" w:tplc="724E7488">
      <w:start w:val="1"/>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0" w15:restartNumberingAfterBreak="0">
    <w:nsid w:val="694245BF"/>
    <w:multiLevelType w:val="hybridMultilevel"/>
    <w:tmpl w:val="8D6625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858202106">
    <w:abstractNumId w:val="8"/>
  </w:num>
  <w:num w:numId="2" w16cid:durableId="1420833812">
    <w:abstractNumId w:val="6"/>
  </w:num>
  <w:num w:numId="3" w16cid:durableId="1115713477">
    <w:abstractNumId w:val="5"/>
  </w:num>
  <w:num w:numId="4" w16cid:durableId="1634365431">
    <w:abstractNumId w:val="4"/>
  </w:num>
  <w:num w:numId="5" w16cid:durableId="1246723962">
    <w:abstractNumId w:val="7"/>
  </w:num>
  <w:num w:numId="6" w16cid:durableId="624384743">
    <w:abstractNumId w:val="3"/>
  </w:num>
  <w:num w:numId="7" w16cid:durableId="377053905">
    <w:abstractNumId w:val="2"/>
  </w:num>
  <w:num w:numId="8" w16cid:durableId="2090273066">
    <w:abstractNumId w:val="1"/>
  </w:num>
  <w:num w:numId="9" w16cid:durableId="1028288799">
    <w:abstractNumId w:val="0"/>
  </w:num>
  <w:num w:numId="10" w16cid:durableId="108822501">
    <w:abstractNumId w:val="10"/>
  </w:num>
  <w:num w:numId="11" w16cid:durableId="1249846238">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442A0"/>
    <w:rsid w:val="0029639D"/>
    <w:rsid w:val="002D6116"/>
    <w:rsid w:val="00326F90"/>
    <w:rsid w:val="0055396E"/>
    <w:rsid w:val="009B526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DAB9F6"/>
  <w14:defaultImageDpi w14:val="300"/>
  <w15:docId w15:val="{FAB1F459-4AC9-8641-9066-D7085C892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64" w:lineRule="auto"/>
    </w:pPr>
    <w:rPr>
      <w:rFonts w:ascii="Arial" w:hAnsi="Arial"/>
      <w:color w:val="20252A"/>
      <w:sz w:val="18"/>
    </w:rPr>
  </w:style>
  <w:style w:type="paragraph" w:styleId="Ttulo1">
    <w:name w:val="heading 1"/>
    <w:basedOn w:val="Normal"/>
    <w:next w:val="Normal"/>
    <w:link w:val="Ttulo1Car"/>
    <w:uiPriority w:val="9"/>
    <w:qFormat/>
    <w:rsid w:val="00FC693F"/>
    <w:pPr>
      <w:keepNext/>
      <w:keepLines/>
      <w:spacing w:before="220"/>
      <w:outlineLvl w:val="0"/>
    </w:pPr>
    <w:rPr>
      <w:rFonts w:asciiTheme="majorHAnsi" w:eastAsiaTheme="majorEastAsia" w:hAnsiTheme="majorHAnsi" w:cstheme="majorBidi"/>
      <w:b/>
      <w:bCs/>
      <w:color w:val="173C63"/>
      <w:sz w:val="20"/>
      <w:szCs w:val="28"/>
    </w:rPr>
  </w:style>
  <w:style w:type="paragraph" w:styleId="Ttulo2">
    <w:name w:val="heading 2"/>
    <w:basedOn w:val="Normal"/>
    <w:next w:val="Normal"/>
    <w:link w:val="Ttulo2Car"/>
    <w:uiPriority w:val="9"/>
    <w:unhideWhenUsed/>
    <w:qFormat/>
    <w:rsid w:val="00FC693F"/>
    <w:pPr>
      <w:keepNext/>
      <w:keepLines/>
      <w:spacing w:before="220"/>
      <w:outlineLvl w:val="1"/>
    </w:pPr>
    <w:rPr>
      <w:rFonts w:asciiTheme="majorHAnsi" w:eastAsiaTheme="majorEastAsia" w:hAnsiTheme="majorHAnsi" w:cstheme="majorBidi"/>
      <w:b/>
      <w:bCs/>
      <w:color w:val="173C63"/>
      <w:sz w:val="20"/>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ObligacionNumero">
    <w:name w:val="ObligacionNumero"/>
    <w:basedOn w:val="Normal"/>
    <w:pPr>
      <w:spacing w:after="120" w:line="262" w:lineRule="auto"/>
      <w:ind w:left="374" w:hanging="374"/>
    </w:pPr>
  </w:style>
  <w:style w:type="paragraph" w:customStyle="1" w:styleId="Instruccion">
    <w:name w:val="Instruccion"/>
    <w:basedOn w:val="Normal"/>
    <w:pPr>
      <w:ind w:left="418" w:hanging="41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1155</Words>
  <Characters>6355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7496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presentar ofertas SECOP II - Subred Sur - CP-001-2026</dc:title>
  <dc:subject>Operación secundaria Grupo 6 insumos de toma de muestras</dc:subject>
  <dc:creator>Subred Integrada de Servicios de Salud Sur E.S.E.</dc:creator>
  <cp:keywords/>
  <dc:description>generated by python-docx</dc:description>
  <cp:lastModifiedBy>luis fernando arenas</cp:lastModifiedBy>
  <cp:revision>2</cp:revision>
  <dcterms:created xsi:type="dcterms:W3CDTF">2026-09-27T01:17:00Z</dcterms:created>
  <dcterms:modified xsi:type="dcterms:W3CDTF">2026-09-27T01:17:00Z</dcterms:modified>
  <cp:category/>
</cp:coreProperties>
</file>