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W w:w="0" w:type="auto"/>
        <w:tblInd w:w="-5" w:type="dxa"/>
        <w:tblLook w:val="04A0" w:firstRow="1" w:lastRow="0" w:firstColumn="1" w:lastColumn="0" w:noHBand="0" w:noVBand="1"/>
      </w:tblPr>
      <w:tblGrid>
        <w:gridCol w:w="3510"/>
        <w:gridCol w:w="5323"/>
      </w:tblGrid>
      <w:tr w:rsidR="003E40DB" w:rsidRPr="006E1110" w14:paraId="48D68D03" w14:textId="77777777" w:rsidTr="00A75464">
        <w:tc>
          <w:tcPr>
            <w:tcW w:w="3510" w:type="dxa"/>
          </w:tcPr>
          <w:p w14:paraId="75044756" w14:textId="77777777" w:rsidR="003E40DB" w:rsidRPr="006E1110" w:rsidRDefault="003E40DB" w:rsidP="006E1110">
            <w:pPr>
              <w:pStyle w:val="Default"/>
              <w:jc w:val="both"/>
              <w:rPr>
                <w:rFonts w:ascii="Arial Narrow" w:hAnsi="Arial Narrow"/>
                <w:b/>
                <w:color w:val="auto"/>
                <w:sz w:val="22"/>
                <w:szCs w:val="22"/>
              </w:rPr>
            </w:pPr>
            <w:r w:rsidRPr="006E1110">
              <w:rPr>
                <w:rFonts w:ascii="Arial Narrow" w:hAnsi="Arial Narrow"/>
                <w:b/>
                <w:color w:val="auto"/>
                <w:sz w:val="22"/>
                <w:szCs w:val="22"/>
              </w:rPr>
              <w:t>FECHA DEL ESTUDIO</w:t>
            </w:r>
          </w:p>
        </w:tc>
        <w:sdt>
          <w:sdtPr>
            <w:rPr>
              <w:rFonts w:ascii="Arial Narrow" w:hAnsi="Arial Narrow"/>
              <w:color w:val="auto"/>
              <w:sz w:val="22"/>
              <w:szCs w:val="22"/>
            </w:rPr>
            <w:id w:val="709843641"/>
            <w:placeholder>
              <w:docPart w:val="DefaultPlaceholder_-1854013437"/>
            </w:placeholder>
            <w:date>
              <w:dateFormat w:val="dddd, d 'de' MMMM 'de' yyyy"/>
              <w:lid w:val="es-CO"/>
              <w:storeMappedDataAs w:val="dateTime"/>
              <w:calendar w:val="gregorian"/>
            </w:date>
          </w:sdtPr>
          <w:sdtContent>
            <w:tc>
              <w:tcPr>
                <w:tcW w:w="5323" w:type="dxa"/>
              </w:tcPr>
              <w:p w14:paraId="403192B9" w14:textId="4555990D" w:rsidR="003E40DB" w:rsidRPr="006E1110" w:rsidRDefault="00B327D2" w:rsidP="006E1110">
                <w:pPr>
                  <w:pStyle w:val="Default"/>
                  <w:jc w:val="both"/>
                  <w:rPr>
                    <w:rFonts w:ascii="Arial Narrow" w:hAnsi="Arial Narrow"/>
                    <w:color w:val="auto"/>
                    <w:sz w:val="22"/>
                    <w:szCs w:val="22"/>
                  </w:rPr>
                </w:pPr>
                <w:r w:rsidRPr="006E1110">
                  <w:rPr>
                    <w:rFonts w:ascii="Arial Narrow" w:hAnsi="Arial Narrow"/>
                    <w:color w:val="auto"/>
                    <w:sz w:val="22"/>
                    <w:szCs w:val="22"/>
                  </w:rPr>
                  <w:t>jueves, 15 de octubre de 2026</w:t>
                </w:r>
              </w:p>
            </w:tc>
          </w:sdtContent>
        </w:sdt>
      </w:tr>
      <w:tr w:rsidR="003E40DB" w:rsidRPr="006E1110" w14:paraId="2C28A172" w14:textId="77777777" w:rsidTr="00A75464">
        <w:tc>
          <w:tcPr>
            <w:tcW w:w="3510" w:type="dxa"/>
          </w:tcPr>
          <w:p w14:paraId="69EC82B4" w14:textId="77777777" w:rsidR="003E40DB" w:rsidRPr="006E1110" w:rsidRDefault="003E40DB" w:rsidP="006E1110">
            <w:pPr>
              <w:pStyle w:val="Default"/>
              <w:jc w:val="both"/>
              <w:rPr>
                <w:rFonts w:ascii="Arial Narrow" w:hAnsi="Arial Narrow"/>
                <w:b/>
                <w:color w:val="auto"/>
                <w:sz w:val="22"/>
                <w:szCs w:val="22"/>
              </w:rPr>
            </w:pPr>
            <w:r w:rsidRPr="006E1110">
              <w:rPr>
                <w:rFonts w:ascii="Arial Narrow" w:hAnsi="Arial Narrow"/>
                <w:b/>
                <w:color w:val="auto"/>
                <w:sz w:val="22"/>
                <w:szCs w:val="22"/>
              </w:rPr>
              <w:t>MODALIDAD DE CONTRATACION</w:t>
            </w:r>
          </w:p>
        </w:tc>
        <w:tc>
          <w:tcPr>
            <w:tcW w:w="5323" w:type="dxa"/>
          </w:tcPr>
          <w:p w14:paraId="315F32B2" w14:textId="1EEEADC6" w:rsidR="003E40DB" w:rsidRPr="006E1110" w:rsidRDefault="00A75464" w:rsidP="006E1110">
            <w:pPr>
              <w:jc w:val="both"/>
              <w:rPr>
                <w:rFonts w:ascii="Arial Narrow" w:hAnsi="Arial Narrow"/>
              </w:rPr>
            </w:pPr>
            <w:sdt>
              <w:sdtPr>
                <w:rPr>
                  <w:rFonts w:ascii="Arial Narrow" w:hAnsi="Arial Narrow" w:cs="Times New Roman"/>
                </w:rPr>
                <w:id w:val="-1779403093"/>
                <w:placeholder>
                  <w:docPart w:val="9CBB3C94C03C41C49C3BC78A0A59158D"/>
                </w:placeholder>
                <w:dropDownList>
                  <w:listItem w:value="Elija un elemento."/>
                  <w:listItem w:displayText="Seleccion Abrevidad de Menor cuantia" w:value="Seleccion Abrevidad de Menor cuantia"/>
                  <w:listItem w:displayText="Seleccion Abreviada subasta inversa Presencial" w:value="Seleccion Abreviada subasta inversa Presencial"/>
                  <w:listItem w:displayText="Minima Cuantia" w:value="Minima Cuantia"/>
                  <w:listItem w:displayText="Licitacion Publica" w:value="Licitacion Publica"/>
                  <w:listItem w:displayText="Concurso de Meritos" w:value="Concurso de Meritos"/>
                </w:dropDownList>
              </w:sdtPr>
              <w:sdtContent>
                <w:r w:rsidR="00B327D2" w:rsidRPr="006E1110">
                  <w:rPr>
                    <w:rFonts w:ascii="Arial Narrow" w:hAnsi="Arial Narrow" w:cs="Times New Roman"/>
                  </w:rPr>
                  <w:t>Minima Cuantia</w:t>
                </w:r>
              </w:sdtContent>
            </w:sdt>
          </w:p>
        </w:tc>
      </w:tr>
      <w:tr w:rsidR="003E40DB" w:rsidRPr="006E1110" w14:paraId="6C457D5C" w14:textId="77777777" w:rsidTr="00A75464">
        <w:tc>
          <w:tcPr>
            <w:tcW w:w="3510" w:type="dxa"/>
          </w:tcPr>
          <w:p w14:paraId="2DC65088" w14:textId="77777777" w:rsidR="003E40DB" w:rsidRPr="006E1110" w:rsidRDefault="003E40DB" w:rsidP="006E1110">
            <w:pPr>
              <w:pStyle w:val="Default"/>
              <w:jc w:val="both"/>
              <w:rPr>
                <w:rFonts w:ascii="Arial Narrow" w:hAnsi="Arial Narrow"/>
                <w:b/>
                <w:color w:val="auto"/>
                <w:sz w:val="22"/>
                <w:szCs w:val="22"/>
              </w:rPr>
            </w:pPr>
            <w:r w:rsidRPr="006E1110">
              <w:rPr>
                <w:rFonts w:ascii="Arial Narrow" w:hAnsi="Arial Narrow"/>
                <w:b/>
                <w:color w:val="auto"/>
                <w:sz w:val="22"/>
                <w:szCs w:val="22"/>
              </w:rPr>
              <w:t>OBJETO DEL CONTRATO</w:t>
            </w:r>
          </w:p>
        </w:tc>
        <w:tc>
          <w:tcPr>
            <w:tcW w:w="5323" w:type="dxa"/>
          </w:tcPr>
          <w:p w14:paraId="2C0C3B23" w14:textId="56D11B67" w:rsidR="003E40DB" w:rsidRPr="006E1110" w:rsidRDefault="00B327D2" w:rsidP="006E1110">
            <w:pPr>
              <w:pStyle w:val="Default"/>
              <w:jc w:val="both"/>
              <w:rPr>
                <w:rFonts w:ascii="Arial Narrow" w:hAnsi="Arial Narrow"/>
                <w:sz w:val="22"/>
                <w:szCs w:val="22"/>
              </w:rPr>
            </w:pPr>
            <w:r w:rsidRPr="006E1110">
              <w:rPr>
                <w:rFonts w:ascii="Arial Narrow" w:eastAsia="Arial Narrow" w:hAnsi="Arial Narrow" w:cs="Arial Narrow"/>
                <w:b/>
                <w:sz w:val="22"/>
                <w:szCs w:val="22"/>
              </w:rPr>
              <w:t>ADECUACIÓN DE LOS PUNTOS CONCERTADOS DESTINADOS A LA TOMA DE MUESTRAS DE AGUA POTABLE DEL SISTEMA DE ACUEDUCTO DEL MUNICIPIO DE GACHALÁ, CUNDINAMARCA, CONFORME A LO ESTABLECIDO EN LA RESOLUCIÓN 2115 DE 2007 Y DEMÁS NORMATIVIDAD VIGENTE, EN EL MARCO DE LA PRESTACIÓN DEL SERVICIO PÚBLICO DOMICILIARIO DE ACUEDUCTO</w:t>
            </w:r>
          </w:p>
        </w:tc>
      </w:tr>
      <w:tr w:rsidR="003E40DB" w:rsidRPr="006E1110" w14:paraId="66F4F589" w14:textId="77777777" w:rsidTr="00A75464">
        <w:tc>
          <w:tcPr>
            <w:tcW w:w="3510" w:type="dxa"/>
          </w:tcPr>
          <w:p w14:paraId="40E735D9" w14:textId="77777777" w:rsidR="003E40DB" w:rsidRPr="006E1110" w:rsidRDefault="003E40DB" w:rsidP="006E1110">
            <w:pPr>
              <w:pStyle w:val="Default"/>
              <w:jc w:val="both"/>
              <w:rPr>
                <w:rFonts w:ascii="Arial Narrow" w:hAnsi="Arial Narrow"/>
                <w:b/>
                <w:color w:val="auto"/>
                <w:sz w:val="22"/>
                <w:szCs w:val="22"/>
              </w:rPr>
            </w:pPr>
            <w:r w:rsidRPr="006E1110">
              <w:rPr>
                <w:rFonts w:ascii="Arial Narrow" w:hAnsi="Arial Narrow"/>
                <w:b/>
                <w:color w:val="auto"/>
                <w:sz w:val="22"/>
                <w:szCs w:val="22"/>
              </w:rPr>
              <w:t xml:space="preserve">AREA RESPONSABLE </w:t>
            </w:r>
          </w:p>
        </w:tc>
        <w:tc>
          <w:tcPr>
            <w:tcW w:w="5323" w:type="dxa"/>
          </w:tcPr>
          <w:p w14:paraId="01099064" w14:textId="422E9360" w:rsidR="003E40DB" w:rsidRPr="006E1110" w:rsidRDefault="00A75464" w:rsidP="006E1110">
            <w:pPr>
              <w:pStyle w:val="Default"/>
              <w:jc w:val="both"/>
              <w:rPr>
                <w:rFonts w:ascii="Arial Narrow" w:hAnsi="Arial Narrow"/>
                <w:color w:val="auto"/>
                <w:sz w:val="22"/>
                <w:szCs w:val="22"/>
              </w:rPr>
            </w:pPr>
            <w:sdt>
              <w:sdtPr>
                <w:rPr>
                  <w:rFonts w:ascii="Arial Narrow" w:eastAsia="Dotum" w:hAnsi="Arial Narrow" w:cs="Arial"/>
                  <w:sz w:val="22"/>
                  <w:szCs w:val="22"/>
                </w:rPr>
                <w:alias w:val="Cargo"/>
                <w:tag w:val="Cargo"/>
                <w:id w:val="720560600"/>
                <w:dropDownList>
                  <w:listItem w:value="Elija un elemento."/>
                  <w:listItem w:displayText="Secretario General y de Gobierno" w:value="Secretario General y de Gobierno"/>
                  <w:listItem w:displayText="Secretario de Planeación y Control Interno" w:value="Secretario de Planeación y Control Interno"/>
                  <w:listItem w:displayText="Secretario de Desarrollo Económico, Comunitario y Ambiental" w:value="Secretario de Desarrollo Económico, Comunitario y Ambiental"/>
                  <w:listItem w:displayText="Secretaria de Desarrollo Social" w:value="Secretaria de Desarrollo Social"/>
                  <w:listItem w:displayText="Secretaria de Hacienda" w:value="Secretaria de Hacienda"/>
                  <w:listItem w:displayText="Jefe de la Oficina de Servicios Públicos Domiciliarios" w:value="Jefe de la Oficina de Servicios Públicos Domiciliarios"/>
                  <w:listItem w:displayText="Secretario de Infraestructura" w:value="Secretario de Infraestructura"/>
                  <w:listItem w:displayText="Almcenista General" w:value="Almcenista General"/>
                </w:dropDownList>
              </w:sdtPr>
              <w:sdtContent>
                <w:r w:rsidR="00B327D2" w:rsidRPr="006E1110">
                  <w:rPr>
                    <w:rFonts w:ascii="Arial Narrow" w:eastAsia="Dotum" w:hAnsi="Arial Narrow" w:cs="Arial"/>
                    <w:sz w:val="22"/>
                    <w:szCs w:val="22"/>
                  </w:rPr>
                  <w:t>Jefe de la Oficina de Servicios Públicos Domiciliarios</w:t>
                </w:r>
              </w:sdtContent>
            </w:sdt>
          </w:p>
        </w:tc>
      </w:tr>
    </w:tbl>
    <w:p w14:paraId="57E7830E" w14:textId="77777777" w:rsidR="00F63DE6" w:rsidRPr="006E1110" w:rsidRDefault="00F63DE6" w:rsidP="006E1110">
      <w:pPr>
        <w:spacing w:after="0" w:line="240" w:lineRule="auto"/>
        <w:jc w:val="both"/>
        <w:rPr>
          <w:rFonts w:ascii="Arial Narrow" w:hAnsi="Arial Narrow"/>
        </w:rPr>
      </w:pPr>
    </w:p>
    <w:p w14:paraId="165361AE" w14:textId="4522A229" w:rsidR="003E40DB" w:rsidRPr="006E1110" w:rsidRDefault="003E40DB" w:rsidP="006E1110">
      <w:pPr>
        <w:spacing w:after="0" w:line="240" w:lineRule="auto"/>
        <w:jc w:val="both"/>
        <w:rPr>
          <w:rFonts w:ascii="Arial Narrow" w:hAnsi="Arial Narrow" w:cs="Times New Roman"/>
          <w:color w:val="FF0000"/>
        </w:rPr>
      </w:pPr>
      <w:r w:rsidRPr="006E1110">
        <w:rPr>
          <w:rFonts w:ascii="Arial Narrow" w:hAnsi="Arial Narrow" w:cs="Times New Roman"/>
        </w:rPr>
        <w:t xml:space="preserve">En cumplimiento de lo previsto en el artículo 2.2.1.1.1.6.1 del Decreto 1082 de 2015, que dispone que las entidades estatales, en la etapa de planeación, deben realizar un análisis para conocer el sector relativo al objeto que se pretende contratar, y siguiendo las indicaciones dadas por la Agencia Nacional Colombia Compra Eficiente mediante instructivo publicado en el SECOP; la </w:t>
      </w:r>
      <w:r w:rsidRPr="006E1110">
        <w:rPr>
          <w:rFonts w:ascii="Arial Narrow" w:hAnsi="Arial Narrow" w:cs="Times New Roman"/>
          <w:b/>
          <w:bCs/>
        </w:rPr>
        <w:t>Alcaldía Municipal de Gachalá</w:t>
      </w:r>
      <w:r w:rsidRPr="006E1110">
        <w:rPr>
          <w:rFonts w:ascii="Arial Narrow" w:hAnsi="Arial Narrow" w:cs="Times New Roman"/>
        </w:rPr>
        <w:t xml:space="preserve">, elaboró el presente estudio del sector como un mecanismo de planificación contractual. Este documento tiene como objetivo brindar la información suficiente para la contratación del servicio requerido para el </w:t>
      </w:r>
      <w:r w:rsidR="009F2EE7" w:rsidRPr="006E1110">
        <w:rPr>
          <w:rFonts w:ascii="Arial Narrow" w:hAnsi="Arial Narrow" w:cs="Times New Roman"/>
        </w:rPr>
        <w:t xml:space="preserve">presente </w:t>
      </w:r>
      <w:r w:rsidRPr="006E1110">
        <w:rPr>
          <w:rFonts w:ascii="Arial Narrow" w:hAnsi="Arial Narrow" w:cs="Times New Roman"/>
        </w:rPr>
        <w:t>proceso de contratación</w:t>
      </w:r>
      <w:r w:rsidR="009F2EE7" w:rsidRPr="006E1110">
        <w:rPr>
          <w:rFonts w:ascii="Arial Narrow" w:hAnsi="Arial Narrow" w:cs="Times New Roman"/>
        </w:rPr>
        <w:t>.</w:t>
      </w:r>
      <w:r w:rsidRPr="006E1110">
        <w:rPr>
          <w:rFonts w:ascii="Arial Narrow" w:hAnsi="Arial Narrow" w:cs="Times New Roman"/>
          <w:color w:val="FF0000"/>
        </w:rPr>
        <w:t xml:space="preserve"> </w:t>
      </w:r>
    </w:p>
    <w:p w14:paraId="17D713CD" w14:textId="77777777" w:rsidR="003E40DB" w:rsidRPr="006E1110" w:rsidRDefault="003E40DB" w:rsidP="006E1110">
      <w:pPr>
        <w:spacing w:after="0" w:line="240" w:lineRule="auto"/>
        <w:jc w:val="both"/>
        <w:rPr>
          <w:rFonts w:ascii="Arial Narrow" w:hAnsi="Arial Narrow" w:cs="Times New Roman"/>
        </w:rPr>
      </w:pPr>
    </w:p>
    <w:p w14:paraId="311F4CCE" w14:textId="77777777" w:rsidR="003E40DB" w:rsidRPr="006E1110" w:rsidRDefault="003E40DB" w:rsidP="006E1110">
      <w:pPr>
        <w:spacing w:after="0" w:line="240" w:lineRule="auto"/>
        <w:jc w:val="both"/>
        <w:rPr>
          <w:rFonts w:ascii="Arial Narrow" w:hAnsi="Arial Narrow" w:cs="Times New Roman"/>
        </w:rPr>
      </w:pPr>
      <w:r w:rsidRPr="006E1110">
        <w:rPr>
          <w:rFonts w:ascii="Arial Narrow" w:hAnsi="Arial Narrow" w:cs="Times New Roman"/>
        </w:rPr>
        <w:t>El análisis contenido en este estudio se desarrolla en cumplimiento de los lineamientos normativos y con base en las mejores prácticas de contratación pública. Se exploran los siguientes aspectos:</w:t>
      </w:r>
    </w:p>
    <w:p w14:paraId="18D2508E" w14:textId="77777777" w:rsidR="003E40DB" w:rsidRPr="006E1110" w:rsidRDefault="003E40DB" w:rsidP="006E1110">
      <w:pPr>
        <w:spacing w:after="0" w:line="240" w:lineRule="auto"/>
        <w:jc w:val="both"/>
        <w:rPr>
          <w:rFonts w:ascii="Arial Narrow" w:hAnsi="Arial Narrow" w:cs="Times New Roman"/>
        </w:rPr>
      </w:pPr>
    </w:p>
    <w:p w14:paraId="576929A2" w14:textId="77777777" w:rsidR="003E40DB" w:rsidRPr="006E1110" w:rsidRDefault="003E40DB" w:rsidP="006E1110">
      <w:pPr>
        <w:spacing w:after="0" w:line="240" w:lineRule="auto"/>
        <w:jc w:val="both"/>
        <w:rPr>
          <w:rFonts w:ascii="Arial Narrow" w:hAnsi="Arial Narrow" w:cs="Times New Roman"/>
        </w:rPr>
      </w:pPr>
      <w:r w:rsidRPr="006E1110">
        <w:rPr>
          <w:rFonts w:ascii="Arial Narrow" w:hAnsi="Arial Narrow" w:cs="Times New Roman"/>
          <w:b/>
          <w:bCs/>
        </w:rPr>
        <w:t>Contexto Normativo y Regulatorio:</w:t>
      </w:r>
      <w:r w:rsidRPr="006E1110">
        <w:rPr>
          <w:rFonts w:ascii="Arial Narrow" w:hAnsi="Arial Narrow" w:cs="Times New Roman"/>
        </w:rPr>
        <w:t xml:space="preserve"> Se examinan las disposiciones legales aplicables, incluyendo los requisitos habilitantes exigidos a los proponentes y la reglamentación vigente relacionada con el tipo de servicio a contratar.</w:t>
      </w:r>
    </w:p>
    <w:p w14:paraId="786F01B7" w14:textId="77777777" w:rsidR="003E40DB" w:rsidRPr="006E1110" w:rsidRDefault="003E40DB" w:rsidP="006E1110">
      <w:pPr>
        <w:spacing w:after="0" w:line="240" w:lineRule="auto"/>
        <w:jc w:val="both"/>
        <w:rPr>
          <w:rFonts w:ascii="Arial Narrow" w:hAnsi="Arial Narrow" w:cs="Times New Roman"/>
        </w:rPr>
      </w:pPr>
      <w:r w:rsidRPr="006E1110">
        <w:rPr>
          <w:rFonts w:ascii="Arial Narrow" w:hAnsi="Arial Narrow" w:cs="Times New Roman"/>
          <w:b/>
          <w:bCs/>
        </w:rPr>
        <w:t>Análisis de Mercado:</w:t>
      </w:r>
      <w:r w:rsidRPr="006E1110">
        <w:rPr>
          <w:rFonts w:ascii="Arial Narrow" w:hAnsi="Arial Narrow" w:cs="Times New Roman"/>
        </w:rPr>
        <w:t xml:space="preserve"> Se identifica la oferta disponible en el mercado local y regional, evaluando la capacidad de los proveedores para satisfacer las necesidades del contrato.</w:t>
      </w:r>
    </w:p>
    <w:p w14:paraId="55A1CFD3" w14:textId="77777777" w:rsidR="003E40DB" w:rsidRPr="006E1110" w:rsidRDefault="003E40DB" w:rsidP="006E1110">
      <w:pPr>
        <w:spacing w:after="0" w:line="240" w:lineRule="auto"/>
        <w:jc w:val="both"/>
        <w:rPr>
          <w:rFonts w:ascii="Arial Narrow" w:hAnsi="Arial Narrow" w:cs="Times New Roman"/>
        </w:rPr>
      </w:pPr>
      <w:r w:rsidRPr="006E1110">
        <w:rPr>
          <w:rFonts w:ascii="Arial Narrow" w:hAnsi="Arial Narrow" w:cs="Times New Roman"/>
          <w:b/>
          <w:bCs/>
        </w:rPr>
        <w:t>Riesgos Asociados al Proceso:</w:t>
      </w:r>
      <w:r w:rsidRPr="006E1110">
        <w:rPr>
          <w:rFonts w:ascii="Arial Narrow" w:hAnsi="Arial Narrow" w:cs="Times New Roman"/>
        </w:rPr>
        <w:t xml:space="preserve"> Se describen los principales riesgos que podrían impactar la ejecución del contrato, así como las estrategias de mitigación propuestas.</w:t>
      </w:r>
    </w:p>
    <w:p w14:paraId="3BAEC5B8" w14:textId="77777777" w:rsidR="003E40DB" w:rsidRPr="006E1110" w:rsidRDefault="003E40DB" w:rsidP="006E1110">
      <w:pPr>
        <w:spacing w:after="0" w:line="240" w:lineRule="auto"/>
        <w:jc w:val="both"/>
        <w:rPr>
          <w:rFonts w:ascii="Arial Narrow" w:hAnsi="Arial Narrow" w:cs="Times New Roman"/>
        </w:rPr>
      </w:pPr>
      <w:r w:rsidRPr="006E1110">
        <w:rPr>
          <w:rFonts w:ascii="Arial Narrow" w:hAnsi="Arial Narrow" w:cs="Times New Roman"/>
          <w:b/>
          <w:bCs/>
        </w:rPr>
        <w:t>Justificación del Presupuesto:</w:t>
      </w:r>
      <w:r w:rsidRPr="006E1110">
        <w:rPr>
          <w:rFonts w:ascii="Arial Narrow" w:hAnsi="Arial Narrow" w:cs="Times New Roman"/>
        </w:rPr>
        <w:t xml:space="preserve"> Se realiza una estimación detallada del presupuesto necesario, en función de los precios de mercado y la experiencia en procesos contractuales similares.</w:t>
      </w:r>
    </w:p>
    <w:p w14:paraId="53DBFE89" w14:textId="02FAA213" w:rsidR="003E40DB" w:rsidRPr="006E1110" w:rsidRDefault="003E40DB" w:rsidP="006E1110">
      <w:pPr>
        <w:spacing w:after="0" w:line="240" w:lineRule="auto"/>
        <w:jc w:val="both"/>
        <w:rPr>
          <w:rFonts w:ascii="Arial Narrow" w:hAnsi="Arial Narrow" w:cs="Times New Roman"/>
        </w:rPr>
      </w:pPr>
      <w:r w:rsidRPr="006E1110">
        <w:rPr>
          <w:rFonts w:ascii="Arial Narrow" w:hAnsi="Arial Narrow" w:cs="Times New Roman"/>
          <w:b/>
          <w:bCs/>
        </w:rPr>
        <w:t>Impacto y Relevancia:</w:t>
      </w:r>
      <w:r w:rsidRPr="006E1110">
        <w:rPr>
          <w:rFonts w:ascii="Arial Narrow" w:hAnsi="Arial Narrow" w:cs="Times New Roman"/>
        </w:rPr>
        <w:t xml:space="preserve"> Se explica la importancia de la audiencia pública como mecanismo de rendición de cuentas y participación ciudadana, alineada con los principios de transparencia y eficiencia.</w:t>
      </w:r>
    </w:p>
    <w:p w14:paraId="7AE70030" w14:textId="77777777" w:rsidR="00B327D2" w:rsidRPr="006E1110" w:rsidRDefault="00B327D2" w:rsidP="006E1110">
      <w:pPr>
        <w:spacing w:after="0" w:line="240" w:lineRule="auto"/>
        <w:jc w:val="both"/>
        <w:rPr>
          <w:rFonts w:ascii="Arial Narrow" w:hAnsi="Arial Narrow" w:cs="Times New Roman"/>
        </w:rPr>
      </w:pPr>
    </w:p>
    <w:p w14:paraId="39C0AC08" w14:textId="77777777" w:rsidR="003E40DB" w:rsidRPr="006E1110" w:rsidRDefault="003E40DB" w:rsidP="006E1110">
      <w:pPr>
        <w:spacing w:after="0" w:line="240" w:lineRule="auto"/>
        <w:jc w:val="both"/>
        <w:rPr>
          <w:rFonts w:ascii="Arial Narrow" w:hAnsi="Arial Narrow" w:cs="Times New Roman"/>
        </w:rPr>
      </w:pPr>
      <w:r w:rsidRPr="006E1110">
        <w:rPr>
          <w:rFonts w:ascii="Arial Narrow" w:hAnsi="Arial Narrow" w:cs="Times New Roman"/>
        </w:rPr>
        <w:t>Este estudio pretende garantizar que el proceso de contratación se lleve a cabo de manera eficiente y en cumplimiento de los objetivos estratégicos de la Alcaldía Municipal de Gachalá. Además, se asegura que los proveedores cumplan con los más altos estándares de calidad, contribuyendo al desarrollo sostenible y social del municipio.</w:t>
      </w:r>
    </w:p>
    <w:p w14:paraId="2F9475B7" w14:textId="77777777" w:rsidR="003E40DB" w:rsidRPr="006E1110" w:rsidRDefault="003E40DB" w:rsidP="006E1110">
      <w:pPr>
        <w:spacing w:after="0" w:line="240" w:lineRule="auto"/>
        <w:jc w:val="both"/>
        <w:rPr>
          <w:rFonts w:ascii="Arial Narrow" w:hAnsi="Arial Narrow" w:cs="Times New Roman"/>
        </w:rPr>
      </w:pPr>
    </w:p>
    <w:p w14:paraId="6D74B9E8" w14:textId="6DAC48C0" w:rsidR="003E40DB" w:rsidRPr="006E1110" w:rsidRDefault="003E40DB" w:rsidP="006E1110">
      <w:pPr>
        <w:spacing w:after="0" w:line="240" w:lineRule="auto"/>
        <w:jc w:val="both"/>
        <w:rPr>
          <w:rFonts w:ascii="Arial Narrow" w:eastAsia="Times New Roman" w:hAnsi="Arial Narrow" w:cs="Times New Roman"/>
          <w:b/>
          <w:bCs/>
        </w:rPr>
      </w:pPr>
      <w:r w:rsidRPr="006E1110">
        <w:rPr>
          <w:rFonts w:ascii="Arial Narrow" w:eastAsia="Times New Roman" w:hAnsi="Arial Narrow" w:cs="Times New Roman"/>
          <w:b/>
          <w:bCs/>
        </w:rPr>
        <w:t>ASPECTOS GENERALES DEL MERCADO:</w:t>
      </w:r>
    </w:p>
    <w:p w14:paraId="2FD514BD" w14:textId="77777777" w:rsidR="00857893" w:rsidRPr="006E1110" w:rsidRDefault="00857893" w:rsidP="006E1110">
      <w:pPr>
        <w:spacing w:after="0" w:line="240" w:lineRule="auto"/>
        <w:jc w:val="both"/>
        <w:rPr>
          <w:rFonts w:ascii="Arial Narrow" w:eastAsia="Times New Roman" w:hAnsi="Arial Narrow" w:cs="Times New Roman"/>
          <w:b/>
          <w:bCs/>
        </w:rPr>
      </w:pPr>
    </w:p>
    <w:p w14:paraId="320CDD9D" w14:textId="77777777" w:rsidR="003E40DB" w:rsidRPr="006E1110" w:rsidRDefault="003E40DB" w:rsidP="006E1110">
      <w:pPr>
        <w:spacing w:after="0" w:line="240" w:lineRule="auto"/>
        <w:jc w:val="both"/>
        <w:rPr>
          <w:rFonts w:ascii="Arial Narrow" w:eastAsia="Times New Roman" w:hAnsi="Arial Narrow"/>
        </w:rPr>
      </w:pPr>
      <w:r w:rsidRPr="006E1110">
        <w:rPr>
          <w:rFonts w:ascii="Arial Narrow" w:eastAsia="Times New Roman" w:hAnsi="Arial Narrow"/>
        </w:rPr>
        <w:t>El presente análisis del sector económico se plantea en cumplimiento del Decreto Único Reglamentario del Sector Administrativo de Planeación Nacional 1082 de 26 de mayo de 2015, el cual en su artículo 2.2.1.1.1.6.1. dispone que las entidades estatales, durante la etapa de planeación, deben realizar el análisis necesario para conocer el sector relativo al objeto del proceso de contratación desde las perspectivas legal, comercial, financiera, organizacional, técnica y de análisis de riesgo. Además, la Organización de Cooperación y de Desarrollo Económico (OCDE) ha formulado recomendaciones al Gobierno Nacional sobre la importancia del análisis del sector en los procesos de contratación pública, destacando su papel en la promoción de buenas prácticas, la transparencia y la competencia leal en la contratación.</w:t>
      </w:r>
    </w:p>
    <w:p w14:paraId="049F150E" w14:textId="77777777" w:rsidR="002B434B" w:rsidRPr="006E1110" w:rsidRDefault="002B434B" w:rsidP="006E1110">
      <w:pPr>
        <w:spacing w:after="0" w:line="240" w:lineRule="auto"/>
        <w:jc w:val="both"/>
        <w:rPr>
          <w:rFonts w:ascii="Arial Narrow" w:eastAsia="Times New Roman" w:hAnsi="Arial Narrow"/>
        </w:rPr>
      </w:pPr>
    </w:p>
    <w:p w14:paraId="329E8BE7" w14:textId="77777777" w:rsidR="003E40DB" w:rsidRPr="006E1110" w:rsidRDefault="003E40DB" w:rsidP="006E1110">
      <w:pPr>
        <w:spacing w:after="0" w:line="240" w:lineRule="auto"/>
        <w:jc w:val="both"/>
        <w:rPr>
          <w:rFonts w:ascii="Arial Narrow" w:eastAsia="Times New Roman" w:hAnsi="Arial Narrow"/>
        </w:rPr>
      </w:pPr>
      <w:r w:rsidRPr="006E1110">
        <w:rPr>
          <w:rFonts w:ascii="Arial Narrow" w:eastAsia="Times New Roman" w:hAnsi="Arial Narrow"/>
        </w:rPr>
        <w:t>En este contexto, el conocimiento del sector implica dimensionar, desde una perspectiva económica, el comportamiento y dinámica de las variables macroeconómicas (Producto Interno Bruto – PIB, inflación, ocupación y desempleo, tasa de cambio, niveles de inversión, cuentas externas, situación fiscal, deuda pública, entre otras) y microeconómicas (composición y desempeño del sector servicios, entre otros). Además, incluye el estudio detallado de la oferta y la demanda, complementado con un análisis técnico y legal asociado a los proyectos por adelantar. Este enfoque holístico asegura una adecuada planeación y ejecución del objeto contractual, fortaleciendo los principios de eficiencia y sostenibilidad en la contratación pública.</w:t>
      </w:r>
    </w:p>
    <w:p w14:paraId="75187C91" w14:textId="77777777" w:rsidR="006D2249" w:rsidRPr="006E1110" w:rsidRDefault="006D2249" w:rsidP="006E1110">
      <w:pPr>
        <w:spacing w:after="0" w:line="240" w:lineRule="auto"/>
        <w:jc w:val="both"/>
        <w:rPr>
          <w:rFonts w:ascii="Arial Narrow" w:hAnsi="Arial Narrow" w:cs="Times New Roman"/>
          <w:b/>
        </w:rPr>
      </w:pPr>
    </w:p>
    <w:p w14:paraId="07ECD97D" w14:textId="03692E0E" w:rsidR="003E40DB" w:rsidRPr="006E1110" w:rsidRDefault="003E40DB" w:rsidP="006E1110">
      <w:pPr>
        <w:spacing w:after="0" w:line="240" w:lineRule="auto"/>
        <w:jc w:val="both"/>
        <w:rPr>
          <w:rFonts w:ascii="Arial Narrow" w:hAnsi="Arial Narrow" w:cs="Times New Roman"/>
          <w:b/>
        </w:rPr>
      </w:pPr>
      <w:r w:rsidRPr="006E1110">
        <w:rPr>
          <w:rFonts w:ascii="Arial Narrow" w:hAnsi="Arial Narrow" w:cs="Times New Roman"/>
          <w:b/>
        </w:rPr>
        <w:t xml:space="preserve">IMPORTANCIA DEL SECTOR. </w:t>
      </w:r>
    </w:p>
    <w:p w14:paraId="21E648D6" w14:textId="77777777" w:rsidR="006D2249" w:rsidRPr="006E1110" w:rsidRDefault="006D2249" w:rsidP="006E1110">
      <w:pPr>
        <w:spacing w:after="0" w:line="240" w:lineRule="auto"/>
        <w:jc w:val="both"/>
        <w:rPr>
          <w:rFonts w:ascii="Arial Narrow" w:hAnsi="Arial Narrow" w:cs="Times New Roman"/>
        </w:rPr>
      </w:pPr>
    </w:p>
    <w:p w14:paraId="1AE59AFA" w14:textId="476FAA55" w:rsidR="003E40DB" w:rsidRPr="006E1110" w:rsidRDefault="003E40DB" w:rsidP="006E1110">
      <w:pPr>
        <w:spacing w:after="0" w:line="240" w:lineRule="auto"/>
        <w:jc w:val="both"/>
        <w:rPr>
          <w:rFonts w:ascii="Arial Narrow" w:hAnsi="Arial Narrow" w:cs="Times New Roman"/>
        </w:rPr>
      </w:pPr>
      <w:r w:rsidRPr="006E1110">
        <w:rPr>
          <w:rFonts w:ascii="Arial Narrow" w:hAnsi="Arial Narrow" w:cs="Times New Roman"/>
        </w:rPr>
        <w:t xml:space="preserve">Para adelantar el respectivo estudio, se tomó como referente consultas en las siguientes páginas web: </w:t>
      </w:r>
    </w:p>
    <w:p w14:paraId="7A285C85" w14:textId="77777777" w:rsidR="006D2249" w:rsidRPr="006E1110" w:rsidRDefault="006D2249" w:rsidP="006E1110">
      <w:pPr>
        <w:spacing w:after="0" w:line="240" w:lineRule="auto"/>
        <w:jc w:val="both"/>
        <w:rPr>
          <w:rFonts w:ascii="Arial Narrow" w:hAnsi="Arial Narrow" w:cs="Times New Roman"/>
        </w:rPr>
      </w:pPr>
    </w:p>
    <w:p w14:paraId="75772ECD" w14:textId="77777777" w:rsidR="003E40DB" w:rsidRPr="006E1110" w:rsidRDefault="003E40DB" w:rsidP="006E1110">
      <w:pPr>
        <w:spacing w:after="0" w:line="240" w:lineRule="auto"/>
        <w:jc w:val="both"/>
        <w:rPr>
          <w:rFonts w:ascii="Arial Narrow" w:hAnsi="Arial Narrow" w:cs="Times New Roman"/>
        </w:rPr>
      </w:pPr>
      <w:r w:rsidRPr="006E1110">
        <w:rPr>
          <w:rFonts w:ascii="Arial Narrow" w:hAnsi="Arial Narrow" w:cs="Times New Roman"/>
        </w:rPr>
        <w:t>Portal Colombia compra eficiente SECOP (</w:t>
      </w:r>
      <w:hyperlink r:id="rId7" w:history="1">
        <w:r w:rsidRPr="006E1110">
          <w:rPr>
            <w:rFonts w:ascii="Arial Narrow" w:hAnsi="Arial Narrow" w:cs="Times New Roman"/>
            <w:color w:val="0000FF"/>
            <w:u w:val="single"/>
          </w:rPr>
          <w:t>www.colombiacompra.gov.co</w:t>
        </w:r>
      </w:hyperlink>
      <w:r w:rsidRPr="006E1110">
        <w:rPr>
          <w:rFonts w:ascii="Arial Narrow" w:hAnsi="Arial Narrow" w:cs="Times New Roman"/>
        </w:rPr>
        <w:t>).</w:t>
      </w:r>
    </w:p>
    <w:p w14:paraId="784B6156" w14:textId="77777777" w:rsidR="003E40DB" w:rsidRPr="006E1110" w:rsidRDefault="003E40DB" w:rsidP="006E1110">
      <w:pPr>
        <w:spacing w:after="0" w:line="240" w:lineRule="auto"/>
        <w:jc w:val="both"/>
        <w:rPr>
          <w:rFonts w:ascii="Arial Narrow" w:hAnsi="Arial Narrow" w:cs="Times New Roman"/>
        </w:rPr>
      </w:pPr>
      <w:r w:rsidRPr="006E1110">
        <w:rPr>
          <w:rFonts w:ascii="Arial Narrow" w:hAnsi="Arial Narrow" w:cs="Times New Roman"/>
        </w:rPr>
        <w:t>Departamento Administrativo Nacional de Estadística DANE (</w:t>
      </w:r>
      <w:hyperlink r:id="rId8" w:history="1">
        <w:r w:rsidRPr="006E1110">
          <w:rPr>
            <w:rFonts w:ascii="Arial Narrow" w:hAnsi="Arial Narrow" w:cs="Times New Roman"/>
            <w:color w:val="0000FF"/>
            <w:u w:val="single"/>
          </w:rPr>
          <w:t>www.dane.gov.co</w:t>
        </w:r>
      </w:hyperlink>
      <w:r w:rsidRPr="006E1110">
        <w:rPr>
          <w:rFonts w:ascii="Arial Narrow" w:hAnsi="Arial Narrow" w:cs="Times New Roman"/>
        </w:rPr>
        <w:t>).</w:t>
      </w:r>
    </w:p>
    <w:p w14:paraId="7EE20B9C" w14:textId="77777777" w:rsidR="003E40DB" w:rsidRPr="006E1110" w:rsidRDefault="003E40DB" w:rsidP="006E1110">
      <w:pPr>
        <w:spacing w:after="0" w:line="240" w:lineRule="auto"/>
        <w:jc w:val="both"/>
        <w:rPr>
          <w:rFonts w:ascii="Arial Narrow" w:hAnsi="Arial Narrow" w:cs="Times New Roman"/>
        </w:rPr>
      </w:pPr>
    </w:p>
    <w:p w14:paraId="40E46B1D" w14:textId="77777777" w:rsidR="003E40DB" w:rsidRPr="006E1110" w:rsidRDefault="003E40DB" w:rsidP="006E1110">
      <w:pPr>
        <w:spacing w:after="0" w:line="240" w:lineRule="auto"/>
        <w:jc w:val="both"/>
        <w:rPr>
          <w:rFonts w:ascii="Arial Narrow" w:hAnsi="Arial Narrow" w:cs="Times New Roman"/>
        </w:rPr>
      </w:pPr>
      <w:r w:rsidRPr="006E1110">
        <w:rPr>
          <w:rFonts w:ascii="Arial Narrow" w:hAnsi="Arial Narrow" w:cs="Times New Roman"/>
        </w:rPr>
        <w:t>SIREM de la Superintendencia de Sociedades (www.supersociedades.gov.co) Lo anterior, con el objetivo de tomar como referencia los profesionales como personas naturales o empresas que participan activamente en procesos de contratación, con similar objeto, modalidad de selección, presupuesto asignado, plazo y lugar de ejecución</w:t>
      </w:r>
    </w:p>
    <w:p w14:paraId="02ADBEE1" w14:textId="77777777" w:rsidR="00F23286" w:rsidRPr="006E1110" w:rsidRDefault="00F23286" w:rsidP="006E1110">
      <w:pPr>
        <w:spacing w:after="0" w:line="240" w:lineRule="auto"/>
        <w:jc w:val="both"/>
        <w:rPr>
          <w:rFonts w:ascii="Arial Narrow" w:hAnsi="Arial Narrow" w:cs="Times New Roman"/>
        </w:rPr>
      </w:pPr>
    </w:p>
    <w:p w14:paraId="39B14C54" w14:textId="1D8D9F28" w:rsidR="002C72A3" w:rsidRPr="006E1110" w:rsidRDefault="00630B7A" w:rsidP="006E1110">
      <w:pPr>
        <w:spacing w:after="0" w:line="240" w:lineRule="auto"/>
        <w:jc w:val="both"/>
        <w:rPr>
          <w:rFonts w:ascii="Arial Narrow" w:eastAsia="Times New Roman" w:hAnsi="Arial Narrow" w:cs="Times New Roman"/>
        </w:rPr>
      </w:pPr>
      <w:r w:rsidRPr="006E1110">
        <w:rPr>
          <w:rFonts w:ascii="Arial Narrow" w:eastAsia="Times New Roman" w:hAnsi="Arial Narrow" w:cs="Times New Roman"/>
        </w:rPr>
        <w:t>El sector económico objeto de estudio</w:t>
      </w:r>
      <w:r w:rsidR="00265DD0" w:rsidRPr="006E1110">
        <w:rPr>
          <w:rFonts w:ascii="Arial Narrow" w:eastAsia="Times New Roman" w:hAnsi="Arial Narrow" w:cs="Times New Roman"/>
        </w:rPr>
        <w:t>:</w:t>
      </w:r>
    </w:p>
    <w:p w14:paraId="09209648" w14:textId="77777777" w:rsidR="00F23286" w:rsidRPr="006E1110" w:rsidRDefault="00F23286" w:rsidP="006E1110">
      <w:pPr>
        <w:spacing w:after="0" w:line="240" w:lineRule="auto"/>
        <w:jc w:val="both"/>
        <w:rPr>
          <w:rFonts w:ascii="Arial Narrow" w:hAnsi="Arial Narrow"/>
        </w:rPr>
      </w:pPr>
    </w:p>
    <w:p w14:paraId="3518E765" w14:textId="77777777" w:rsidR="00265DD0" w:rsidRPr="006E1110" w:rsidRDefault="00265DD0" w:rsidP="006E1110">
      <w:pPr>
        <w:spacing w:after="0" w:line="240" w:lineRule="auto"/>
        <w:jc w:val="both"/>
        <w:rPr>
          <w:rFonts w:ascii="Arial Narrow" w:hAnsi="Arial Narrow"/>
        </w:rPr>
      </w:pPr>
      <w:r w:rsidRPr="006E1110">
        <w:rPr>
          <w:rFonts w:ascii="Arial Narrow" w:hAnsi="Arial Narrow"/>
        </w:rPr>
        <w:t>El objeto del presente proceso —la adecuación de los puntos concertados destinados a la toma de muestras de agua potable del sistema de acueducto del municipio— corresponde al sector económico de la construcción, específicamente al subsector de obras de ingeniería civil asociadas a proyectos de servicio público (acueducto y saneamiento básico) y a las actividades de adecuación y mantenimiento de infraestructura. A continuación, se presenta el análisis del sector en los ámbitos nacional y territorial en el cual se encuentra la actividad a contratar.</w:t>
      </w:r>
    </w:p>
    <w:p w14:paraId="4E7BBD5C" w14:textId="77777777" w:rsidR="00265DD0" w:rsidRPr="006E1110" w:rsidRDefault="00265DD0" w:rsidP="006E1110">
      <w:pPr>
        <w:spacing w:after="0" w:line="240" w:lineRule="auto"/>
        <w:jc w:val="both"/>
        <w:rPr>
          <w:rFonts w:ascii="Arial Narrow" w:hAnsi="Arial Narrow"/>
          <w:b/>
          <w:bCs/>
        </w:rPr>
      </w:pPr>
    </w:p>
    <w:p w14:paraId="1771DE04" w14:textId="0BE56C28" w:rsidR="00265DD0" w:rsidRPr="006E1110" w:rsidRDefault="00265DD0" w:rsidP="006E1110">
      <w:pPr>
        <w:pStyle w:val="Prrafodelista"/>
        <w:numPr>
          <w:ilvl w:val="0"/>
          <w:numId w:val="12"/>
        </w:numPr>
        <w:spacing w:after="0" w:line="240" w:lineRule="auto"/>
        <w:ind w:left="0" w:firstLine="0"/>
        <w:jc w:val="both"/>
        <w:rPr>
          <w:rFonts w:ascii="Arial Narrow" w:hAnsi="Arial Narrow"/>
          <w:b/>
          <w:bCs/>
        </w:rPr>
      </w:pPr>
      <w:r w:rsidRPr="006E1110">
        <w:rPr>
          <w:rFonts w:ascii="Arial Narrow" w:hAnsi="Arial Narrow"/>
          <w:b/>
          <w:bCs/>
        </w:rPr>
        <w:t>Contexto nacional del sector de la construcción:</w:t>
      </w:r>
    </w:p>
    <w:p w14:paraId="7B8C535D" w14:textId="77777777" w:rsidR="00265DD0" w:rsidRPr="006E1110" w:rsidRDefault="00265DD0" w:rsidP="006E1110">
      <w:pPr>
        <w:pStyle w:val="Prrafodelista"/>
        <w:spacing w:after="0" w:line="240" w:lineRule="auto"/>
        <w:ind w:left="0"/>
        <w:jc w:val="both"/>
        <w:rPr>
          <w:rFonts w:ascii="Arial Narrow" w:hAnsi="Arial Narrow"/>
          <w:b/>
          <w:bCs/>
        </w:rPr>
      </w:pPr>
    </w:p>
    <w:p w14:paraId="065F0E82" w14:textId="77777777" w:rsidR="00265DD0" w:rsidRPr="006E1110" w:rsidRDefault="00265DD0" w:rsidP="006E1110">
      <w:pPr>
        <w:spacing w:after="0" w:line="240" w:lineRule="auto"/>
        <w:jc w:val="both"/>
        <w:rPr>
          <w:rFonts w:ascii="Arial Narrow" w:hAnsi="Arial Narrow"/>
        </w:rPr>
      </w:pPr>
      <w:r w:rsidRPr="006E1110">
        <w:rPr>
          <w:rFonts w:ascii="Arial Narrow" w:hAnsi="Arial Narrow"/>
        </w:rPr>
        <w:t>El sector de la construcción es un pilar de la economía nacional y un dinamizador del empleo y de la inversión pública y privada. De acuerdo con el Departamento Administrativo Nacional de Estadística (DANE), la construcción representa alrededor del cuatro por ciento (4,1%) del Producto Interno Bruto (PIB) del país, participación que en su punto máximo (2016) alcanzó el 7,3%.</w:t>
      </w:r>
    </w:p>
    <w:p w14:paraId="7B76933E" w14:textId="77777777" w:rsidR="00265DD0" w:rsidRPr="006E1110" w:rsidRDefault="00265DD0" w:rsidP="006E1110">
      <w:pPr>
        <w:spacing w:after="0" w:line="240" w:lineRule="auto"/>
        <w:jc w:val="both"/>
        <w:rPr>
          <w:rFonts w:ascii="Arial Narrow" w:hAnsi="Arial Narrow"/>
        </w:rPr>
      </w:pPr>
    </w:p>
    <w:p w14:paraId="07BC368B" w14:textId="77777777" w:rsidR="00265DD0" w:rsidRPr="006E1110" w:rsidRDefault="00265DD0" w:rsidP="006E1110">
      <w:pPr>
        <w:spacing w:after="0" w:line="240" w:lineRule="auto"/>
        <w:jc w:val="both"/>
        <w:rPr>
          <w:rFonts w:ascii="Arial Narrow" w:hAnsi="Arial Narrow"/>
        </w:rPr>
      </w:pPr>
      <w:r w:rsidRPr="006E1110">
        <w:rPr>
          <w:rFonts w:ascii="Arial Narrow" w:hAnsi="Arial Narrow"/>
        </w:rPr>
        <w:t>El sector se compone de tres subsectores: la construcción de edificaciones, la construcción de obras civiles (carreteras, vías, proyectos de servicio público y otras obras de ingeniería civil) y las actividades especializadas para la construcción. En los años recientes, el comportamiento del sector ha sido mixto: mientras el subsector de edificaciones ha registrado contracciones, el subsector de obras civiles ha mostrado un desempeño sólido y se ha constituido en el principal motor de la recuperación del sector. Según el DANE, en el segundo trimestre de 2026 el valor agregado de la construcción creció 2,2%, impulsado por un aumento del 17,1% en obras civiles, en tanto que las edificaciones continuaron en terreno negativo.</w:t>
      </w:r>
    </w:p>
    <w:p w14:paraId="6748B0A0" w14:textId="77777777" w:rsidR="00265DD0" w:rsidRPr="006E1110" w:rsidRDefault="00265DD0" w:rsidP="006E1110">
      <w:pPr>
        <w:spacing w:after="0" w:line="240" w:lineRule="auto"/>
        <w:jc w:val="both"/>
        <w:rPr>
          <w:rFonts w:ascii="Arial Narrow" w:hAnsi="Arial Narrow"/>
        </w:rPr>
      </w:pPr>
    </w:p>
    <w:p w14:paraId="5A853781" w14:textId="77777777" w:rsidR="00265DD0" w:rsidRPr="006E1110" w:rsidRDefault="00265DD0" w:rsidP="006E1110">
      <w:pPr>
        <w:spacing w:after="0" w:line="240" w:lineRule="auto"/>
        <w:jc w:val="both"/>
        <w:rPr>
          <w:rFonts w:ascii="Arial Narrow" w:hAnsi="Arial Narrow"/>
        </w:rPr>
      </w:pPr>
      <w:r w:rsidRPr="006E1110">
        <w:rPr>
          <w:rFonts w:ascii="Arial Narrow" w:hAnsi="Arial Narrow"/>
        </w:rPr>
        <w:t xml:space="preserve">El dinamismo del subsector de obras civiles se explica, en parte, por la ejecución de proyectos de infraestructura de servicios públicos —entre ellos los de acueducto, alcantarillado y saneamiento básico—, lo que evidencia la relevancia y la vigencia de la actividad económica en la cual se enmarca el presente proceso de contratación. En cuanto a los costos, el DANE reporta variaciones moderadas en el Índice de Costos de la Construcción de </w:t>
      </w:r>
      <w:r w:rsidRPr="006E1110">
        <w:rPr>
          <w:rFonts w:ascii="Arial Narrow" w:hAnsi="Arial Narrow"/>
        </w:rPr>
        <w:lastRenderedPageBreak/>
        <w:t>Obras Civiles (ICOCIV), impulsadas principalmente por el comportamiento de los materiales y de la mano de obra, lo que incide directamente en la estimación de los precios unitarios de las actividades de obra.</w:t>
      </w:r>
    </w:p>
    <w:p w14:paraId="03C3AB6E" w14:textId="77777777" w:rsidR="00265DD0" w:rsidRPr="006E1110" w:rsidRDefault="00265DD0" w:rsidP="006E1110">
      <w:pPr>
        <w:spacing w:after="0" w:line="240" w:lineRule="auto"/>
        <w:jc w:val="both"/>
        <w:rPr>
          <w:rFonts w:ascii="Arial Narrow" w:hAnsi="Arial Narrow"/>
        </w:rPr>
      </w:pPr>
    </w:p>
    <w:p w14:paraId="43AF34DE" w14:textId="23EDBE58" w:rsidR="00265DD0" w:rsidRPr="006E1110" w:rsidRDefault="00265DD0" w:rsidP="006E1110">
      <w:pPr>
        <w:pStyle w:val="Prrafodelista"/>
        <w:numPr>
          <w:ilvl w:val="0"/>
          <w:numId w:val="12"/>
        </w:numPr>
        <w:spacing w:after="0" w:line="240" w:lineRule="auto"/>
        <w:ind w:left="0" w:firstLine="0"/>
        <w:jc w:val="both"/>
        <w:rPr>
          <w:rFonts w:ascii="Arial Narrow" w:hAnsi="Arial Narrow"/>
          <w:b/>
          <w:bCs/>
        </w:rPr>
      </w:pPr>
      <w:r w:rsidRPr="006E1110">
        <w:rPr>
          <w:rFonts w:ascii="Arial Narrow" w:hAnsi="Arial Narrow"/>
          <w:b/>
          <w:bCs/>
        </w:rPr>
        <w:t>Contexto territorial del sector:</w:t>
      </w:r>
    </w:p>
    <w:p w14:paraId="27DF4938" w14:textId="77777777" w:rsidR="00265DD0" w:rsidRPr="006E1110" w:rsidRDefault="00265DD0" w:rsidP="006E1110">
      <w:pPr>
        <w:pStyle w:val="Prrafodelista"/>
        <w:spacing w:after="0" w:line="240" w:lineRule="auto"/>
        <w:ind w:left="0"/>
        <w:jc w:val="both"/>
        <w:rPr>
          <w:rFonts w:ascii="Arial Narrow" w:hAnsi="Arial Narrow"/>
          <w:b/>
          <w:bCs/>
        </w:rPr>
      </w:pPr>
    </w:p>
    <w:p w14:paraId="338BFCCB" w14:textId="77777777" w:rsidR="00265DD0" w:rsidRPr="006E1110" w:rsidRDefault="00265DD0" w:rsidP="006E1110">
      <w:pPr>
        <w:spacing w:after="0" w:line="240" w:lineRule="auto"/>
        <w:jc w:val="both"/>
        <w:rPr>
          <w:rFonts w:ascii="Arial Narrow" w:hAnsi="Arial Narrow"/>
        </w:rPr>
      </w:pPr>
      <w:r w:rsidRPr="006E1110">
        <w:rPr>
          <w:rFonts w:ascii="Arial Narrow" w:hAnsi="Arial Narrow"/>
        </w:rPr>
        <w:t>En el ámbito departamental, el sector de la construcción y, en particular, el subsector de obras civiles asociadas a servicios públicos, tiene una presencia significativa en Cundinamarca, donde la Gobernación, a través del Instituto de Infraestructura y Concesiones de Cundinamarca (ICCU), estructura, contrata y ejecuta obras de infraestructura y publica la Cartilla de precios de referencia que sirve de base para la estimación de los presupuestos oficiales de obra en los municipios del departamento. La existencia de esta cartilla, con precios calculados por provincia —incluida la Provincia del Guavio—, refleja la madurez y la cobertura del sector en el territorio.</w:t>
      </w:r>
    </w:p>
    <w:p w14:paraId="622ADBF3" w14:textId="77777777" w:rsidR="00265DD0" w:rsidRPr="006E1110" w:rsidRDefault="00265DD0" w:rsidP="006E1110">
      <w:pPr>
        <w:spacing w:after="0" w:line="240" w:lineRule="auto"/>
        <w:jc w:val="both"/>
        <w:rPr>
          <w:rFonts w:ascii="Arial Narrow" w:hAnsi="Arial Narrow"/>
        </w:rPr>
      </w:pPr>
    </w:p>
    <w:p w14:paraId="1C6DD0EA" w14:textId="77777777" w:rsidR="00265DD0" w:rsidRPr="006E1110" w:rsidRDefault="00265DD0" w:rsidP="006E1110">
      <w:pPr>
        <w:spacing w:after="0" w:line="240" w:lineRule="auto"/>
        <w:jc w:val="both"/>
        <w:rPr>
          <w:rFonts w:ascii="Arial Narrow" w:hAnsi="Arial Narrow"/>
        </w:rPr>
      </w:pPr>
      <w:r w:rsidRPr="006E1110">
        <w:rPr>
          <w:rFonts w:ascii="Arial Narrow" w:hAnsi="Arial Narrow"/>
        </w:rPr>
        <w:t>En el ámbito local, el Municipio de Gachalá se ubica en la Provincia del Guavio, región de topografía montañosa y vías mixtas (pavimentadas y sin pavimentar), lo que incide en los costos de transporte de materiales, herramienta y personal hacia los sitios de ejecución. En el mercado local y regional concurren personas naturales y jurídicas dedicadas a la construcción, la adecuación y el mantenimiento de obras civiles menores, la fontanería y las obras hidráulicas, con capacidad para ejecutar objetos como el del presente proceso. La demanda de este tipo de obras proviene principalmente de las entidades públicas del nivel municipal y departamental, mientras que la oferta está conformada por contratistas locales y de municipios vecinos, así como de la ciudad de Bogotá, dada la cercanía relativa del municipio.</w:t>
      </w:r>
    </w:p>
    <w:p w14:paraId="6D99BB90" w14:textId="77777777" w:rsidR="00265DD0" w:rsidRPr="006E1110" w:rsidRDefault="00265DD0" w:rsidP="006E1110">
      <w:pPr>
        <w:spacing w:after="0" w:line="240" w:lineRule="auto"/>
        <w:jc w:val="both"/>
        <w:rPr>
          <w:rFonts w:ascii="Arial Narrow" w:hAnsi="Arial Narrow"/>
        </w:rPr>
      </w:pPr>
    </w:p>
    <w:p w14:paraId="3BF45A54" w14:textId="77777777" w:rsidR="00265DD0" w:rsidRPr="006E1110" w:rsidRDefault="00265DD0" w:rsidP="006E1110">
      <w:pPr>
        <w:spacing w:after="0" w:line="240" w:lineRule="auto"/>
        <w:jc w:val="both"/>
        <w:rPr>
          <w:rFonts w:ascii="Arial Narrow" w:hAnsi="Arial Narrow"/>
        </w:rPr>
      </w:pPr>
      <w:r w:rsidRPr="006E1110">
        <w:rPr>
          <w:rFonts w:ascii="Arial Narrow" w:hAnsi="Arial Narrow"/>
        </w:rPr>
        <w:t>La actividad a contratar se enmarca, además, en el cumplimiento de las obligaciones del prestador del servicio público domiciliario de acueducto en materia de control y vigilancia de la calidad del agua para consumo humano (Decreto 1575 de 2007 y Resolución 2115 de 2007), lo que confiere al objeto una relevancia no solo económica sino también sanitaria y social para el municipio.</w:t>
      </w:r>
    </w:p>
    <w:p w14:paraId="25802959" w14:textId="77777777" w:rsidR="00265DD0" w:rsidRPr="006E1110" w:rsidRDefault="00265DD0" w:rsidP="006E1110">
      <w:pPr>
        <w:spacing w:after="0" w:line="240" w:lineRule="auto"/>
        <w:jc w:val="both"/>
        <w:rPr>
          <w:rFonts w:ascii="Arial Narrow" w:hAnsi="Arial Narrow"/>
        </w:rPr>
      </w:pPr>
    </w:p>
    <w:p w14:paraId="24ABEA16" w14:textId="283A20A2" w:rsidR="004B3C7E" w:rsidRPr="006E1110" w:rsidRDefault="00265DD0" w:rsidP="006E1110">
      <w:pPr>
        <w:spacing w:after="0" w:line="240" w:lineRule="auto"/>
        <w:jc w:val="both"/>
        <w:rPr>
          <w:rFonts w:ascii="Arial Narrow" w:hAnsi="Arial Narrow"/>
        </w:rPr>
      </w:pPr>
      <w:r w:rsidRPr="006E1110">
        <w:rPr>
          <w:rFonts w:ascii="Arial Narrow" w:hAnsi="Arial Narrow"/>
          <w:b/>
          <w:bCs/>
        </w:rPr>
        <w:t>Nota:</w:t>
      </w:r>
      <w:r w:rsidRPr="006E1110">
        <w:rPr>
          <w:rFonts w:ascii="Arial Narrow" w:hAnsi="Arial Narrow"/>
        </w:rPr>
        <w:t xml:space="preserve"> Las cifras macroeconómicas citadas corresponden a la información publicada por el DANE y por entidades de análisis sectorial con corte a 2025 y 2026.</w:t>
      </w:r>
    </w:p>
    <w:p w14:paraId="6118FD66" w14:textId="77777777" w:rsidR="00265DD0" w:rsidRPr="006E1110" w:rsidRDefault="00265DD0" w:rsidP="006E1110">
      <w:pPr>
        <w:spacing w:after="0" w:line="240" w:lineRule="auto"/>
        <w:jc w:val="both"/>
        <w:rPr>
          <w:rFonts w:ascii="Arial Narrow" w:hAnsi="Arial Narrow"/>
          <w:color w:val="EE0000"/>
        </w:rPr>
      </w:pPr>
    </w:p>
    <w:p w14:paraId="0ACC5E67" w14:textId="18DEEE72" w:rsidR="0012046A" w:rsidRPr="006E1110" w:rsidRDefault="0012046A" w:rsidP="006E1110">
      <w:pPr>
        <w:spacing w:after="0" w:line="240" w:lineRule="auto"/>
        <w:jc w:val="both"/>
        <w:rPr>
          <w:rFonts w:ascii="Arial Narrow" w:eastAsiaTheme="minorEastAsia" w:hAnsi="Arial Narrow" w:cs="Times New Roman"/>
          <w:color w:val="000000" w:themeColor="text1"/>
          <w:lang w:eastAsia="es-ES"/>
        </w:rPr>
      </w:pPr>
      <w:r w:rsidRPr="006E1110">
        <w:rPr>
          <w:rFonts w:ascii="Arial Narrow" w:hAnsi="Arial Narrow"/>
        </w:rPr>
        <w:t>Por otro lado, las actividades a ejecutar dentro de los servicios se clasifican según los códigos UNSPSC (</w:t>
      </w:r>
      <w:proofErr w:type="spellStart"/>
      <w:r w:rsidRPr="006E1110">
        <w:rPr>
          <w:rFonts w:ascii="Arial Narrow" w:hAnsi="Arial Narrow"/>
        </w:rPr>
        <w:t>United</w:t>
      </w:r>
      <w:proofErr w:type="spellEnd"/>
      <w:r w:rsidRPr="006E1110">
        <w:rPr>
          <w:rFonts w:ascii="Arial Narrow" w:hAnsi="Arial Narrow"/>
        </w:rPr>
        <w:t xml:space="preserve"> </w:t>
      </w:r>
      <w:proofErr w:type="spellStart"/>
      <w:r w:rsidRPr="006E1110">
        <w:rPr>
          <w:rFonts w:ascii="Arial Narrow" w:hAnsi="Arial Narrow"/>
        </w:rPr>
        <w:t>Nations</w:t>
      </w:r>
      <w:proofErr w:type="spellEnd"/>
      <w:r w:rsidRPr="006E1110">
        <w:rPr>
          <w:rFonts w:ascii="Arial Narrow" w:hAnsi="Arial Narrow"/>
        </w:rPr>
        <w:t xml:space="preserve"> Standard </w:t>
      </w:r>
      <w:proofErr w:type="spellStart"/>
      <w:r w:rsidRPr="006E1110">
        <w:rPr>
          <w:rFonts w:ascii="Arial Narrow" w:hAnsi="Arial Narrow"/>
        </w:rPr>
        <w:t>Products</w:t>
      </w:r>
      <w:proofErr w:type="spellEnd"/>
      <w:r w:rsidRPr="006E1110">
        <w:rPr>
          <w:rFonts w:ascii="Arial Narrow" w:hAnsi="Arial Narrow"/>
        </w:rPr>
        <w:t xml:space="preserve"> and </w:t>
      </w:r>
      <w:proofErr w:type="spellStart"/>
      <w:r w:rsidRPr="006E1110">
        <w:rPr>
          <w:rFonts w:ascii="Arial Narrow" w:hAnsi="Arial Narrow"/>
        </w:rPr>
        <w:t>Services</w:t>
      </w:r>
      <w:proofErr w:type="spellEnd"/>
      <w:r w:rsidRPr="006E1110">
        <w:rPr>
          <w:rFonts w:ascii="Arial Narrow" w:hAnsi="Arial Narrow"/>
        </w:rPr>
        <w:t xml:space="preserve"> </w:t>
      </w:r>
      <w:proofErr w:type="spellStart"/>
      <w:r w:rsidRPr="006E1110">
        <w:rPr>
          <w:rFonts w:ascii="Arial Narrow" w:hAnsi="Arial Narrow"/>
        </w:rPr>
        <w:t>Code</w:t>
      </w:r>
      <w:proofErr w:type="spellEnd"/>
      <w:r w:rsidRPr="006E1110">
        <w:rPr>
          <w:rFonts w:ascii="Arial Narrow" w:hAnsi="Arial Narrow"/>
        </w:rPr>
        <w:t>), conocidos en español como Códigos Estándar de Productos y Servicios de Naciones Unidas. Estos códigos permiten categorizar y estandarizar los servicios de acuerdo con su naturaleza específica, garantizando una adecuada gestión y seguimiento en los procesos de contratación</w:t>
      </w:r>
      <w:r w:rsidR="004F3A74" w:rsidRPr="006E1110">
        <w:rPr>
          <w:rFonts w:ascii="Arial Narrow" w:hAnsi="Arial Narrow"/>
        </w:rPr>
        <w:t xml:space="preserve"> y </w:t>
      </w:r>
      <w:r w:rsidR="004F3A74" w:rsidRPr="006E1110">
        <w:rPr>
          <w:rFonts w:ascii="Arial Narrow" w:eastAsiaTheme="minorEastAsia" w:hAnsi="Arial Narrow" w:cs="Times New Roman"/>
          <w:color w:val="000000" w:themeColor="text1"/>
          <w:lang w:eastAsia="es-ES"/>
        </w:rPr>
        <w:t xml:space="preserve">se circunscriben en los siguientes códigos: </w:t>
      </w:r>
    </w:p>
    <w:p w14:paraId="102BEF33" w14:textId="77777777" w:rsidR="007A684C" w:rsidRPr="006E1110" w:rsidRDefault="007A684C" w:rsidP="006E1110">
      <w:pPr>
        <w:spacing w:after="0" w:line="240" w:lineRule="auto"/>
        <w:jc w:val="both"/>
        <w:rPr>
          <w:rFonts w:ascii="Arial Narrow" w:eastAsiaTheme="minorEastAsia" w:hAnsi="Arial Narrow" w:cs="Times New Roman"/>
          <w:color w:val="000000" w:themeColor="text1"/>
          <w:lang w:eastAsia="es-ES"/>
        </w:rPr>
      </w:pPr>
    </w:p>
    <w:tbl>
      <w:tblPr>
        <w:tblW w:w="84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43"/>
        <w:gridCol w:w="1014"/>
        <w:gridCol w:w="883"/>
        <w:gridCol w:w="1342"/>
        <w:gridCol w:w="3854"/>
      </w:tblGrid>
      <w:tr w:rsidR="00E63AAA" w:rsidRPr="006E1110" w14:paraId="3030460E" w14:textId="77777777" w:rsidTr="00265DD0">
        <w:trPr>
          <w:trHeight w:val="12"/>
          <w:jc w:val="center"/>
        </w:trPr>
        <w:tc>
          <w:tcPr>
            <w:tcW w:w="4582" w:type="dxa"/>
            <w:gridSpan w:val="4"/>
            <w:shd w:val="clear" w:color="auto" w:fill="D9D9D9"/>
            <w:vAlign w:val="center"/>
          </w:tcPr>
          <w:p w14:paraId="40BD92FB" w14:textId="77777777" w:rsidR="00E63AAA" w:rsidRPr="006E1110" w:rsidRDefault="00E63AAA" w:rsidP="006E1110">
            <w:pPr>
              <w:spacing w:after="0" w:line="240" w:lineRule="auto"/>
              <w:jc w:val="center"/>
              <w:rPr>
                <w:rFonts w:ascii="Arial Narrow" w:eastAsia="Arial Narrow" w:hAnsi="Arial Narrow" w:cs="Arial Narrow"/>
                <w:b/>
              </w:rPr>
            </w:pPr>
            <w:r w:rsidRPr="006E1110">
              <w:rPr>
                <w:rFonts w:ascii="Arial Narrow" w:eastAsia="Arial Narrow" w:hAnsi="Arial Narrow" w:cs="Arial Narrow"/>
                <w:b/>
              </w:rPr>
              <w:t>CLASIFICACIÓN UNSPSC</w:t>
            </w:r>
          </w:p>
        </w:tc>
        <w:tc>
          <w:tcPr>
            <w:tcW w:w="3854" w:type="dxa"/>
            <w:vMerge w:val="restart"/>
            <w:shd w:val="clear" w:color="auto" w:fill="D9D9D9"/>
            <w:vAlign w:val="center"/>
          </w:tcPr>
          <w:p w14:paraId="43BC770F" w14:textId="77777777" w:rsidR="00E63AAA" w:rsidRPr="006E1110" w:rsidRDefault="00E63AAA" w:rsidP="006E1110">
            <w:pPr>
              <w:spacing w:after="0" w:line="240" w:lineRule="auto"/>
              <w:jc w:val="center"/>
              <w:rPr>
                <w:rFonts w:ascii="Arial Narrow" w:eastAsia="Arial Narrow" w:hAnsi="Arial Narrow" w:cs="Arial Narrow"/>
                <w:b/>
              </w:rPr>
            </w:pPr>
            <w:r w:rsidRPr="006E1110">
              <w:rPr>
                <w:rFonts w:ascii="Arial Narrow" w:eastAsia="Arial Narrow" w:hAnsi="Arial Narrow" w:cs="Arial Narrow"/>
                <w:b/>
              </w:rPr>
              <w:t>NOMBRE</w:t>
            </w:r>
          </w:p>
        </w:tc>
      </w:tr>
      <w:tr w:rsidR="00E63AAA" w:rsidRPr="006E1110" w14:paraId="0E12C621" w14:textId="77777777" w:rsidTr="00265DD0">
        <w:trPr>
          <w:trHeight w:val="12"/>
          <w:jc w:val="center"/>
        </w:trPr>
        <w:tc>
          <w:tcPr>
            <w:tcW w:w="1343" w:type="dxa"/>
            <w:shd w:val="clear" w:color="auto" w:fill="D9D9D9"/>
            <w:vAlign w:val="center"/>
          </w:tcPr>
          <w:p w14:paraId="46FC4520" w14:textId="77777777" w:rsidR="00E63AAA" w:rsidRPr="006E1110" w:rsidRDefault="00E63AAA" w:rsidP="006E1110">
            <w:pPr>
              <w:spacing w:after="0" w:line="240" w:lineRule="auto"/>
              <w:jc w:val="center"/>
              <w:rPr>
                <w:rFonts w:ascii="Arial Narrow" w:eastAsia="Arial Narrow" w:hAnsi="Arial Narrow" w:cs="Arial Narrow"/>
                <w:b/>
              </w:rPr>
            </w:pPr>
            <w:r w:rsidRPr="006E1110">
              <w:rPr>
                <w:rFonts w:ascii="Arial Narrow" w:eastAsia="Arial Narrow" w:hAnsi="Arial Narrow" w:cs="Arial Narrow"/>
                <w:b/>
              </w:rPr>
              <w:t>SEGMENTO</w:t>
            </w:r>
          </w:p>
        </w:tc>
        <w:tc>
          <w:tcPr>
            <w:tcW w:w="1014" w:type="dxa"/>
            <w:shd w:val="clear" w:color="auto" w:fill="D9D9D9"/>
            <w:vAlign w:val="center"/>
          </w:tcPr>
          <w:p w14:paraId="56F4C5C0" w14:textId="77777777" w:rsidR="00E63AAA" w:rsidRPr="006E1110" w:rsidRDefault="00E63AAA" w:rsidP="006E1110">
            <w:pPr>
              <w:spacing w:after="0" w:line="240" w:lineRule="auto"/>
              <w:jc w:val="center"/>
              <w:rPr>
                <w:rFonts w:ascii="Arial Narrow" w:eastAsia="Arial Narrow" w:hAnsi="Arial Narrow" w:cs="Arial Narrow"/>
                <w:b/>
              </w:rPr>
            </w:pPr>
            <w:r w:rsidRPr="006E1110">
              <w:rPr>
                <w:rFonts w:ascii="Arial Narrow" w:eastAsia="Arial Narrow" w:hAnsi="Arial Narrow" w:cs="Arial Narrow"/>
                <w:b/>
              </w:rPr>
              <w:t>FAMILIA</w:t>
            </w:r>
          </w:p>
        </w:tc>
        <w:tc>
          <w:tcPr>
            <w:tcW w:w="883" w:type="dxa"/>
            <w:shd w:val="clear" w:color="auto" w:fill="D9D9D9"/>
            <w:vAlign w:val="center"/>
          </w:tcPr>
          <w:p w14:paraId="07532A86" w14:textId="77777777" w:rsidR="00E63AAA" w:rsidRPr="006E1110" w:rsidRDefault="00E63AAA" w:rsidP="006E1110">
            <w:pPr>
              <w:spacing w:after="0" w:line="240" w:lineRule="auto"/>
              <w:jc w:val="center"/>
              <w:rPr>
                <w:rFonts w:ascii="Arial Narrow" w:eastAsia="Arial Narrow" w:hAnsi="Arial Narrow" w:cs="Arial Narrow"/>
                <w:b/>
              </w:rPr>
            </w:pPr>
            <w:r w:rsidRPr="006E1110">
              <w:rPr>
                <w:rFonts w:ascii="Arial Narrow" w:eastAsia="Arial Narrow" w:hAnsi="Arial Narrow" w:cs="Arial Narrow"/>
                <w:b/>
              </w:rPr>
              <w:t>CLASE</w:t>
            </w:r>
          </w:p>
        </w:tc>
        <w:tc>
          <w:tcPr>
            <w:tcW w:w="1342" w:type="dxa"/>
            <w:shd w:val="clear" w:color="auto" w:fill="D9D9D9"/>
            <w:vAlign w:val="center"/>
          </w:tcPr>
          <w:p w14:paraId="1C930D01" w14:textId="77777777" w:rsidR="00E63AAA" w:rsidRPr="006E1110" w:rsidRDefault="00E63AAA" w:rsidP="006E1110">
            <w:pPr>
              <w:spacing w:after="0" w:line="240" w:lineRule="auto"/>
              <w:jc w:val="center"/>
              <w:rPr>
                <w:rFonts w:ascii="Arial Narrow" w:eastAsia="Arial Narrow" w:hAnsi="Arial Narrow" w:cs="Arial Narrow"/>
                <w:b/>
              </w:rPr>
            </w:pPr>
            <w:r w:rsidRPr="006E1110">
              <w:rPr>
                <w:rFonts w:ascii="Arial Narrow" w:eastAsia="Arial Narrow" w:hAnsi="Arial Narrow" w:cs="Arial Narrow"/>
                <w:b/>
              </w:rPr>
              <w:t>PRODUCTO</w:t>
            </w:r>
          </w:p>
        </w:tc>
        <w:tc>
          <w:tcPr>
            <w:tcW w:w="3854" w:type="dxa"/>
            <w:vMerge/>
            <w:shd w:val="clear" w:color="auto" w:fill="D9D9D9"/>
            <w:vAlign w:val="center"/>
          </w:tcPr>
          <w:p w14:paraId="5066AD4A" w14:textId="77777777" w:rsidR="00E63AAA" w:rsidRPr="006E1110" w:rsidRDefault="00E63AAA" w:rsidP="006E1110">
            <w:pPr>
              <w:spacing w:after="0" w:line="240" w:lineRule="auto"/>
              <w:jc w:val="center"/>
              <w:rPr>
                <w:rFonts w:ascii="Arial Narrow" w:eastAsia="Arial Narrow" w:hAnsi="Arial Narrow" w:cs="Arial Narrow"/>
                <w:b/>
              </w:rPr>
            </w:pPr>
          </w:p>
        </w:tc>
      </w:tr>
      <w:tr w:rsidR="00E63AAA" w:rsidRPr="006E1110" w14:paraId="14008215" w14:textId="77777777" w:rsidTr="00265DD0">
        <w:trPr>
          <w:trHeight w:val="12"/>
          <w:jc w:val="center"/>
        </w:trPr>
        <w:tc>
          <w:tcPr>
            <w:tcW w:w="1343" w:type="dxa"/>
            <w:vAlign w:val="center"/>
          </w:tcPr>
          <w:p w14:paraId="01479617" w14:textId="495394A3" w:rsidR="00E63AAA" w:rsidRPr="006E1110" w:rsidRDefault="008500C3" w:rsidP="006E1110">
            <w:pPr>
              <w:spacing w:after="0" w:line="240" w:lineRule="auto"/>
              <w:jc w:val="center"/>
              <w:rPr>
                <w:rFonts w:ascii="Arial Narrow" w:eastAsia="Arial Narrow" w:hAnsi="Arial Narrow" w:cs="Arial Narrow"/>
                <w:color w:val="000000"/>
              </w:rPr>
            </w:pPr>
            <w:r w:rsidRPr="006E1110">
              <w:rPr>
                <w:rFonts w:ascii="Arial Narrow" w:eastAsia="Arial Narrow" w:hAnsi="Arial Narrow" w:cs="Arial Narrow"/>
                <w:color w:val="000000"/>
              </w:rPr>
              <w:t>72</w:t>
            </w:r>
          </w:p>
        </w:tc>
        <w:tc>
          <w:tcPr>
            <w:tcW w:w="1014" w:type="dxa"/>
            <w:vAlign w:val="center"/>
          </w:tcPr>
          <w:p w14:paraId="3255A961" w14:textId="31FE834B" w:rsidR="00E63AAA" w:rsidRPr="006E1110" w:rsidRDefault="008500C3" w:rsidP="006E1110">
            <w:pPr>
              <w:spacing w:after="0" w:line="240" w:lineRule="auto"/>
              <w:jc w:val="center"/>
              <w:rPr>
                <w:rFonts w:ascii="Arial Narrow" w:eastAsia="Arial Narrow" w:hAnsi="Arial Narrow" w:cs="Arial Narrow"/>
                <w:color w:val="000000"/>
              </w:rPr>
            </w:pPr>
            <w:r w:rsidRPr="006E1110">
              <w:rPr>
                <w:rFonts w:ascii="Arial Narrow" w:eastAsia="Arial Narrow" w:hAnsi="Arial Narrow" w:cs="Arial Narrow"/>
                <w:color w:val="000000"/>
              </w:rPr>
              <w:t>15</w:t>
            </w:r>
          </w:p>
        </w:tc>
        <w:tc>
          <w:tcPr>
            <w:tcW w:w="883" w:type="dxa"/>
            <w:vAlign w:val="center"/>
          </w:tcPr>
          <w:p w14:paraId="1B4FAA7C" w14:textId="6A5ED851" w:rsidR="00E63AAA" w:rsidRPr="006E1110" w:rsidRDefault="008500C3" w:rsidP="006E1110">
            <w:pPr>
              <w:spacing w:after="0" w:line="240" w:lineRule="auto"/>
              <w:jc w:val="center"/>
              <w:rPr>
                <w:rFonts w:ascii="Arial Narrow" w:eastAsia="Arial Narrow" w:hAnsi="Arial Narrow" w:cs="Arial Narrow"/>
                <w:color w:val="000000"/>
              </w:rPr>
            </w:pPr>
            <w:r w:rsidRPr="006E1110">
              <w:rPr>
                <w:rFonts w:ascii="Arial Narrow" w:eastAsia="Arial Narrow" w:hAnsi="Arial Narrow" w:cs="Arial Narrow"/>
                <w:color w:val="000000"/>
              </w:rPr>
              <w:t>11</w:t>
            </w:r>
          </w:p>
        </w:tc>
        <w:tc>
          <w:tcPr>
            <w:tcW w:w="1342" w:type="dxa"/>
            <w:vAlign w:val="center"/>
          </w:tcPr>
          <w:p w14:paraId="5A4C1785" w14:textId="5F938ABB" w:rsidR="00E63AAA" w:rsidRPr="006E1110" w:rsidRDefault="008500C3" w:rsidP="006E1110">
            <w:pPr>
              <w:spacing w:after="0" w:line="240" w:lineRule="auto"/>
              <w:jc w:val="center"/>
              <w:rPr>
                <w:rFonts w:ascii="Arial Narrow" w:eastAsia="Arial Narrow" w:hAnsi="Arial Narrow" w:cs="Arial Narrow"/>
                <w:color w:val="000000"/>
              </w:rPr>
            </w:pPr>
            <w:r w:rsidRPr="006E1110">
              <w:rPr>
                <w:rFonts w:ascii="Arial Narrow" w:eastAsia="Arial Narrow" w:hAnsi="Arial Narrow" w:cs="Arial Narrow"/>
                <w:color w:val="000000"/>
              </w:rPr>
              <w:t>00</w:t>
            </w:r>
          </w:p>
        </w:tc>
        <w:tc>
          <w:tcPr>
            <w:tcW w:w="3854" w:type="dxa"/>
            <w:vAlign w:val="center"/>
          </w:tcPr>
          <w:p w14:paraId="342F41EA" w14:textId="75B848B6" w:rsidR="00E63AAA" w:rsidRPr="006E1110" w:rsidRDefault="008500C3" w:rsidP="006E1110">
            <w:pPr>
              <w:spacing w:after="0" w:line="240" w:lineRule="auto"/>
              <w:jc w:val="center"/>
              <w:rPr>
                <w:rFonts w:ascii="Arial Narrow" w:eastAsia="Arial Narrow" w:hAnsi="Arial Narrow" w:cs="Arial Narrow"/>
                <w:color w:val="000000"/>
              </w:rPr>
            </w:pPr>
            <w:r w:rsidRPr="006E1110">
              <w:rPr>
                <w:rFonts w:ascii="Arial Narrow" w:eastAsia="Arial Narrow" w:hAnsi="Arial Narrow" w:cs="Arial Narrow"/>
                <w:color w:val="000000"/>
              </w:rPr>
              <w:t xml:space="preserve">Servicios de construcción de plomería </w:t>
            </w:r>
          </w:p>
        </w:tc>
      </w:tr>
      <w:tr w:rsidR="008500C3" w:rsidRPr="006E1110" w14:paraId="4C78BDAF" w14:textId="77777777" w:rsidTr="00265DD0">
        <w:trPr>
          <w:trHeight w:val="12"/>
          <w:jc w:val="center"/>
        </w:trPr>
        <w:tc>
          <w:tcPr>
            <w:tcW w:w="1343" w:type="dxa"/>
            <w:vAlign w:val="center"/>
          </w:tcPr>
          <w:p w14:paraId="31D94506" w14:textId="266A0C5D" w:rsidR="008500C3" w:rsidRPr="006E1110" w:rsidRDefault="008500C3" w:rsidP="006E1110">
            <w:pPr>
              <w:spacing w:after="0" w:line="240" w:lineRule="auto"/>
              <w:jc w:val="center"/>
              <w:rPr>
                <w:rFonts w:ascii="Arial Narrow" w:eastAsia="Arial Narrow" w:hAnsi="Arial Narrow" w:cs="Arial Narrow"/>
                <w:color w:val="000000"/>
              </w:rPr>
            </w:pPr>
            <w:r w:rsidRPr="006E1110">
              <w:rPr>
                <w:rFonts w:ascii="Arial Narrow" w:eastAsia="Arial Narrow" w:hAnsi="Arial Narrow" w:cs="Arial Narrow"/>
                <w:color w:val="000000"/>
              </w:rPr>
              <w:t>72</w:t>
            </w:r>
          </w:p>
        </w:tc>
        <w:tc>
          <w:tcPr>
            <w:tcW w:w="1014" w:type="dxa"/>
            <w:vAlign w:val="center"/>
          </w:tcPr>
          <w:p w14:paraId="7739C135" w14:textId="551A6534" w:rsidR="008500C3" w:rsidRPr="006E1110" w:rsidRDefault="008500C3" w:rsidP="006E1110">
            <w:pPr>
              <w:spacing w:after="0" w:line="240" w:lineRule="auto"/>
              <w:jc w:val="center"/>
              <w:rPr>
                <w:rFonts w:ascii="Arial Narrow" w:eastAsia="Arial Narrow" w:hAnsi="Arial Narrow" w:cs="Arial Narrow"/>
                <w:color w:val="000000"/>
              </w:rPr>
            </w:pPr>
            <w:r w:rsidRPr="006E1110">
              <w:rPr>
                <w:rFonts w:ascii="Arial Narrow" w:eastAsia="Arial Narrow" w:hAnsi="Arial Narrow" w:cs="Arial Narrow"/>
                <w:color w:val="000000"/>
              </w:rPr>
              <w:t>10</w:t>
            </w:r>
          </w:p>
        </w:tc>
        <w:tc>
          <w:tcPr>
            <w:tcW w:w="883" w:type="dxa"/>
            <w:vAlign w:val="center"/>
          </w:tcPr>
          <w:p w14:paraId="7DB5F9C6" w14:textId="2B1F9A8C" w:rsidR="008500C3" w:rsidRPr="006E1110" w:rsidRDefault="008500C3" w:rsidP="006E1110">
            <w:pPr>
              <w:spacing w:after="0" w:line="240" w:lineRule="auto"/>
              <w:jc w:val="center"/>
              <w:rPr>
                <w:rFonts w:ascii="Arial Narrow" w:eastAsia="Arial Narrow" w:hAnsi="Arial Narrow" w:cs="Arial Narrow"/>
                <w:color w:val="000000"/>
              </w:rPr>
            </w:pPr>
            <w:r w:rsidRPr="006E1110">
              <w:rPr>
                <w:rFonts w:ascii="Arial Narrow" w:eastAsia="Arial Narrow" w:hAnsi="Arial Narrow" w:cs="Arial Narrow"/>
                <w:color w:val="000000"/>
              </w:rPr>
              <w:t>15</w:t>
            </w:r>
          </w:p>
        </w:tc>
        <w:tc>
          <w:tcPr>
            <w:tcW w:w="1342" w:type="dxa"/>
            <w:vAlign w:val="center"/>
          </w:tcPr>
          <w:p w14:paraId="493C13F2" w14:textId="10212D16" w:rsidR="008500C3" w:rsidRPr="006E1110" w:rsidRDefault="008500C3" w:rsidP="006E1110">
            <w:pPr>
              <w:spacing w:after="0" w:line="240" w:lineRule="auto"/>
              <w:jc w:val="center"/>
              <w:rPr>
                <w:rFonts w:ascii="Arial Narrow" w:eastAsia="Arial Narrow" w:hAnsi="Arial Narrow" w:cs="Arial Narrow"/>
                <w:color w:val="000000"/>
              </w:rPr>
            </w:pPr>
            <w:r w:rsidRPr="006E1110">
              <w:rPr>
                <w:rFonts w:ascii="Arial Narrow" w:eastAsia="Arial Narrow" w:hAnsi="Arial Narrow" w:cs="Arial Narrow"/>
                <w:color w:val="000000"/>
              </w:rPr>
              <w:t>00</w:t>
            </w:r>
          </w:p>
        </w:tc>
        <w:tc>
          <w:tcPr>
            <w:tcW w:w="3854" w:type="dxa"/>
            <w:vAlign w:val="center"/>
          </w:tcPr>
          <w:p w14:paraId="20D5FDDD" w14:textId="4C9C8FC0" w:rsidR="008500C3" w:rsidRPr="006E1110" w:rsidRDefault="008500C3" w:rsidP="006E1110">
            <w:pPr>
              <w:spacing w:after="0" w:line="240" w:lineRule="auto"/>
              <w:jc w:val="center"/>
              <w:rPr>
                <w:rFonts w:ascii="Arial Narrow" w:eastAsia="Arial Narrow" w:hAnsi="Arial Narrow" w:cs="Arial Narrow"/>
                <w:color w:val="000000"/>
              </w:rPr>
            </w:pPr>
            <w:r w:rsidRPr="006E1110">
              <w:rPr>
                <w:rFonts w:ascii="Arial Narrow" w:eastAsia="Arial Narrow" w:hAnsi="Arial Narrow" w:cs="Arial Narrow"/>
                <w:color w:val="000000"/>
              </w:rPr>
              <w:t xml:space="preserve">Servicios de apoyo para la construcción </w:t>
            </w:r>
          </w:p>
        </w:tc>
      </w:tr>
    </w:tbl>
    <w:p w14:paraId="52CD3B15" w14:textId="11803F44" w:rsidR="009134CB" w:rsidRPr="006E1110" w:rsidRDefault="009134CB" w:rsidP="006E1110">
      <w:pPr>
        <w:spacing w:after="0" w:line="240" w:lineRule="auto"/>
        <w:jc w:val="both"/>
        <w:rPr>
          <w:rFonts w:ascii="Arial Narrow" w:eastAsia="Times New Roman" w:hAnsi="Arial Narrow" w:cs="Times New Roman"/>
          <w:b/>
          <w:color w:val="FF0000"/>
        </w:rPr>
      </w:pPr>
    </w:p>
    <w:p w14:paraId="0E9CCC96" w14:textId="77777777" w:rsidR="006E1110" w:rsidRDefault="006E1110" w:rsidP="006E1110">
      <w:pPr>
        <w:spacing w:after="0" w:line="240" w:lineRule="auto"/>
        <w:jc w:val="both"/>
        <w:rPr>
          <w:rFonts w:ascii="Arial Narrow" w:hAnsi="Arial Narrow" w:cs="Arial"/>
          <w:b/>
          <w:color w:val="000000" w:themeColor="text1"/>
        </w:rPr>
      </w:pPr>
    </w:p>
    <w:p w14:paraId="1F540149" w14:textId="77777777" w:rsidR="006E1110" w:rsidRDefault="006E1110" w:rsidP="006E1110">
      <w:pPr>
        <w:spacing w:after="0" w:line="240" w:lineRule="auto"/>
        <w:jc w:val="both"/>
        <w:rPr>
          <w:rFonts w:ascii="Arial Narrow" w:hAnsi="Arial Narrow" w:cs="Arial"/>
          <w:b/>
          <w:color w:val="000000" w:themeColor="text1"/>
        </w:rPr>
      </w:pPr>
    </w:p>
    <w:p w14:paraId="4A8B7B41" w14:textId="306149AB" w:rsidR="00513CC3" w:rsidRPr="006E1110" w:rsidRDefault="00513CC3" w:rsidP="006E1110">
      <w:pPr>
        <w:spacing w:after="0" w:line="240" w:lineRule="auto"/>
        <w:jc w:val="both"/>
        <w:rPr>
          <w:rFonts w:ascii="Arial Narrow" w:hAnsi="Arial Narrow"/>
          <w:color w:val="EE0000"/>
          <w:u w:val="single"/>
        </w:rPr>
      </w:pPr>
      <w:r w:rsidRPr="006E1110">
        <w:rPr>
          <w:rFonts w:ascii="Arial Narrow" w:hAnsi="Arial Narrow" w:cs="Arial"/>
          <w:b/>
          <w:color w:val="000000" w:themeColor="text1"/>
        </w:rPr>
        <w:t>PERSPECTIVA COMERCIAL:</w:t>
      </w:r>
      <w:r w:rsidRPr="006E1110">
        <w:rPr>
          <w:rFonts w:ascii="Arial Narrow" w:hAnsi="Arial Narrow" w:cs="Arial"/>
          <w:color w:val="000000" w:themeColor="text1"/>
        </w:rPr>
        <w:t xml:space="preserve"> </w:t>
      </w:r>
      <w:r w:rsidR="00E57C1C" w:rsidRPr="006E1110">
        <w:rPr>
          <w:rFonts w:ascii="Arial Narrow" w:hAnsi="Arial Narrow" w:cs="Arial"/>
          <w:color w:val="000000" w:themeColor="text1"/>
        </w:rPr>
        <w:t xml:space="preserve"> </w:t>
      </w:r>
    </w:p>
    <w:p w14:paraId="0339BA3C" w14:textId="77777777" w:rsidR="008500C3" w:rsidRPr="006E1110" w:rsidRDefault="008500C3" w:rsidP="006E1110">
      <w:pPr>
        <w:spacing w:after="0" w:line="240" w:lineRule="auto"/>
        <w:jc w:val="both"/>
        <w:rPr>
          <w:rFonts w:ascii="Arial Narrow" w:hAnsi="Arial Narrow"/>
          <w:color w:val="EE0000"/>
          <w:u w:val="single"/>
        </w:rPr>
      </w:pPr>
    </w:p>
    <w:p w14:paraId="2D81EBDF" w14:textId="2D4AB95E" w:rsidR="008500C3" w:rsidRPr="006E1110" w:rsidRDefault="008500C3" w:rsidP="006E1110">
      <w:pPr>
        <w:spacing w:after="0" w:line="240" w:lineRule="auto"/>
        <w:jc w:val="both"/>
        <w:rPr>
          <w:rFonts w:ascii="Arial Narrow" w:eastAsia="Times New Roman" w:hAnsi="Arial Narrow" w:cs="Arial"/>
          <w:color w:val="000000" w:themeColor="text1"/>
          <w:lang w:val="es-ES" w:eastAsia="es-CO"/>
        </w:rPr>
      </w:pPr>
      <w:r w:rsidRPr="008500C3">
        <w:rPr>
          <w:rFonts w:ascii="Arial Narrow" w:eastAsia="Times New Roman" w:hAnsi="Arial Narrow" w:cs="Arial"/>
          <w:color w:val="000000" w:themeColor="text1"/>
          <w:lang w:val="es-ES" w:eastAsia="es-CO"/>
        </w:rPr>
        <w:t xml:space="preserve">A </w:t>
      </w:r>
      <w:r w:rsidRPr="006E1110">
        <w:rPr>
          <w:rFonts w:ascii="Arial Narrow" w:eastAsia="Times New Roman" w:hAnsi="Arial Narrow" w:cs="Arial"/>
          <w:color w:val="000000" w:themeColor="text1"/>
          <w:lang w:val="es-ES" w:eastAsia="es-CO"/>
        </w:rPr>
        <w:t>continuación,</w:t>
      </w:r>
      <w:r w:rsidRPr="008500C3">
        <w:rPr>
          <w:rFonts w:ascii="Arial Narrow" w:eastAsia="Times New Roman" w:hAnsi="Arial Narrow" w:cs="Arial"/>
          <w:color w:val="000000" w:themeColor="text1"/>
          <w:lang w:val="es-ES" w:eastAsia="es-CO"/>
        </w:rPr>
        <w:t xml:space="preserve"> se presenta la perspectiva económica y el comportamiento de los indicadores de precios del sector a nivel nacional, que inciden directamente en la estimación de los costos de las actividades que componen el objeto del presente proceso.</w:t>
      </w:r>
    </w:p>
    <w:p w14:paraId="348D9165" w14:textId="77777777" w:rsidR="008500C3" w:rsidRPr="008500C3" w:rsidRDefault="008500C3" w:rsidP="006E1110">
      <w:pPr>
        <w:spacing w:after="0" w:line="240" w:lineRule="auto"/>
        <w:jc w:val="both"/>
        <w:rPr>
          <w:rFonts w:ascii="Arial Narrow" w:eastAsia="Times New Roman" w:hAnsi="Arial Narrow" w:cs="Arial"/>
          <w:color w:val="000000" w:themeColor="text1"/>
          <w:lang w:val="es-ES" w:eastAsia="es-CO"/>
        </w:rPr>
      </w:pPr>
    </w:p>
    <w:p w14:paraId="6C42A68C" w14:textId="2D65C9A2" w:rsidR="008500C3" w:rsidRPr="006E1110" w:rsidRDefault="008500C3" w:rsidP="006E1110">
      <w:pPr>
        <w:pStyle w:val="Prrafodelista"/>
        <w:numPr>
          <w:ilvl w:val="0"/>
          <w:numId w:val="13"/>
        </w:numPr>
        <w:spacing w:after="0" w:line="240" w:lineRule="auto"/>
        <w:ind w:left="0" w:firstLine="0"/>
        <w:jc w:val="both"/>
        <w:rPr>
          <w:rFonts w:ascii="Arial Narrow" w:eastAsia="Times New Roman" w:hAnsi="Arial Narrow" w:cs="Arial"/>
          <w:color w:val="000000" w:themeColor="text1"/>
          <w:lang w:val="es-ES" w:eastAsia="es-CO"/>
        </w:rPr>
      </w:pPr>
      <w:r w:rsidRPr="006E1110">
        <w:rPr>
          <w:rFonts w:ascii="Arial Narrow" w:eastAsia="Times New Roman" w:hAnsi="Arial Narrow" w:cs="Arial"/>
          <w:b/>
          <w:bCs/>
          <w:color w:val="000000" w:themeColor="text1"/>
          <w:lang w:val="es-ES" w:eastAsia="es-CO"/>
        </w:rPr>
        <w:lastRenderedPageBreak/>
        <w:t>Perspectiva económica:</w:t>
      </w:r>
    </w:p>
    <w:p w14:paraId="383E70CE" w14:textId="77777777" w:rsidR="008500C3" w:rsidRPr="006E1110" w:rsidRDefault="008500C3" w:rsidP="006E1110">
      <w:pPr>
        <w:pStyle w:val="Prrafodelista"/>
        <w:spacing w:after="0" w:line="240" w:lineRule="auto"/>
        <w:ind w:left="0"/>
        <w:jc w:val="both"/>
        <w:rPr>
          <w:rFonts w:ascii="Arial Narrow" w:eastAsia="Times New Roman" w:hAnsi="Arial Narrow" w:cs="Arial"/>
          <w:color w:val="000000" w:themeColor="text1"/>
          <w:lang w:val="es-ES" w:eastAsia="es-CO"/>
        </w:rPr>
      </w:pPr>
    </w:p>
    <w:p w14:paraId="53FC2F36" w14:textId="77777777" w:rsidR="008500C3" w:rsidRPr="006E1110" w:rsidRDefault="008500C3" w:rsidP="006E1110">
      <w:pPr>
        <w:spacing w:after="0" w:line="240" w:lineRule="auto"/>
        <w:jc w:val="both"/>
        <w:rPr>
          <w:rFonts w:ascii="Arial Narrow" w:eastAsia="Times New Roman" w:hAnsi="Arial Narrow" w:cs="Arial"/>
          <w:color w:val="000000" w:themeColor="text1"/>
          <w:lang w:val="es-ES" w:eastAsia="es-CO"/>
        </w:rPr>
      </w:pPr>
      <w:r w:rsidRPr="008500C3">
        <w:rPr>
          <w:rFonts w:ascii="Arial Narrow" w:eastAsia="Times New Roman" w:hAnsi="Arial Narrow" w:cs="Arial"/>
          <w:color w:val="000000" w:themeColor="text1"/>
          <w:lang w:val="es-ES" w:eastAsia="es-CO"/>
        </w:rPr>
        <w:t>El comportamiento de los precios de la economía se mide, principalmente, a través del Índice de Precios al Consumidor (IPC), que registra la variación promedio de los precios de los bienes y servicios adquiridos por los hogares. De acuerdo con el Departamento Administrativo Nacional de Estadística (DANE), la variación anual del IPC a septiembre de 2026 se ubicó en 6,29%, lo que refleja una presión inflacionaria que debe considerarse al momento de estimar los costos de los materiales, insumos y mano de obra asociados a la ejecución de la obra.</w:t>
      </w:r>
    </w:p>
    <w:p w14:paraId="497BC19B" w14:textId="77777777" w:rsidR="008500C3" w:rsidRPr="008500C3" w:rsidRDefault="008500C3" w:rsidP="006E1110">
      <w:pPr>
        <w:spacing w:after="0" w:line="240" w:lineRule="auto"/>
        <w:jc w:val="both"/>
        <w:rPr>
          <w:rFonts w:ascii="Arial Narrow" w:eastAsia="Times New Roman" w:hAnsi="Arial Narrow" w:cs="Arial"/>
          <w:color w:val="000000" w:themeColor="text1"/>
          <w:lang w:val="es-ES" w:eastAsia="es-CO"/>
        </w:rPr>
      </w:pPr>
    </w:p>
    <w:p w14:paraId="0CAC0941" w14:textId="77777777" w:rsidR="008500C3" w:rsidRPr="006E1110" w:rsidRDefault="008500C3" w:rsidP="006E1110">
      <w:pPr>
        <w:spacing w:after="0" w:line="240" w:lineRule="auto"/>
        <w:jc w:val="both"/>
        <w:rPr>
          <w:rFonts w:ascii="Arial Narrow" w:eastAsia="Times New Roman" w:hAnsi="Arial Narrow" w:cs="Arial"/>
          <w:color w:val="000000" w:themeColor="text1"/>
          <w:lang w:val="es-ES" w:eastAsia="es-CO"/>
        </w:rPr>
      </w:pPr>
      <w:r w:rsidRPr="008500C3">
        <w:rPr>
          <w:rFonts w:ascii="Arial Narrow" w:eastAsia="Times New Roman" w:hAnsi="Arial Narrow" w:cs="Arial"/>
          <w:color w:val="000000" w:themeColor="text1"/>
          <w:lang w:val="es-ES" w:eastAsia="es-CO"/>
        </w:rPr>
        <w:t>En cuanto al desempeño del sector, y según se expuso en el análisis del sector económico, la construcción aporta alrededor del 4,1% del PIB nacional, con un subsector de obras civiles que ha mostrado un comportamiento dinámico —con un crecimiento del 17,1% en su valor agregado en el segundo trimestre de 2026, según el DANE—, impulsado por la ejecución de proyectos de infraestructura y de servicios públicos. Este dinamismo sostiene la disponibilidad de oferta de bienes, insumos y contratistas para la ejecución de obras como la del presente proceso.</w:t>
      </w:r>
    </w:p>
    <w:p w14:paraId="604356AF" w14:textId="77777777" w:rsidR="008500C3" w:rsidRPr="008500C3" w:rsidRDefault="008500C3" w:rsidP="006E1110">
      <w:pPr>
        <w:spacing w:after="0" w:line="240" w:lineRule="auto"/>
        <w:jc w:val="both"/>
        <w:rPr>
          <w:rFonts w:ascii="Arial Narrow" w:eastAsia="Times New Roman" w:hAnsi="Arial Narrow" w:cs="Arial"/>
          <w:color w:val="000000" w:themeColor="text1"/>
          <w:lang w:val="es-ES" w:eastAsia="es-CO"/>
        </w:rPr>
      </w:pPr>
    </w:p>
    <w:p w14:paraId="3EEBC5E6" w14:textId="70407CAB" w:rsidR="008500C3" w:rsidRPr="006E1110" w:rsidRDefault="008500C3" w:rsidP="006E1110">
      <w:pPr>
        <w:pStyle w:val="Prrafodelista"/>
        <w:numPr>
          <w:ilvl w:val="0"/>
          <w:numId w:val="13"/>
        </w:numPr>
        <w:spacing w:after="0" w:line="240" w:lineRule="auto"/>
        <w:ind w:left="0" w:firstLine="0"/>
        <w:jc w:val="both"/>
        <w:rPr>
          <w:rFonts w:ascii="Arial Narrow" w:eastAsia="Times New Roman" w:hAnsi="Arial Narrow" w:cs="Arial"/>
          <w:color w:val="000000" w:themeColor="text1"/>
          <w:lang w:val="es-ES" w:eastAsia="es-CO"/>
        </w:rPr>
      </w:pPr>
      <w:r w:rsidRPr="006E1110">
        <w:rPr>
          <w:rFonts w:ascii="Arial Narrow" w:eastAsia="Times New Roman" w:hAnsi="Arial Narrow" w:cs="Arial"/>
          <w:b/>
          <w:bCs/>
          <w:color w:val="000000" w:themeColor="text1"/>
          <w:lang w:val="es-ES" w:eastAsia="es-CO"/>
        </w:rPr>
        <w:t>Comportamiento de los indicadores de precios del sector:</w:t>
      </w:r>
    </w:p>
    <w:p w14:paraId="7387FB12" w14:textId="77777777" w:rsidR="008500C3" w:rsidRPr="006E1110" w:rsidRDefault="008500C3" w:rsidP="006E1110">
      <w:pPr>
        <w:pStyle w:val="Prrafodelista"/>
        <w:spacing w:after="0" w:line="240" w:lineRule="auto"/>
        <w:ind w:left="0"/>
        <w:jc w:val="both"/>
        <w:rPr>
          <w:rFonts w:ascii="Arial Narrow" w:eastAsia="Times New Roman" w:hAnsi="Arial Narrow" w:cs="Arial"/>
          <w:color w:val="000000" w:themeColor="text1"/>
          <w:lang w:val="es-ES" w:eastAsia="es-CO"/>
        </w:rPr>
      </w:pPr>
    </w:p>
    <w:p w14:paraId="7613E6BD" w14:textId="77777777" w:rsidR="008500C3" w:rsidRPr="006E1110" w:rsidRDefault="008500C3" w:rsidP="006E1110">
      <w:pPr>
        <w:spacing w:after="0" w:line="240" w:lineRule="auto"/>
        <w:jc w:val="both"/>
        <w:rPr>
          <w:rFonts w:ascii="Arial Narrow" w:eastAsia="Times New Roman" w:hAnsi="Arial Narrow" w:cs="Arial"/>
          <w:color w:val="000000" w:themeColor="text1"/>
          <w:lang w:val="es-ES" w:eastAsia="es-CO"/>
        </w:rPr>
      </w:pPr>
      <w:r w:rsidRPr="008500C3">
        <w:rPr>
          <w:rFonts w:ascii="Arial Narrow" w:eastAsia="Times New Roman" w:hAnsi="Arial Narrow" w:cs="Arial"/>
          <w:color w:val="000000" w:themeColor="text1"/>
          <w:lang w:val="es-ES" w:eastAsia="es-CO"/>
        </w:rPr>
        <w:t>Para el sector de la construcción, el DANE mide el comportamiento de los precios a través de los Índices de Costos de la Construcción, en particular el Índice de Costos de la Construcción de Obras Civiles (ICOCIV) y el Índice de Costos de la Construcción de Edificaciones (ICOCED), los cuales reportan la variación de los precios de los principales insumos de la actividad: materiales, mano de obra, maquinaria y equipo, y transporte. Estos índices evidencian variaciones moderadas en los períodos recientes, determinadas principalmente por el comportamiento de los materiales de construcción y de la mano de obra, que son los componentes de mayor peso en la estructura de costos de la obra.</w:t>
      </w:r>
    </w:p>
    <w:p w14:paraId="209EA754" w14:textId="77777777" w:rsidR="008500C3" w:rsidRPr="008500C3" w:rsidRDefault="008500C3" w:rsidP="006E1110">
      <w:pPr>
        <w:spacing w:after="0" w:line="240" w:lineRule="auto"/>
        <w:jc w:val="both"/>
        <w:rPr>
          <w:rFonts w:ascii="Arial Narrow" w:eastAsia="Times New Roman" w:hAnsi="Arial Narrow" w:cs="Arial"/>
          <w:color w:val="000000" w:themeColor="text1"/>
          <w:lang w:val="es-ES" w:eastAsia="es-CO"/>
        </w:rPr>
      </w:pPr>
    </w:p>
    <w:p w14:paraId="7487C6DC" w14:textId="77777777" w:rsidR="008500C3" w:rsidRPr="006E1110" w:rsidRDefault="008500C3" w:rsidP="006E1110">
      <w:pPr>
        <w:spacing w:after="0" w:line="240" w:lineRule="auto"/>
        <w:jc w:val="both"/>
        <w:rPr>
          <w:rFonts w:ascii="Arial Narrow" w:eastAsia="Times New Roman" w:hAnsi="Arial Narrow" w:cs="Arial"/>
          <w:color w:val="000000" w:themeColor="text1"/>
          <w:lang w:val="es-ES" w:eastAsia="es-CO"/>
        </w:rPr>
      </w:pPr>
      <w:r w:rsidRPr="008500C3">
        <w:rPr>
          <w:rFonts w:ascii="Arial Narrow" w:eastAsia="Times New Roman" w:hAnsi="Arial Narrow" w:cs="Arial"/>
          <w:color w:val="000000" w:themeColor="text1"/>
          <w:lang w:val="es-ES" w:eastAsia="es-CO"/>
        </w:rPr>
        <w:t>El comportamiento de estos indicadores confirma que la estimación del presupuesto oficial del presente proceso, fundamentada en los Análisis de Precios Unitarios de la Cartilla de precios 2026 del Instituto de Infraestructura y Concesiones de Cundinamarca (ICCU) para la Provincia del Guavio, se encuentra alineada con los valores de mercado vigentes del sector, toda vez que dicha cartilla incorpora precios actualizados de materiales, mano de obra, equipo y transporte para el departamento.</w:t>
      </w:r>
    </w:p>
    <w:p w14:paraId="0D450CBB" w14:textId="77777777" w:rsidR="008500C3" w:rsidRPr="008500C3" w:rsidRDefault="008500C3" w:rsidP="006E1110">
      <w:pPr>
        <w:spacing w:after="0" w:line="240" w:lineRule="auto"/>
        <w:jc w:val="both"/>
        <w:rPr>
          <w:rFonts w:ascii="Arial Narrow" w:eastAsia="Times New Roman" w:hAnsi="Arial Narrow" w:cs="Arial"/>
          <w:color w:val="000000" w:themeColor="text1"/>
          <w:lang w:val="es-ES" w:eastAsia="es-CO"/>
        </w:rPr>
      </w:pPr>
    </w:p>
    <w:p w14:paraId="1511FB0F" w14:textId="17E4DCD6" w:rsidR="008500C3" w:rsidRPr="006E1110" w:rsidRDefault="008500C3" w:rsidP="006E1110">
      <w:pPr>
        <w:spacing w:after="0" w:line="240" w:lineRule="auto"/>
        <w:jc w:val="both"/>
        <w:rPr>
          <w:rFonts w:ascii="Arial Narrow" w:eastAsia="Times New Roman" w:hAnsi="Arial Narrow" w:cs="Arial"/>
          <w:color w:val="000000" w:themeColor="text1"/>
          <w:lang w:eastAsia="es-CO"/>
        </w:rPr>
      </w:pPr>
      <w:r w:rsidRPr="006E1110">
        <w:rPr>
          <w:rFonts w:ascii="Arial Narrow" w:eastAsia="Times New Roman" w:hAnsi="Arial Narrow" w:cs="Arial"/>
          <w:b/>
          <w:bCs/>
          <w:color w:val="000000" w:themeColor="text1"/>
          <w:lang w:val="es-ES" w:eastAsia="es-CO"/>
        </w:rPr>
        <w:t xml:space="preserve">Nota: </w:t>
      </w:r>
      <w:r w:rsidRPr="006E1110">
        <w:rPr>
          <w:rFonts w:ascii="Arial Narrow" w:eastAsia="Times New Roman" w:hAnsi="Arial Narrow" w:cs="Arial"/>
          <w:color w:val="000000" w:themeColor="text1"/>
          <w:lang w:val="es-ES" w:eastAsia="es-CO"/>
        </w:rPr>
        <w:t>Las cifras citadas (IPC anual a septiembre de 2026: 6,29%; participación y variación del sector construcción) corresponden a la información publicada por el DANE.</w:t>
      </w:r>
    </w:p>
    <w:p w14:paraId="62703612" w14:textId="77777777" w:rsidR="007A684C" w:rsidRPr="006E1110" w:rsidRDefault="007A684C" w:rsidP="006E1110">
      <w:pPr>
        <w:spacing w:after="0" w:line="240" w:lineRule="auto"/>
        <w:jc w:val="both"/>
        <w:rPr>
          <w:rFonts w:ascii="Arial Narrow" w:hAnsi="Arial Narrow" w:cs="Arial"/>
          <w:b/>
        </w:rPr>
      </w:pPr>
    </w:p>
    <w:p w14:paraId="6EF9C52D" w14:textId="3D8FA186" w:rsidR="00887F4D" w:rsidRPr="006E1110" w:rsidRDefault="00513CC3" w:rsidP="006E1110">
      <w:pPr>
        <w:spacing w:after="0" w:line="240" w:lineRule="auto"/>
        <w:jc w:val="both"/>
        <w:rPr>
          <w:rFonts w:ascii="Arial Narrow" w:eastAsiaTheme="minorEastAsia" w:hAnsi="Arial Narrow" w:cs="Arial"/>
          <w:lang w:eastAsia="es-ES"/>
        </w:rPr>
      </w:pPr>
      <w:r w:rsidRPr="006E1110">
        <w:rPr>
          <w:rFonts w:ascii="Arial Narrow" w:hAnsi="Arial Narrow" w:cs="Arial"/>
          <w:b/>
        </w:rPr>
        <w:t>PERSPECTIVA TÉCNICA:</w:t>
      </w:r>
      <w:r w:rsidRPr="006E1110">
        <w:rPr>
          <w:rFonts w:ascii="Arial Narrow" w:hAnsi="Arial Narrow" w:cs="Arial"/>
        </w:rPr>
        <w:t xml:space="preserve"> </w:t>
      </w:r>
      <w:r w:rsidRPr="006E1110">
        <w:rPr>
          <w:rFonts w:ascii="Arial Narrow" w:eastAsiaTheme="minorEastAsia" w:hAnsi="Arial Narrow" w:cs="Arial"/>
          <w:lang w:eastAsia="es-ES"/>
        </w:rPr>
        <w:t>Con respecto al análisis técnico, se detallarán en el estudio previo con las especificaciones técnicas que deben presentar los futuros oferentes para el cabal cumplimiento del objeto contractual para la ejecución de la prestación del servicio</w:t>
      </w:r>
      <w:r w:rsidR="008A4084" w:rsidRPr="006E1110">
        <w:rPr>
          <w:rFonts w:ascii="Arial Narrow" w:eastAsiaTheme="minorEastAsia" w:hAnsi="Arial Narrow" w:cs="Arial"/>
          <w:lang w:eastAsia="es-ES"/>
        </w:rPr>
        <w:t xml:space="preserve">, de igual manera </w:t>
      </w:r>
      <w:r w:rsidR="00887F4D" w:rsidRPr="006E1110">
        <w:rPr>
          <w:rFonts w:ascii="Arial Narrow" w:eastAsiaTheme="minorEastAsia" w:hAnsi="Arial Narrow" w:cs="Arial"/>
          <w:lang w:eastAsia="es-ES"/>
        </w:rPr>
        <w:t xml:space="preserve">las especificaciones técnicas </w:t>
      </w:r>
      <w:r w:rsidR="002C72A3" w:rsidRPr="006E1110">
        <w:rPr>
          <w:rFonts w:ascii="Arial Narrow" w:eastAsiaTheme="minorEastAsia" w:hAnsi="Arial Narrow" w:cs="Arial"/>
          <w:lang w:eastAsia="es-ES"/>
        </w:rPr>
        <w:t xml:space="preserve">y alcance del proceso contractual </w:t>
      </w:r>
      <w:r w:rsidR="008500C3" w:rsidRPr="006E1110">
        <w:rPr>
          <w:rFonts w:ascii="Arial Narrow" w:eastAsiaTheme="minorEastAsia" w:hAnsi="Arial Narrow" w:cs="Arial"/>
          <w:lang w:eastAsia="es-ES"/>
        </w:rPr>
        <w:t>serán las</w:t>
      </w:r>
      <w:r w:rsidR="00887F4D" w:rsidRPr="006E1110">
        <w:rPr>
          <w:rFonts w:ascii="Arial Narrow" w:eastAsiaTheme="minorEastAsia" w:hAnsi="Arial Narrow" w:cs="Arial"/>
          <w:lang w:eastAsia="es-ES"/>
        </w:rPr>
        <w:t xml:space="preserve"> siguientes:</w:t>
      </w:r>
    </w:p>
    <w:p w14:paraId="4061D2AA" w14:textId="77777777" w:rsidR="007A684C" w:rsidRPr="006E1110" w:rsidRDefault="007A684C" w:rsidP="006E1110">
      <w:pPr>
        <w:spacing w:after="0" w:line="240" w:lineRule="auto"/>
        <w:jc w:val="both"/>
        <w:rPr>
          <w:rFonts w:ascii="Arial Narrow" w:eastAsiaTheme="minorEastAsia" w:hAnsi="Arial Narrow" w:cs="Arial"/>
          <w:b/>
          <w:bCs/>
          <w:i/>
          <w:iCs/>
          <w:color w:val="C00000"/>
          <w:lang w:eastAsia="es-ES"/>
        </w:rPr>
      </w:pPr>
    </w:p>
    <w:p w14:paraId="576773DA" w14:textId="77777777" w:rsidR="008500C3" w:rsidRPr="006E1110" w:rsidRDefault="008500C3" w:rsidP="006E1110">
      <w:pPr>
        <w:spacing w:after="100" w:line="264" w:lineRule="auto"/>
        <w:jc w:val="both"/>
        <w:rPr>
          <w:rFonts w:ascii="Arial Narrow" w:hAnsi="Arial Narrow"/>
        </w:rPr>
      </w:pPr>
      <w:r w:rsidRPr="006E1110">
        <w:rPr>
          <w:rFonts w:ascii="Arial Narrow" w:eastAsia="Arial Narrow" w:hAnsi="Arial Narrow" w:cs="Arial Narrow"/>
          <w:color w:val="000000"/>
        </w:rPr>
        <w:t>De acuerdo con el estudio del sector y de mercado, los diseños y las memorias de cálculo elaboradas por la Oficina de Servicios Públicos Domiciliarios, las especificaciones técnicas y las cantidades de obra requeridas para la adecuación de los seis (6) puntos concertados de muestreo son las que se relacionan a continuación. Las cantidades corresponden a la sumatoria de las actividades para los seis (6) puntos y no incluyen valores, los cuales se detallan en el presupuesto oficial y en los análisis de precios unitarios anexos: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3"/>
        <w:gridCol w:w="752"/>
        <w:gridCol w:w="4609"/>
        <w:gridCol w:w="902"/>
        <w:gridCol w:w="762"/>
      </w:tblGrid>
      <w:tr w:rsidR="008500C3" w:rsidRPr="006E1110" w14:paraId="5C11E6DD" w14:textId="77777777" w:rsidTr="00A75464">
        <w:trPr>
          <w:tblHeader/>
          <w:jc w:val="center"/>
        </w:trPr>
        <w:tc>
          <w:tcPr>
            <w:tcW w:w="1800" w:type="dxa"/>
            <w:tcBorders>
              <w:top w:val="single" w:sz="4" w:space="0" w:color="7F7F7F"/>
              <w:left w:val="single" w:sz="4" w:space="0" w:color="7F7F7F"/>
              <w:bottom w:val="single" w:sz="4" w:space="0" w:color="7F7F7F"/>
              <w:right w:val="single" w:sz="4" w:space="0" w:color="7F7F7F"/>
            </w:tcBorders>
            <w:shd w:val="clear" w:color="auto" w:fill="2E75B6"/>
            <w:tcMar>
              <w:top w:w="30" w:type="dxa"/>
              <w:left w:w="60" w:type="dxa"/>
              <w:bottom w:w="30" w:type="dxa"/>
              <w:right w:w="60" w:type="dxa"/>
            </w:tcMar>
            <w:vAlign w:val="center"/>
          </w:tcPr>
          <w:p w14:paraId="36D44A03"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b/>
                <w:bCs/>
                <w:color w:val="FFFFFF"/>
              </w:rPr>
              <w:t>ESPECIFICACIÓN</w:t>
            </w:r>
          </w:p>
        </w:tc>
        <w:tc>
          <w:tcPr>
            <w:tcW w:w="750" w:type="dxa"/>
            <w:tcBorders>
              <w:top w:val="single" w:sz="4" w:space="0" w:color="7F7F7F"/>
              <w:left w:val="single" w:sz="4" w:space="0" w:color="7F7F7F"/>
              <w:bottom w:val="single" w:sz="4" w:space="0" w:color="7F7F7F"/>
              <w:right w:val="single" w:sz="4" w:space="0" w:color="7F7F7F"/>
            </w:tcBorders>
            <w:shd w:val="clear" w:color="auto" w:fill="2E75B6"/>
            <w:tcMar>
              <w:top w:w="30" w:type="dxa"/>
              <w:left w:w="60" w:type="dxa"/>
              <w:bottom w:w="30" w:type="dxa"/>
              <w:right w:w="60" w:type="dxa"/>
            </w:tcMar>
            <w:vAlign w:val="center"/>
          </w:tcPr>
          <w:p w14:paraId="09282A70"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b/>
                <w:bCs/>
                <w:color w:val="FFFFFF"/>
              </w:rPr>
              <w:t>ÍTEM</w:t>
            </w:r>
          </w:p>
        </w:tc>
        <w:tc>
          <w:tcPr>
            <w:tcW w:w="4600" w:type="dxa"/>
            <w:tcBorders>
              <w:top w:val="single" w:sz="4" w:space="0" w:color="7F7F7F"/>
              <w:left w:val="single" w:sz="4" w:space="0" w:color="7F7F7F"/>
              <w:bottom w:val="single" w:sz="4" w:space="0" w:color="7F7F7F"/>
              <w:right w:val="single" w:sz="4" w:space="0" w:color="7F7F7F"/>
            </w:tcBorders>
            <w:shd w:val="clear" w:color="auto" w:fill="2E75B6"/>
            <w:tcMar>
              <w:top w:w="30" w:type="dxa"/>
              <w:left w:w="60" w:type="dxa"/>
              <w:bottom w:w="30" w:type="dxa"/>
              <w:right w:w="60" w:type="dxa"/>
            </w:tcMar>
            <w:vAlign w:val="center"/>
          </w:tcPr>
          <w:p w14:paraId="64F0B9E4"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b/>
                <w:bCs/>
                <w:color w:val="FFFFFF"/>
              </w:rPr>
              <w:t>DESCRIPCIÓN DE LA ACTIVIDAD</w:t>
            </w:r>
          </w:p>
        </w:tc>
        <w:tc>
          <w:tcPr>
            <w:tcW w:w="900" w:type="dxa"/>
            <w:tcBorders>
              <w:top w:val="single" w:sz="4" w:space="0" w:color="7F7F7F"/>
              <w:left w:val="single" w:sz="4" w:space="0" w:color="7F7F7F"/>
              <w:bottom w:val="single" w:sz="4" w:space="0" w:color="7F7F7F"/>
              <w:right w:val="single" w:sz="4" w:space="0" w:color="7F7F7F"/>
            </w:tcBorders>
            <w:shd w:val="clear" w:color="auto" w:fill="2E75B6"/>
            <w:tcMar>
              <w:top w:w="30" w:type="dxa"/>
              <w:left w:w="60" w:type="dxa"/>
              <w:bottom w:w="30" w:type="dxa"/>
              <w:right w:w="60" w:type="dxa"/>
            </w:tcMar>
            <w:vAlign w:val="center"/>
          </w:tcPr>
          <w:p w14:paraId="02184A4E"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b/>
                <w:bCs/>
                <w:color w:val="FFFFFF"/>
              </w:rPr>
              <w:t>UND</w:t>
            </w:r>
          </w:p>
        </w:tc>
        <w:tc>
          <w:tcPr>
            <w:tcW w:w="760" w:type="dxa"/>
            <w:tcBorders>
              <w:top w:val="single" w:sz="4" w:space="0" w:color="7F7F7F"/>
              <w:left w:val="single" w:sz="4" w:space="0" w:color="7F7F7F"/>
              <w:bottom w:val="single" w:sz="4" w:space="0" w:color="7F7F7F"/>
              <w:right w:val="single" w:sz="4" w:space="0" w:color="7F7F7F"/>
            </w:tcBorders>
            <w:shd w:val="clear" w:color="auto" w:fill="2E75B6"/>
            <w:tcMar>
              <w:top w:w="30" w:type="dxa"/>
              <w:left w:w="60" w:type="dxa"/>
              <w:bottom w:w="30" w:type="dxa"/>
              <w:right w:w="60" w:type="dxa"/>
            </w:tcMar>
            <w:vAlign w:val="center"/>
          </w:tcPr>
          <w:p w14:paraId="78E74A14"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b/>
                <w:bCs/>
                <w:color w:val="FFFFFF"/>
              </w:rPr>
              <w:t>CANT</w:t>
            </w:r>
          </w:p>
        </w:tc>
      </w:tr>
      <w:tr w:rsidR="008500C3" w:rsidRPr="006E1110" w14:paraId="52DA3E67"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shd w:val="clear" w:color="auto" w:fill="C9D6E5"/>
            <w:tcMar>
              <w:top w:w="30" w:type="dxa"/>
              <w:left w:w="60" w:type="dxa"/>
              <w:bottom w:w="30" w:type="dxa"/>
              <w:right w:w="60" w:type="dxa"/>
            </w:tcMar>
            <w:vAlign w:val="center"/>
          </w:tcPr>
          <w:p w14:paraId="35D297F5" w14:textId="77777777" w:rsidR="008500C3" w:rsidRPr="006E1110" w:rsidRDefault="008500C3" w:rsidP="006E1110">
            <w:pPr>
              <w:spacing w:line="230" w:lineRule="auto"/>
              <w:jc w:val="center"/>
              <w:rPr>
                <w:rFonts w:ascii="Arial Narrow" w:hAnsi="Arial Narrow"/>
              </w:rPr>
            </w:pPr>
          </w:p>
        </w:tc>
        <w:tc>
          <w:tcPr>
            <w:tcW w:w="750" w:type="dxa"/>
            <w:tcBorders>
              <w:top w:val="single" w:sz="4" w:space="0" w:color="7F7F7F"/>
              <w:left w:val="single" w:sz="4" w:space="0" w:color="7F7F7F"/>
              <w:bottom w:val="single" w:sz="4" w:space="0" w:color="7F7F7F"/>
              <w:right w:val="single" w:sz="4" w:space="0" w:color="7F7F7F"/>
            </w:tcBorders>
            <w:shd w:val="clear" w:color="auto" w:fill="C9D6E5"/>
            <w:tcMar>
              <w:top w:w="30" w:type="dxa"/>
              <w:left w:w="60" w:type="dxa"/>
              <w:bottom w:w="30" w:type="dxa"/>
              <w:right w:w="60" w:type="dxa"/>
            </w:tcMar>
            <w:vAlign w:val="center"/>
          </w:tcPr>
          <w:p w14:paraId="6B1C6C84"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b/>
                <w:bCs/>
                <w:color w:val="000000"/>
              </w:rPr>
              <w:t>1</w:t>
            </w:r>
          </w:p>
        </w:tc>
        <w:tc>
          <w:tcPr>
            <w:tcW w:w="4600" w:type="dxa"/>
            <w:tcBorders>
              <w:top w:val="single" w:sz="4" w:space="0" w:color="7F7F7F"/>
              <w:left w:val="single" w:sz="4" w:space="0" w:color="7F7F7F"/>
              <w:bottom w:val="single" w:sz="4" w:space="0" w:color="7F7F7F"/>
              <w:right w:val="single" w:sz="4" w:space="0" w:color="7F7F7F"/>
            </w:tcBorders>
            <w:shd w:val="clear" w:color="auto" w:fill="C9D6E5"/>
            <w:tcMar>
              <w:top w:w="30" w:type="dxa"/>
              <w:left w:w="60" w:type="dxa"/>
              <w:bottom w:w="30" w:type="dxa"/>
              <w:right w:w="60" w:type="dxa"/>
            </w:tcMar>
            <w:vAlign w:val="center"/>
          </w:tcPr>
          <w:p w14:paraId="3C7BEDFA"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b/>
                <w:bCs/>
                <w:color w:val="000000"/>
              </w:rPr>
              <w:t>PRELIMINARES</w:t>
            </w:r>
          </w:p>
        </w:tc>
        <w:tc>
          <w:tcPr>
            <w:tcW w:w="900" w:type="dxa"/>
            <w:tcBorders>
              <w:top w:val="single" w:sz="4" w:space="0" w:color="7F7F7F"/>
              <w:left w:val="single" w:sz="4" w:space="0" w:color="7F7F7F"/>
              <w:bottom w:val="single" w:sz="4" w:space="0" w:color="7F7F7F"/>
              <w:right w:val="single" w:sz="4" w:space="0" w:color="7F7F7F"/>
            </w:tcBorders>
            <w:shd w:val="clear" w:color="auto" w:fill="C9D6E5"/>
            <w:tcMar>
              <w:top w:w="30" w:type="dxa"/>
              <w:left w:w="60" w:type="dxa"/>
              <w:bottom w:w="30" w:type="dxa"/>
              <w:right w:w="60" w:type="dxa"/>
            </w:tcMar>
            <w:vAlign w:val="center"/>
          </w:tcPr>
          <w:p w14:paraId="79656A8E" w14:textId="77777777" w:rsidR="008500C3" w:rsidRPr="006E1110" w:rsidRDefault="008500C3" w:rsidP="006E1110">
            <w:pPr>
              <w:spacing w:line="230" w:lineRule="auto"/>
              <w:jc w:val="center"/>
              <w:rPr>
                <w:rFonts w:ascii="Arial Narrow" w:hAnsi="Arial Narrow"/>
              </w:rPr>
            </w:pPr>
          </w:p>
        </w:tc>
        <w:tc>
          <w:tcPr>
            <w:tcW w:w="760" w:type="dxa"/>
            <w:tcBorders>
              <w:top w:val="single" w:sz="4" w:space="0" w:color="7F7F7F"/>
              <w:left w:val="single" w:sz="4" w:space="0" w:color="7F7F7F"/>
              <w:bottom w:val="single" w:sz="4" w:space="0" w:color="7F7F7F"/>
              <w:right w:val="single" w:sz="4" w:space="0" w:color="7F7F7F"/>
            </w:tcBorders>
            <w:shd w:val="clear" w:color="auto" w:fill="C9D6E5"/>
            <w:tcMar>
              <w:top w:w="30" w:type="dxa"/>
              <w:left w:w="60" w:type="dxa"/>
              <w:bottom w:w="30" w:type="dxa"/>
              <w:right w:w="60" w:type="dxa"/>
            </w:tcMar>
            <w:vAlign w:val="center"/>
          </w:tcPr>
          <w:p w14:paraId="42B5C884" w14:textId="77777777" w:rsidR="008500C3" w:rsidRPr="006E1110" w:rsidRDefault="008500C3" w:rsidP="006E1110">
            <w:pPr>
              <w:spacing w:line="230" w:lineRule="auto"/>
              <w:jc w:val="center"/>
              <w:rPr>
                <w:rFonts w:ascii="Arial Narrow" w:hAnsi="Arial Narrow"/>
              </w:rPr>
            </w:pPr>
          </w:p>
        </w:tc>
      </w:tr>
      <w:tr w:rsidR="008500C3" w:rsidRPr="006E1110" w14:paraId="253E1598"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1998D614"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lastRenderedPageBreak/>
              <w:t>ICCU_CONS_1.41.</w:t>
            </w:r>
          </w:p>
        </w:tc>
        <w:tc>
          <w:tcPr>
            <w:tcW w:w="75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17597CE2"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1.01</w:t>
            </w:r>
          </w:p>
        </w:tc>
        <w:tc>
          <w:tcPr>
            <w:tcW w:w="46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5F18A5BE" w14:textId="77777777" w:rsidR="008500C3" w:rsidRPr="006E1110" w:rsidRDefault="008500C3" w:rsidP="006E1110">
            <w:pPr>
              <w:spacing w:line="230" w:lineRule="auto"/>
              <w:jc w:val="both"/>
              <w:rPr>
                <w:rFonts w:ascii="Arial Narrow" w:hAnsi="Arial Narrow"/>
              </w:rPr>
            </w:pPr>
            <w:r w:rsidRPr="006E1110">
              <w:rPr>
                <w:rFonts w:ascii="Arial Narrow" w:eastAsia="Arial Narrow" w:hAnsi="Arial Narrow" w:cs="Arial Narrow"/>
                <w:color w:val="000000"/>
              </w:rPr>
              <w:t>LOCALIZACIÓN Y REPLANTEO DE ESTRUCTURA CON ELEMENTOS DE PRECISION</w:t>
            </w:r>
          </w:p>
        </w:tc>
        <w:tc>
          <w:tcPr>
            <w:tcW w:w="9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4F9B5A57"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M2</w:t>
            </w:r>
          </w:p>
        </w:tc>
        <w:tc>
          <w:tcPr>
            <w:tcW w:w="76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15E5A02A"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6</w:t>
            </w:r>
          </w:p>
        </w:tc>
      </w:tr>
      <w:tr w:rsidR="008500C3" w:rsidRPr="006E1110" w14:paraId="4432098B"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59CF33BF"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ICCU_CONS_1.16.</w:t>
            </w:r>
          </w:p>
        </w:tc>
        <w:tc>
          <w:tcPr>
            <w:tcW w:w="75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7D0103D2"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1.02</w:t>
            </w:r>
          </w:p>
        </w:tc>
        <w:tc>
          <w:tcPr>
            <w:tcW w:w="46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2AFC7C89" w14:textId="77777777" w:rsidR="008500C3" w:rsidRPr="006E1110" w:rsidRDefault="008500C3" w:rsidP="006E1110">
            <w:pPr>
              <w:spacing w:line="230" w:lineRule="auto"/>
              <w:jc w:val="both"/>
              <w:rPr>
                <w:rFonts w:ascii="Arial Narrow" w:hAnsi="Arial Narrow"/>
              </w:rPr>
            </w:pPr>
            <w:r w:rsidRPr="006E1110">
              <w:rPr>
                <w:rFonts w:ascii="Arial Narrow" w:eastAsia="Arial Narrow" w:hAnsi="Arial Narrow" w:cs="Arial Narrow"/>
                <w:color w:val="000000"/>
              </w:rPr>
              <w:t>DEMOLICION MUROS EN MAMPOSTERIA 0.15 M, INC RETIRO</w:t>
            </w:r>
          </w:p>
        </w:tc>
        <w:tc>
          <w:tcPr>
            <w:tcW w:w="9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33426751"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M2</w:t>
            </w:r>
          </w:p>
        </w:tc>
        <w:tc>
          <w:tcPr>
            <w:tcW w:w="76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15825636"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8.64</w:t>
            </w:r>
          </w:p>
        </w:tc>
      </w:tr>
      <w:tr w:rsidR="008500C3" w:rsidRPr="006E1110" w14:paraId="3810CC63"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4EA4EE9D"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ICCU_CONS_1.27.</w:t>
            </w:r>
          </w:p>
        </w:tc>
        <w:tc>
          <w:tcPr>
            <w:tcW w:w="75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2862E410"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1.03</w:t>
            </w:r>
          </w:p>
        </w:tc>
        <w:tc>
          <w:tcPr>
            <w:tcW w:w="46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74D40A48" w14:textId="77777777" w:rsidR="008500C3" w:rsidRPr="006E1110" w:rsidRDefault="008500C3" w:rsidP="006E1110">
            <w:pPr>
              <w:spacing w:line="230" w:lineRule="auto"/>
              <w:jc w:val="both"/>
              <w:rPr>
                <w:rFonts w:ascii="Arial Narrow" w:hAnsi="Arial Narrow"/>
              </w:rPr>
            </w:pPr>
            <w:r w:rsidRPr="006E1110">
              <w:rPr>
                <w:rFonts w:ascii="Arial Narrow" w:eastAsia="Arial Narrow" w:hAnsi="Arial Narrow" w:cs="Arial Narrow"/>
                <w:color w:val="000000"/>
              </w:rPr>
              <w:t>DEMOLICION PLACA PISO 0.15 M, INC. RETIRO</w:t>
            </w:r>
          </w:p>
        </w:tc>
        <w:tc>
          <w:tcPr>
            <w:tcW w:w="9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059B6F82"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M2</w:t>
            </w:r>
          </w:p>
        </w:tc>
        <w:tc>
          <w:tcPr>
            <w:tcW w:w="76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371191BD"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6</w:t>
            </w:r>
          </w:p>
        </w:tc>
      </w:tr>
      <w:tr w:rsidR="008500C3" w:rsidRPr="006E1110" w14:paraId="39198B1F"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shd w:val="clear" w:color="auto" w:fill="C9D6E5"/>
            <w:tcMar>
              <w:top w:w="30" w:type="dxa"/>
              <w:left w:w="60" w:type="dxa"/>
              <w:bottom w:w="30" w:type="dxa"/>
              <w:right w:w="60" w:type="dxa"/>
            </w:tcMar>
            <w:vAlign w:val="center"/>
          </w:tcPr>
          <w:p w14:paraId="777DCBCD" w14:textId="77777777" w:rsidR="008500C3" w:rsidRPr="006E1110" w:rsidRDefault="008500C3" w:rsidP="006E1110">
            <w:pPr>
              <w:spacing w:line="230" w:lineRule="auto"/>
              <w:rPr>
                <w:rFonts w:ascii="Arial Narrow" w:hAnsi="Arial Narrow"/>
              </w:rPr>
            </w:pPr>
          </w:p>
        </w:tc>
        <w:tc>
          <w:tcPr>
            <w:tcW w:w="750" w:type="dxa"/>
            <w:tcBorders>
              <w:top w:val="single" w:sz="4" w:space="0" w:color="7F7F7F"/>
              <w:left w:val="single" w:sz="4" w:space="0" w:color="7F7F7F"/>
              <w:bottom w:val="single" w:sz="4" w:space="0" w:color="7F7F7F"/>
              <w:right w:val="single" w:sz="4" w:space="0" w:color="7F7F7F"/>
            </w:tcBorders>
            <w:shd w:val="clear" w:color="auto" w:fill="C9D6E5"/>
            <w:tcMar>
              <w:top w:w="30" w:type="dxa"/>
              <w:left w:w="60" w:type="dxa"/>
              <w:bottom w:w="30" w:type="dxa"/>
              <w:right w:w="60" w:type="dxa"/>
            </w:tcMar>
            <w:vAlign w:val="center"/>
          </w:tcPr>
          <w:p w14:paraId="30006F82"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b/>
                <w:bCs/>
                <w:color w:val="000000"/>
              </w:rPr>
              <w:t>2</w:t>
            </w:r>
          </w:p>
        </w:tc>
        <w:tc>
          <w:tcPr>
            <w:tcW w:w="4600" w:type="dxa"/>
            <w:tcBorders>
              <w:top w:val="single" w:sz="4" w:space="0" w:color="7F7F7F"/>
              <w:left w:val="single" w:sz="4" w:space="0" w:color="7F7F7F"/>
              <w:bottom w:val="single" w:sz="4" w:space="0" w:color="7F7F7F"/>
              <w:right w:val="single" w:sz="4" w:space="0" w:color="7F7F7F"/>
            </w:tcBorders>
            <w:shd w:val="clear" w:color="auto" w:fill="C9D6E5"/>
            <w:tcMar>
              <w:top w:w="30" w:type="dxa"/>
              <w:left w:w="60" w:type="dxa"/>
              <w:bottom w:w="30" w:type="dxa"/>
              <w:right w:w="60" w:type="dxa"/>
            </w:tcMar>
            <w:vAlign w:val="center"/>
          </w:tcPr>
          <w:p w14:paraId="1BC2A7C5"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b/>
                <w:bCs/>
                <w:color w:val="000000"/>
              </w:rPr>
              <w:t>CONSTRUCCIÓN ESTRUCTURA NUEVA</w:t>
            </w:r>
          </w:p>
        </w:tc>
        <w:tc>
          <w:tcPr>
            <w:tcW w:w="900" w:type="dxa"/>
            <w:tcBorders>
              <w:top w:val="single" w:sz="4" w:space="0" w:color="7F7F7F"/>
              <w:left w:val="single" w:sz="4" w:space="0" w:color="7F7F7F"/>
              <w:bottom w:val="single" w:sz="4" w:space="0" w:color="7F7F7F"/>
              <w:right w:val="single" w:sz="4" w:space="0" w:color="7F7F7F"/>
            </w:tcBorders>
            <w:shd w:val="clear" w:color="auto" w:fill="C9D6E5"/>
            <w:tcMar>
              <w:top w:w="30" w:type="dxa"/>
              <w:left w:w="60" w:type="dxa"/>
              <w:bottom w:w="30" w:type="dxa"/>
              <w:right w:w="60" w:type="dxa"/>
            </w:tcMar>
            <w:vAlign w:val="center"/>
          </w:tcPr>
          <w:p w14:paraId="15AAE65E" w14:textId="77777777" w:rsidR="008500C3" w:rsidRPr="006E1110" w:rsidRDefault="008500C3" w:rsidP="006E1110">
            <w:pPr>
              <w:spacing w:line="230" w:lineRule="auto"/>
              <w:rPr>
                <w:rFonts w:ascii="Arial Narrow" w:hAnsi="Arial Narrow"/>
              </w:rPr>
            </w:pPr>
          </w:p>
        </w:tc>
        <w:tc>
          <w:tcPr>
            <w:tcW w:w="760" w:type="dxa"/>
            <w:tcBorders>
              <w:top w:val="single" w:sz="4" w:space="0" w:color="7F7F7F"/>
              <w:left w:val="single" w:sz="4" w:space="0" w:color="7F7F7F"/>
              <w:bottom w:val="single" w:sz="4" w:space="0" w:color="7F7F7F"/>
              <w:right w:val="single" w:sz="4" w:space="0" w:color="7F7F7F"/>
            </w:tcBorders>
            <w:shd w:val="clear" w:color="auto" w:fill="C9D6E5"/>
            <w:tcMar>
              <w:top w:w="30" w:type="dxa"/>
              <w:left w:w="60" w:type="dxa"/>
              <w:bottom w:w="30" w:type="dxa"/>
              <w:right w:w="60" w:type="dxa"/>
            </w:tcMar>
            <w:vAlign w:val="center"/>
          </w:tcPr>
          <w:p w14:paraId="585467A8" w14:textId="77777777" w:rsidR="008500C3" w:rsidRPr="006E1110" w:rsidRDefault="008500C3" w:rsidP="006E1110">
            <w:pPr>
              <w:spacing w:line="230" w:lineRule="auto"/>
              <w:rPr>
                <w:rFonts w:ascii="Arial Narrow" w:hAnsi="Arial Narrow"/>
              </w:rPr>
            </w:pPr>
          </w:p>
        </w:tc>
      </w:tr>
      <w:tr w:rsidR="008500C3" w:rsidRPr="006E1110" w14:paraId="3D4994D6"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23FAFE1A"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ICCU_CONS_16.4.</w:t>
            </w:r>
          </w:p>
        </w:tc>
        <w:tc>
          <w:tcPr>
            <w:tcW w:w="75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6EF2FD1D"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2.01</w:t>
            </w:r>
          </w:p>
        </w:tc>
        <w:tc>
          <w:tcPr>
            <w:tcW w:w="46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7AE54149" w14:textId="77777777" w:rsidR="008500C3" w:rsidRPr="006E1110" w:rsidRDefault="008500C3" w:rsidP="006E1110">
            <w:pPr>
              <w:spacing w:line="230" w:lineRule="auto"/>
              <w:jc w:val="both"/>
              <w:rPr>
                <w:rFonts w:ascii="Arial Narrow" w:hAnsi="Arial Narrow"/>
              </w:rPr>
            </w:pPr>
            <w:r w:rsidRPr="006E1110">
              <w:rPr>
                <w:rFonts w:ascii="Arial Narrow" w:eastAsia="Arial Narrow" w:hAnsi="Arial Narrow" w:cs="Arial Narrow"/>
                <w:color w:val="000000"/>
              </w:rPr>
              <w:t>EXCAVACION MANUAL EN MATERIAL COMPUN H=0.0-2.0 M (INCLUYE RETIRO SOBRANTES A UNA DISTANCIA MENOR DE 5 KM)</w:t>
            </w:r>
          </w:p>
        </w:tc>
        <w:tc>
          <w:tcPr>
            <w:tcW w:w="9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4806822F"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M3</w:t>
            </w:r>
          </w:p>
        </w:tc>
        <w:tc>
          <w:tcPr>
            <w:tcW w:w="76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3CBD17DF"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1.2</w:t>
            </w:r>
          </w:p>
        </w:tc>
      </w:tr>
      <w:tr w:rsidR="008500C3" w:rsidRPr="006E1110" w14:paraId="14AEE621"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4ADFB2E1"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APU 1</w:t>
            </w:r>
          </w:p>
        </w:tc>
        <w:tc>
          <w:tcPr>
            <w:tcW w:w="75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02DE331D"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2.02</w:t>
            </w:r>
          </w:p>
        </w:tc>
        <w:tc>
          <w:tcPr>
            <w:tcW w:w="46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215B9D0E" w14:textId="77777777" w:rsidR="008500C3" w:rsidRPr="006E1110" w:rsidRDefault="008500C3" w:rsidP="006E1110">
            <w:pPr>
              <w:spacing w:line="230" w:lineRule="auto"/>
              <w:jc w:val="both"/>
              <w:rPr>
                <w:rFonts w:ascii="Arial Narrow" w:hAnsi="Arial Narrow"/>
              </w:rPr>
            </w:pPr>
            <w:r w:rsidRPr="006E1110">
              <w:rPr>
                <w:rFonts w:ascii="Arial Narrow" w:eastAsia="Arial Narrow" w:hAnsi="Arial Narrow" w:cs="Arial Narrow"/>
                <w:color w:val="000000"/>
              </w:rPr>
              <w:t>CAJA DE PROTECCIÓN 60X60</w:t>
            </w:r>
          </w:p>
        </w:tc>
        <w:tc>
          <w:tcPr>
            <w:tcW w:w="9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52A4DA6F"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UND</w:t>
            </w:r>
          </w:p>
        </w:tc>
        <w:tc>
          <w:tcPr>
            <w:tcW w:w="76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195CB595"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6</w:t>
            </w:r>
          </w:p>
        </w:tc>
      </w:tr>
      <w:tr w:rsidR="008500C3" w:rsidRPr="006E1110" w14:paraId="5E5C2C2F"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14BF4107"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ICCU_CONS_6.15.</w:t>
            </w:r>
          </w:p>
        </w:tc>
        <w:tc>
          <w:tcPr>
            <w:tcW w:w="75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082E7680"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2.03</w:t>
            </w:r>
          </w:p>
        </w:tc>
        <w:tc>
          <w:tcPr>
            <w:tcW w:w="46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7984AE84" w14:textId="77777777" w:rsidR="008500C3" w:rsidRPr="006E1110" w:rsidRDefault="008500C3" w:rsidP="006E1110">
            <w:pPr>
              <w:spacing w:line="230" w:lineRule="auto"/>
              <w:jc w:val="both"/>
              <w:rPr>
                <w:rFonts w:ascii="Arial Narrow" w:hAnsi="Arial Narrow"/>
              </w:rPr>
            </w:pPr>
            <w:r w:rsidRPr="006E1110">
              <w:rPr>
                <w:rFonts w:ascii="Arial Narrow" w:eastAsia="Arial Narrow" w:hAnsi="Arial Narrow" w:cs="Arial Narrow"/>
                <w:color w:val="000000"/>
              </w:rPr>
              <w:t>PAÑETE IMPERMEABILIZADO MUROS 1:3, E=1.5 CM</w:t>
            </w:r>
          </w:p>
        </w:tc>
        <w:tc>
          <w:tcPr>
            <w:tcW w:w="9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7227E99F"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M2</w:t>
            </w:r>
          </w:p>
        </w:tc>
        <w:tc>
          <w:tcPr>
            <w:tcW w:w="76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003A79B8"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23.04</w:t>
            </w:r>
          </w:p>
        </w:tc>
      </w:tr>
      <w:tr w:rsidR="008500C3" w:rsidRPr="006E1110" w14:paraId="56E35AE7"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1117E497"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ICCU_CONS_18.29.</w:t>
            </w:r>
          </w:p>
        </w:tc>
        <w:tc>
          <w:tcPr>
            <w:tcW w:w="75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5CA92ABA"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2.04</w:t>
            </w:r>
          </w:p>
        </w:tc>
        <w:tc>
          <w:tcPr>
            <w:tcW w:w="46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60D91269" w14:textId="77777777" w:rsidR="008500C3" w:rsidRPr="006E1110" w:rsidRDefault="008500C3" w:rsidP="006E1110">
            <w:pPr>
              <w:spacing w:line="230" w:lineRule="auto"/>
              <w:jc w:val="both"/>
              <w:rPr>
                <w:rFonts w:ascii="Arial Narrow" w:hAnsi="Arial Narrow"/>
              </w:rPr>
            </w:pPr>
            <w:r w:rsidRPr="006E1110">
              <w:rPr>
                <w:rFonts w:ascii="Arial Narrow" w:eastAsia="Arial Narrow" w:hAnsi="Arial Narrow" w:cs="Arial Narrow"/>
                <w:color w:val="000000"/>
              </w:rPr>
              <w:t>PINTURA TIPO KORAZA PARA EXTERIOR</w:t>
            </w:r>
          </w:p>
        </w:tc>
        <w:tc>
          <w:tcPr>
            <w:tcW w:w="9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02A4351E"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M2</w:t>
            </w:r>
          </w:p>
        </w:tc>
        <w:tc>
          <w:tcPr>
            <w:tcW w:w="76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709673BF"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11.52</w:t>
            </w:r>
          </w:p>
        </w:tc>
      </w:tr>
      <w:tr w:rsidR="008500C3" w:rsidRPr="006E1110" w14:paraId="5DD2E12C"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6B232BB4"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ICCU_CONS_14.1.</w:t>
            </w:r>
          </w:p>
        </w:tc>
        <w:tc>
          <w:tcPr>
            <w:tcW w:w="75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3F5085C9"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2.05</w:t>
            </w:r>
          </w:p>
        </w:tc>
        <w:tc>
          <w:tcPr>
            <w:tcW w:w="46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0F29515B" w14:textId="77777777" w:rsidR="008500C3" w:rsidRPr="006E1110" w:rsidRDefault="008500C3" w:rsidP="006E1110">
            <w:pPr>
              <w:spacing w:line="230" w:lineRule="auto"/>
              <w:jc w:val="both"/>
              <w:rPr>
                <w:rFonts w:ascii="Arial Narrow" w:hAnsi="Arial Narrow"/>
              </w:rPr>
            </w:pPr>
            <w:r w:rsidRPr="006E1110">
              <w:rPr>
                <w:rFonts w:ascii="Arial Narrow" w:eastAsia="Arial Narrow" w:hAnsi="Arial Narrow" w:cs="Arial Narrow"/>
                <w:color w:val="000000"/>
              </w:rPr>
              <w:t>BALDOSA CERÁMICA PARED 20X20, CALIDAD PRIMERA</w:t>
            </w:r>
          </w:p>
        </w:tc>
        <w:tc>
          <w:tcPr>
            <w:tcW w:w="9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3F22C1A9"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M2</w:t>
            </w:r>
          </w:p>
        </w:tc>
        <w:tc>
          <w:tcPr>
            <w:tcW w:w="76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336C53AD"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13.68</w:t>
            </w:r>
          </w:p>
        </w:tc>
      </w:tr>
      <w:tr w:rsidR="008500C3" w:rsidRPr="006E1110" w14:paraId="2F1044C9"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7E154034"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ICCU_VIAS_4.6.</w:t>
            </w:r>
          </w:p>
        </w:tc>
        <w:tc>
          <w:tcPr>
            <w:tcW w:w="75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104D0853"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2.06</w:t>
            </w:r>
          </w:p>
        </w:tc>
        <w:tc>
          <w:tcPr>
            <w:tcW w:w="46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76450E53" w14:textId="77777777" w:rsidR="008500C3" w:rsidRPr="006E1110" w:rsidRDefault="008500C3" w:rsidP="006E1110">
            <w:pPr>
              <w:spacing w:line="230" w:lineRule="auto"/>
              <w:jc w:val="both"/>
              <w:rPr>
                <w:rFonts w:ascii="Arial Narrow" w:hAnsi="Arial Narrow"/>
              </w:rPr>
            </w:pPr>
            <w:r w:rsidRPr="006E1110">
              <w:rPr>
                <w:rFonts w:ascii="Arial Narrow" w:eastAsia="Arial Narrow" w:hAnsi="Arial Narrow" w:cs="Arial Narrow"/>
                <w:color w:val="000000"/>
              </w:rPr>
              <w:t xml:space="preserve">CONCRETO CLASE </w:t>
            </w:r>
            <w:proofErr w:type="spellStart"/>
            <w:r w:rsidRPr="006E1110">
              <w:rPr>
                <w:rFonts w:ascii="Arial Narrow" w:eastAsia="Arial Narrow" w:hAnsi="Arial Narrow" w:cs="Arial Narrow"/>
                <w:color w:val="000000"/>
              </w:rPr>
              <w:t>D,f</w:t>
            </w:r>
            <w:proofErr w:type="spellEnd"/>
            <w:r w:rsidRPr="006E1110">
              <w:rPr>
                <w:rFonts w:ascii="Arial Narrow" w:eastAsia="Arial Narrow" w:hAnsi="Arial Narrow" w:cs="Arial Narrow"/>
                <w:color w:val="000000"/>
              </w:rPr>
              <w:t>' c =3000 PSI (BASES)</w:t>
            </w:r>
          </w:p>
        </w:tc>
        <w:tc>
          <w:tcPr>
            <w:tcW w:w="9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52436C81"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M3</w:t>
            </w:r>
          </w:p>
        </w:tc>
        <w:tc>
          <w:tcPr>
            <w:tcW w:w="76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7FA66F7F"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0.384</w:t>
            </w:r>
          </w:p>
        </w:tc>
      </w:tr>
      <w:tr w:rsidR="008500C3" w:rsidRPr="006E1110" w14:paraId="303C3B10"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1E2BB15B"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ICCU_CONS_4.22.</w:t>
            </w:r>
          </w:p>
        </w:tc>
        <w:tc>
          <w:tcPr>
            <w:tcW w:w="75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0D3FBDD6"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2.07</w:t>
            </w:r>
          </w:p>
        </w:tc>
        <w:tc>
          <w:tcPr>
            <w:tcW w:w="46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6162830C" w14:textId="77777777" w:rsidR="008500C3" w:rsidRPr="006E1110" w:rsidRDefault="008500C3" w:rsidP="006E1110">
            <w:pPr>
              <w:spacing w:line="230" w:lineRule="auto"/>
              <w:jc w:val="both"/>
              <w:rPr>
                <w:rFonts w:ascii="Arial Narrow" w:hAnsi="Arial Narrow"/>
              </w:rPr>
            </w:pPr>
            <w:r w:rsidRPr="006E1110">
              <w:rPr>
                <w:rFonts w:ascii="Arial Narrow" w:eastAsia="Arial Narrow" w:hAnsi="Arial Narrow" w:cs="Arial Narrow"/>
                <w:color w:val="000000"/>
              </w:rPr>
              <w:t>ACERO FIGURADO 60000 PSI</w:t>
            </w:r>
          </w:p>
        </w:tc>
        <w:tc>
          <w:tcPr>
            <w:tcW w:w="9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1B4A4811"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KG</w:t>
            </w:r>
          </w:p>
        </w:tc>
        <w:tc>
          <w:tcPr>
            <w:tcW w:w="76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0BBB6C73"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38.172</w:t>
            </w:r>
          </w:p>
        </w:tc>
      </w:tr>
      <w:tr w:rsidR="008500C3" w:rsidRPr="006E1110" w14:paraId="7BB7722E"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11B2B300"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APU 2</w:t>
            </w:r>
          </w:p>
        </w:tc>
        <w:tc>
          <w:tcPr>
            <w:tcW w:w="75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0F89C6D8"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2.08</w:t>
            </w:r>
          </w:p>
        </w:tc>
        <w:tc>
          <w:tcPr>
            <w:tcW w:w="46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339DF6A8" w14:textId="77777777" w:rsidR="008500C3" w:rsidRPr="006E1110" w:rsidRDefault="008500C3" w:rsidP="006E1110">
            <w:pPr>
              <w:spacing w:line="230" w:lineRule="auto"/>
              <w:jc w:val="both"/>
              <w:rPr>
                <w:rFonts w:ascii="Arial Narrow" w:hAnsi="Arial Narrow"/>
              </w:rPr>
            </w:pPr>
            <w:r w:rsidRPr="006E1110">
              <w:rPr>
                <w:rFonts w:ascii="Arial Narrow" w:eastAsia="Arial Narrow" w:hAnsi="Arial Narrow" w:cs="Arial Narrow"/>
                <w:color w:val="000000"/>
              </w:rPr>
              <w:t>SUMINISTRO E INSTALACION TAPA DE ALFAJOR =1/4" CON RIGIZADORES Y MARCO EN ÁNGULO. (0.60X0.60) M O SIMILAR PARA ESTRUCTURA NUEVA INCLUYE ANTICORROSIVO</w:t>
            </w:r>
          </w:p>
        </w:tc>
        <w:tc>
          <w:tcPr>
            <w:tcW w:w="9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4E0C489F"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UND</w:t>
            </w:r>
          </w:p>
        </w:tc>
        <w:tc>
          <w:tcPr>
            <w:tcW w:w="76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484AE170"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6</w:t>
            </w:r>
          </w:p>
        </w:tc>
      </w:tr>
      <w:tr w:rsidR="008500C3" w:rsidRPr="006E1110" w14:paraId="314BCA42"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47A44F83"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ICCU_CONS_18.9.</w:t>
            </w:r>
          </w:p>
        </w:tc>
        <w:tc>
          <w:tcPr>
            <w:tcW w:w="75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058B37B9"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2.09</w:t>
            </w:r>
          </w:p>
        </w:tc>
        <w:tc>
          <w:tcPr>
            <w:tcW w:w="46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48E57399" w14:textId="77777777" w:rsidR="008500C3" w:rsidRPr="006E1110" w:rsidRDefault="008500C3" w:rsidP="006E1110">
            <w:pPr>
              <w:spacing w:line="230" w:lineRule="auto"/>
              <w:jc w:val="both"/>
              <w:rPr>
                <w:rFonts w:ascii="Arial Narrow" w:hAnsi="Arial Narrow"/>
              </w:rPr>
            </w:pPr>
            <w:r w:rsidRPr="006E1110">
              <w:rPr>
                <w:rFonts w:ascii="Arial Narrow" w:eastAsia="Arial Narrow" w:hAnsi="Arial Narrow" w:cs="Arial Narrow"/>
                <w:color w:val="000000"/>
              </w:rPr>
              <w:t>ESMALTE SOBRE LAMINA LLENA</w:t>
            </w:r>
          </w:p>
        </w:tc>
        <w:tc>
          <w:tcPr>
            <w:tcW w:w="9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259081AF"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M2</w:t>
            </w:r>
          </w:p>
        </w:tc>
        <w:tc>
          <w:tcPr>
            <w:tcW w:w="76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33CBECE5"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4.32</w:t>
            </w:r>
          </w:p>
        </w:tc>
      </w:tr>
      <w:tr w:rsidR="008500C3" w:rsidRPr="006E1110" w14:paraId="6FFDBC95"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439B213D"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APU 3</w:t>
            </w:r>
          </w:p>
        </w:tc>
        <w:tc>
          <w:tcPr>
            <w:tcW w:w="75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31570424"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2.10</w:t>
            </w:r>
          </w:p>
        </w:tc>
        <w:tc>
          <w:tcPr>
            <w:tcW w:w="46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7246B0E4" w14:textId="77777777" w:rsidR="008500C3" w:rsidRPr="006E1110" w:rsidRDefault="008500C3" w:rsidP="006E1110">
            <w:pPr>
              <w:spacing w:line="230" w:lineRule="auto"/>
              <w:jc w:val="both"/>
              <w:rPr>
                <w:rFonts w:ascii="Arial Narrow" w:hAnsi="Arial Narrow"/>
              </w:rPr>
            </w:pPr>
            <w:r w:rsidRPr="006E1110">
              <w:rPr>
                <w:rFonts w:ascii="Arial Narrow" w:eastAsia="Arial Narrow" w:hAnsi="Arial Narrow" w:cs="Arial Narrow"/>
                <w:color w:val="000000"/>
              </w:rPr>
              <w:t>SUMINISTRO E INSTALACIÓN DE SEÑALIZACION DE INDENTIFICACIÓN DEL PUNTO DE MUESTREO EN MATERIAL RESISTENTE A LA INTEMPERIE</w:t>
            </w:r>
          </w:p>
        </w:tc>
        <w:tc>
          <w:tcPr>
            <w:tcW w:w="9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1CFD168A"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UND</w:t>
            </w:r>
          </w:p>
        </w:tc>
        <w:tc>
          <w:tcPr>
            <w:tcW w:w="76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34565B6A"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6</w:t>
            </w:r>
          </w:p>
        </w:tc>
      </w:tr>
      <w:tr w:rsidR="008500C3" w:rsidRPr="006E1110" w14:paraId="35067D28"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shd w:val="clear" w:color="auto" w:fill="C9D6E5"/>
            <w:tcMar>
              <w:top w:w="30" w:type="dxa"/>
              <w:left w:w="60" w:type="dxa"/>
              <w:bottom w:w="30" w:type="dxa"/>
              <w:right w:w="60" w:type="dxa"/>
            </w:tcMar>
            <w:vAlign w:val="center"/>
          </w:tcPr>
          <w:p w14:paraId="7438A07A" w14:textId="77777777" w:rsidR="008500C3" w:rsidRPr="006E1110" w:rsidRDefault="008500C3" w:rsidP="006E1110">
            <w:pPr>
              <w:spacing w:line="230" w:lineRule="auto"/>
              <w:rPr>
                <w:rFonts w:ascii="Arial Narrow" w:hAnsi="Arial Narrow"/>
              </w:rPr>
            </w:pPr>
          </w:p>
        </w:tc>
        <w:tc>
          <w:tcPr>
            <w:tcW w:w="750" w:type="dxa"/>
            <w:tcBorders>
              <w:top w:val="single" w:sz="4" w:space="0" w:color="7F7F7F"/>
              <w:left w:val="single" w:sz="4" w:space="0" w:color="7F7F7F"/>
              <w:bottom w:val="single" w:sz="4" w:space="0" w:color="7F7F7F"/>
              <w:right w:val="single" w:sz="4" w:space="0" w:color="7F7F7F"/>
            </w:tcBorders>
            <w:shd w:val="clear" w:color="auto" w:fill="C9D6E5"/>
            <w:tcMar>
              <w:top w:w="30" w:type="dxa"/>
              <w:left w:w="60" w:type="dxa"/>
              <w:bottom w:w="30" w:type="dxa"/>
              <w:right w:w="60" w:type="dxa"/>
            </w:tcMar>
            <w:vAlign w:val="center"/>
          </w:tcPr>
          <w:p w14:paraId="3B716E5E"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b/>
                <w:bCs/>
                <w:color w:val="000000"/>
              </w:rPr>
              <w:t>3</w:t>
            </w:r>
          </w:p>
        </w:tc>
        <w:tc>
          <w:tcPr>
            <w:tcW w:w="4600" w:type="dxa"/>
            <w:tcBorders>
              <w:top w:val="single" w:sz="4" w:space="0" w:color="7F7F7F"/>
              <w:left w:val="single" w:sz="4" w:space="0" w:color="7F7F7F"/>
              <w:bottom w:val="single" w:sz="4" w:space="0" w:color="7F7F7F"/>
              <w:right w:val="single" w:sz="4" w:space="0" w:color="7F7F7F"/>
            </w:tcBorders>
            <w:shd w:val="clear" w:color="auto" w:fill="C9D6E5"/>
            <w:tcMar>
              <w:top w:w="30" w:type="dxa"/>
              <w:left w:w="60" w:type="dxa"/>
              <w:bottom w:w="30" w:type="dxa"/>
              <w:right w:w="60" w:type="dxa"/>
            </w:tcMar>
            <w:vAlign w:val="center"/>
          </w:tcPr>
          <w:p w14:paraId="09A3E458"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b/>
                <w:bCs/>
                <w:color w:val="000000"/>
              </w:rPr>
              <w:t>INSTALACIÓN DE SISTEMA HIDRÁULICO</w:t>
            </w:r>
          </w:p>
        </w:tc>
        <w:tc>
          <w:tcPr>
            <w:tcW w:w="900" w:type="dxa"/>
            <w:tcBorders>
              <w:top w:val="single" w:sz="4" w:space="0" w:color="7F7F7F"/>
              <w:left w:val="single" w:sz="4" w:space="0" w:color="7F7F7F"/>
              <w:bottom w:val="single" w:sz="4" w:space="0" w:color="7F7F7F"/>
              <w:right w:val="single" w:sz="4" w:space="0" w:color="7F7F7F"/>
            </w:tcBorders>
            <w:shd w:val="clear" w:color="auto" w:fill="C9D6E5"/>
            <w:tcMar>
              <w:top w:w="30" w:type="dxa"/>
              <w:left w:w="60" w:type="dxa"/>
              <w:bottom w:w="30" w:type="dxa"/>
              <w:right w:w="60" w:type="dxa"/>
            </w:tcMar>
            <w:vAlign w:val="center"/>
          </w:tcPr>
          <w:p w14:paraId="6F7BAF6D" w14:textId="77777777" w:rsidR="008500C3" w:rsidRPr="006E1110" w:rsidRDefault="008500C3" w:rsidP="006E1110">
            <w:pPr>
              <w:spacing w:line="230" w:lineRule="auto"/>
              <w:rPr>
                <w:rFonts w:ascii="Arial Narrow" w:hAnsi="Arial Narrow"/>
              </w:rPr>
            </w:pPr>
          </w:p>
        </w:tc>
        <w:tc>
          <w:tcPr>
            <w:tcW w:w="760" w:type="dxa"/>
            <w:tcBorders>
              <w:top w:val="single" w:sz="4" w:space="0" w:color="7F7F7F"/>
              <w:left w:val="single" w:sz="4" w:space="0" w:color="7F7F7F"/>
              <w:bottom w:val="single" w:sz="4" w:space="0" w:color="7F7F7F"/>
              <w:right w:val="single" w:sz="4" w:space="0" w:color="7F7F7F"/>
            </w:tcBorders>
            <w:shd w:val="clear" w:color="auto" w:fill="C9D6E5"/>
            <w:tcMar>
              <w:top w:w="30" w:type="dxa"/>
              <w:left w:w="60" w:type="dxa"/>
              <w:bottom w:w="30" w:type="dxa"/>
              <w:right w:w="60" w:type="dxa"/>
            </w:tcMar>
            <w:vAlign w:val="center"/>
          </w:tcPr>
          <w:p w14:paraId="7705CFEC" w14:textId="77777777" w:rsidR="008500C3" w:rsidRPr="006E1110" w:rsidRDefault="008500C3" w:rsidP="006E1110">
            <w:pPr>
              <w:spacing w:line="230" w:lineRule="auto"/>
              <w:rPr>
                <w:rFonts w:ascii="Arial Narrow" w:hAnsi="Arial Narrow"/>
              </w:rPr>
            </w:pPr>
          </w:p>
        </w:tc>
      </w:tr>
      <w:tr w:rsidR="008500C3" w:rsidRPr="006E1110" w14:paraId="0530B3B5"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54FC3B13"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ICCU_CONS_11.16</w:t>
            </w:r>
          </w:p>
        </w:tc>
        <w:tc>
          <w:tcPr>
            <w:tcW w:w="75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6B73360B"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3.01</w:t>
            </w:r>
          </w:p>
        </w:tc>
        <w:tc>
          <w:tcPr>
            <w:tcW w:w="46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3DED44A6" w14:textId="77777777" w:rsidR="008500C3" w:rsidRPr="006E1110" w:rsidRDefault="008500C3" w:rsidP="006E1110">
            <w:pPr>
              <w:spacing w:line="230" w:lineRule="auto"/>
              <w:jc w:val="both"/>
              <w:rPr>
                <w:rFonts w:ascii="Arial Narrow" w:hAnsi="Arial Narrow"/>
              </w:rPr>
            </w:pPr>
            <w:r w:rsidRPr="006E1110">
              <w:rPr>
                <w:rFonts w:ascii="Arial Narrow" w:eastAsia="Arial Narrow" w:hAnsi="Arial Narrow" w:cs="Arial Narrow"/>
                <w:color w:val="000000"/>
              </w:rPr>
              <w:t>PUNTO HIDRPAULICO PVC-P/PARAL 1/2"</w:t>
            </w:r>
          </w:p>
        </w:tc>
        <w:tc>
          <w:tcPr>
            <w:tcW w:w="9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526F697F"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UND</w:t>
            </w:r>
          </w:p>
        </w:tc>
        <w:tc>
          <w:tcPr>
            <w:tcW w:w="76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172F1B22"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6</w:t>
            </w:r>
          </w:p>
        </w:tc>
      </w:tr>
      <w:tr w:rsidR="008500C3" w:rsidRPr="006E1110" w14:paraId="2A6B9A3B" w14:textId="77777777" w:rsidTr="00A75464">
        <w:trPr>
          <w:jc w:val="center"/>
        </w:trPr>
        <w:tc>
          <w:tcPr>
            <w:tcW w:w="18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386ADDC1"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APU 4</w:t>
            </w:r>
          </w:p>
        </w:tc>
        <w:tc>
          <w:tcPr>
            <w:tcW w:w="75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76C9F506"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3.02</w:t>
            </w:r>
          </w:p>
        </w:tc>
        <w:tc>
          <w:tcPr>
            <w:tcW w:w="46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3CC9E50F" w14:textId="77777777" w:rsidR="008500C3" w:rsidRPr="006E1110" w:rsidRDefault="008500C3" w:rsidP="006E1110">
            <w:pPr>
              <w:spacing w:line="230" w:lineRule="auto"/>
              <w:jc w:val="both"/>
              <w:rPr>
                <w:rFonts w:ascii="Arial Narrow" w:hAnsi="Arial Narrow"/>
              </w:rPr>
            </w:pPr>
            <w:r w:rsidRPr="006E1110">
              <w:rPr>
                <w:rFonts w:ascii="Arial Narrow" w:eastAsia="Arial Narrow" w:hAnsi="Arial Narrow" w:cs="Arial Narrow"/>
                <w:color w:val="000000"/>
              </w:rPr>
              <w:t>SUMINISTRO E INSTALACION DE LLAVE TERMINAL DE MUESTREO EN BRONCE - LATÓN DE 1/2" DE ALTO DESEMPEÑO</w:t>
            </w:r>
          </w:p>
        </w:tc>
        <w:tc>
          <w:tcPr>
            <w:tcW w:w="90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28655049"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UND</w:t>
            </w:r>
          </w:p>
        </w:tc>
        <w:tc>
          <w:tcPr>
            <w:tcW w:w="760" w:type="dxa"/>
            <w:tcBorders>
              <w:top w:val="single" w:sz="4" w:space="0" w:color="7F7F7F"/>
              <w:left w:val="single" w:sz="4" w:space="0" w:color="7F7F7F"/>
              <w:bottom w:val="single" w:sz="4" w:space="0" w:color="7F7F7F"/>
              <w:right w:val="single" w:sz="4" w:space="0" w:color="7F7F7F"/>
            </w:tcBorders>
            <w:tcMar>
              <w:top w:w="30" w:type="dxa"/>
              <w:left w:w="60" w:type="dxa"/>
              <w:bottom w:w="30" w:type="dxa"/>
              <w:right w:w="60" w:type="dxa"/>
            </w:tcMar>
            <w:vAlign w:val="center"/>
          </w:tcPr>
          <w:p w14:paraId="51C5C035" w14:textId="77777777" w:rsidR="008500C3" w:rsidRPr="006E1110" w:rsidRDefault="008500C3" w:rsidP="006E1110">
            <w:pPr>
              <w:spacing w:line="230" w:lineRule="auto"/>
              <w:jc w:val="center"/>
              <w:rPr>
                <w:rFonts w:ascii="Arial Narrow" w:hAnsi="Arial Narrow"/>
              </w:rPr>
            </w:pPr>
            <w:r w:rsidRPr="006E1110">
              <w:rPr>
                <w:rFonts w:ascii="Arial Narrow" w:eastAsia="Arial Narrow" w:hAnsi="Arial Narrow" w:cs="Arial Narrow"/>
                <w:color w:val="000000"/>
              </w:rPr>
              <w:t>6</w:t>
            </w:r>
          </w:p>
        </w:tc>
      </w:tr>
    </w:tbl>
    <w:p w14:paraId="4C6D08A2" w14:textId="412AE876" w:rsidR="008500C3" w:rsidRPr="006E1110" w:rsidRDefault="008500C3" w:rsidP="006E1110">
      <w:pPr>
        <w:pStyle w:val="Prrafodelista"/>
        <w:numPr>
          <w:ilvl w:val="0"/>
          <w:numId w:val="16"/>
        </w:numPr>
        <w:spacing w:after="0" w:line="264" w:lineRule="auto"/>
        <w:ind w:left="0" w:firstLine="0"/>
        <w:rPr>
          <w:rFonts w:ascii="Arial Narrow" w:hAnsi="Arial Narrow"/>
        </w:rPr>
      </w:pPr>
      <w:r w:rsidRPr="006E1110">
        <w:rPr>
          <w:rFonts w:ascii="Arial Narrow" w:eastAsia="Arial Narrow" w:hAnsi="Arial Narrow" w:cs="Arial Narrow"/>
          <w:b/>
          <w:bCs/>
          <w:color w:val="000000"/>
        </w:rPr>
        <w:t>Notas y requerimientos específicos para el oferente:</w:t>
      </w:r>
    </w:p>
    <w:p w14:paraId="0DF0FC1B" w14:textId="77777777" w:rsidR="008500C3" w:rsidRPr="006E1110" w:rsidRDefault="008500C3" w:rsidP="006E1110">
      <w:pPr>
        <w:pStyle w:val="Prrafodelista"/>
        <w:spacing w:after="0" w:line="264" w:lineRule="auto"/>
        <w:ind w:left="0"/>
        <w:rPr>
          <w:rFonts w:ascii="Arial Narrow" w:hAnsi="Arial Narrow"/>
        </w:rPr>
      </w:pPr>
    </w:p>
    <w:p w14:paraId="710455B2" w14:textId="77777777" w:rsidR="008500C3" w:rsidRPr="006E1110" w:rsidRDefault="008500C3" w:rsidP="006E1110">
      <w:pPr>
        <w:pStyle w:val="Prrafodelista"/>
        <w:numPr>
          <w:ilvl w:val="0"/>
          <w:numId w:val="15"/>
        </w:numPr>
        <w:spacing w:after="80" w:line="260" w:lineRule="auto"/>
        <w:ind w:left="0" w:firstLine="0"/>
        <w:contextualSpacing w:val="0"/>
        <w:jc w:val="both"/>
        <w:rPr>
          <w:rFonts w:ascii="Arial Narrow" w:hAnsi="Arial Narrow"/>
        </w:rPr>
      </w:pPr>
      <w:r w:rsidRPr="006E1110">
        <w:rPr>
          <w:rFonts w:ascii="Arial Narrow" w:eastAsia="Arial Narrow" w:hAnsi="Arial Narrow" w:cs="Arial Narrow"/>
          <w:color w:val="000000"/>
        </w:rPr>
        <w:lastRenderedPageBreak/>
        <w:t>El oferente deberá contar con la experiencia e idoneidad requeridas para la ejecución de obras de construcción, adecuación o mantenimiento de infraestructura, y disponer del personal, la herramienta y el equipo necesarios para desarrollar la totalidad de las actividades relacionadas.</w:t>
      </w:r>
    </w:p>
    <w:p w14:paraId="4E588F37" w14:textId="77777777" w:rsidR="008500C3" w:rsidRPr="006E1110" w:rsidRDefault="008500C3" w:rsidP="006E1110">
      <w:pPr>
        <w:pStyle w:val="Prrafodelista"/>
        <w:numPr>
          <w:ilvl w:val="0"/>
          <w:numId w:val="15"/>
        </w:numPr>
        <w:spacing w:after="80" w:line="260" w:lineRule="auto"/>
        <w:ind w:left="0" w:firstLine="0"/>
        <w:contextualSpacing w:val="0"/>
        <w:jc w:val="both"/>
        <w:rPr>
          <w:rFonts w:ascii="Arial Narrow" w:hAnsi="Arial Narrow"/>
        </w:rPr>
      </w:pPr>
      <w:r w:rsidRPr="006E1110">
        <w:rPr>
          <w:rFonts w:ascii="Arial Narrow" w:eastAsia="Arial Narrow" w:hAnsi="Arial Narrow" w:cs="Arial Narrow"/>
          <w:color w:val="000000"/>
        </w:rPr>
        <w:t>Todos los materiales suministrados deberán ser nuevos, de primera calidad y cumplir las normas técnicas colombianas (NTC) aplicables, así como ser aptos para su uso en infraestructura asociada a sistemas de agua potable. La llave terminal de muestreo deberá ser en bronce-latón y apta para la toma de muestras de agua para consumo humano.</w:t>
      </w:r>
    </w:p>
    <w:p w14:paraId="367B0D11" w14:textId="77777777" w:rsidR="008500C3" w:rsidRPr="006E1110" w:rsidRDefault="008500C3" w:rsidP="006E1110">
      <w:pPr>
        <w:pStyle w:val="Prrafodelista"/>
        <w:numPr>
          <w:ilvl w:val="0"/>
          <w:numId w:val="15"/>
        </w:numPr>
        <w:spacing w:after="80" w:line="260" w:lineRule="auto"/>
        <w:ind w:left="0" w:firstLine="0"/>
        <w:contextualSpacing w:val="0"/>
        <w:jc w:val="both"/>
        <w:rPr>
          <w:rFonts w:ascii="Arial Narrow" w:hAnsi="Arial Narrow"/>
        </w:rPr>
      </w:pPr>
      <w:r w:rsidRPr="006E1110">
        <w:rPr>
          <w:rFonts w:ascii="Arial Narrow" w:eastAsia="Arial Narrow" w:hAnsi="Arial Narrow" w:cs="Arial Narrow"/>
          <w:color w:val="000000"/>
        </w:rPr>
        <w:t>Las actividades se ejecutarán conforme a los diseños del “Punto de Muestra” tipo (planta, alzados, secciones y detalles) y a las especificaciones técnicas que hacen parte integral del proceso. Las dimensiones y acabados de cada punto se ajustarán a dichos diseños.</w:t>
      </w:r>
    </w:p>
    <w:p w14:paraId="29B12815" w14:textId="77777777" w:rsidR="008500C3" w:rsidRPr="006E1110" w:rsidRDefault="008500C3" w:rsidP="006E1110">
      <w:pPr>
        <w:pStyle w:val="Prrafodelista"/>
        <w:numPr>
          <w:ilvl w:val="0"/>
          <w:numId w:val="15"/>
        </w:numPr>
        <w:spacing w:after="80" w:line="260" w:lineRule="auto"/>
        <w:ind w:left="0" w:firstLine="0"/>
        <w:contextualSpacing w:val="0"/>
        <w:jc w:val="both"/>
        <w:rPr>
          <w:rFonts w:ascii="Arial Narrow" w:hAnsi="Arial Narrow"/>
        </w:rPr>
      </w:pPr>
      <w:r w:rsidRPr="006E1110">
        <w:rPr>
          <w:rFonts w:ascii="Arial Narrow" w:eastAsia="Arial Narrow" w:hAnsi="Arial Narrow" w:cs="Arial Narrow"/>
          <w:color w:val="000000"/>
        </w:rPr>
        <w:t>Las cantidades de obra son estimadas con base en las memorias de cálculo y podrán ser objeto de verificación en sitio. El contratista deberá verificar las condiciones y dimensiones reales de cada uno de los seis (6) puntos antes de iniciar las actividades.</w:t>
      </w:r>
    </w:p>
    <w:p w14:paraId="0C5B7E7B" w14:textId="77777777" w:rsidR="008500C3" w:rsidRPr="006E1110" w:rsidRDefault="008500C3" w:rsidP="006E1110">
      <w:pPr>
        <w:pStyle w:val="Prrafodelista"/>
        <w:numPr>
          <w:ilvl w:val="0"/>
          <w:numId w:val="15"/>
        </w:numPr>
        <w:spacing w:after="80" w:line="260" w:lineRule="auto"/>
        <w:ind w:left="0" w:firstLine="0"/>
        <w:contextualSpacing w:val="0"/>
        <w:jc w:val="both"/>
        <w:rPr>
          <w:rFonts w:ascii="Arial Narrow" w:hAnsi="Arial Narrow"/>
        </w:rPr>
      </w:pPr>
      <w:r w:rsidRPr="006E1110">
        <w:rPr>
          <w:rFonts w:ascii="Arial Narrow" w:eastAsia="Arial Narrow" w:hAnsi="Arial Narrow" w:cs="Arial Narrow"/>
          <w:color w:val="000000"/>
        </w:rPr>
        <w:t>El contratista deberá ejecutar el retiro y la disposición final de los escombros y residuos de construcción y demolición (RCD) en sitios autorizados, conforme a la normatividad ambiental vigente.</w:t>
      </w:r>
    </w:p>
    <w:p w14:paraId="2D0FE7C9" w14:textId="77777777" w:rsidR="008500C3" w:rsidRPr="006E1110" w:rsidRDefault="008500C3" w:rsidP="006E1110">
      <w:pPr>
        <w:pStyle w:val="Prrafodelista"/>
        <w:numPr>
          <w:ilvl w:val="0"/>
          <w:numId w:val="15"/>
        </w:numPr>
        <w:spacing w:after="80" w:line="260" w:lineRule="auto"/>
        <w:ind w:left="0" w:firstLine="0"/>
        <w:contextualSpacing w:val="0"/>
        <w:jc w:val="both"/>
        <w:rPr>
          <w:rFonts w:ascii="Arial Narrow" w:hAnsi="Arial Narrow"/>
        </w:rPr>
      </w:pPr>
      <w:r w:rsidRPr="006E1110">
        <w:rPr>
          <w:rFonts w:ascii="Arial Narrow" w:eastAsia="Arial Narrow" w:hAnsi="Arial Narrow" w:cs="Arial Narrow"/>
          <w:color w:val="000000"/>
        </w:rPr>
        <w:t>Al finalizar la intervención de cada punto, el contratista deberá realizar la limpieza, la desinfección del punto de toma y la prueba de funcionamiento hidráulico, garantizando su aptitud para la toma de muestras.</w:t>
      </w:r>
    </w:p>
    <w:p w14:paraId="563BDF36" w14:textId="77777777" w:rsidR="008500C3" w:rsidRPr="006E1110" w:rsidRDefault="008500C3" w:rsidP="006E1110">
      <w:pPr>
        <w:pStyle w:val="Prrafodelista"/>
        <w:numPr>
          <w:ilvl w:val="0"/>
          <w:numId w:val="15"/>
        </w:numPr>
        <w:spacing w:after="0" w:line="260" w:lineRule="auto"/>
        <w:ind w:left="0" w:firstLine="0"/>
        <w:contextualSpacing w:val="0"/>
        <w:jc w:val="both"/>
        <w:rPr>
          <w:rFonts w:ascii="Arial Narrow" w:hAnsi="Arial Narrow"/>
        </w:rPr>
      </w:pPr>
      <w:r w:rsidRPr="006E1110">
        <w:rPr>
          <w:rFonts w:ascii="Arial Narrow" w:eastAsia="Arial Narrow" w:hAnsi="Arial Narrow" w:cs="Arial Narrow"/>
          <w:color w:val="000000"/>
        </w:rPr>
        <w:t>El contratista deberá cumplir las normas de seguridad y salud en el trabajo durante la ejecución de la obra y coordinar con la Oficina de Servicios Públicos Domiciliarios el acceso e intervención de cada punto.</w:t>
      </w:r>
    </w:p>
    <w:p w14:paraId="51EF089C" w14:textId="77777777" w:rsidR="008500C3" w:rsidRPr="006E1110" w:rsidRDefault="008500C3" w:rsidP="006E1110">
      <w:pPr>
        <w:pStyle w:val="Prrafodelista"/>
        <w:spacing w:after="0" w:line="260" w:lineRule="auto"/>
        <w:ind w:left="0"/>
        <w:jc w:val="both"/>
        <w:rPr>
          <w:rFonts w:ascii="Arial Narrow" w:hAnsi="Arial Narrow"/>
        </w:rPr>
      </w:pPr>
    </w:p>
    <w:p w14:paraId="5A2A3B63" w14:textId="4F7704F8" w:rsidR="008500C3" w:rsidRPr="006E1110" w:rsidRDefault="008500C3" w:rsidP="006E1110">
      <w:pPr>
        <w:pStyle w:val="Prrafodelista"/>
        <w:numPr>
          <w:ilvl w:val="0"/>
          <w:numId w:val="16"/>
        </w:numPr>
        <w:spacing w:after="0" w:line="264" w:lineRule="auto"/>
        <w:ind w:left="0" w:firstLine="0"/>
        <w:jc w:val="both"/>
        <w:rPr>
          <w:rFonts w:ascii="Arial Narrow" w:hAnsi="Arial Narrow"/>
        </w:rPr>
      </w:pPr>
      <w:r w:rsidRPr="006E1110">
        <w:rPr>
          <w:rFonts w:ascii="Arial Narrow" w:eastAsia="Arial Narrow" w:hAnsi="Arial Narrow" w:cs="Arial Narrow"/>
          <w:b/>
          <w:bCs/>
          <w:color w:val="000000"/>
        </w:rPr>
        <w:t xml:space="preserve">Especificaciones técnicas particulares por actividad: </w:t>
      </w:r>
      <w:r w:rsidRPr="006E1110">
        <w:rPr>
          <w:rFonts w:ascii="Arial Narrow" w:eastAsia="Arial Narrow" w:hAnsi="Arial Narrow" w:cs="Arial Narrow"/>
          <w:color w:val="000000"/>
        </w:rPr>
        <w:t xml:space="preserve">El oferente deberá tener en cuenta las especificaciones técnicas de cada ítem contenidas en los análisis de precios unitarios (APU) del ICCU y de la entidad. </w:t>
      </w:r>
    </w:p>
    <w:p w14:paraId="0ECDF25A" w14:textId="77777777" w:rsidR="007C0D6D" w:rsidRPr="006E1110" w:rsidRDefault="007C0D6D" w:rsidP="006E1110">
      <w:pPr>
        <w:spacing w:after="0" w:line="240" w:lineRule="auto"/>
        <w:jc w:val="both"/>
        <w:rPr>
          <w:rFonts w:ascii="Arial Narrow" w:eastAsiaTheme="minorEastAsia" w:hAnsi="Arial Narrow" w:cs="Arial"/>
          <w:b/>
          <w:bCs/>
          <w:i/>
          <w:iCs/>
          <w:color w:val="C00000"/>
          <w:lang w:eastAsia="es-ES"/>
        </w:rPr>
      </w:pPr>
    </w:p>
    <w:p w14:paraId="4F0B02A4" w14:textId="77777777" w:rsidR="008500C3" w:rsidRPr="006E1110" w:rsidRDefault="00513CC3" w:rsidP="006E1110">
      <w:pPr>
        <w:spacing w:after="120" w:line="264" w:lineRule="auto"/>
        <w:jc w:val="both"/>
        <w:rPr>
          <w:rFonts w:ascii="Arial Narrow" w:hAnsi="Arial Narrow"/>
        </w:rPr>
      </w:pPr>
      <w:r w:rsidRPr="006E1110">
        <w:rPr>
          <w:rFonts w:ascii="Arial Narrow" w:hAnsi="Arial Narrow" w:cs="Arial"/>
          <w:b/>
        </w:rPr>
        <w:t>PERSPECTIVA DE RIESGOS:</w:t>
      </w:r>
      <w:r w:rsidRPr="006E1110">
        <w:rPr>
          <w:rFonts w:ascii="Arial Narrow" w:hAnsi="Arial Narrow" w:cs="Arial"/>
        </w:rPr>
        <w:t xml:space="preserve"> </w:t>
      </w:r>
      <w:r w:rsidR="00A823BA" w:rsidRPr="006E1110">
        <w:rPr>
          <w:rFonts w:ascii="Arial Narrow" w:hAnsi="Arial Narrow" w:cs="Arial"/>
        </w:rPr>
        <w:t xml:space="preserve"> </w:t>
      </w:r>
      <w:r w:rsidR="008500C3" w:rsidRPr="006E1110">
        <w:rPr>
          <w:rFonts w:ascii="Arial Narrow" w:eastAsia="Arial Narrow" w:hAnsi="Arial Narrow" w:cs="Arial Narrow"/>
          <w:color w:val="000000"/>
        </w:rPr>
        <w:t>En consideración al contenido del objeto previsto para la contratación, así como la naturaleza de las actividades específicas, el contratista deberá constituir garantía única, expedida por compañías de seguros legalmente autorizadas para funcionar en Colombia o en garantías bancarias, en las que deberá incluir como asegurado y beneficiario al Municipio de Gachalá – Cundinamarca, y que cubrirá los siguientes riesgos:</w:t>
      </w:r>
    </w:p>
    <w:p w14:paraId="74713460" w14:textId="7BA0C97F" w:rsidR="008500C3" w:rsidRPr="006E1110" w:rsidRDefault="008500C3" w:rsidP="006E1110">
      <w:pPr>
        <w:pStyle w:val="Prrafodelista"/>
        <w:numPr>
          <w:ilvl w:val="0"/>
          <w:numId w:val="18"/>
        </w:numPr>
        <w:spacing w:after="80" w:line="264" w:lineRule="auto"/>
        <w:ind w:left="0" w:firstLine="0"/>
        <w:rPr>
          <w:rFonts w:ascii="Arial Narrow" w:hAnsi="Arial Narrow"/>
        </w:rPr>
      </w:pPr>
      <w:r w:rsidRPr="006E1110">
        <w:rPr>
          <w:rFonts w:ascii="Arial Narrow" w:eastAsia="Arial Narrow" w:hAnsi="Arial Narrow" w:cs="Arial Narrow"/>
          <w:b/>
          <w:bCs/>
          <w:color w:val="000000"/>
        </w:rPr>
        <w:t>Garantía de seriedad de la oferta:</w:t>
      </w:r>
    </w:p>
    <w:p w14:paraId="35F34F2C" w14:textId="77777777" w:rsidR="008500C3" w:rsidRPr="006E1110" w:rsidRDefault="008500C3" w:rsidP="006E1110">
      <w:pPr>
        <w:spacing w:after="120" w:line="264" w:lineRule="auto"/>
        <w:jc w:val="both"/>
        <w:rPr>
          <w:rFonts w:ascii="Arial Narrow" w:hAnsi="Arial Narrow"/>
        </w:rPr>
      </w:pPr>
      <w:r w:rsidRPr="006E1110">
        <w:rPr>
          <w:rFonts w:ascii="Arial Narrow" w:eastAsia="Arial Narrow" w:hAnsi="Arial Narrow" w:cs="Arial Narrow"/>
          <w:color w:val="000000"/>
        </w:rPr>
        <w:t>De conformidad con el artículo 2.2.1.2.1.5.4 del Decreto 1082 de 2015, en los procesos de mínima cuantía la exigencia de garantías es potestativa de la Entidad. En consecuencia, la Entidad deja constancia de que NO se exige garantía de seriedad de la oferta para el presente proceso.</w:t>
      </w:r>
    </w:p>
    <w:p w14:paraId="52310E0B" w14:textId="0D90CC3F" w:rsidR="008500C3" w:rsidRPr="006E1110" w:rsidRDefault="008500C3" w:rsidP="006E1110">
      <w:pPr>
        <w:pStyle w:val="Prrafodelista"/>
        <w:numPr>
          <w:ilvl w:val="0"/>
          <w:numId w:val="18"/>
        </w:numPr>
        <w:spacing w:after="80" w:line="264" w:lineRule="auto"/>
        <w:ind w:left="0" w:firstLine="0"/>
        <w:rPr>
          <w:rFonts w:ascii="Arial Narrow" w:hAnsi="Arial Narrow"/>
        </w:rPr>
      </w:pPr>
      <w:r w:rsidRPr="006E1110">
        <w:rPr>
          <w:rFonts w:ascii="Arial Narrow" w:eastAsia="Arial Narrow" w:hAnsi="Arial Narrow" w:cs="Arial Narrow"/>
          <w:b/>
          <w:bCs/>
          <w:color w:val="000000"/>
        </w:rPr>
        <w:t>Garantías que amparen un posible riesgo contractual o extracontractual: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65"/>
        <w:gridCol w:w="2878"/>
        <w:gridCol w:w="3185"/>
      </w:tblGrid>
      <w:tr w:rsidR="008500C3" w:rsidRPr="006E1110" w14:paraId="6D2483C8" w14:textId="77777777" w:rsidTr="00A75464">
        <w:trPr>
          <w:tblHeader/>
          <w:jc w:val="center"/>
        </w:trPr>
        <w:tc>
          <w:tcPr>
            <w:tcW w:w="2900" w:type="dxa"/>
            <w:tcBorders>
              <w:top w:val="single" w:sz="4" w:space="0" w:color="7F7F7F"/>
              <w:left w:val="single" w:sz="4" w:space="0" w:color="7F7F7F"/>
              <w:bottom w:val="single" w:sz="4" w:space="0" w:color="7F7F7F"/>
              <w:right w:val="single" w:sz="4" w:space="0" w:color="7F7F7F"/>
            </w:tcBorders>
            <w:shd w:val="clear" w:color="auto" w:fill="1F4E78"/>
            <w:tcMar>
              <w:top w:w="34" w:type="dxa"/>
              <w:left w:w="70" w:type="dxa"/>
              <w:bottom w:w="34" w:type="dxa"/>
              <w:right w:w="70" w:type="dxa"/>
            </w:tcMar>
            <w:vAlign w:val="center"/>
          </w:tcPr>
          <w:p w14:paraId="3EF4ABA4" w14:textId="77777777" w:rsidR="008500C3" w:rsidRPr="006E1110" w:rsidRDefault="008500C3" w:rsidP="006E1110">
            <w:pPr>
              <w:spacing w:line="236" w:lineRule="auto"/>
              <w:jc w:val="center"/>
              <w:rPr>
                <w:rFonts w:ascii="Arial Narrow" w:hAnsi="Arial Narrow"/>
              </w:rPr>
            </w:pPr>
            <w:r w:rsidRPr="006E1110">
              <w:rPr>
                <w:rFonts w:ascii="Arial Narrow" w:eastAsia="Arial Narrow" w:hAnsi="Arial Narrow" w:cs="Arial Narrow"/>
                <w:b/>
                <w:bCs/>
                <w:color w:val="FFFFFF"/>
              </w:rPr>
              <w:t>AMPARO</w:t>
            </w:r>
          </w:p>
        </w:tc>
        <w:tc>
          <w:tcPr>
            <w:tcW w:w="3060" w:type="dxa"/>
            <w:tcBorders>
              <w:top w:val="single" w:sz="4" w:space="0" w:color="7F7F7F"/>
              <w:left w:val="single" w:sz="4" w:space="0" w:color="7F7F7F"/>
              <w:bottom w:val="single" w:sz="4" w:space="0" w:color="7F7F7F"/>
              <w:right w:val="single" w:sz="4" w:space="0" w:color="7F7F7F"/>
            </w:tcBorders>
            <w:shd w:val="clear" w:color="auto" w:fill="1F4E78"/>
            <w:tcMar>
              <w:top w:w="34" w:type="dxa"/>
              <w:left w:w="70" w:type="dxa"/>
              <w:bottom w:w="34" w:type="dxa"/>
              <w:right w:w="70" w:type="dxa"/>
            </w:tcMar>
            <w:vAlign w:val="center"/>
          </w:tcPr>
          <w:p w14:paraId="4B697EC8" w14:textId="77777777" w:rsidR="008500C3" w:rsidRPr="006E1110" w:rsidRDefault="008500C3" w:rsidP="006E1110">
            <w:pPr>
              <w:spacing w:line="236" w:lineRule="auto"/>
              <w:jc w:val="center"/>
              <w:rPr>
                <w:rFonts w:ascii="Arial Narrow" w:hAnsi="Arial Narrow"/>
              </w:rPr>
            </w:pPr>
            <w:r w:rsidRPr="006E1110">
              <w:rPr>
                <w:rFonts w:ascii="Arial Narrow" w:eastAsia="Arial Narrow" w:hAnsi="Arial Narrow" w:cs="Arial Narrow"/>
                <w:b/>
                <w:bCs/>
                <w:color w:val="FFFFFF"/>
              </w:rPr>
              <w:t>SUFICIENCIA</w:t>
            </w:r>
          </w:p>
        </w:tc>
        <w:tc>
          <w:tcPr>
            <w:tcW w:w="3400" w:type="dxa"/>
            <w:tcBorders>
              <w:top w:val="single" w:sz="4" w:space="0" w:color="7F7F7F"/>
              <w:left w:val="single" w:sz="4" w:space="0" w:color="7F7F7F"/>
              <w:bottom w:val="single" w:sz="4" w:space="0" w:color="7F7F7F"/>
              <w:right w:val="single" w:sz="4" w:space="0" w:color="7F7F7F"/>
            </w:tcBorders>
            <w:shd w:val="clear" w:color="auto" w:fill="1F4E78"/>
            <w:tcMar>
              <w:top w:w="34" w:type="dxa"/>
              <w:left w:w="70" w:type="dxa"/>
              <w:bottom w:w="34" w:type="dxa"/>
              <w:right w:w="70" w:type="dxa"/>
            </w:tcMar>
            <w:vAlign w:val="center"/>
          </w:tcPr>
          <w:p w14:paraId="29318E15" w14:textId="77777777" w:rsidR="008500C3" w:rsidRPr="006E1110" w:rsidRDefault="008500C3" w:rsidP="006E1110">
            <w:pPr>
              <w:spacing w:line="236" w:lineRule="auto"/>
              <w:jc w:val="center"/>
              <w:rPr>
                <w:rFonts w:ascii="Arial Narrow" w:hAnsi="Arial Narrow"/>
              </w:rPr>
            </w:pPr>
            <w:r w:rsidRPr="006E1110">
              <w:rPr>
                <w:rFonts w:ascii="Arial Narrow" w:eastAsia="Arial Narrow" w:hAnsi="Arial Narrow" w:cs="Arial Narrow"/>
                <w:b/>
                <w:bCs/>
                <w:color w:val="FFFFFF"/>
              </w:rPr>
              <w:t>VIGENCIA</w:t>
            </w:r>
          </w:p>
        </w:tc>
      </w:tr>
      <w:tr w:rsidR="008500C3" w:rsidRPr="006E1110" w14:paraId="5E9BE65D" w14:textId="77777777" w:rsidTr="00A75464">
        <w:trPr>
          <w:jc w:val="center"/>
        </w:trPr>
        <w:tc>
          <w:tcPr>
            <w:tcW w:w="2900" w:type="dxa"/>
            <w:tcBorders>
              <w:top w:val="single" w:sz="4" w:space="0" w:color="7F7F7F"/>
              <w:left w:val="single" w:sz="4" w:space="0" w:color="7F7F7F"/>
              <w:bottom w:val="single" w:sz="4" w:space="0" w:color="7F7F7F"/>
              <w:right w:val="single" w:sz="4" w:space="0" w:color="7F7F7F"/>
            </w:tcBorders>
            <w:tcMar>
              <w:top w:w="34" w:type="dxa"/>
              <w:left w:w="70" w:type="dxa"/>
              <w:bottom w:w="34" w:type="dxa"/>
              <w:right w:w="70" w:type="dxa"/>
            </w:tcMar>
            <w:vAlign w:val="center"/>
          </w:tcPr>
          <w:p w14:paraId="2CE08CCA" w14:textId="77777777" w:rsidR="008500C3" w:rsidRPr="006E1110" w:rsidRDefault="008500C3" w:rsidP="006E1110">
            <w:pPr>
              <w:spacing w:line="236" w:lineRule="auto"/>
              <w:jc w:val="both"/>
              <w:rPr>
                <w:rFonts w:ascii="Arial Narrow" w:hAnsi="Arial Narrow"/>
              </w:rPr>
            </w:pPr>
            <w:r w:rsidRPr="006E1110">
              <w:rPr>
                <w:rFonts w:ascii="Arial Narrow" w:eastAsia="Arial Narrow" w:hAnsi="Arial Narrow" w:cs="Arial Narrow"/>
                <w:b/>
                <w:bCs/>
                <w:color w:val="000000"/>
              </w:rPr>
              <w:t>Cumplimiento</w:t>
            </w:r>
          </w:p>
        </w:tc>
        <w:tc>
          <w:tcPr>
            <w:tcW w:w="3060" w:type="dxa"/>
            <w:tcBorders>
              <w:top w:val="single" w:sz="4" w:space="0" w:color="7F7F7F"/>
              <w:left w:val="single" w:sz="4" w:space="0" w:color="7F7F7F"/>
              <w:bottom w:val="single" w:sz="4" w:space="0" w:color="7F7F7F"/>
              <w:right w:val="single" w:sz="4" w:space="0" w:color="7F7F7F"/>
            </w:tcBorders>
            <w:tcMar>
              <w:top w:w="34" w:type="dxa"/>
              <w:left w:w="70" w:type="dxa"/>
              <w:bottom w:w="34" w:type="dxa"/>
              <w:right w:w="70" w:type="dxa"/>
            </w:tcMar>
            <w:vAlign w:val="center"/>
          </w:tcPr>
          <w:p w14:paraId="3D85E20C" w14:textId="77777777" w:rsidR="008500C3" w:rsidRPr="006E1110" w:rsidRDefault="008500C3" w:rsidP="006E1110">
            <w:pPr>
              <w:spacing w:line="236" w:lineRule="auto"/>
              <w:jc w:val="center"/>
              <w:rPr>
                <w:rFonts w:ascii="Arial Narrow" w:hAnsi="Arial Narrow"/>
              </w:rPr>
            </w:pPr>
            <w:r w:rsidRPr="006E1110">
              <w:rPr>
                <w:rFonts w:ascii="Arial Narrow" w:eastAsia="Arial Narrow" w:hAnsi="Arial Narrow" w:cs="Arial Narrow"/>
                <w:color w:val="000000"/>
              </w:rPr>
              <w:t>Diez por ciento (10%) del valor total del contrato</w:t>
            </w:r>
          </w:p>
        </w:tc>
        <w:tc>
          <w:tcPr>
            <w:tcW w:w="3400" w:type="dxa"/>
            <w:tcBorders>
              <w:top w:val="single" w:sz="4" w:space="0" w:color="7F7F7F"/>
              <w:left w:val="single" w:sz="4" w:space="0" w:color="7F7F7F"/>
              <w:bottom w:val="single" w:sz="4" w:space="0" w:color="7F7F7F"/>
              <w:right w:val="single" w:sz="4" w:space="0" w:color="7F7F7F"/>
            </w:tcBorders>
            <w:tcMar>
              <w:top w:w="34" w:type="dxa"/>
              <w:left w:w="70" w:type="dxa"/>
              <w:bottom w:w="34" w:type="dxa"/>
              <w:right w:w="70" w:type="dxa"/>
            </w:tcMar>
            <w:vAlign w:val="center"/>
          </w:tcPr>
          <w:p w14:paraId="543DB6D5" w14:textId="77777777" w:rsidR="008500C3" w:rsidRPr="006E1110" w:rsidRDefault="008500C3" w:rsidP="006E1110">
            <w:pPr>
              <w:spacing w:line="236" w:lineRule="auto"/>
              <w:jc w:val="center"/>
              <w:rPr>
                <w:rFonts w:ascii="Arial Narrow" w:hAnsi="Arial Narrow"/>
              </w:rPr>
            </w:pPr>
            <w:r w:rsidRPr="006E1110">
              <w:rPr>
                <w:rFonts w:ascii="Arial Narrow" w:eastAsia="Arial Narrow" w:hAnsi="Arial Narrow" w:cs="Arial Narrow"/>
                <w:color w:val="000000"/>
              </w:rPr>
              <w:t>Por la vigencia del contrato y seis (6) meses más</w:t>
            </w:r>
          </w:p>
        </w:tc>
      </w:tr>
      <w:tr w:rsidR="008500C3" w:rsidRPr="006E1110" w14:paraId="6F67AD10" w14:textId="77777777" w:rsidTr="00A75464">
        <w:trPr>
          <w:jc w:val="center"/>
        </w:trPr>
        <w:tc>
          <w:tcPr>
            <w:tcW w:w="2900" w:type="dxa"/>
            <w:tcBorders>
              <w:top w:val="single" w:sz="4" w:space="0" w:color="7F7F7F"/>
              <w:left w:val="single" w:sz="4" w:space="0" w:color="7F7F7F"/>
              <w:bottom w:val="single" w:sz="4" w:space="0" w:color="7F7F7F"/>
              <w:right w:val="single" w:sz="4" w:space="0" w:color="7F7F7F"/>
            </w:tcBorders>
            <w:tcMar>
              <w:top w:w="34" w:type="dxa"/>
              <w:left w:w="70" w:type="dxa"/>
              <w:bottom w:w="34" w:type="dxa"/>
              <w:right w:w="70" w:type="dxa"/>
            </w:tcMar>
            <w:vAlign w:val="center"/>
          </w:tcPr>
          <w:p w14:paraId="1DE16796" w14:textId="77777777" w:rsidR="008500C3" w:rsidRPr="006E1110" w:rsidRDefault="008500C3" w:rsidP="006E1110">
            <w:pPr>
              <w:spacing w:line="236" w:lineRule="auto"/>
              <w:jc w:val="both"/>
              <w:rPr>
                <w:rFonts w:ascii="Arial Narrow" w:hAnsi="Arial Narrow"/>
              </w:rPr>
            </w:pPr>
            <w:r w:rsidRPr="006E1110">
              <w:rPr>
                <w:rFonts w:ascii="Arial Narrow" w:eastAsia="Arial Narrow" w:hAnsi="Arial Narrow" w:cs="Arial Narrow"/>
                <w:b/>
                <w:bCs/>
                <w:color w:val="000000"/>
              </w:rPr>
              <w:t>Estabilidad y calidad de la obra</w:t>
            </w:r>
          </w:p>
        </w:tc>
        <w:tc>
          <w:tcPr>
            <w:tcW w:w="3060" w:type="dxa"/>
            <w:tcBorders>
              <w:top w:val="single" w:sz="4" w:space="0" w:color="7F7F7F"/>
              <w:left w:val="single" w:sz="4" w:space="0" w:color="7F7F7F"/>
              <w:bottom w:val="single" w:sz="4" w:space="0" w:color="7F7F7F"/>
              <w:right w:val="single" w:sz="4" w:space="0" w:color="7F7F7F"/>
            </w:tcBorders>
            <w:tcMar>
              <w:top w:w="34" w:type="dxa"/>
              <w:left w:w="70" w:type="dxa"/>
              <w:bottom w:w="34" w:type="dxa"/>
              <w:right w:w="70" w:type="dxa"/>
            </w:tcMar>
            <w:vAlign w:val="center"/>
          </w:tcPr>
          <w:p w14:paraId="6B4FAB40" w14:textId="77777777" w:rsidR="008500C3" w:rsidRPr="006E1110" w:rsidRDefault="008500C3" w:rsidP="006E1110">
            <w:pPr>
              <w:spacing w:line="236" w:lineRule="auto"/>
              <w:jc w:val="center"/>
              <w:rPr>
                <w:rFonts w:ascii="Arial Narrow" w:hAnsi="Arial Narrow"/>
              </w:rPr>
            </w:pPr>
            <w:r w:rsidRPr="006E1110">
              <w:rPr>
                <w:rFonts w:ascii="Arial Narrow" w:eastAsia="Arial Narrow" w:hAnsi="Arial Narrow" w:cs="Arial Narrow"/>
                <w:color w:val="000000"/>
              </w:rPr>
              <w:t>Treinta por ciento (30%) del valor total del contrato</w:t>
            </w:r>
          </w:p>
        </w:tc>
        <w:tc>
          <w:tcPr>
            <w:tcW w:w="3400" w:type="dxa"/>
            <w:tcBorders>
              <w:top w:val="single" w:sz="4" w:space="0" w:color="7F7F7F"/>
              <w:left w:val="single" w:sz="4" w:space="0" w:color="7F7F7F"/>
              <w:bottom w:val="single" w:sz="4" w:space="0" w:color="7F7F7F"/>
              <w:right w:val="single" w:sz="4" w:space="0" w:color="7F7F7F"/>
            </w:tcBorders>
            <w:tcMar>
              <w:top w:w="34" w:type="dxa"/>
              <w:left w:w="70" w:type="dxa"/>
              <w:bottom w:w="34" w:type="dxa"/>
              <w:right w:w="70" w:type="dxa"/>
            </w:tcMar>
            <w:vAlign w:val="center"/>
          </w:tcPr>
          <w:p w14:paraId="6A699435" w14:textId="77777777" w:rsidR="008500C3" w:rsidRPr="006E1110" w:rsidRDefault="008500C3" w:rsidP="006E1110">
            <w:pPr>
              <w:spacing w:line="236" w:lineRule="auto"/>
              <w:jc w:val="center"/>
              <w:rPr>
                <w:rFonts w:ascii="Arial Narrow" w:hAnsi="Arial Narrow"/>
              </w:rPr>
            </w:pPr>
            <w:r w:rsidRPr="006E1110">
              <w:rPr>
                <w:rFonts w:ascii="Arial Narrow" w:eastAsia="Arial Narrow" w:hAnsi="Arial Narrow" w:cs="Arial Narrow"/>
                <w:color w:val="000000"/>
              </w:rPr>
              <w:t>Cinco (5) años contados a partir del acta de recibo final de la obra</w:t>
            </w:r>
          </w:p>
        </w:tc>
      </w:tr>
      <w:tr w:rsidR="008500C3" w:rsidRPr="006E1110" w14:paraId="2553008B" w14:textId="77777777" w:rsidTr="00A75464">
        <w:trPr>
          <w:jc w:val="center"/>
        </w:trPr>
        <w:tc>
          <w:tcPr>
            <w:tcW w:w="2900" w:type="dxa"/>
            <w:tcBorders>
              <w:top w:val="single" w:sz="4" w:space="0" w:color="7F7F7F"/>
              <w:left w:val="single" w:sz="4" w:space="0" w:color="7F7F7F"/>
              <w:bottom w:val="single" w:sz="4" w:space="0" w:color="7F7F7F"/>
              <w:right w:val="single" w:sz="4" w:space="0" w:color="7F7F7F"/>
            </w:tcBorders>
            <w:tcMar>
              <w:top w:w="34" w:type="dxa"/>
              <w:left w:w="70" w:type="dxa"/>
              <w:bottom w:w="34" w:type="dxa"/>
              <w:right w:w="70" w:type="dxa"/>
            </w:tcMar>
            <w:vAlign w:val="center"/>
          </w:tcPr>
          <w:p w14:paraId="776729A8" w14:textId="77777777" w:rsidR="008500C3" w:rsidRPr="006E1110" w:rsidRDefault="008500C3" w:rsidP="006E1110">
            <w:pPr>
              <w:spacing w:line="236" w:lineRule="auto"/>
              <w:jc w:val="both"/>
              <w:rPr>
                <w:rFonts w:ascii="Arial Narrow" w:hAnsi="Arial Narrow"/>
              </w:rPr>
            </w:pPr>
            <w:r w:rsidRPr="006E1110">
              <w:rPr>
                <w:rFonts w:ascii="Arial Narrow" w:eastAsia="Arial Narrow" w:hAnsi="Arial Narrow" w:cs="Arial Narrow"/>
                <w:b/>
                <w:bCs/>
                <w:color w:val="000000"/>
              </w:rPr>
              <w:lastRenderedPageBreak/>
              <w:t>Pago de salarios, prestaciones sociales e indemnizaciones del personal</w:t>
            </w:r>
          </w:p>
        </w:tc>
        <w:tc>
          <w:tcPr>
            <w:tcW w:w="3060" w:type="dxa"/>
            <w:tcBorders>
              <w:top w:val="single" w:sz="4" w:space="0" w:color="7F7F7F"/>
              <w:left w:val="single" w:sz="4" w:space="0" w:color="7F7F7F"/>
              <w:bottom w:val="single" w:sz="4" w:space="0" w:color="7F7F7F"/>
              <w:right w:val="single" w:sz="4" w:space="0" w:color="7F7F7F"/>
            </w:tcBorders>
            <w:tcMar>
              <w:top w:w="34" w:type="dxa"/>
              <w:left w:w="70" w:type="dxa"/>
              <w:bottom w:w="34" w:type="dxa"/>
              <w:right w:w="70" w:type="dxa"/>
            </w:tcMar>
            <w:vAlign w:val="center"/>
          </w:tcPr>
          <w:p w14:paraId="4BB61322" w14:textId="77777777" w:rsidR="008500C3" w:rsidRPr="006E1110" w:rsidRDefault="008500C3" w:rsidP="006E1110">
            <w:pPr>
              <w:spacing w:line="236" w:lineRule="auto"/>
              <w:jc w:val="center"/>
              <w:rPr>
                <w:rFonts w:ascii="Arial Narrow" w:hAnsi="Arial Narrow"/>
              </w:rPr>
            </w:pPr>
            <w:r w:rsidRPr="006E1110">
              <w:rPr>
                <w:rFonts w:ascii="Arial Narrow" w:eastAsia="Arial Narrow" w:hAnsi="Arial Narrow" w:cs="Arial Narrow"/>
                <w:color w:val="000000"/>
              </w:rPr>
              <w:t>Cinco por ciento (5%) del valor total del contrato</w:t>
            </w:r>
          </w:p>
        </w:tc>
        <w:tc>
          <w:tcPr>
            <w:tcW w:w="3400" w:type="dxa"/>
            <w:tcBorders>
              <w:top w:val="single" w:sz="4" w:space="0" w:color="7F7F7F"/>
              <w:left w:val="single" w:sz="4" w:space="0" w:color="7F7F7F"/>
              <w:bottom w:val="single" w:sz="4" w:space="0" w:color="7F7F7F"/>
              <w:right w:val="single" w:sz="4" w:space="0" w:color="7F7F7F"/>
            </w:tcBorders>
            <w:tcMar>
              <w:top w:w="34" w:type="dxa"/>
              <w:left w:w="70" w:type="dxa"/>
              <w:bottom w:w="34" w:type="dxa"/>
              <w:right w:w="70" w:type="dxa"/>
            </w:tcMar>
            <w:vAlign w:val="center"/>
          </w:tcPr>
          <w:p w14:paraId="2308D7FE" w14:textId="77777777" w:rsidR="008500C3" w:rsidRPr="006E1110" w:rsidRDefault="008500C3" w:rsidP="006E1110">
            <w:pPr>
              <w:spacing w:line="236" w:lineRule="auto"/>
              <w:jc w:val="center"/>
              <w:rPr>
                <w:rFonts w:ascii="Arial Narrow" w:hAnsi="Arial Narrow"/>
              </w:rPr>
            </w:pPr>
            <w:r w:rsidRPr="006E1110">
              <w:rPr>
                <w:rFonts w:ascii="Arial Narrow" w:eastAsia="Arial Narrow" w:hAnsi="Arial Narrow" w:cs="Arial Narrow"/>
                <w:color w:val="000000"/>
              </w:rPr>
              <w:t>Por la vigencia del contrato y tres (3) años más</w:t>
            </w:r>
          </w:p>
        </w:tc>
      </w:tr>
      <w:tr w:rsidR="008500C3" w:rsidRPr="006E1110" w14:paraId="55F6D4DD" w14:textId="77777777" w:rsidTr="00A75464">
        <w:trPr>
          <w:jc w:val="center"/>
        </w:trPr>
        <w:tc>
          <w:tcPr>
            <w:tcW w:w="2900" w:type="dxa"/>
            <w:tcBorders>
              <w:top w:val="single" w:sz="4" w:space="0" w:color="7F7F7F"/>
              <w:left w:val="single" w:sz="4" w:space="0" w:color="7F7F7F"/>
              <w:bottom w:val="single" w:sz="4" w:space="0" w:color="7F7F7F"/>
              <w:right w:val="single" w:sz="4" w:space="0" w:color="7F7F7F"/>
            </w:tcBorders>
            <w:tcMar>
              <w:top w:w="34" w:type="dxa"/>
              <w:left w:w="70" w:type="dxa"/>
              <w:bottom w:w="34" w:type="dxa"/>
              <w:right w:w="70" w:type="dxa"/>
            </w:tcMar>
            <w:vAlign w:val="center"/>
          </w:tcPr>
          <w:p w14:paraId="7C48A318" w14:textId="77777777" w:rsidR="008500C3" w:rsidRPr="006E1110" w:rsidRDefault="008500C3" w:rsidP="006E1110">
            <w:pPr>
              <w:spacing w:line="236" w:lineRule="auto"/>
              <w:jc w:val="both"/>
              <w:rPr>
                <w:rFonts w:ascii="Arial Narrow" w:hAnsi="Arial Narrow"/>
              </w:rPr>
            </w:pPr>
            <w:r w:rsidRPr="006E1110">
              <w:rPr>
                <w:rFonts w:ascii="Arial Narrow" w:eastAsia="Arial Narrow" w:hAnsi="Arial Narrow" w:cs="Arial Narrow"/>
                <w:b/>
                <w:bCs/>
                <w:color w:val="000000"/>
              </w:rPr>
              <w:t>Responsabilidad Civil Extracontractual por daños a terceros</w:t>
            </w:r>
          </w:p>
        </w:tc>
        <w:tc>
          <w:tcPr>
            <w:tcW w:w="3060" w:type="dxa"/>
            <w:tcBorders>
              <w:top w:val="single" w:sz="4" w:space="0" w:color="7F7F7F"/>
              <w:left w:val="single" w:sz="4" w:space="0" w:color="7F7F7F"/>
              <w:bottom w:val="single" w:sz="4" w:space="0" w:color="7F7F7F"/>
              <w:right w:val="single" w:sz="4" w:space="0" w:color="7F7F7F"/>
            </w:tcBorders>
            <w:tcMar>
              <w:top w:w="34" w:type="dxa"/>
              <w:left w:w="70" w:type="dxa"/>
              <w:bottom w:w="34" w:type="dxa"/>
              <w:right w:w="70" w:type="dxa"/>
            </w:tcMar>
            <w:vAlign w:val="center"/>
          </w:tcPr>
          <w:p w14:paraId="09A5BE51" w14:textId="77777777" w:rsidR="008500C3" w:rsidRPr="006E1110" w:rsidRDefault="008500C3" w:rsidP="006E1110">
            <w:pPr>
              <w:spacing w:line="236" w:lineRule="auto"/>
              <w:jc w:val="center"/>
              <w:rPr>
                <w:rFonts w:ascii="Arial Narrow" w:hAnsi="Arial Narrow"/>
              </w:rPr>
            </w:pPr>
            <w:r w:rsidRPr="006E1110">
              <w:rPr>
                <w:rFonts w:ascii="Arial Narrow" w:eastAsia="Arial Narrow" w:hAnsi="Arial Narrow" w:cs="Arial Narrow"/>
                <w:color w:val="000000"/>
              </w:rPr>
              <w:t>Doscientos (200) SMMLV</w:t>
            </w:r>
          </w:p>
        </w:tc>
        <w:tc>
          <w:tcPr>
            <w:tcW w:w="3400" w:type="dxa"/>
            <w:tcBorders>
              <w:top w:val="single" w:sz="4" w:space="0" w:color="7F7F7F"/>
              <w:left w:val="single" w:sz="4" w:space="0" w:color="7F7F7F"/>
              <w:bottom w:val="single" w:sz="4" w:space="0" w:color="7F7F7F"/>
              <w:right w:val="single" w:sz="4" w:space="0" w:color="7F7F7F"/>
            </w:tcBorders>
            <w:tcMar>
              <w:top w:w="34" w:type="dxa"/>
              <w:left w:w="70" w:type="dxa"/>
              <w:bottom w:w="34" w:type="dxa"/>
              <w:right w:w="70" w:type="dxa"/>
            </w:tcMar>
            <w:vAlign w:val="center"/>
          </w:tcPr>
          <w:p w14:paraId="3682E0CC" w14:textId="77777777" w:rsidR="008500C3" w:rsidRPr="006E1110" w:rsidRDefault="008500C3" w:rsidP="006E1110">
            <w:pPr>
              <w:spacing w:line="236" w:lineRule="auto"/>
              <w:jc w:val="center"/>
              <w:rPr>
                <w:rFonts w:ascii="Arial Narrow" w:hAnsi="Arial Narrow"/>
              </w:rPr>
            </w:pPr>
            <w:r w:rsidRPr="006E1110">
              <w:rPr>
                <w:rFonts w:ascii="Arial Narrow" w:eastAsia="Arial Narrow" w:hAnsi="Arial Narrow" w:cs="Arial Narrow"/>
                <w:color w:val="000000"/>
              </w:rPr>
              <w:t>Vigencia del contrato y un (1) mes más. Asegurado / beneficiario: el Municipio de Gachalá – Cundinamarca</w:t>
            </w:r>
          </w:p>
        </w:tc>
      </w:tr>
    </w:tbl>
    <w:p w14:paraId="79510B8E" w14:textId="77777777" w:rsidR="008500C3" w:rsidRPr="006E1110" w:rsidRDefault="008500C3" w:rsidP="006E1110">
      <w:pPr>
        <w:spacing w:after="0" w:line="264" w:lineRule="auto"/>
        <w:jc w:val="both"/>
        <w:rPr>
          <w:rFonts w:ascii="Arial Narrow" w:hAnsi="Arial Narrow"/>
        </w:rPr>
      </w:pPr>
    </w:p>
    <w:p w14:paraId="35354EA8" w14:textId="77777777" w:rsidR="008500C3" w:rsidRPr="006E1110" w:rsidRDefault="008500C3" w:rsidP="006E1110">
      <w:pPr>
        <w:spacing w:after="0" w:line="264" w:lineRule="auto"/>
        <w:jc w:val="both"/>
        <w:rPr>
          <w:rFonts w:ascii="Arial Narrow" w:hAnsi="Arial Narrow"/>
        </w:rPr>
      </w:pPr>
      <w:r w:rsidRPr="006E1110">
        <w:rPr>
          <w:rFonts w:ascii="Arial Narrow" w:eastAsia="Arial Narrow" w:hAnsi="Arial Narrow" w:cs="Arial Narrow"/>
          <w:b/>
          <w:bCs/>
          <w:color w:val="000000"/>
        </w:rPr>
        <w:t xml:space="preserve">Nota: </w:t>
      </w:r>
      <w:r w:rsidRPr="006E1110">
        <w:rPr>
          <w:rFonts w:ascii="Arial Narrow" w:eastAsia="Arial Narrow" w:hAnsi="Arial Narrow" w:cs="Arial Narrow"/>
          <w:color w:val="000000"/>
        </w:rPr>
        <w:t>Los amparos, suficiencias y vigencias señalados se ajustarán a lo establecido en los documentos tipo adoptados por Colombia Compra Eficiente para los procesos de mínima cuantía de obra pública y a la matriz de riesgos del proceso. El amparo de estabilidad y calidad de la obra es propio de los contratos de obra pública.</w:t>
      </w:r>
    </w:p>
    <w:p w14:paraId="1D7B4967" w14:textId="77777777" w:rsidR="00A319CF" w:rsidRPr="006E1110" w:rsidRDefault="00A319CF" w:rsidP="006E1110">
      <w:pPr>
        <w:spacing w:after="0" w:line="240" w:lineRule="auto"/>
        <w:jc w:val="both"/>
        <w:rPr>
          <w:rFonts w:ascii="Arial Narrow" w:eastAsia="Times New Roman" w:hAnsi="Arial Narrow" w:cs="Arial"/>
          <w:color w:val="000000" w:themeColor="text1"/>
        </w:rPr>
      </w:pPr>
    </w:p>
    <w:p w14:paraId="7B18AEDD" w14:textId="77777777" w:rsidR="004C4E8C" w:rsidRPr="006E1110" w:rsidRDefault="00513CC3" w:rsidP="006E1110">
      <w:pPr>
        <w:spacing w:after="0" w:line="240" w:lineRule="auto"/>
        <w:jc w:val="both"/>
        <w:rPr>
          <w:rFonts w:ascii="Arial Narrow" w:eastAsia="Times New Roman" w:hAnsi="Arial Narrow" w:cs="Arial"/>
          <w:color w:val="000000" w:themeColor="text1"/>
          <w:lang w:val="es-ES"/>
        </w:rPr>
      </w:pPr>
      <w:r w:rsidRPr="006E1110">
        <w:rPr>
          <w:rFonts w:ascii="Arial Narrow" w:eastAsia="Times New Roman" w:hAnsi="Arial Narrow" w:cs="Arial"/>
          <w:b/>
        </w:rPr>
        <w:t>ASPECTOS ECONOMICOS</w:t>
      </w:r>
      <w:r w:rsidRPr="006E1110">
        <w:rPr>
          <w:rFonts w:ascii="Arial Narrow" w:eastAsia="Times New Roman" w:hAnsi="Arial Narrow" w:cs="Arial"/>
          <w:color w:val="000000" w:themeColor="text1"/>
        </w:rPr>
        <w:t xml:space="preserve">: </w:t>
      </w:r>
      <w:r w:rsidR="004C4E8C" w:rsidRPr="006E1110">
        <w:rPr>
          <w:rFonts w:ascii="Arial Narrow" w:eastAsia="Times New Roman" w:hAnsi="Arial Narrow" w:cs="Arial"/>
          <w:color w:val="000000" w:themeColor="text1"/>
          <w:lang w:val="es-ES"/>
        </w:rPr>
        <w:t xml:space="preserve">El Índice de Precios al Consumidor (IPC) es un indicador macroeconómico que mide el costo promedio para adquirir bienes y servicios en un periodo determinado. Este análisis resulta relevante para el presente estudio, ya que el comportamiento del IPC impacta directamente los costos de los bienes y servicios requeridos. Durante el año 2025, la variación anual del IPC fue del </w:t>
      </w:r>
      <w:r w:rsidR="004C4E8C" w:rsidRPr="006E1110">
        <w:rPr>
          <w:rFonts w:ascii="Arial Narrow" w:eastAsia="Times New Roman" w:hAnsi="Arial Narrow" w:cs="Arial"/>
          <w:b/>
          <w:bCs/>
          <w:color w:val="000000" w:themeColor="text1"/>
          <w:lang w:val="es-ES"/>
        </w:rPr>
        <w:t>5,10%</w:t>
      </w:r>
      <w:r w:rsidR="004C4E8C" w:rsidRPr="006E1110">
        <w:rPr>
          <w:rFonts w:ascii="Arial Narrow" w:eastAsia="Times New Roman" w:hAnsi="Arial Narrow" w:cs="Arial"/>
          <w:color w:val="000000" w:themeColor="text1"/>
          <w:lang w:val="es-ES"/>
        </w:rPr>
        <w:t xml:space="preserve">, según datos oficiales del Departamento Administrativo Nacional de Estadística (DANE). Para el año 2026, la tendencia ha mostrado un leve repunte: la variación anual del IPC a septiembre de 2026 se ubicó en </w:t>
      </w:r>
      <w:r w:rsidR="004C4E8C" w:rsidRPr="006E1110">
        <w:rPr>
          <w:rFonts w:ascii="Arial Narrow" w:eastAsia="Times New Roman" w:hAnsi="Arial Narrow" w:cs="Arial"/>
          <w:b/>
          <w:bCs/>
          <w:color w:val="000000" w:themeColor="text1"/>
          <w:lang w:val="es-ES"/>
        </w:rPr>
        <w:t>6,29%</w:t>
      </w:r>
      <w:r w:rsidR="004C4E8C" w:rsidRPr="006E1110">
        <w:rPr>
          <w:rFonts w:ascii="Arial Narrow" w:eastAsia="Times New Roman" w:hAnsi="Arial Narrow" w:cs="Arial"/>
          <w:color w:val="000000" w:themeColor="text1"/>
          <w:lang w:val="es-ES"/>
        </w:rPr>
        <w:t xml:space="preserve">, es decir, </w:t>
      </w:r>
      <w:r w:rsidR="004C4E8C" w:rsidRPr="006E1110">
        <w:rPr>
          <w:rFonts w:ascii="Arial Narrow" w:eastAsia="Times New Roman" w:hAnsi="Arial Narrow" w:cs="Arial"/>
          <w:b/>
          <w:bCs/>
          <w:color w:val="000000" w:themeColor="text1"/>
          <w:lang w:val="es-ES"/>
        </w:rPr>
        <w:t>1,19 puntos porcentuales</w:t>
      </w:r>
      <w:r w:rsidR="004C4E8C" w:rsidRPr="006E1110">
        <w:rPr>
          <w:rFonts w:ascii="Arial Narrow" w:eastAsia="Times New Roman" w:hAnsi="Arial Narrow" w:cs="Arial"/>
          <w:color w:val="000000" w:themeColor="text1"/>
          <w:lang w:val="es-ES"/>
        </w:rPr>
        <w:t xml:space="preserve"> por encima del cierre de 2025. Este comportamiento refleja una presión inflacionaria moderada que debe tenerse en cuenta en la estimación de los costos de los materiales, insumos y mano de obra incluidos en el presente análisis, y que se encuentra incorporada en los valores de la Cartilla de precios 2026 del ICCU utilizados como referencia.</w:t>
      </w:r>
    </w:p>
    <w:p w14:paraId="7ED6B9E6" w14:textId="77777777" w:rsidR="004C4E8C" w:rsidRPr="006E1110" w:rsidRDefault="004C4E8C" w:rsidP="006E1110">
      <w:pPr>
        <w:spacing w:after="0" w:line="240" w:lineRule="auto"/>
        <w:jc w:val="both"/>
        <w:rPr>
          <w:rFonts w:ascii="Arial Narrow" w:eastAsia="Times New Roman" w:hAnsi="Arial Narrow" w:cs="Arial"/>
          <w:color w:val="000000" w:themeColor="text1"/>
          <w:lang w:val="es-ES"/>
        </w:rPr>
      </w:pPr>
    </w:p>
    <w:p w14:paraId="7236166B" w14:textId="7CF94F17" w:rsidR="00F3591E" w:rsidRPr="006E1110" w:rsidRDefault="004C4E8C" w:rsidP="006E1110">
      <w:pPr>
        <w:spacing w:after="0" w:line="240" w:lineRule="auto"/>
        <w:jc w:val="both"/>
        <w:rPr>
          <w:rFonts w:ascii="Arial Narrow" w:eastAsia="Times New Roman" w:hAnsi="Arial Narrow" w:cs="Arial"/>
          <w:color w:val="000000" w:themeColor="text1"/>
        </w:rPr>
      </w:pPr>
      <w:r w:rsidRPr="006E1110">
        <w:rPr>
          <w:rFonts w:ascii="Arial Narrow" w:eastAsia="Times New Roman" w:hAnsi="Arial Narrow" w:cs="Arial"/>
          <w:b/>
          <w:bCs/>
          <w:color w:val="000000" w:themeColor="text1"/>
          <w:lang w:val="es-ES"/>
        </w:rPr>
        <w:t xml:space="preserve">Nota: </w:t>
      </w:r>
      <w:r w:rsidRPr="006E1110">
        <w:rPr>
          <w:rFonts w:ascii="Arial Narrow" w:eastAsia="Times New Roman" w:hAnsi="Arial Narrow" w:cs="Arial"/>
          <w:color w:val="000000" w:themeColor="text1"/>
          <w:lang w:val="es-ES"/>
        </w:rPr>
        <w:t>Las cifras corresponden a la información oficial publicada por el DANE (IPC anual: 5,10% en diciembre de 2025 y 6,29% en septiembre de 2026).</w:t>
      </w:r>
    </w:p>
    <w:p w14:paraId="1D228946" w14:textId="77777777" w:rsidR="007A684C" w:rsidRPr="006E1110" w:rsidRDefault="007A684C" w:rsidP="006E1110">
      <w:pPr>
        <w:spacing w:after="0" w:line="240" w:lineRule="auto"/>
        <w:jc w:val="both"/>
        <w:rPr>
          <w:rFonts w:ascii="Arial Narrow" w:eastAsia="Times New Roman" w:hAnsi="Arial Narrow" w:cs="Arial"/>
          <w:b/>
          <w:bCs/>
          <w:color w:val="000000" w:themeColor="text1"/>
        </w:rPr>
      </w:pPr>
    </w:p>
    <w:p w14:paraId="2AE97AAB" w14:textId="5D3D9E1E" w:rsidR="003C415E" w:rsidRPr="006E1110" w:rsidRDefault="003C415E" w:rsidP="006E1110">
      <w:pPr>
        <w:spacing w:after="0" w:line="240" w:lineRule="auto"/>
        <w:jc w:val="both"/>
        <w:rPr>
          <w:rFonts w:ascii="Arial Narrow" w:eastAsia="Times New Roman" w:hAnsi="Arial Narrow" w:cs="Arial"/>
          <w:color w:val="000000" w:themeColor="text1"/>
        </w:rPr>
      </w:pPr>
      <w:r w:rsidRPr="006E1110">
        <w:rPr>
          <w:rFonts w:ascii="Arial Narrow" w:eastAsia="Times New Roman" w:hAnsi="Arial Narrow" w:cs="Arial"/>
          <w:b/>
          <w:bCs/>
          <w:color w:val="000000" w:themeColor="text1"/>
        </w:rPr>
        <w:t>ANÁLISIS DEL PRODUCTO INTERNO BRUTO (PIB) GENERAL 202</w:t>
      </w:r>
      <w:r w:rsidR="006358BB" w:rsidRPr="006E1110">
        <w:rPr>
          <w:rFonts w:ascii="Arial Narrow" w:eastAsia="Times New Roman" w:hAnsi="Arial Narrow" w:cs="Arial"/>
          <w:b/>
          <w:bCs/>
          <w:color w:val="000000" w:themeColor="text1"/>
        </w:rPr>
        <w:t>5</w:t>
      </w:r>
    </w:p>
    <w:p w14:paraId="7CD0167D" w14:textId="77777777" w:rsidR="007A684C" w:rsidRPr="006E1110" w:rsidRDefault="007A684C" w:rsidP="006E1110">
      <w:pPr>
        <w:spacing w:after="0" w:line="240" w:lineRule="auto"/>
        <w:jc w:val="both"/>
        <w:rPr>
          <w:rFonts w:ascii="Arial Narrow" w:hAnsi="Arial Narrow"/>
        </w:rPr>
      </w:pPr>
    </w:p>
    <w:p w14:paraId="569DD101" w14:textId="77777777" w:rsidR="004C4E8C" w:rsidRPr="006E1110" w:rsidRDefault="004C4E8C" w:rsidP="006E1110">
      <w:pPr>
        <w:spacing w:after="120" w:line="264" w:lineRule="auto"/>
        <w:jc w:val="both"/>
        <w:rPr>
          <w:rFonts w:ascii="Arial Narrow" w:hAnsi="Arial Narrow"/>
        </w:rPr>
      </w:pPr>
      <w:r w:rsidRPr="006E1110">
        <w:rPr>
          <w:rFonts w:ascii="Arial Narrow" w:eastAsia="Arial Narrow" w:hAnsi="Arial Narrow" w:cs="Arial Narrow"/>
          <w:color w:val="000000"/>
        </w:rPr>
        <w:t>El Producto Interno Bruto (PIB) es el principal indicador macroeconómico que mide el valor total de los bienes y servicios finales producidos en el país durante un periodo determinado, y constituye la medida más representativa del desempeño y del tamaño de la economía nacional. Su análisis permite dimensionar el entorno económico en el cual se desarrolla la actividad a contratar y la capacidad del mercado para atender la demanda de bienes y servicios del Estado.</w:t>
      </w:r>
    </w:p>
    <w:p w14:paraId="7F6800FB" w14:textId="77777777" w:rsidR="004C4E8C" w:rsidRPr="006E1110" w:rsidRDefault="004C4E8C" w:rsidP="006E1110">
      <w:pPr>
        <w:spacing w:after="120" w:line="264" w:lineRule="auto"/>
        <w:jc w:val="both"/>
        <w:rPr>
          <w:rFonts w:ascii="Arial Narrow" w:hAnsi="Arial Narrow"/>
        </w:rPr>
      </w:pPr>
      <w:r w:rsidRPr="006E1110">
        <w:rPr>
          <w:rFonts w:ascii="Arial Narrow" w:eastAsia="Arial Narrow" w:hAnsi="Arial Narrow" w:cs="Arial Narrow"/>
          <w:color w:val="000000"/>
        </w:rPr>
        <w:t>De acuerdo con el Departamento Administrativo Nacional de Estadística (DANE), la economía colombiana creció 2,6% en 2025 frente a 2024, resultado que confirma la senda de recuperación de la actividad económica, aunque a un ritmo moderado. En el cuarto trimestre de 2025, el PIB creció 2,3% respecto al mismo periodo del año anterior.</w:t>
      </w:r>
    </w:p>
    <w:p w14:paraId="53FA936B" w14:textId="77777777" w:rsidR="004C4E8C" w:rsidRPr="006E1110" w:rsidRDefault="004C4E8C" w:rsidP="006E1110">
      <w:pPr>
        <w:spacing w:after="80" w:line="264" w:lineRule="auto"/>
        <w:jc w:val="both"/>
        <w:rPr>
          <w:rFonts w:ascii="Arial Narrow" w:hAnsi="Arial Narrow"/>
        </w:rPr>
      </w:pPr>
      <w:r w:rsidRPr="006E1110">
        <w:rPr>
          <w:rFonts w:ascii="Arial Narrow" w:eastAsia="Arial Narrow" w:hAnsi="Arial Narrow" w:cs="Arial Narrow"/>
          <w:color w:val="000000"/>
        </w:rPr>
        <w:t>El crecimiento de 2025 estuvo impulsado, principalmente, por las actividades terciarias (comercio y servicios), según el siguiente comportamiento por grandes ramas: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10"/>
        <w:gridCol w:w="1801"/>
        <w:gridCol w:w="1817"/>
      </w:tblGrid>
      <w:tr w:rsidR="004C4E8C" w:rsidRPr="006E1110" w14:paraId="402A5DDA" w14:textId="77777777" w:rsidTr="004C4E8C">
        <w:trPr>
          <w:tblHeader/>
          <w:jc w:val="center"/>
        </w:trPr>
        <w:tc>
          <w:tcPr>
            <w:tcW w:w="5660" w:type="dxa"/>
            <w:tcBorders>
              <w:top w:val="single" w:sz="4" w:space="0" w:color="7F7F7F"/>
              <w:left w:val="single" w:sz="4" w:space="0" w:color="7F7F7F"/>
              <w:bottom w:val="single" w:sz="4" w:space="0" w:color="7F7F7F"/>
              <w:right w:val="single" w:sz="4" w:space="0" w:color="7F7F7F"/>
            </w:tcBorders>
            <w:shd w:val="clear" w:color="auto" w:fill="2E75B6"/>
            <w:tcMar>
              <w:top w:w="32" w:type="dxa"/>
              <w:left w:w="70" w:type="dxa"/>
              <w:bottom w:w="32" w:type="dxa"/>
              <w:right w:w="70" w:type="dxa"/>
            </w:tcMar>
            <w:vAlign w:val="center"/>
          </w:tcPr>
          <w:p w14:paraId="4EF661FC"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b/>
                <w:bCs/>
                <w:color w:val="FFFFFF"/>
              </w:rPr>
              <w:lastRenderedPageBreak/>
              <w:t>ACTIVIDAD ECONÓMICA</w:t>
            </w:r>
          </w:p>
        </w:tc>
        <w:tc>
          <w:tcPr>
            <w:tcW w:w="1850" w:type="dxa"/>
            <w:tcBorders>
              <w:top w:val="single" w:sz="4" w:space="0" w:color="7F7F7F"/>
              <w:left w:val="single" w:sz="4" w:space="0" w:color="7F7F7F"/>
              <w:bottom w:val="single" w:sz="4" w:space="0" w:color="7F7F7F"/>
              <w:right w:val="single" w:sz="4" w:space="0" w:color="7F7F7F"/>
            </w:tcBorders>
            <w:shd w:val="clear" w:color="auto" w:fill="2E75B6"/>
            <w:tcMar>
              <w:top w:w="32" w:type="dxa"/>
              <w:left w:w="70" w:type="dxa"/>
              <w:bottom w:w="32" w:type="dxa"/>
              <w:right w:w="70" w:type="dxa"/>
            </w:tcMar>
            <w:vAlign w:val="center"/>
          </w:tcPr>
          <w:p w14:paraId="5D19F2E3"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b/>
                <w:bCs/>
                <w:color w:val="FFFFFF"/>
              </w:rPr>
              <w:t>CRECIMIENTO</w:t>
            </w:r>
          </w:p>
        </w:tc>
        <w:tc>
          <w:tcPr>
            <w:tcW w:w="1850" w:type="dxa"/>
            <w:tcBorders>
              <w:top w:val="single" w:sz="4" w:space="0" w:color="7F7F7F"/>
              <w:left w:val="single" w:sz="4" w:space="0" w:color="7F7F7F"/>
              <w:bottom w:val="single" w:sz="4" w:space="0" w:color="7F7F7F"/>
              <w:right w:val="single" w:sz="4" w:space="0" w:color="7F7F7F"/>
            </w:tcBorders>
            <w:shd w:val="clear" w:color="auto" w:fill="2E75B6"/>
            <w:tcMar>
              <w:top w:w="32" w:type="dxa"/>
              <w:left w:w="70" w:type="dxa"/>
              <w:bottom w:w="32" w:type="dxa"/>
              <w:right w:w="70" w:type="dxa"/>
            </w:tcMar>
            <w:vAlign w:val="center"/>
          </w:tcPr>
          <w:p w14:paraId="4787CF59"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b/>
                <w:bCs/>
                <w:color w:val="FFFFFF"/>
              </w:rPr>
              <w:t>CONTRIBUCIÓN</w:t>
            </w:r>
          </w:p>
        </w:tc>
      </w:tr>
      <w:tr w:rsidR="004C4E8C" w:rsidRPr="006E1110" w14:paraId="55BA3E6C" w14:textId="77777777" w:rsidTr="004C4E8C">
        <w:trPr>
          <w:jc w:val="center"/>
        </w:trPr>
        <w:tc>
          <w:tcPr>
            <w:tcW w:w="5660" w:type="dxa"/>
            <w:tcBorders>
              <w:top w:val="single" w:sz="4" w:space="0" w:color="7F7F7F"/>
              <w:left w:val="single" w:sz="4" w:space="0" w:color="7F7F7F"/>
              <w:bottom w:val="single" w:sz="4" w:space="0" w:color="7F7F7F"/>
              <w:right w:val="single" w:sz="4" w:space="0" w:color="7F7F7F"/>
            </w:tcBorders>
            <w:tcMar>
              <w:top w:w="32" w:type="dxa"/>
              <w:left w:w="70" w:type="dxa"/>
              <w:bottom w:w="32" w:type="dxa"/>
              <w:right w:w="70" w:type="dxa"/>
            </w:tcMar>
            <w:vAlign w:val="center"/>
          </w:tcPr>
          <w:p w14:paraId="345F49D7"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Comercio, reparación de vehículos, transporte, almacenamiento, alojamiento y servicios de comida</w:t>
            </w:r>
          </w:p>
        </w:tc>
        <w:tc>
          <w:tcPr>
            <w:tcW w:w="1850" w:type="dxa"/>
            <w:tcBorders>
              <w:top w:val="single" w:sz="4" w:space="0" w:color="7F7F7F"/>
              <w:left w:val="single" w:sz="4" w:space="0" w:color="7F7F7F"/>
              <w:bottom w:val="single" w:sz="4" w:space="0" w:color="7F7F7F"/>
              <w:right w:val="single" w:sz="4" w:space="0" w:color="7F7F7F"/>
            </w:tcBorders>
            <w:tcMar>
              <w:top w:w="32" w:type="dxa"/>
              <w:left w:w="70" w:type="dxa"/>
              <w:bottom w:w="32" w:type="dxa"/>
              <w:right w:w="70" w:type="dxa"/>
            </w:tcMar>
            <w:vAlign w:val="center"/>
          </w:tcPr>
          <w:p w14:paraId="46A0882F"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color w:val="000000"/>
              </w:rPr>
              <w:t>4,6%</w:t>
            </w:r>
          </w:p>
        </w:tc>
        <w:tc>
          <w:tcPr>
            <w:tcW w:w="1850" w:type="dxa"/>
            <w:tcBorders>
              <w:top w:val="single" w:sz="4" w:space="0" w:color="7F7F7F"/>
              <w:left w:val="single" w:sz="4" w:space="0" w:color="7F7F7F"/>
              <w:bottom w:val="single" w:sz="4" w:space="0" w:color="7F7F7F"/>
              <w:right w:val="single" w:sz="4" w:space="0" w:color="7F7F7F"/>
            </w:tcBorders>
            <w:tcMar>
              <w:top w:w="32" w:type="dxa"/>
              <w:left w:w="70" w:type="dxa"/>
              <w:bottom w:w="32" w:type="dxa"/>
              <w:right w:w="70" w:type="dxa"/>
            </w:tcMar>
            <w:vAlign w:val="center"/>
          </w:tcPr>
          <w:p w14:paraId="17954D11"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color w:val="000000"/>
              </w:rPr>
              <w:t>0,9 p.p.</w:t>
            </w:r>
          </w:p>
        </w:tc>
      </w:tr>
      <w:tr w:rsidR="004C4E8C" w:rsidRPr="006E1110" w14:paraId="18E88774" w14:textId="77777777" w:rsidTr="004C4E8C">
        <w:trPr>
          <w:jc w:val="center"/>
        </w:trPr>
        <w:tc>
          <w:tcPr>
            <w:tcW w:w="5660" w:type="dxa"/>
            <w:tcBorders>
              <w:top w:val="single" w:sz="4" w:space="0" w:color="7F7F7F"/>
              <w:left w:val="single" w:sz="4" w:space="0" w:color="7F7F7F"/>
              <w:bottom w:val="single" w:sz="4" w:space="0" w:color="7F7F7F"/>
              <w:right w:val="single" w:sz="4" w:space="0" w:color="7F7F7F"/>
            </w:tcBorders>
            <w:tcMar>
              <w:top w:w="32" w:type="dxa"/>
              <w:left w:w="70" w:type="dxa"/>
              <w:bottom w:w="32" w:type="dxa"/>
              <w:right w:w="70" w:type="dxa"/>
            </w:tcMar>
            <w:vAlign w:val="center"/>
          </w:tcPr>
          <w:p w14:paraId="64F98661"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Administración pública, defensa, educación y salud</w:t>
            </w:r>
          </w:p>
        </w:tc>
        <w:tc>
          <w:tcPr>
            <w:tcW w:w="1850" w:type="dxa"/>
            <w:tcBorders>
              <w:top w:val="single" w:sz="4" w:space="0" w:color="7F7F7F"/>
              <w:left w:val="single" w:sz="4" w:space="0" w:color="7F7F7F"/>
              <w:bottom w:val="single" w:sz="4" w:space="0" w:color="7F7F7F"/>
              <w:right w:val="single" w:sz="4" w:space="0" w:color="7F7F7F"/>
            </w:tcBorders>
            <w:tcMar>
              <w:top w:w="32" w:type="dxa"/>
              <w:left w:w="70" w:type="dxa"/>
              <w:bottom w:w="32" w:type="dxa"/>
              <w:right w:w="70" w:type="dxa"/>
            </w:tcMar>
            <w:vAlign w:val="center"/>
          </w:tcPr>
          <w:p w14:paraId="53A52C93"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color w:val="000000"/>
              </w:rPr>
              <w:t>4,5%</w:t>
            </w:r>
          </w:p>
        </w:tc>
        <w:tc>
          <w:tcPr>
            <w:tcW w:w="1850" w:type="dxa"/>
            <w:tcBorders>
              <w:top w:val="single" w:sz="4" w:space="0" w:color="7F7F7F"/>
              <w:left w:val="single" w:sz="4" w:space="0" w:color="7F7F7F"/>
              <w:bottom w:val="single" w:sz="4" w:space="0" w:color="7F7F7F"/>
              <w:right w:val="single" w:sz="4" w:space="0" w:color="7F7F7F"/>
            </w:tcBorders>
            <w:tcMar>
              <w:top w:w="32" w:type="dxa"/>
              <w:left w:w="70" w:type="dxa"/>
              <w:bottom w:w="32" w:type="dxa"/>
              <w:right w:w="70" w:type="dxa"/>
            </w:tcMar>
            <w:vAlign w:val="center"/>
          </w:tcPr>
          <w:p w14:paraId="02ABEE7B"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color w:val="000000"/>
              </w:rPr>
              <w:t>0,8 p.p.</w:t>
            </w:r>
          </w:p>
        </w:tc>
      </w:tr>
      <w:tr w:rsidR="004C4E8C" w:rsidRPr="006E1110" w14:paraId="75666851" w14:textId="77777777" w:rsidTr="004C4E8C">
        <w:trPr>
          <w:jc w:val="center"/>
        </w:trPr>
        <w:tc>
          <w:tcPr>
            <w:tcW w:w="5660" w:type="dxa"/>
            <w:tcBorders>
              <w:top w:val="single" w:sz="4" w:space="0" w:color="7F7F7F"/>
              <w:left w:val="single" w:sz="4" w:space="0" w:color="7F7F7F"/>
              <w:bottom w:val="single" w:sz="4" w:space="0" w:color="7F7F7F"/>
              <w:right w:val="single" w:sz="4" w:space="0" w:color="7F7F7F"/>
            </w:tcBorders>
            <w:tcMar>
              <w:top w:w="32" w:type="dxa"/>
              <w:left w:w="70" w:type="dxa"/>
              <w:bottom w:w="32" w:type="dxa"/>
              <w:right w:w="70" w:type="dxa"/>
            </w:tcMar>
            <w:vAlign w:val="center"/>
          </w:tcPr>
          <w:p w14:paraId="2BA12B69"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Artes, entretenimiento, otros servicios y hogares como empleadores</w:t>
            </w:r>
          </w:p>
        </w:tc>
        <w:tc>
          <w:tcPr>
            <w:tcW w:w="1850" w:type="dxa"/>
            <w:tcBorders>
              <w:top w:val="single" w:sz="4" w:space="0" w:color="7F7F7F"/>
              <w:left w:val="single" w:sz="4" w:space="0" w:color="7F7F7F"/>
              <w:bottom w:val="single" w:sz="4" w:space="0" w:color="7F7F7F"/>
              <w:right w:val="single" w:sz="4" w:space="0" w:color="7F7F7F"/>
            </w:tcBorders>
            <w:tcMar>
              <w:top w:w="32" w:type="dxa"/>
              <w:left w:w="70" w:type="dxa"/>
              <w:bottom w:w="32" w:type="dxa"/>
              <w:right w:w="70" w:type="dxa"/>
            </w:tcMar>
            <w:vAlign w:val="center"/>
          </w:tcPr>
          <w:p w14:paraId="610B2373"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color w:val="000000"/>
              </w:rPr>
              <w:t>9,9%</w:t>
            </w:r>
          </w:p>
        </w:tc>
        <w:tc>
          <w:tcPr>
            <w:tcW w:w="1850" w:type="dxa"/>
            <w:tcBorders>
              <w:top w:val="single" w:sz="4" w:space="0" w:color="7F7F7F"/>
              <w:left w:val="single" w:sz="4" w:space="0" w:color="7F7F7F"/>
              <w:bottom w:val="single" w:sz="4" w:space="0" w:color="7F7F7F"/>
              <w:right w:val="single" w:sz="4" w:space="0" w:color="7F7F7F"/>
            </w:tcBorders>
            <w:tcMar>
              <w:top w:w="32" w:type="dxa"/>
              <w:left w:w="70" w:type="dxa"/>
              <w:bottom w:w="32" w:type="dxa"/>
              <w:right w:w="70" w:type="dxa"/>
            </w:tcMar>
            <w:vAlign w:val="center"/>
          </w:tcPr>
          <w:p w14:paraId="035BD77C"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color w:val="000000"/>
              </w:rPr>
              <w:t>0,4 p.p.</w:t>
            </w:r>
          </w:p>
        </w:tc>
      </w:tr>
    </w:tbl>
    <w:p w14:paraId="0B47183E" w14:textId="5F863612" w:rsidR="004C4E8C" w:rsidRPr="006E1110" w:rsidRDefault="004C4E8C" w:rsidP="006E1110">
      <w:pPr>
        <w:spacing w:after="120" w:line="264" w:lineRule="auto"/>
        <w:jc w:val="center"/>
        <w:rPr>
          <w:rFonts w:ascii="Arial Narrow" w:hAnsi="Arial Narrow"/>
        </w:rPr>
      </w:pPr>
      <w:r w:rsidRPr="006E1110">
        <w:rPr>
          <w:rFonts w:ascii="Arial Narrow" w:eastAsia="Arial Narrow" w:hAnsi="Arial Narrow" w:cs="Arial Narrow"/>
          <w:b/>
          <w:bCs/>
          <w:i/>
          <w:iCs/>
          <w:color w:val="000000"/>
        </w:rPr>
        <w:t>Fuente:</w:t>
      </w:r>
      <w:r w:rsidRPr="006E1110">
        <w:rPr>
          <w:rFonts w:ascii="Arial Narrow" w:eastAsia="Arial Narrow" w:hAnsi="Arial Narrow" w:cs="Arial Narrow"/>
          <w:i/>
          <w:iCs/>
          <w:color w:val="000000"/>
        </w:rPr>
        <w:t xml:space="preserve"> DANE, Cuentas Nacionales. Cifras a precios constantes, serie original, 2025.</w:t>
      </w:r>
    </w:p>
    <w:p w14:paraId="4179AA03" w14:textId="77777777" w:rsidR="004C4E8C" w:rsidRPr="006E1110" w:rsidRDefault="004C4E8C" w:rsidP="006E1110">
      <w:pPr>
        <w:spacing w:after="120" w:line="264" w:lineRule="auto"/>
        <w:jc w:val="both"/>
        <w:rPr>
          <w:rFonts w:ascii="Arial Narrow" w:hAnsi="Arial Narrow"/>
        </w:rPr>
      </w:pPr>
      <w:r w:rsidRPr="006E1110">
        <w:rPr>
          <w:rFonts w:ascii="Arial Narrow" w:eastAsia="Arial Narrow" w:hAnsi="Arial Narrow" w:cs="Arial Narrow"/>
          <w:color w:val="000000"/>
        </w:rPr>
        <w:t>En lo que respecta al sector en el cual se enmarca el objeto del presente proceso, y según se detalló en el análisis del sector económico, el sector de la construcción tuvo en 2025 un comportamiento mixto: mientras el subsector de edificaciones registró contracciones, el subsector de obras civiles —que agrupa los proyectos de servicios públicos y de infraestructura— mantuvo un desempeño positivo, consolidándose como el principal motor de la actividad constructora y sosteniendo la demanda de bienes, insumos y contratistas para la ejecución de obras como la del presente proceso.</w:t>
      </w:r>
    </w:p>
    <w:p w14:paraId="737C045C" w14:textId="77777777" w:rsidR="004C4E8C" w:rsidRPr="006E1110" w:rsidRDefault="004C4E8C" w:rsidP="006E1110">
      <w:pPr>
        <w:spacing w:after="120" w:line="264" w:lineRule="auto"/>
        <w:jc w:val="both"/>
        <w:rPr>
          <w:rFonts w:ascii="Arial Narrow" w:hAnsi="Arial Narrow"/>
        </w:rPr>
      </w:pPr>
      <w:r w:rsidRPr="006E1110">
        <w:rPr>
          <w:rFonts w:ascii="Arial Narrow" w:eastAsia="Arial Narrow" w:hAnsi="Arial Narrow" w:cs="Arial Narrow"/>
          <w:color w:val="000000"/>
        </w:rPr>
        <w:t>El panorama macroeconómico descrito —una economía en crecimiento moderado, con dinamismo en los servicios y en las obras civiles— evidencia un entorno favorable y una oferta suficiente de bienes y servicios en el mercado para atender el objeto contractual, lo que respalda la viabilidad económica del presente proceso.</w:t>
      </w:r>
    </w:p>
    <w:p w14:paraId="57A79453" w14:textId="77C0445D" w:rsidR="006358BB" w:rsidRPr="006E1110" w:rsidRDefault="004C4E8C" w:rsidP="006E1110">
      <w:pPr>
        <w:spacing w:after="0" w:line="240" w:lineRule="auto"/>
        <w:jc w:val="both"/>
        <w:rPr>
          <w:rFonts w:ascii="Arial Narrow" w:eastAsia="Arial Narrow" w:hAnsi="Arial Narrow" w:cs="Arial Narrow"/>
          <w:color w:val="000000"/>
        </w:rPr>
      </w:pPr>
      <w:r w:rsidRPr="006E1110">
        <w:rPr>
          <w:rFonts w:ascii="Arial Narrow" w:eastAsia="Arial Narrow" w:hAnsi="Arial Narrow" w:cs="Arial Narrow"/>
          <w:b/>
          <w:bCs/>
          <w:color w:val="000000"/>
        </w:rPr>
        <w:t xml:space="preserve">Nota: </w:t>
      </w:r>
      <w:r w:rsidRPr="006E1110">
        <w:rPr>
          <w:rFonts w:ascii="Arial Narrow" w:eastAsia="Arial Narrow" w:hAnsi="Arial Narrow" w:cs="Arial Narrow"/>
          <w:color w:val="000000"/>
        </w:rPr>
        <w:t>Las cifras corresponden a la información oficial publicada por el DANE para el año 2025 (PIB total: 2,6%).</w:t>
      </w:r>
    </w:p>
    <w:p w14:paraId="1EB93D8F" w14:textId="77777777" w:rsidR="004C4E8C" w:rsidRPr="006E1110" w:rsidRDefault="004C4E8C" w:rsidP="006E1110">
      <w:pPr>
        <w:spacing w:after="0" w:line="240" w:lineRule="auto"/>
        <w:jc w:val="both"/>
        <w:rPr>
          <w:rFonts w:ascii="Arial Narrow" w:hAnsi="Arial Narrow"/>
          <w:color w:val="EE0000"/>
        </w:rPr>
      </w:pPr>
    </w:p>
    <w:p w14:paraId="5ECED598" w14:textId="19F6EE2F" w:rsidR="002B6B36" w:rsidRPr="006E1110" w:rsidRDefault="002B6B36" w:rsidP="006E1110">
      <w:pPr>
        <w:spacing w:after="0" w:line="240" w:lineRule="auto"/>
        <w:jc w:val="both"/>
        <w:rPr>
          <w:rFonts w:ascii="Arial Narrow" w:hAnsi="Arial Narrow"/>
          <w:b/>
          <w:bCs/>
        </w:rPr>
      </w:pPr>
      <w:r w:rsidRPr="006E1110">
        <w:rPr>
          <w:rFonts w:ascii="Arial Narrow" w:hAnsi="Arial Narrow"/>
          <w:b/>
          <w:bCs/>
        </w:rPr>
        <w:t>ANALISIS DEL MERCADO</w:t>
      </w:r>
    </w:p>
    <w:p w14:paraId="2AB0BF37" w14:textId="77777777" w:rsidR="006358BB" w:rsidRPr="006E1110" w:rsidRDefault="006358BB" w:rsidP="006E1110">
      <w:pPr>
        <w:spacing w:after="0" w:line="240" w:lineRule="auto"/>
        <w:jc w:val="both"/>
        <w:rPr>
          <w:rFonts w:ascii="Arial Narrow" w:hAnsi="Arial Narrow"/>
          <w:b/>
          <w:bCs/>
        </w:rPr>
      </w:pPr>
    </w:p>
    <w:p w14:paraId="572BCC80" w14:textId="77777777" w:rsidR="004C4E8C" w:rsidRPr="006E1110" w:rsidRDefault="004C4E8C" w:rsidP="006E1110">
      <w:pPr>
        <w:spacing w:after="120" w:line="264" w:lineRule="auto"/>
        <w:jc w:val="both"/>
        <w:rPr>
          <w:rFonts w:ascii="Arial Narrow" w:hAnsi="Arial Narrow"/>
        </w:rPr>
      </w:pPr>
      <w:r w:rsidRPr="006E1110">
        <w:rPr>
          <w:rFonts w:ascii="Arial Narrow" w:eastAsia="Arial Narrow" w:hAnsi="Arial Narrow" w:cs="Arial Narrow"/>
          <w:b/>
          <w:bCs/>
          <w:color w:val="000000"/>
        </w:rPr>
        <w:t xml:space="preserve">REGULATORIO: </w:t>
      </w:r>
      <w:r w:rsidRPr="006E1110">
        <w:rPr>
          <w:rFonts w:ascii="Arial Narrow" w:eastAsia="Arial Narrow" w:hAnsi="Arial Narrow" w:cs="Arial Narrow"/>
          <w:color w:val="000000"/>
        </w:rPr>
        <w:t>La Entidad Estatal debe identificar la regulación aplicable al objeto del presente Proceso de Contratación, tanto la que influye en el mercado del bien o servicio como la que regula la actividad de los proveedores y compradores de manera particular, incluyendo regulaciones de mercado, de precios, ambientales, tributarias y de cualquier otro tipo, así como las modificaciones recientes a tales regulaciones y el impacto en su aplicación. También debe estudiar si en el sector hay Normas Técnicas Colombianas, acuerdos o normas internacionales aplicables y autoridades regulatorias o de vigilancia.</w:t>
      </w:r>
    </w:p>
    <w:p w14:paraId="465130C7" w14:textId="77777777" w:rsidR="004C4E8C" w:rsidRPr="006E1110" w:rsidRDefault="004C4E8C" w:rsidP="006E1110">
      <w:pPr>
        <w:spacing w:after="120" w:line="264" w:lineRule="auto"/>
        <w:jc w:val="both"/>
        <w:rPr>
          <w:rFonts w:ascii="Arial Narrow" w:hAnsi="Arial Narrow"/>
        </w:rPr>
      </w:pPr>
      <w:r w:rsidRPr="006E1110">
        <w:rPr>
          <w:rFonts w:ascii="Arial Narrow" w:eastAsia="Arial Narrow" w:hAnsi="Arial Narrow" w:cs="Arial Narrow"/>
          <w:color w:val="000000"/>
        </w:rPr>
        <w:t>Confluyen en este aspecto varias actividades regulatorias, unas de origen legal y otras de carácter técnico. Dentro de las normas regulatorias se tiene la Ley 80 de 1993 o Estatuto General de Contratación, la Ley 1150 de 2007 y sus decretos reglamentarios, particularmente el Decreto 1082 de 2015, normas que rigen el procedimiento contractual y las reglas a las que se deben someter los interesados en contratar con el Estado. De otra parte, están las normas generales establecidas en el Código Civil y el Código de Comercio, así como el Estatuto Tributario Nacional y sus modificaciones y el Estatuto de Rentas Municipal, que imponen cargas tributarias, tasas y contribuciones a quienes celebren contratos con las entidades públicas; las normas vigentes sobre aportes a la seguridad social; las normas ambientales vigentes y las normas o parámetros de calidad ICONTEC, junto con las demás disposiciones técnicas que la Entidad establezca a través de la supervisión.</w:t>
      </w:r>
    </w:p>
    <w:p w14:paraId="33C919CF" w14:textId="77777777" w:rsidR="004C4E8C" w:rsidRPr="006E1110" w:rsidRDefault="004C4E8C" w:rsidP="006E1110">
      <w:pPr>
        <w:spacing w:after="100" w:line="264" w:lineRule="auto"/>
        <w:jc w:val="both"/>
        <w:rPr>
          <w:rFonts w:ascii="Arial Narrow" w:hAnsi="Arial Narrow"/>
        </w:rPr>
      </w:pPr>
      <w:r w:rsidRPr="006E1110">
        <w:rPr>
          <w:rFonts w:ascii="Arial Narrow" w:eastAsia="Arial Narrow" w:hAnsi="Arial Narrow" w:cs="Arial Narrow"/>
          <w:color w:val="000000"/>
        </w:rPr>
        <w:t>De manera particular, y en atención a la naturaleza del objeto contractual —obra pública de adecuación de infraestructura asociada a la prestación del servicio público domiciliario de acueducto y al control de la calidad del agua para consumo humano—, la regulación aplicable al presente proceso es la siguiente: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24"/>
        <w:gridCol w:w="2897"/>
        <w:gridCol w:w="4007"/>
      </w:tblGrid>
      <w:tr w:rsidR="004C4E8C" w:rsidRPr="006E1110" w14:paraId="499BE004" w14:textId="77777777" w:rsidTr="004C4E8C">
        <w:trPr>
          <w:tblHeader/>
          <w:jc w:val="center"/>
        </w:trPr>
        <w:tc>
          <w:tcPr>
            <w:tcW w:w="2000" w:type="dxa"/>
            <w:tcBorders>
              <w:top w:val="single" w:sz="4" w:space="0" w:color="7F7F7F"/>
              <w:left w:val="single" w:sz="4" w:space="0" w:color="7F7F7F"/>
              <w:bottom w:val="single" w:sz="4" w:space="0" w:color="7F7F7F"/>
              <w:right w:val="single" w:sz="4" w:space="0" w:color="7F7F7F"/>
            </w:tcBorders>
            <w:shd w:val="clear" w:color="auto" w:fill="2E75B6"/>
            <w:tcMar>
              <w:top w:w="30" w:type="dxa"/>
              <w:left w:w="70" w:type="dxa"/>
              <w:bottom w:w="30" w:type="dxa"/>
              <w:right w:w="70" w:type="dxa"/>
            </w:tcMar>
            <w:vAlign w:val="center"/>
          </w:tcPr>
          <w:p w14:paraId="44EFFA08"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b/>
                <w:bCs/>
                <w:color w:val="FFFFFF"/>
              </w:rPr>
              <w:lastRenderedPageBreak/>
              <w:t>ÁMBITO</w:t>
            </w:r>
          </w:p>
        </w:tc>
        <w:tc>
          <w:tcPr>
            <w:tcW w:w="3060" w:type="dxa"/>
            <w:tcBorders>
              <w:top w:val="single" w:sz="4" w:space="0" w:color="7F7F7F"/>
              <w:left w:val="single" w:sz="4" w:space="0" w:color="7F7F7F"/>
              <w:bottom w:val="single" w:sz="4" w:space="0" w:color="7F7F7F"/>
              <w:right w:val="single" w:sz="4" w:space="0" w:color="7F7F7F"/>
            </w:tcBorders>
            <w:shd w:val="clear" w:color="auto" w:fill="2E75B6"/>
            <w:tcMar>
              <w:top w:w="30" w:type="dxa"/>
              <w:left w:w="70" w:type="dxa"/>
              <w:bottom w:w="30" w:type="dxa"/>
              <w:right w:w="70" w:type="dxa"/>
            </w:tcMar>
            <w:vAlign w:val="center"/>
          </w:tcPr>
          <w:p w14:paraId="4557EAF5"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b/>
                <w:bCs/>
                <w:color w:val="FFFFFF"/>
              </w:rPr>
              <w:t>NORMA</w:t>
            </w:r>
          </w:p>
        </w:tc>
        <w:tc>
          <w:tcPr>
            <w:tcW w:w="4300" w:type="dxa"/>
            <w:tcBorders>
              <w:top w:val="single" w:sz="4" w:space="0" w:color="7F7F7F"/>
              <w:left w:val="single" w:sz="4" w:space="0" w:color="7F7F7F"/>
              <w:bottom w:val="single" w:sz="4" w:space="0" w:color="7F7F7F"/>
              <w:right w:val="single" w:sz="4" w:space="0" w:color="7F7F7F"/>
            </w:tcBorders>
            <w:shd w:val="clear" w:color="auto" w:fill="2E75B6"/>
            <w:tcMar>
              <w:top w:w="30" w:type="dxa"/>
              <w:left w:w="70" w:type="dxa"/>
              <w:bottom w:w="30" w:type="dxa"/>
              <w:right w:w="70" w:type="dxa"/>
            </w:tcMar>
            <w:vAlign w:val="center"/>
          </w:tcPr>
          <w:p w14:paraId="58DDA1FA"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b/>
                <w:bCs/>
                <w:color w:val="FFFFFF"/>
              </w:rPr>
              <w:t>ASPECTO QUE REGULA</w:t>
            </w:r>
          </w:p>
        </w:tc>
      </w:tr>
      <w:tr w:rsidR="004C4E8C" w:rsidRPr="006E1110" w14:paraId="21DA11E5" w14:textId="77777777" w:rsidTr="004C4E8C">
        <w:trPr>
          <w:jc w:val="center"/>
        </w:trPr>
        <w:tc>
          <w:tcPr>
            <w:tcW w:w="2000" w:type="dxa"/>
            <w:vMerge w:val="restart"/>
            <w:tcBorders>
              <w:top w:val="single" w:sz="4" w:space="0" w:color="7F7F7F"/>
              <w:left w:val="single" w:sz="4" w:space="0" w:color="7F7F7F"/>
              <w:bottom w:val="single" w:sz="4" w:space="0" w:color="7F7F7F"/>
              <w:right w:val="single" w:sz="4" w:space="0" w:color="7F7F7F"/>
            </w:tcBorders>
            <w:shd w:val="clear" w:color="auto" w:fill="C9D6E5"/>
            <w:tcMar>
              <w:top w:w="30" w:type="dxa"/>
              <w:left w:w="70" w:type="dxa"/>
              <w:bottom w:w="30" w:type="dxa"/>
              <w:right w:w="70" w:type="dxa"/>
            </w:tcMar>
            <w:vAlign w:val="center"/>
          </w:tcPr>
          <w:p w14:paraId="7BEDDE61"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b/>
                <w:bCs/>
              </w:rPr>
              <w:t>Contratación estatal</w:t>
            </w: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6F7922C6"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Ley 80 de 1993</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153809BB"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Estatuto General de Contratación de la Administración Pública.</w:t>
            </w:r>
          </w:p>
        </w:tc>
      </w:tr>
      <w:tr w:rsidR="004C4E8C" w:rsidRPr="006E1110" w14:paraId="0DA3FD5D"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45ED3231"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37AB5DE3"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 xml:space="preserve">Ley 1150 de 2007 (art. 2, </w:t>
            </w:r>
            <w:proofErr w:type="spellStart"/>
            <w:r w:rsidRPr="006E1110">
              <w:rPr>
                <w:rFonts w:ascii="Arial Narrow" w:eastAsia="Arial Narrow" w:hAnsi="Arial Narrow" w:cs="Arial Narrow"/>
                <w:b/>
                <w:bCs/>
                <w:color w:val="000000"/>
              </w:rPr>
              <w:t>num</w:t>
            </w:r>
            <w:proofErr w:type="spellEnd"/>
            <w:r w:rsidRPr="006E1110">
              <w:rPr>
                <w:rFonts w:ascii="Arial Narrow" w:eastAsia="Arial Narrow" w:hAnsi="Arial Narrow" w:cs="Arial Narrow"/>
                <w:b/>
                <w:bCs/>
                <w:color w:val="000000"/>
              </w:rPr>
              <w:t>. 5)</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443DB05F"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Medidas de eficiencia y transparencia; modalidad de selección de mínima cuantía.</w:t>
            </w:r>
          </w:p>
        </w:tc>
      </w:tr>
      <w:tr w:rsidR="004C4E8C" w:rsidRPr="006E1110" w14:paraId="0EA6BFE6"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673B8BE2"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727258A8"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Ley 1474 de 2011 (art. 94)</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27C01307"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Estatuto Anticorrupción; procedimiento de mínima cuantía.</w:t>
            </w:r>
          </w:p>
        </w:tc>
      </w:tr>
      <w:tr w:rsidR="004C4E8C" w:rsidRPr="006E1110" w14:paraId="174CFB4A"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2E1C918E"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1908B481"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Decreto 1082 de 2015</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7E016A03"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Decreto Único Reglamentario del Sector Planeación Nacional; estudio del sector, análisis de riesgos y garantías (arts. 2.2.1.1.1.6.1 y 2.2.1.2.1.5.1 y ss.).</w:t>
            </w:r>
          </w:p>
        </w:tc>
      </w:tr>
      <w:tr w:rsidR="004C4E8C" w:rsidRPr="006E1110" w14:paraId="094F1B65"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7F5105A5"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62527AE2"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Ley 2069 de 2020 y Decreto 1860 de 2021</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11411854"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 xml:space="preserve">Criterios diferenciales, limitación a </w:t>
            </w:r>
            <w:proofErr w:type="spellStart"/>
            <w:r w:rsidRPr="006E1110">
              <w:rPr>
                <w:rFonts w:ascii="Arial Narrow" w:eastAsia="Arial Narrow" w:hAnsi="Arial Narrow" w:cs="Arial Narrow"/>
                <w:color w:val="000000"/>
              </w:rPr>
              <w:t>Mipyme</w:t>
            </w:r>
            <w:proofErr w:type="spellEnd"/>
            <w:r w:rsidRPr="006E1110">
              <w:rPr>
                <w:rFonts w:ascii="Arial Narrow" w:eastAsia="Arial Narrow" w:hAnsi="Arial Narrow" w:cs="Arial Narrow"/>
                <w:color w:val="000000"/>
              </w:rPr>
              <w:t xml:space="preserve"> y fomento del emprendimiento en la contratación estatal.</w:t>
            </w:r>
          </w:p>
        </w:tc>
      </w:tr>
      <w:tr w:rsidR="004C4E8C" w:rsidRPr="006E1110" w14:paraId="595F533A"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3ADAB31B"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7315DC3C"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Ley 2022 de 2020</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28AEEA4D"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Obligatoriedad de los documentos tipo en los procesos de selección de obra pública.</w:t>
            </w:r>
          </w:p>
        </w:tc>
      </w:tr>
      <w:tr w:rsidR="004C4E8C" w:rsidRPr="006E1110" w14:paraId="2F5C7A00"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3908CE4F"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21DF784E"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Resolución 541 de 2025 – Colombia Compra Eficiente</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15170661"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Adopta los documentos tipo para los procesos de mínima cuantía de obra pública de infraestructura social (modificación reciente de impacto directo en el proceso).</w:t>
            </w:r>
          </w:p>
        </w:tc>
      </w:tr>
      <w:tr w:rsidR="004C4E8C" w:rsidRPr="006E1110" w14:paraId="1C42AE61" w14:textId="77777777" w:rsidTr="004C4E8C">
        <w:trPr>
          <w:jc w:val="center"/>
        </w:trPr>
        <w:tc>
          <w:tcPr>
            <w:tcW w:w="2000" w:type="dxa"/>
            <w:vMerge w:val="restart"/>
            <w:tcBorders>
              <w:top w:val="single" w:sz="4" w:space="0" w:color="7F7F7F"/>
              <w:left w:val="single" w:sz="4" w:space="0" w:color="7F7F7F"/>
              <w:bottom w:val="single" w:sz="4" w:space="0" w:color="7F7F7F"/>
              <w:right w:val="single" w:sz="4" w:space="0" w:color="7F7F7F"/>
            </w:tcBorders>
            <w:shd w:val="clear" w:color="auto" w:fill="C9D6E5"/>
            <w:tcMar>
              <w:top w:w="30" w:type="dxa"/>
              <w:left w:w="70" w:type="dxa"/>
              <w:bottom w:w="30" w:type="dxa"/>
              <w:right w:w="70" w:type="dxa"/>
            </w:tcMar>
            <w:vAlign w:val="center"/>
          </w:tcPr>
          <w:p w14:paraId="09C125C6"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b/>
                <w:bCs/>
              </w:rPr>
              <w:t>Servicio público de acueducto y calidad del agua</w:t>
            </w: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51D2D340"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Ley 142 de 1994</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1FFF328A"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Régimen de los servicios públicos domiciliarios; obligaciones del prestador del servicio de acueducto.</w:t>
            </w:r>
          </w:p>
        </w:tc>
      </w:tr>
      <w:tr w:rsidR="004C4E8C" w:rsidRPr="006E1110" w14:paraId="5DDA6845"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45287556"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3C2A43A0"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Decreto 1575 de 2007</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3C7133BB"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Sistema para la Protección y Control de la Calidad del Agua para Consumo Humano.</w:t>
            </w:r>
          </w:p>
        </w:tc>
      </w:tr>
      <w:tr w:rsidR="004C4E8C" w:rsidRPr="006E1110" w14:paraId="6F4CB3B9"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1EDF0904"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6D69B225"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Resolución 2115 de 2007 (MPS – MAVDT)</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0AE43187"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Características, instrumentos básicos y frecuencias del sistema de control y vigilancia de la calidad del agua para consumo humano.</w:t>
            </w:r>
          </w:p>
        </w:tc>
      </w:tr>
      <w:tr w:rsidR="004C4E8C" w:rsidRPr="006E1110" w14:paraId="33C41E8F"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6C97BC70"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1424F4D3"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Resolución 811 de 2008 (MPS – MAVDT)</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68D0F7ED"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Lineamientos para la concertación y materialización de los lugares y puntos de muestreo en la red de distribución, incluida su codificación e identificación.</w:t>
            </w:r>
          </w:p>
        </w:tc>
      </w:tr>
      <w:tr w:rsidR="004C4E8C" w:rsidRPr="006E1110" w14:paraId="5094534F"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05D5172A"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5AE6571C"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Resolución 0330 de 2017 y sus modificaciones (MVCT)</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51A8B77F"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Reglamento Técnico del Sector de Agua Potable y Saneamiento Básico – RAS.</w:t>
            </w:r>
          </w:p>
        </w:tc>
      </w:tr>
      <w:tr w:rsidR="004C4E8C" w:rsidRPr="006E1110" w14:paraId="50104633" w14:textId="77777777" w:rsidTr="004C4E8C">
        <w:trPr>
          <w:jc w:val="center"/>
        </w:trPr>
        <w:tc>
          <w:tcPr>
            <w:tcW w:w="2000" w:type="dxa"/>
            <w:vMerge w:val="restart"/>
            <w:tcBorders>
              <w:top w:val="single" w:sz="4" w:space="0" w:color="7F7F7F"/>
              <w:left w:val="single" w:sz="4" w:space="0" w:color="7F7F7F"/>
              <w:bottom w:val="single" w:sz="4" w:space="0" w:color="7F7F7F"/>
              <w:right w:val="single" w:sz="4" w:space="0" w:color="7F7F7F"/>
            </w:tcBorders>
            <w:shd w:val="clear" w:color="auto" w:fill="C9D6E5"/>
            <w:tcMar>
              <w:top w:w="30" w:type="dxa"/>
              <w:left w:w="70" w:type="dxa"/>
              <w:bottom w:w="30" w:type="dxa"/>
              <w:right w:w="70" w:type="dxa"/>
            </w:tcMar>
            <w:vAlign w:val="center"/>
          </w:tcPr>
          <w:p w14:paraId="654CE52C"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b/>
                <w:bCs/>
              </w:rPr>
              <w:t>Técnico – construcción y materiales</w:t>
            </w: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5200C344"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Reglamento NSR-10</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024FF255"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Requisitos para concreto estructural y acero de refuerzo de los elementos de la obra.</w:t>
            </w:r>
          </w:p>
        </w:tc>
      </w:tr>
      <w:tr w:rsidR="004C4E8C" w:rsidRPr="006E1110" w14:paraId="5A575E2A"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1B61E986"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16487FBE"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NTC 1500</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76594921"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Código Colombiano de Fontanería; instalaciones hidráulicas.</w:t>
            </w:r>
          </w:p>
        </w:tc>
      </w:tr>
      <w:tr w:rsidR="004C4E8C" w:rsidRPr="006E1110" w14:paraId="06C4A7AA"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64C44FBE"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5A3407BC"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NTC 382 y NTC 2289</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19199DBA"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Tubos de PVC para conducción de agua a presión y barras corrugadas de acero para refuerzo de concreto, respectivamente.</w:t>
            </w:r>
          </w:p>
        </w:tc>
      </w:tr>
      <w:tr w:rsidR="004C4E8C" w:rsidRPr="006E1110" w14:paraId="6C82EEB0"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4160D5FC"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3AFE0B59"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Cartilla de precios ICCU 2026</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3F063744"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Precios de referencia para obra en el departamento de Cundinamarca – Provincia del Guavio (regulación de precios de referencia del presupuesto oficial).</w:t>
            </w:r>
          </w:p>
        </w:tc>
      </w:tr>
      <w:tr w:rsidR="004C4E8C" w:rsidRPr="006E1110" w14:paraId="760F7465" w14:textId="77777777" w:rsidTr="004C4E8C">
        <w:trPr>
          <w:jc w:val="center"/>
        </w:trPr>
        <w:tc>
          <w:tcPr>
            <w:tcW w:w="2000" w:type="dxa"/>
            <w:vMerge w:val="restart"/>
            <w:tcBorders>
              <w:top w:val="single" w:sz="4" w:space="0" w:color="7F7F7F"/>
              <w:left w:val="single" w:sz="4" w:space="0" w:color="7F7F7F"/>
              <w:bottom w:val="single" w:sz="4" w:space="0" w:color="7F7F7F"/>
              <w:right w:val="single" w:sz="4" w:space="0" w:color="7F7F7F"/>
            </w:tcBorders>
            <w:shd w:val="clear" w:color="auto" w:fill="C9D6E5"/>
            <w:tcMar>
              <w:top w:w="30" w:type="dxa"/>
              <w:left w:w="70" w:type="dxa"/>
              <w:bottom w:w="30" w:type="dxa"/>
              <w:right w:w="70" w:type="dxa"/>
            </w:tcMar>
            <w:vAlign w:val="center"/>
          </w:tcPr>
          <w:p w14:paraId="760BBE9C"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b/>
                <w:bCs/>
              </w:rPr>
              <w:t>Ambiental</w:t>
            </w: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3B9C5D6F"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Resolución 0472 de 2017, modificada por la Resolución 1257 de 2021 (MADS)</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78B9416A"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Gestión integral de los residuos de construcción y demolición (RCD).</w:t>
            </w:r>
          </w:p>
        </w:tc>
      </w:tr>
      <w:tr w:rsidR="004C4E8C" w:rsidRPr="006E1110" w14:paraId="26852D75"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49F12E51"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448ABB5B"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Autoridad ambiental regional – CORPOGUAVIO</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19427B69"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Permisos y lineamientos ambientales aplicables en la jurisdicción, cuando resulten exigibles.</w:t>
            </w:r>
          </w:p>
        </w:tc>
      </w:tr>
      <w:tr w:rsidR="004C4E8C" w:rsidRPr="006E1110" w14:paraId="4E1ADA91" w14:textId="77777777" w:rsidTr="004C4E8C">
        <w:trPr>
          <w:jc w:val="center"/>
        </w:trPr>
        <w:tc>
          <w:tcPr>
            <w:tcW w:w="2000" w:type="dxa"/>
            <w:vMerge w:val="restart"/>
            <w:tcBorders>
              <w:top w:val="single" w:sz="4" w:space="0" w:color="7F7F7F"/>
              <w:left w:val="single" w:sz="4" w:space="0" w:color="7F7F7F"/>
              <w:bottom w:val="single" w:sz="4" w:space="0" w:color="7F7F7F"/>
              <w:right w:val="single" w:sz="4" w:space="0" w:color="7F7F7F"/>
            </w:tcBorders>
            <w:shd w:val="clear" w:color="auto" w:fill="C9D6E5"/>
            <w:tcMar>
              <w:top w:w="30" w:type="dxa"/>
              <w:left w:w="70" w:type="dxa"/>
              <w:bottom w:w="30" w:type="dxa"/>
              <w:right w:w="70" w:type="dxa"/>
            </w:tcMar>
            <w:vAlign w:val="center"/>
          </w:tcPr>
          <w:p w14:paraId="5E2DB1D3"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b/>
                <w:bCs/>
              </w:rPr>
              <w:t>Laboral y seguridad social</w:t>
            </w: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1A0BE111"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Ley 100 de 1993, Ley 789 de 2002 (art. 50) y Ley 828 de 2003</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54C614DA"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Afiliación y pago de aportes al Sistema de Seguridad Social Integral y parafiscales.</w:t>
            </w:r>
          </w:p>
        </w:tc>
      </w:tr>
      <w:tr w:rsidR="004C4E8C" w:rsidRPr="006E1110" w14:paraId="37BCCA43"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773FD1AD"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665BD45A"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Decreto 1072 de 2015 y Resolución 0312 de 2019</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6BEE804C"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Sistema de Gestión de Seguridad y Salud en el Trabajo (SG-SST) y estándares mínimos.</w:t>
            </w:r>
          </w:p>
        </w:tc>
      </w:tr>
      <w:tr w:rsidR="004C4E8C" w:rsidRPr="006E1110" w14:paraId="358CBB17" w14:textId="77777777" w:rsidTr="004C4E8C">
        <w:trPr>
          <w:jc w:val="center"/>
        </w:trPr>
        <w:tc>
          <w:tcPr>
            <w:tcW w:w="2000" w:type="dxa"/>
            <w:vMerge w:val="restart"/>
            <w:tcBorders>
              <w:top w:val="single" w:sz="4" w:space="0" w:color="7F7F7F"/>
              <w:left w:val="single" w:sz="4" w:space="0" w:color="7F7F7F"/>
              <w:bottom w:val="single" w:sz="4" w:space="0" w:color="7F7F7F"/>
              <w:right w:val="single" w:sz="4" w:space="0" w:color="7F7F7F"/>
            </w:tcBorders>
            <w:shd w:val="clear" w:color="auto" w:fill="C9D6E5"/>
            <w:tcMar>
              <w:top w:w="30" w:type="dxa"/>
              <w:left w:w="70" w:type="dxa"/>
              <w:bottom w:w="30" w:type="dxa"/>
              <w:right w:w="70" w:type="dxa"/>
            </w:tcMar>
            <w:vAlign w:val="center"/>
          </w:tcPr>
          <w:p w14:paraId="60A8407C" w14:textId="77777777" w:rsidR="004C4E8C" w:rsidRPr="006E1110" w:rsidRDefault="004C4E8C" w:rsidP="006E1110">
            <w:pPr>
              <w:spacing w:line="230" w:lineRule="auto"/>
              <w:jc w:val="center"/>
              <w:rPr>
                <w:rFonts w:ascii="Arial Narrow" w:hAnsi="Arial Narrow"/>
              </w:rPr>
            </w:pPr>
            <w:r w:rsidRPr="006E1110">
              <w:rPr>
                <w:rFonts w:ascii="Arial Narrow" w:eastAsia="Arial Narrow" w:hAnsi="Arial Narrow" w:cs="Arial Narrow"/>
                <w:b/>
                <w:bCs/>
              </w:rPr>
              <w:t>Tributario</w:t>
            </w: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31BEAE36"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Estatuto Tributario Nacional</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7B2E2D4C"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Retención en la fuente, IVA y demás obligaciones tributarias nacionales del contratista.</w:t>
            </w:r>
          </w:p>
        </w:tc>
      </w:tr>
      <w:tr w:rsidR="004C4E8C" w:rsidRPr="006E1110" w14:paraId="61C48AC3" w14:textId="77777777" w:rsidTr="004C4E8C">
        <w:trPr>
          <w:jc w:val="center"/>
        </w:trPr>
        <w:tc>
          <w:tcPr>
            <w:tcW w:w="0" w:type="auto"/>
            <w:vMerge/>
            <w:tcBorders>
              <w:top w:val="single" w:sz="4" w:space="0" w:color="7F7F7F"/>
              <w:left w:val="single" w:sz="4" w:space="0" w:color="7F7F7F"/>
              <w:bottom w:val="single" w:sz="4" w:space="0" w:color="7F7F7F"/>
              <w:right w:val="single" w:sz="4" w:space="0" w:color="7F7F7F"/>
            </w:tcBorders>
          </w:tcPr>
          <w:p w14:paraId="72F22C35" w14:textId="77777777" w:rsidR="004C4E8C" w:rsidRPr="006E1110" w:rsidRDefault="004C4E8C" w:rsidP="006E1110">
            <w:pPr>
              <w:rPr>
                <w:rFonts w:ascii="Arial Narrow" w:hAnsi="Arial Narrow"/>
              </w:rPr>
            </w:pPr>
          </w:p>
        </w:tc>
        <w:tc>
          <w:tcPr>
            <w:tcW w:w="306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4F96D8B3"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b/>
                <w:bCs/>
                <w:color w:val="000000"/>
              </w:rPr>
              <w:t>Estatuto de Rentas del Municipio de Gachalá</w:t>
            </w:r>
          </w:p>
        </w:tc>
        <w:tc>
          <w:tcPr>
            <w:tcW w:w="4300" w:type="dxa"/>
            <w:tcBorders>
              <w:top w:val="single" w:sz="4" w:space="0" w:color="7F7F7F"/>
              <w:left w:val="single" w:sz="4" w:space="0" w:color="7F7F7F"/>
              <w:bottom w:val="single" w:sz="4" w:space="0" w:color="7F7F7F"/>
              <w:right w:val="single" w:sz="4" w:space="0" w:color="7F7F7F"/>
            </w:tcBorders>
            <w:tcMar>
              <w:top w:w="30" w:type="dxa"/>
              <w:left w:w="70" w:type="dxa"/>
              <w:bottom w:w="30" w:type="dxa"/>
              <w:right w:w="70" w:type="dxa"/>
            </w:tcMar>
            <w:vAlign w:val="center"/>
          </w:tcPr>
          <w:p w14:paraId="69043726" w14:textId="77777777" w:rsidR="004C4E8C" w:rsidRPr="006E1110" w:rsidRDefault="004C4E8C" w:rsidP="006E1110">
            <w:pPr>
              <w:spacing w:line="230" w:lineRule="auto"/>
              <w:rPr>
                <w:rFonts w:ascii="Arial Narrow" w:hAnsi="Arial Narrow"/>
              </w:rPr>
            </w:pPr>
            <w:r w:rsidRPr="006E1110">
              <w:rPr>
                <w:rFonts w:ascii="Arial Narrow" w:eastAsia="Arial Narrow" w:hAnsi="Arial Narrow" w:cs="Arial Narrow"/>
                <w:color w:val="000000"/>
              </w:rPr>
              <w:t>Estampillas, ICA, tasas y contribuciones municipales aplicables a los contratos de obra pública.</w:t>
            </w:r>
          </w:p>
        </w:tc>
      </w:tr>
    </w:tbl>
    <w:p w14:paraId="4C0C5280" w14:textId="77777777" w:rsidR="004C4E8C" w:rsidRPr="006E1110" w:rsidRDefault="004C4E8C" w:rsidP="006E1110">
      <w:pPr>
        <w:spacing w:after="60" w:line="264" w:lineRule="auto"/>
        <w:jc w:val="both"/>
        <w:rPr>
          <w:rFonts w:ascii="Arial Narrow" w:hAnsi="Arial Narrow"/>
        </w:rPr>
      </w:pPr>
    </w:p>
    <w:p w14:paraId="0FC5D56A" w14:textId="77777777" w:rsidR="004C4E8C" w:rsidRPr="006E1110" w:rsidRDefault="004C4E8C" w:rsidP="006E1110">
      <w:pPr>
        <w:spacing w:after="80" w:line="264" w:lineRule="auto"/>
        <w:rPr>
          <w:rFonts w:ascii="Arial Narrow" w:hAnsi="Arial Narrow"/>
        </w:rPr>
      </w:pPr>
      <w:r w:rsidRPr="006E1110">
        <w:rPr>
          <w:rFonts w:ascii="Arial Narrow" w:eastAsia="Arial Narrow" w:hAnsi="Arial Narrow" w:cs="Arial Narrow"/>
          <w:b/>
          <w:bCs/>
          <w:color w:val="000000"/>
        </w:rPr>
        <w:t>Autoridades regulatorias y de vigilancia</w:t>
      </w:r>
    </w:p>
    <w:p w14:paraId="3398FFFA" w14:textId="77777777" w:rsidR="004C4E8C" w:rsidRPr="006E1110" w:rsidRDefault="004C4E8C" w:rsidP="006E1110">
      <w:pPr>
        <w:spacing w:after="120" w:line="264" w:lineRule="auto"/>
        <w:jc w:val="both"/>
        <w:rPr>
          <w:rFonts w:ascii="Arial Narrow" w:hAnsi="Arial Narrow"/>
        </w:rPr>
      </w:pPr>
      <w:r w:rsidRPr="006E1110">
        <w:rPr>
          <w:rFonts w:ascii="Arial Narrow" w:eastAsia="Arial Narrow" w:hAnsi="Arial Narrow" w:cs="Arial Narrow"/>
          <w:color w:val="000000"/>
        </w:rPr>
        <w:t>En el sector confluyen las siguientes autoridades con competencias de regulación, inspección, vigilancia y control relacionadas con el objeto del presente proceso: la Agencia Nacional de Contratación Pública – Colombia Compra Eficiente (rectora del sistema de compra pública y de los documentos tipo); la Superintendencia de Servicios Públicos Domiciliarios – SSPD (vigilancia y control de los prestadores); la Comisión de Regulación de Agua Potable y Saneamiento Básico – CRA; la autoridad sanitaria departamental (Secretaría de Salud de Cundinamarca) y el Instituto Nacional de Salud – INS, en lo relacionado con la vigilancia de la calidad del agua y los puntos concertados de muestreo; la Corporación Autónoma Regional del Guavio – CORPOGUAVIO, como autoridad ambiental; y los organismos de control fiscal y disciplinario, en particular la Contraloría de Cundinamarca.</w:t>
      </w:r>
    </w:p>
    <w:p w14:paraId="50FC8F4C" w14:textId="370E7A2B" w:rsidR="00366102" w:rsidRPr="006E1110" w:rsidRDefault="004C4E8C" w:rsidP="006E1110">
      <w:pPr>
        <w:spacing w:after="0" w:line="264" w:lineRule="auto"/>
        <w:jc w:val="both"/>
        <w:rPr>
          <w:rFonts w:ascii="Arial Narrow" w:hAnsi="Arial Narrow"/>
        </w:rPr>
      </w:pPr>
      <w:r w:rsidRPr="006E1110">
        <w:rPr>
          <w:rFonts w:ascii="Arial Narrow" w:eastAsia="Arial Narrow" w:hAnsi="Arial Narrow" w:cs="Arial Narrow"/>
          <w:color w:val="000000"/>
        </w:rPr>
        <w:t>El cumplimiento de la regulación descrita será verificado por la supervisión del contrato durante la ejecución de la obra, y su observancia constituye una obligación del contratista seleccionado.</w:t>
      </w:r>
    </w:p>
    <w:p w14:paraId="3EDAC7BB" w14:textId="77777777" w:rsidR="004C4E8C" w:rsidRPr="006E1110" w:rsidRDefault="004C4E8C" w:rsidP="006E1110">
      <w:pPr>
        <w:spacing w:after="0" w:line="264" w:lineRule="auto"/>
        <w:jc w:val="both"/>
        <w:rPr>
          <w:rFonts w:ascii="Arial Narrow" w:hAnsi="Arial Narrow"/>
        </w:rPr>
      </w:pPr>
    </w:p>
    <w:p w14:paraId="5C6AD473" w14:textId="77777777" w:rsidR="005130D4" w:rsidRDefault="00993207" w:rsidP="006E1110">
      <w:pPr>
        <w:spacing w:after="0" w:line="240" w:lineRule="auto"/>
        <w:jc w:val="both"/>
        <w:rPr>
          <w:rFonts w:ascii="Arial Narrow" w:hAnsi="Arial Narrow"/>
          <w:b/>
          <w:bCs/>
        </w:rPr>
      </w:pPr>
      <w:r w:rsidRPr="006E1110">
        <w:rPr>
          <w:rFonts w:ascii="Arial Narrow" w:hAnsi="Arial Narrow"/>
          <w:b/>
          <w:bCs/>
        </w:rPr>
        <w:lastRenderedPageBreak/>
        <w:t>IDENTIFICACION DE LA DEMANDA</w:t>
      </w:r>
    </w:p>
    <w:p w14:paraId="08D65A14" w14:textId="77777777" w:rsidR="005130D4" w:rsidRDefault="005130D4" w:rsidP="006E1110">
      <w:pPr>
        <w:spacing w:after="0" w:line="240" w:lineRule="auto"/>
        <w:jc w:val="both"/>
        <w:rPr>
          <w:rFonts w:ascii="Arial Narrow" w:hAnsi="Arial Narrow"/>
          <w:b/>
          <w:bCs/>
        </w:rPr>
      </w:pPr>
    </w:p>
    <w:p w14:paraId="31832FAC" w14:textId="23008C9F" w:rsidR="005130D4" w:rsidRDefault="005130D4" w:rsidP="005130D4">
      <w:pPr>
        <w:spacing w:after="0" w:line="240" w:lineRule="auto"/>
        <w:jc w:val="both"/>
        <w:rPr>
          <w:rFonts w:ascii="Arial Narrow" w:hAnsi="Arial Narrow" w:cs="Arial"/>
        </w:rPr>
      </w:pPr>
      <w:r w:rsidRPr="005130D4">
        <w:rPr>
          <w:rFonts w:ascii="Arial Narrow" w:hAnsi="Arial Narrow" w:cs="Arial"/>
        </w:rPr>
        <w:t>Con el propósito de identificar el comportamiento de la demanda de bienes y servicios relacionados con el mantenimiento y mejoramiento de plantas de tratamiento de agua potable (PTAP), se revisaron antecedentes de contratación publicados en el Sistema Electrónico para la Contratación Pública —SECOP—, correspondientes a entidades territoriales que han adelantado procesos con objetos contractuales similares, así como los antecedentes de contratación de la Alcaldía Municipal de Gachalá, Cundinamarca.</w:t>
      </w:r>
    </w:p>
    <w:p w14:paraId="671F7BBD" w14:textId="77777777" w:rsidR="005130D4" w:rsidRPr="005130D4" w:rsidRDefault="005130D4" w:rsidP="005130D4">
      <w:pPr>
        <w:spacing w:after="0" w:line="240" w:lineRule="auto"/>
        <w:jc w:val="both"/>
        <w:rPr>
          <w:rFonts w:ascii="Arial Narrow" w:hAnsi="Arial Narrow" w:cs="Arial"/>
        </w:rPr>
      </w:pPr>
    </w:p>
    <w:p w14:paraId="10C89A27" w14:textId="5760A7C3" w:rsidR="005130D4" w:rsidRDefault="005130D4" w:rsidP="005130D4">
      <w:pPr>
        <w:spacing w:after="0" w:line="240" w:lineRule="auto"/>
        <w:jc w:val="both"/>
        <w:rPr>
          <w:rFonts w:ascii="Arial Narrow" w:hAnsi="Arial Narrow" w:cs="Arial"/>
        </w:rPr>
      </w:pPr>
      <w:r w:rsidRPr="005130D4">
        <w:rPr>
          <w:rFonts w:ascii="Arial Narrow" w:hAnsi="Arial Narrow" w:cs="Arial"/>
        </w:rPr>
        <w:t>De la información recopilada se evidencia que las entidades territoriales han requerido la ejecución de actividades orientadas al mantenimiento preventivo y correctivo, mejoramiento locativo, cambio de lechos filtrantes y suministro e instalación de equipos en las plantas de tratamiento de agua potable. Estas intervenciones responden a la necesidad de conservar la infraestructura en condiciones adecuadas de funcionamiento, optimizar los procesos de potabilización y contribuir a la continuidad y calidad en la prestación del servicio público de acueducto.</w:t>
      </w:r>
    </w:p>
    <w:p w14:paraId="3210C2B3" w14:textId="480A2538" w:rsidR="000F4239" w:rsidRDefault="000F4239" w:rsidP="005130D4">
      <w:pPr>
        <w:spacing w:after="0" w:line="240" w:lineRule="auto"/>
        <w:jc w:val="both"/>
        <w:rPr>
          <w:rFonts w:ascii="Arial Narrow" w:hAnsi="Arial Narrow" w:cs="Arial"/>
        </w:rPr>
      </w:pPr>
    </w:p>
    <w:p w14:paraId="2B5E6A44" w14:textId="2B79AE1B" w:rsidR="000F4239" w:rsidRDefault="000F4239" w:rsidP="000F4239">
      <w:pPr>
        <w:spacing w:after="0" w:line="240" w:lineRule="auto"/>
        <w:jc w:val="both"/>
        <w:rPr>
          <w:rFonts w:ascii="Arial Narrow" w:hAnsi="Arial Narrow" w:cs="Arial"/>
          <w:b/>
          <w:bCs/>
        </w:rPr>
      </w:pPr>
      <w:r w:rsidRPr="000F4239">
        <w:rPr>
          <w:rFonts w:ascii="Arial Narrow" w:hAnsi="Arial Narrow" w:cs="Arial"/>
          <w:b/>
          <w:bCs/>
        </w:rPr>
        <w:t>Análisis de los antecedentes contractuales</w:t>
      </w:r>
    </w:p>
    <w:p w14:paraId="7619181F" w14:textId="77777777" w:rsidR="000F4239" w:rsidRPr="000F4239" w:rsidRDefault="000F4239" w:rsidP="000F4239">
      <w:pPr>
        <w:spacing w:after="0" w:line="240" w:lineRule="auto"/>
        <w:jc w:val="both"/>
        <w:rPr>
          <w:rFonts w:ascii="Arial Narrow" w:hAnsi="Arial Narrow" w:cs="Arial"/>
          <w:b/>
          <w:bCs/>
        </w:rPr>
      </w:pPr>
    </w:p>
    <w:p w14:paraId="601F6E0B" w14:textId="3BBF670E" w:rsidR="000F4239" w:rsidRDefault="000F4239" w:rsidP="000F4239">
      <w:pPr>
        <w:spacing w:after="0" w:line="240" w:lineRule="auto"/>
        <w:jc w:val="both"/>
        <w:rPr>
          <w:rFonts w:ascii="Arial Narrow" w:hAnsi="Arial Narrow" w:cs="Arial"/>
        </w:rPr>
      </w:pPr>
      <w:r w:rsidRPr="000F4239">
        <w:rPr>
          <w:rFonts w:ascii="Arial Narrow" w:hAnsi="Arial Narrow" w:cs="Arial"/>
        </w:rPr>
        <w:t>Los procesos identificados permiten establecer que existe una demanda institucional recurrente de actividades de mantenimiento y mejoramiento de las PTAP, aunque el alcance específico de cada contratación varía según las necesidades técnicas de la infraestructura intervenida.</w:t>
      </w:r>
    </w:p>
    <w:p w14:paraId="38E15F6D" w14:textId="77777777" w:rsidR="000F4239" w:rsidRPr="000F4239" w:rsidRDefault="000F4239" w:rsidP="000F4239">
      <w:pPr>
        <w:spacing w:after="0" w:line="240" w:lineRule="auto"/>
        <w:jc w:val="both"/>
        <w:rPr>
          <w:rFonts w:ascii="Arial Narrow" w:hAnsi="Arial Narrow" w:cs="Arial"/>
        </w:rPr>
      </w:pPr>
    </w:p>
    <w:p w14:paraId="30CD96CE" w14:textId="77777777" w:rsidR="000F4239" w:rsidRPr="000F4239" w:rsidRDefault="000F4239" w:rsidP="000F4239">
      <w:pPr>
        <w:spacing w:after="0" w:line="240" w:lineRule="auto"/>
        <w:jc w:val="both"/>
        <w:rPr>
          <w:rFonts w:ascii="Arial Narrow" w:hAnsi="Arial Narrow" w:cs="Arial"/>
        </w:rPr>
      </w:pPr>
      <w:r w:rsidRPr="000F4239">
        <w:rPr>
          <w:rFonts w:ascii="Arial Narrow" w:hAnsi="Arial Narrow" w:cs="Arial"/>
        </w:rPr>
        <w:t>En los antecedentes de otras entidades territoriales se identificaron los siguientes procesos:</w:t>
      </w:r>
    </w:p>
    <w:p w14:paraId="4842A72A" w14:textId="77777777" w:rsidR="000F4239" w:rsidRPr="005130D4" w:rsidRDefault="000F4239" w:rsidP="005130D4">
      <w:pPr>
        <w:spacing w:after="0" w:line="240" w:lineRule="auto"/>
        <w:jc w:val="both"/>
        <w:rPr>
          <w:rFonts w:ascii="Arial Narrow" w:hAnsi="Arial Narrow" w:cs="Arial"/>
        </w:rPr>
      </w:pPr>
    </w:p>
    <w:p w14:paraId="61CB942B" w14:textId="77777777" w:rsidR="00993207" w:rsidRPr="006E1110" w:rsidRDefault="00993207" w:rsidP="006E1110">
      <w:pPr>
        <w:spacing w:after="0" w:line="240" w:lineRule="auto"/>
        <w:jc w:val="both"/>
        <w:rPr>
          <w:rFonts w:ascii="Arial Narrow" w:hAnsi="Arial Narrow" w:cs="Arial"/>
          <w:lang w:val="es-ES_tradnl"/>
        </w:rPr>
      </w:pPr>
    </w:p>
    <w:tbl>
      <w:tblPr>
        <w:tblStyle w:val="Tablaconcuadrcula"/>
        <w:tblW w:w="8945" w:type="dxa"/>
        <w:jc w:val="center"/>
        <w:tblLayout w:type="fixed"/>
        <w:tblLook w:val="04A0" w:firstRow="1" w:lastRow="0" w:firstColumn="1" w:lastColumn="0" w:noHBand="0" w:noVBand="1"/>
      </w:tblPr>
      <w:tblGrid>
        <w:gridCol w:w="708"/>
        <w:gridCol w:w="1276"/>
        <w:gridCol w:w="3258"/>
        <w:gridCol w:w="1132"/>
        <w:gridCol w:w="1134"/>
        <w:gridCol w:w="1437"/>
      </w:tblGrid>
      <w:tr w:rsidR="006E1110" w:rsidRPr="006E1110" w14:paraId="2E8D0E07" w14:textId="77777777" w:rsidTr="00A75464">
        <w:trPr>
          <w:trHeight w:val="446"/>
          <w:jc w:val="center"/>
        </w:trPr>
        <w:tc>
          <w:tcPr>
            <w:tcW w:w="396" w:type="pct"/>
            <w:vAlign w:val="center"/>
          </w:tcPr>
          <w:p w14:paraId="7E79DFF6" w14:textId="77777777" w:rsidR="006E1110" w:rsidRPr="006E1110" w:rsidRDefault="006E1110" w:rsidP="006E1110">
            <w:pPr>
              <w:pStyle w:val="Sinespaciado"/>
              <w:tabs>
                <w:tab w:val="left" w:pos="0"/>
              </w:tabs>
              <w:jc w:val="center"/>
              <w:rPr>
                <w:rFonts w:ascii="Arial Narrow" w:hAnsi="Arial Narrow"/>
                <w:b/>
                <w:bCs/>
              </w:rPr>
            </w:pPr>
            <w:r w:rsidRPr="006E1110">
              <w:rPr>
                <w:rFonts w:ascii="Arial Narrow" w:hAnsi="Arial Narrow"/>
                <w:b/>
                <w:bCs/>
              </w:rPr>
              <w:t>AÑO</w:t>
            </w:r>
          </w:p>
        </w:tc>
        <w:tc>
          <w:tcPr>
            <w:tcW w:w="713" w:type="pct"/>
            <w:vAlign w:val="center"/>
          </w:tcPr>
          <w:p w14:paraId="2491EB96" w14:textId="77777777" w:rsidR="006E1110" w:rsidRPr="006E1110" w:rsidRDefault="006E1110" w:rsidP="006E1110">
            <w:pPr>
              <w:pStyle w:val="Sinespaciado"/>
              <w:tabs>
                <w:tab w:val="left" w:pos="0"/>
              </w:tabs>
              <w:jc w:val="center"/>
              <w:rPr>
                <w:rFonts w:ascii="Arial Narrow" w:hAnsi="Arial Narrow"/>
                <w:b/>
                <w:bCs/>
              </w:rPr>
            </w:pPr>
            <w:r w:rsidRPr="006E1110">
              <w:rPr>
                <w:rFonts w:ascii="Arial Narrow" w:hAnsi="Arial Narrow"/>
                <w:b/>
                <w:bCs/>
              </w:rPr>
              <w:t>ENTIDAD</w:t>
            </w:r>
          </w:p>
        </w:tc>
        <w:tc>
          <w:tcPr>
            <w:tcW w:w="1821" w:type="pct"/>
            <w:vAlign w:val="center"/>
          </w:tcPr>
          <w:p w14:paraId="0D079FDA" w14:textId="77777777" w:rsidR="006E1110" w:rsidRPr="006E1110" w:rsidRDefault="006E1110" w:rsidP="006E1110">
            <w:pPr>
              <w:pStyle w:val="Sinespaciado"/>
              <w:tabs>
                <w:tab w:val="left" w:pos="0"/>
              </w:tabs>
              <w:jc w:val="center"/>
              <w:rPr>
                <w:rFonts w:ascii="Arial Narrow" w:hAnsi="Arial Narrow"/>
                <w:b/>
                <w:bCs/>
              </w:rPr>
            </w:pPr>
            <w:r w:rsidRPr="006E1110">
              <w:rPr>
                <w:rFonts w:ascii="Arial Narrow" w:hAnsi="Arial Narrow"/>
                <w:b/>
                <w:bCs/>
              </w:rPr>
              <w:t>OBJETO</w:t>
            </w:r>
          </w:p>
        </w:tc>
        <w:tc>
          <w:tcPr>
            <w:tcW w:w="633" w:type="pct"/>
            <w:vAlign w:val="center"/>
          </w:tcPr>
          <w:p w14:paraId="788C372C" w14:textId="77777777" w:rsidR="006E1110" w:rsidRPr="006E1110" w:rsidRDefault="006E1110" w:rsidP="006E1110">
            <w:pPr>
              <w:pStyle w:val="Sinespaciado"/>
              <w:tabs>
                <w:tab w:val="left" w:pos="0"/>
              </w:tabs>
              <w:jc w:val="center"/>
              <w:rPr>
                <w:rFonts w:ascii="Arial Narrow" w:hAnsi="Arial Narrow"/>
                <w:b/>
                <w:bCs/>
              </w:rPr>
            </w:pPr>
            <w:r w:rsidRPr="006E1110">
              <w:rPr>
                <w:rFonts w:ascii="Arial Narrow" w:hAnsi="Arial Narrow"/>
                <w:b/>
                <w:bCs/>
              </w:rPr>
              <w:t>PROCESO</w:t>
            </w:r>
          </w:p>
        </w:tc>
        <w:tc>
          <w:tcPr>
            <w:tcW w:w="634" w:type="pct"/>
            <w:vAlign w:val="center"/>
          </w:tcPr>
          <w:p w14:paraId="362D900A" w14:textId="77777777" w:rsidR="006E1110" w:rsidRPr="006E1110" w:rsidRDefault="006E1110" w:rsidP="006E1110">
            <w:pPr>
              <w:pStyle w:val="Sinespaciado"/>
              <w:tabs>
                <w:tab w:val="left" w:pos="0"/>
              </w:tabs>
              <w:jc w:val="center"/>
              <w:rPr>
                <w:rFonts w:ascii="Arial Narrow" w:hAnsi="Arial Narrow"/>
                <w:b/>
                <w:bCs/>
              </w:rPr>
            </w:pPr>
            <w:r w:rsidRPr="006E1110">
              <w:rPr>
                <w:rFonts w:ascii="Arial Narrow" w:hAnsi="Arial Narrow"/>
                <w:b/>
                <w:bCs/>
              </w:rPr>
              <w:t>PLAZO</w:t>
            </w:r>
          </w:p>
        </w:tc>
        <w:tc>
          <w:tcPr>
            <w:tcW w:w="803" w:type="pct"/>
            <w:vAlign w:val="center"/>
          </w:tcPr>
          <w:p w14:paraId="0CFBAF9F" w14:textId="77777777" w:rsidR="006E1110" w:rsidRPr="006E1110" w:rsidRDefault="006E1110" w:rsidP="006E1110">
            <w:pPr>
              <w:pStyle w:val="Sinespaciado"/>
              <w:tabs>
                <w:tab w:val="left" w:pos="0"/>
              </w:tabs>
              <w:jc w:val="center"/>
              <w:rPr>
                <w:rFonts w:ascii="Arial Narrow" w:hAnsi="Arial Narrow"/>
                <w:b/>
                <w:bCs/>
              </w:rPr>
            </w:pPr>
            <w:r w:rsidRPr="006E1110">
              <w:rPr>
                <w:rFonts w:ascii="Arial Narrow" w:hAnsi="Arial Narrow"/>
                <w:b/>
                <w:bCs/>
              </w:rPr>
              <w:t>VALOR</w:t>
            </w:r>
          </w:p>
        </w:tc>
      </w:tr>
      <w:tr w:rsidR="006E1110" w:rsidRPr="006E1110" w14:paraId="5C62BBAE" w14:textId="77777777" w:rsidTr="00A75464">
        <w:trPr>
          <w:trHeight w:val="293"/>
          <w:jc w:val="center"/>
        </w:trPr>
        <w:tc>
          <w:tcPr>
            <w:tcW w:w="396" w:type="pct"/>
            <w:vAlign w:val="center"/>
          </w:tcPr>
          <w:p w14:paraId="745FDCE9" w14:textId="77777777" w:rsidR="006E1110" w:rsidRPr="006E1110" w:rsidRDefault="006E1110" w:rsidP="006E1110">
            <w:pPr>
              <w:pStyle w:val="Sinespaciado"/>
              <w:tabs>
                <w:tab w:val="left" w:pos="0"/>
              </w:tabs>
              <w:jc w:val="center"/>
              <w:rPr>
                <w:rFonts w:ascii="Arial Narrow" w:hAnsi="Arial Narrow" w:cs="Tahoma"/>
              </w:rPr>
            </w:pPr>
            <w:r w:rsidRPr="006E1110">
              <w:rPr>
                <w:rFonts w:ascii="Arial Narrow" w:hAnsi="Arial Narrow" w:cs="Tahoma"/>
              </w:rPr>
              <w:t>2026</w:t>
            </w:r>
          </w:p>
        </w:tc>
        <w:tc>
          <w:tcPr>
            <w:tcW w:w="713" w:type="pct"/>
            <w:vAlign w:val="center"/>
          </w:tcPr>
          <w:p w14:paraId="1CAAC398" w14:textId="77777777" w:rsidR="006E1110" w:rsidRPr="006E1110" w:rsidRDefault="006E1110" w:rsidP="006E1110">
            <w:pPr>
              <w:pStyle w:val="Sinespaciado"/>
              <w:tabs>
                <w:tab w:val="left" w:pos="0"/>
              </w:tabs>
              <w:jc w:val="center"/>
              <w:rPr>
                <w:rFonts w:ascii="Arial Narrow" w:hAnsi="Arial Narrow" w:cs="Tahoma"/>
              </w:rPr>
            </w:pPr>
            <w:r w:rsidRPr="006E1110">
              <w:rPr>
                <w:rFonts w:ascii="Arial Narrow" w:hAnsi="Arial Narrow" w:cs="Tahoma"/>
              </w:rPr>
              <w:t>ALCALDÍA DE ALBÁN</w:t>
            </w:r>
          </w:p>
        </w:tc>
        <w:tc>
          <w:tcPr>
            <w:tcW w:w="1821" w:type="pct"/>
            <w:vAlign w:val="center"/>
          </w:tcPr>
          <w:p w14:paraId="5E1E55E4" w14:textId="77777777" w:rsidR="006E1110" w:rsidRPr="006E1110" w:rsidRDefault="006E1110" w:rsidP="006E1110">
            <w:pPr>
              <w:pStyle w:val="Sinespaciado"/>
              <w:tabs>
                <w:tab w:val="left" w:pos="0"/>
              </w:tabs>
              <w:jc w:val="both"/>
              <w:rPr>
                <w:rFonts w:ascii="Arial Narrow" w:hAnsi="Arial Narrow" w:cs="Tahoma"/>
              </w:rPr>
            </w:pPr>
            <w:r w:rsidRPr="006E1110">
              <w:rPr>
                <w:rFonts w:ascii="Arial Narrow" w:hAnsi="Arial Narrow" w:cs="Tahoma"/>
              </w:rPr>
              <w:t>REALIZAR EL MANTENIMIENTO PREVENTIVO Y CORRECTIVO DE LA PLANTA DE TRATAMIENTO DE AGUA POTABLE DEL MUNICIPIO DE ALBAN, CUNDINAMARCA, CON EL FIN DE GARANTIZAR LA CONTINUIDAD, EFICIENCIA OPERATIVA Y CALIDAD DEL SERVICIO, MEDIANTE LA OPTIMIZACION DE LOS PROCESOS DE POTABILIZACION.</w:t>
            </w:r>
          </w:p>
        </w:tc>
        <w:tc>
          <w:tcPr>
            <w:tcW w:w="633" w:type="pct"/>
            <w:vAlign w:val="center"/>
          </w:tcPr>
          <w:p w14:paraId="4CD1E418" w14:textId="77777777" w:rsidR="006E1110" w:rsidRPr="006E1110" w:rsidRDefault="006E1110" w:rsidP="006E1110">
            <w:pPr>
              <w:pStyle w:val="Sinespaciado"/>
              <w:tabs>
                <w:tab w:val="left" w:pos="0"/>
              </w:tabs>
              <w:jc w:val="center"/>
              <w:rPr>
                <w:rFonts w:ascii="Arial Narrow" w:hAnsi="Arial Narrow" w:cs="Tahoma"/>
              </w:rPr>
            </w:pPr>
            <w:r w:rsidRPr="006E1110">
              <w:rPr>
                <w:rFonts w:ascii="Arial Narrow" w:hAnsi="Arial Narrow" w:cs="Tahoma"/>
              </w:rPr>
              <w:t>096-2026</w:t>
            </w:r>
          </w:p>
        </w:tc>
        <w:tc>
          <w:tcPr>
            <w:tcW w:w="634" w:type="pct"/>
            <w:vAlign w:val="center"/>
          </w:tcPr>
          <w:p w14:paraId="2B284583" w14:textId="77777777" w:rsidR="006E1110" w:rsidRPr="006E1110" w:rsidRDefault="006E1110" w:rsidP="006E1110">
            <w:pPr>
              <w:pStyle w:val="Sinespaciado"/>
              <w:tabs>
                <w:tab w:val="left" w:pos="0"/>
              </w:tabs>
              <w:jc w:val="center"/>
              <w:rPr>
                <w:rFonts w:ascii="Arial Narrow" w:eastAsia="Times New Roman" w:hAnsi="Arial Narrow"/>
              </w:rPr>
            </w:pPr>
            <w:r w:rsidRPr="006E1110">
              <w:rPr>
                <w:rFonts w:ascii="Arial Narrow" w:eastAsia="Times New Roman" w:hAnsi="Arial Narrow"/>
              </w:rPr>
              <w:t>14 DÍAS</w:t>
            </w:r>
          </w:p>
        </w:tc>
        <w:tc>
          <w:tcPr>
            <w:tcW w:w="803" w:type="pct"/>
            <w:vAlign w:val="center"/>
          </w:tcPr>
          <w:p w14:paraId="42FF6F6F" w14:textId="77777777" w:rsidR="006E1110" w:rsidRPr="006E1110" w:rsidRDefault="006E1110" w:rsidP="006E1110">
            <w:pPr>
              <w:pStyle w:val="Sinespaciado"/>
              <w:tabs>
                <w:tab w:val="left" w:pos="0"/>
              </w:tabs>
              <w:jc w:val="center"/>
              <w:rPr>
                <w:rFonts w:ascii="Arial Narrow" w:hAnsi="Arial Narrow" w:cs="Tahoma"/>
              </w:rPr>
            </w:pPr>
            <w:r w:rsidRPr="006E1110">
              <w:rPr>
                <w:rFonts w:ascii="Arial Narrow" w:hAnsi="Arial Narrow" w:cs="Tahoma"/>
              </w:rPr>
              <w:t>$ 41.865.200</w:t>
            </w:r>
          </w:p>
        </w:tc>
      </w:tr>
      <w:tr w:rsidR="006E1110" w:rsidRPr="006E1110" w14:paraId="20C7EE30" w14:textId="77777777" w:rsidTr="00A75464">
        <w:trPr>
          <w:trHeight w:val="64"/>
          <w:jc w:val="center"/>
        </w:trPr>
        <w:tc>
          <w:tcPr>
            <w:tcW w:w="396" w:type="pct"/>
            <w:vAlign w:val="center"/>
          </w:tcPr>
          <w:p w14:paraId="52C6F18E" w14:textId="77777777" w:rsidR="006E1110" w:rsidRPr="006E1110" w:rsidRDefault="006E1110" w:rsidP="006E1110">
            <w:pPr>
              <w:pStyle w:val="Sinespaciado"/>
              <w:tabs>
                <w:tab w:val="left" w:pos="0"/>
              </w:tabs>
              <w:jc w:val="center"/>
              <w:rPr>
                <w:rFonts w:ascii="Arial Narrow" w:hAnsi="Arial Narrow" w:cs="Tahoma"/>
              </w:rPr>
            </w:pPr>
            <w:r w:rsidRPr="006E1110">
              <w:rPr>
                <w:rFonts w:ascii="Arial Narrow" w:hAnsi="Arial Narrow" w:cs="Tahoma"/>
              </w:rPr>
              <w:t>2024</w:t>
            </w:r>
          </w:p>
        </w:tc>
        <w:tc>
          <w:tcPr>
            <w:tcW w:w="713" w:type="pct"/>
            <w:vAlign w:val="center"/>
          </w:tcPr>
          <w:p w14:paraId="352DAB47" w14:textId="77777777" w:rsidR="006E1110" w:rsidRPr="006E1110" w:rsidRDefault="006E1110" w:rsidP="006E1110">
            <w:pPr>
              <w:pStyle w:val="Sinespaciado"/>
              <w:tabs>
                <w:tab w:val="left" w:pos="0"/>
              </w:tabs>
              <w:jc w:val="center"/>
              <w:rPr>
                <w:rFonts w:ascii="Arial Narrow" w:hAnsi="Arial Narrow" w:cs="Tahoma"/>
              </w:rPr>
            </w:pPr>
            <w:r w:rsidRPr="006E1110">
              <w:rPr>
                <w:rFonts w:ascii="Arial Narrow" w:hAnsi="Arial Narrow" w:cs="Tahoma"/>
              </w:rPr>
              <w:t>ALCALDÍA DE BOJACÁ</w:t>
            </w:r>
          </w:p>
        </w:tc>
        <w:tc>
          <w:tcPr>
            <w:tcW w:w="1821" w:type="pct"/>
            <w:vAlign w:val="center"/>
          </w:tcPr>
          <w:p w14:paraId="3410A2B4" w14:textId="77777777" w:rsidR="006E1110" w:rsidRPr="006E1110" w:rsidRDefault="006E1110" w:rsidP="006E1110">
            <w:pPr>
              <w:jc w:val="both"/>
              <w:rPr>
                <w:rFonts w:ascii="Arial Narrow" w:eastAsiaTheme="minorEastAsia" w:hAnsi="Arial Narrow" w:cs="Tahoma"/>
              </w:rPr>
            </w:pPr>
            <w:r w:rsidRPr="006E1110">
              <w:rPr>
                <w:rFonts w:ascii="Arial Narrow" w:eastAsiaTheme="minorEastAsia" w:hAnsi="Arial Narrow" w:cs="Tahoma"/>
              </w:rPr>
              <w:t>CAMBIO DE LECHOS FILTRANTES EN LA PLANTA DE TRATAMIENTO DE AGUA POTABLE ACUEDUCTO VEREDA SANTA BARBARA CAMBIO PARCIAL DE LECHOS Y SUMINISTRO E INSTALACION DE GASIFICADORA EN PTAP URBANA DEL MUNICIPIO DE BOJACA</w:t>
            </w:r>
          </w:p>
          <w:p w14:paraId="7D3E9A0B" w14:textId="77777777" w:rsidR="006E1110" w:rsidRPr="006E1110" w:rsidRDefault="006E1110" w:rsidP="006E1110">
            <w:pPr>
              <w:pStyle w:val="Sinespaciado"/>
              <w:tabs>
                <w:tab w:val="left" w:pos="0"/>
              </w:tabs>
              <w:jc w:val="center"/>
              <w:rPr>
                <w:rFonts w:ascii="Arial Narrow" w:hAnsi="Arial Narrow" w:cs="Tahoma"/>
              </w:rPr>
            </w:pPr>
          </w:p>
        </w:tc>
        <w:tc>
          <w:tcPr>
            <w:tcW w:w="633" w:type="pct"/>
            <w:vAlign w:val="center"/>
          </w:tcPr>
          <w:p w14:paraId="65A8A336" w14:textId="77777777" w:rsidR="006E1110" w:rsidRPr="006E1110" w:rsidRDefault="006E1110" w:rsidP="006E1110">
            <w:pPr>
              <w:pStyle w:val="Sinespaciado"/>
              <w:tabs>
                <w:tab w:val="left" w:pos="0"/>
              </w:tabs>
              <w:jc w:val="center"/>
              <w:rPr>
                <w:rFonts w:ascii="Arial Narrow" w:hAnsi="Arial Narrow" w:cs="Tahoma"/>
              </w:rPr>
            </w:pPr>
            <w:r w:rsidRPr="006E1110">
              <w:rPr>
                <w:rFonts w:ascii="Arial Narrow" w:hAnsi="Arial Narrow" w:cs="Tahoma"/>
              </w:rPr>
              <w:t>356-2024</w:t>
            </w:r>
          </w:p>
        </w:tc>
        <w:tc>
          <w:tcPr>
            <w:tcW w:w="634" w:type="pct"/>
            <w:vAlign w:val="center"/>
          </w:tcPr>
          <w:p w14:paraId="118A3B57" w14:textId="77777777" w:rsidR="006E1110" w:rsidRPr="006E1110" w:rsidRDefault="006E1110" w:rsidP="006E1110">
            <w:pPr>
              <w:pStyle w:val="Sinespaciado"/>
              <w:tabs>
                <w:tab w:val="left" w:pos="0"/>
              </w:tabs>
              <w:jc w:val="center"/>
              <w:rPr>
                <w:rFonts w:ascii="Arial Narrow" w:hAnsi="Arial Narrow" w:cs="Tahoma"/>
              </w:rPr>
            </w:pPr>
            <w:r w:rsidRPr="006E1110">
              <w:rPr>
                <w:rFonts w:ascii="Arial Narrow" w:hAnsi="Arial Narrow" w:cs="Tahoma"/>
              </w:rPr>
              <w:t>2 DÍAS</w:t>
            </w:r>
          </w:p>
        </w:tc>
        <w:tc>
          <w:tcPr>
            <w:tcW w:w="803" w:type="pct"/>
            <w:vAlign w:val="center"/>
          </w:tcPr>
          <w:p w14:paraId="7F134195" w14:textId="77777777" w:rsidR="006E1110" w:rsidRPr="006E1110" w:rsidRDefault="006E1110" w:rsidP="006E1110">
            <w:pPr>
              <w:pStyle w:val="Sinespaciado"/>
              <w:tabs>
                <w:tab w:val="left" w:pos="0"/>
              </w:tabs>
              <w:jc w:val="center"/>
              <w:rPr>
                <w:rFonts w:ascii="Arial Narrow" w:hAnsi="Arial Narrow" w:cs="Tahoma"/>
              </w:rPr>
            </w:pPr>
            <w:r w:rsidRPr="006E1110">
              <w:rPr>
                <w:rFonts w:ascii="Arial Narrow" w:hAnsi="Arial Narrow" w:cs="Tahoma"/>
              </w:rPr>
              <w:t>$ 30.180.300</w:t>
            </w:r>
          </w:p>
        </w:tc>
      </w:tr>
    </w:tbl>
    <w:p w14:paraId="1C67F97F" w14:textId="77777777" w:rsidR="00BC3337" w:rsidRPr="006E1110" w:rsidRDefault="00BC3337" w:rsidP="006E1110">
      <w:pPr>
        <w:spacing w:after="0" w:line="240" w:lineRule="auto"/>
        <w:jc w:val="both"/>
        <w:rPr>
          <w:rFonts w:ascii="Arial Narrow" w:hAnsi="Arial Narrow" w:cs="Arial"/>
          <w:lang w:val="es-ES_tradnl"/>
        </w:rPr>
      </w:pPr>
    </w:p>
    <w:p w14:paraId="4804CB97" w14:textId="002A4B4D" w:rsidR="006A0DB4" w:rsidRPr="006E1110" w:rsidRDefault="000F4239" w:rsidP="006E1110">
      <w:pPr>
        <w:spacing w:after="0" w:line="240" w:lineRule="auto"/>
        <w:jc w:val="both"/>
        <w:rPr>
          <w:rFonts w:ascii="Arial Narrow" w:hAnsi="Arial Narrow" w:cs="Arial"/>
          <w:lang w:val="es-ES_tradnl"/>
        </w:rPr>
      </w:pPr>
      <w:r w:rsidRPr="000F4239">
        <w:rPr>
          <w:rFonts w:ascii="Arial Narrow" w:hAnsi="Arial Narrow" w:cs="Arial"/>
        </w:rPr>
        <w:t>Por su parte, los antecedentes de contratación de la Alcaldía Municipal de Gachalá muestran la continuidad de esta necesidad durante las vigencias 2024 y 2025:</w:t>
      </w:r>
    </w:p>
    <w:tbl>
      <w:tblPr>
        <w:tblStyle w:val="Tablaconcuadrcula"/>
        <w:tblW w:w="10343" w:type="dxa"/>
        <w:jc w:val="center"/>
        <w:tblLayout w:type="fixed"/>
        <w:tblLook w:val="04A0" w:firstRow="1" w:lastRow="0" w:firstColumn="1" w:lastColumn="0" w:noHBand="0" w:noVBand="1"/>
      </w:tblPr>
      <w:tblGrid>
        <w:gridCol w:w="648"/>
        <w:gridCol w:w="1335"/>
        <w:gridCol w:w="3261"/>
        <w:gridCol w:w="1150"/>
        <w:gridCol w:w="1115"/>
        <w:gridCol w:w="1125"/>
        <w:gridCol w:w="1709"/>
      </w:tblGrid>
      <w:tr w:rsidR="005130D4" w:rsidRPr="006E1110" w14:paraId="0A4E07E8" w14:textId="2886B9C4" w:rsidTr="000F4239">
        <w:trPr>
          <w:trHeight w:val="366"/>
          <w:jc w:val="center"/>
        </w:trPr>
        <w:tc>
          <w:tcPr>
            <w:tcW w:w="313" w:type="pct"/>
            <w:vAlign w:val="center"/>
          </w:tcPr>
          <w:p w14:paraId="012E5C69" w14:textId="77777777" w:rsidR="005130D4" w:rsidRPr="006E1110" w:rsidRDefault="005130D4" w:rsidP="006E1110">
            <w:pPr>
              <w:pStyle w:val="Sinespaciado"/>
              <w:tabs>
                <w:tab w:val="left" w:pos="0"/>
              </w:tabs>
              <w:spacing w:after="160"/>
              <w:jc w:val="center"/>
              <w:rPr>
                <w:rFonts w:ascii="Arial Narrow" w:hAnsi="Arial Narrow"/>
                <w:b/>
                <w:bCs/>
              </w:rPr>
            </w:pPr>
            <w:r w:rsidRPr="006E1110">
              <w:rPr>
                <w:rFonts w:ascii="Arial Narrow" w:hAnsi="Arial Narrow"/>
                <w:b/>
                <w:bCs/>
              </w:rPr>
              <w:lastRenderedPageBreak/>
              <w:t>AÑO</w:t>
            </w:r>
          </w:p>
        </w:tc>
        <w:tc>
          <w:tcPr>
            <w:tcW w:w="645" w:type="pct"/>
            <w:vAlign w:val="center"/>
          </w:tcPr>
          <w:p w14:paraId="6A9BE3B6" w14:textId="77777777" w:rsidR="005130D4" w:rsidRPr="006E1110" w:rsidRDefault="005130D4" w:rsidP="006E1110">
            <w:pPr>
              <w:pStyle w:val="Sinespaciado"/>
              <w:tabs>
                <w:tab w:val="left" w:pos="0"/>
              </w:tabs>
              <w:spacing w:after="160"/>
              <w:jc w:val="center"/>
              <w:rPr>
                <w:rFonts w:ascii="Arial Narrow" w:hAnsi="Arial Narrow"/>
                <w:b/>
                <w:bCs/>
              </w:rPr>
            </w:pPr>
            <w:r w:rsidRPr="006E1110">
              <w:rPr>
                <w:rFonts w:ascii="Arial Narrow" w:hAnsi="Arial Narrow"/>
                <w:b/>
                <w:bCs/>
              </w:rPr>
              <w:t>ENTIDAD</w:t>
            </w:r>
          </w:p>
        </w:tc>
        <w:tc>
          <w:tcPr>
            <w:tcW w:w="1576" w:type="pct"/>
            <w:vAlign w:val="center"/>
          </w:tcPr>
          <w:p w14:paraId="797BA677" w14:textId="77777777" w:rsidR="005130D4" w:rsidRPr="006E1110" w:rsidRDefault="005130D4" w:rsidP="006E1110">
            <w:pPr>
              <w:pStyle w:val="Sinespaciado"/>
              <w:tabs>
                <w:tab w:val="left" w:pos="0"/>
              </w:tabs>
              <w:spacing w:after="160"/>
              <w:jc w:val="center"/>
              <w:rPr>
                <w:rFonts w:ascii="Arial Narrow" w:hAnsi="Arial Narrow"/>
                <w:b/>
                <w:bCs/>
              </w:rPr>
            </w:pPr>
            <w:r w:rsidRPr="006E1110">
              <w:rPr>
                <w:rFonts w:ascii="Arial Narrow" w:hAnsi="Arial Narrow"/>
                <w:b/>
                <w:bCs/>
              </w:rPr>
              <w:t>OBJETO</w:t>
            </w:r>
          </w:p>
        </w:tc>
        <w:tc>
          <w:tcPr>
            <w:tcW w:w="556" w:type="pct"/>
            <w:vAlign w:val="center"/>
          </w:tcPr>
          <w:p w14:paraId="17AE175F" w14:textId="77777777" w:rsidR="005130D4" w:rsidRPr="006E1110" w:rsidRDefault="005130D4" w:rsidP="006E1110">
            <w:pPr>
              <w:pStyle w:val="Sinespaciado"/>
              <w:tabs>
                <w:tab w:val="left" w:pos="0"/>
              </w:tabs>
              <w:spacing w:after="160"/>
              <w:jc w:val="center"/>
              <w:rPr>
                <w:rFonts w:ascii="Arial Narrow" w:hAnsi="Arial Narrow"/>
                <w:b/>
                <w:bCs/>
              </w:rPr>
            </w:pPr>
            <w:r w:rsidRPr="006E1110">
              <w:rPr>
                <w:rFonts w:ascii="Arial Narrow" w:hAnsi="Arial Narrow"/>
                <w:b/>
                <w:bCs/>
              </w:rPr>
              <w:t>PROCESO</w:t>
            </w:r>
          </w:p>
        </w:tc>
        <w:tc>
          <w:tcPr>
            <w:tcW w:w="539" w:type="pct"/>
            <w:vAlign w:val="center"/>
          </w:tcPr>
          <w:p w14:paraId="0CC35FF9" w14:textId="77777777" w:rsidR="005130D4" w:rsidRPr="006E1110" w:rsidRDefault="005130D4" w:rsidP="006E1110">
            <w:pPr>
              <w:pStyle w:val="Sinespaciado"/>
              <w:tabs>
                <w:tab w:val="left" w:pos="0"/>
              </w:tabs>
              <w:spacing w:after="160"/>
              <w:jc w:val="center"/>
              <w:rPr>
                <w:rFonts w:ascii="Arial Narrow" w:hAnsi="Arial Narrow"/>
                <w:b/>
                <w:bCs/>
              </w:rPr>
            </w:pPr>
            <w:r w:rsidRPr="006E1110">
              <w:rPr>
                <w:rFonts w:ascii="Arial Narrow" w:hAnsi="Arial Narrow"/>
                <w:b/>
                <w:bCs/>
              </w:rPr>
              <w:t>PLAZO</w:t>
            </w:r>
          </w:p>
        </w:tc>
        <w:tc>
          <w:tcPr>
            <w:tcW w:w="544" w:type="pct"/>
            <w:vAlign w:val="center"/>
          </w:tcPr>
          <w:p w14:paraId="3E45795F" w14:textId="77777777" w:rsidR="005130D4" w:rsidRPr="006E1110" w:rsidRDefault="005130D4" w:rsidP="006E1110">
            <w:pPr>
              <w:pStyle w:val="Sinespaciado"/>
              <w:tabs>
                <w:tab w:val="left" w:pos="0"/>
              </w:tabs>
              <w:spacing w:after="160"/>
              <w:jc w:val="center"/>
              <w:rPr>
                <w:rFonts w:ascii="Arial Narrow" w:hAnsi="Arial Narrow"/>
                <w:b/>
                <w:bCs/>
              </w:rPr>
            </w:pPr>
            <w:r w:rsidRPr="006E1110">
              <w:rPr>
                <w:rFonts w:ascii="Arial Narrow" w:hAnsi="Arial Narrow"/>
                <w:b/>
                <w:bCs/>
              </w:rPr>
              <w:t>VALOR</w:t>
            </w:r>
          </w:p>
        </w:tc>
        <w:tc>
          <w:tcPr>
            <w:tcW w:w="826" w:type="pct"/>
          </w:tcPr>
          <w:p w14:paraId="53915910" w14:textId="31B5FA4E" w:rsidR="005130D4" w:rsidRPr="006E1110" w:rsidRDefault="005130D4" w:rsidP="006E1110">
            <w:pPr>
              <w:pStyle w:val="Sinespaciado"/>
              <w:tabs>
                <w:tab w:val="left" w:pos="0"/>
              </w:tabs>
              <w:spacing w:after="160"/>
              <w:jc w:val="center"/>
              <w:rPr>
                <w:rFonts w:ascii="Arial Narrow" w:hAnsi="Arial Narrow"/>
                <w:b/>
                <w:bCs/>
              </w:rPr>
            </w:pPr>
            <w:r>
              <w:rPr>
                <w:rFonts w:ascii="Arial Narrow" w:hAnsi="Arial Narrow"/>
                <w:b/>
                <w:bCs/>
              </w:rPr>
              <w:t>CONDICIÓN DEL CONTRATISTA</w:t>
            </w:r>
          </w:p>
        </w:tc>
      </w:tr>
      <w:tr w:rsidR="005130D4" w:rsidRPr="006E1110" w14:paraId="5A3A60C9" w14:textId="0A1291E2" w:rsidTr="000F4239">
        <w:trPr>
          <w:trHeight w:val="721"/>
          <w:jc w:val="center"/>
        </w:trPr>
        <w:tc>
          <w:tcPr>
            <w:tcW w:w="313" w:type="pct"/>
          </w:tcPr>
          <w:p w14:paraId="6E921350" w14:textId="77777777" w:rsidR="005130D4" w:rsidRPr="006E1110" w:rsidRDefault="005130D4" w:rsidP="006E1110">
            <w:pPr>
              <w:pStyle w:val="Sinespaciado"/>
              <w:tabs>
                <w:tab w:val="left" w:pos="0"/>
              </w:tabs>
              <w:spacing w:after="160"/>
              <w:jc w:val="center"/>
              <w:rPr>
                <w:rFonts w:ascii="Arial Narrow" w:hAnsi="Arial Narrow" w:cs="Tahoma"/>
              </w:rPr>
            </w:pPr>
            <w:r w:rsidRPr="006E1110">
              <w:rPr>
                <w:rFonts w:ascii="Arial Narrow" w:hAnsi="Arial Narrow" w:cs="Tahoma"/>
              </w:rPr>
              <w:t>2025</w:t>
            </w:r>
          </w:p>
        </w:tc>
        <w:tc>
          <w:tcPr>
            <w:tcW w:w="645" w:type="pct"/>
          </w:tcPr>
          <w:p w14:paraId="74FBE191" w14:textId="77777777" w:rsidR="005130D4" w:rsidRPr="006E1110" w:rsidRDefault="005130D4" w:rsidP="006E1110">
            <w:pPr>
              <w:pStyle w:val="Sinespaciado"/>
              <w:tabs>
                <w:tab w:val="left" w:pos="0"/>
              </w:tabs>
              <w:spacing w:after="160"/>
              <w:jc w:val="center"/>
              <w:rPr>
                <w:rFonts w:ascii="Arial Narrow" w:hAnsi="Arial Narrow" w:cs="Tahoma"/>
              </w:rPr>
            </w:pPr>
            <w:r w:rsidRPr="006E1110">
              <w:rPr>
                <w:rFonts w:ascii="Arial Narrow" w:hAnsi="Arial Narrow" w:cs="Tahoma"/>
              </w:rPr>
              <w:t>ALCALDÍA DE GACHALÁ</w:t>
            </w:r>
          </w:p>
        </w:tc>
        <w:tc>
          <w:tcPr>
            <w:tcW w:w="1576" w:type="pct"/>
          </w:tcPr>
          <w:p w14:paraId="7E095B1A" w14:textId="77777777" w:rsidR="005130D4" w:rsidRPr="006E1110" w:rsidRDefault="005130D4" w:rsidP="006E1110">
            <w:pPr>
              <w:pStyle w:val="Sinespaciado"/>
              <w:tabs>
                <w:tab w:val="left" w:pos="0"/>
              </w:tabs>
              <w:spacing w:after="160"/>
              <w:jc w:val="both"/>
              <w:rPr>
                <w:rFonts w:ascii="Arial Narrow" w:hAnsi="Arial Narrow" w:cs="Tahoma"/>
              </w:rPr>
            </w:pPr>
            <w:r w:rsidRPr="006E1110">
              <w:rPr>
                <w:rFonts w:ascii="Arial Narrow" w:hAnsi="Arial Narrow" w:cs="Tahoma"/>
              </w:rPr>
              <w:t>MEJORAMIENTO Y MANTENIMIENTO LOCATIVO DE LAS INSTALACIONES DE LA PLANTA DE TRATAMIENTO EN AGUA POTABLE PTAP PARA EL CORRECTO FUNCIONAMIENTO EN EL MUNICIPIO DE GACHALA</w:t>
            </w:r>
          </w:p>
        </w:tc>
        <w:tc>
          <w:tcPr>
            <w:tcW w:w="556" w:type="pct"/>
          </w:tcPr>
          <w:p w14:paraId="47F8F625" w14:textId="77777777" w:rsidR="005130D4" w:rsidRPr="006E1110" w:rsidRDefault="005130D4" w:rsidP="006E1110">
            <w:pPr>
              <w:pStyle w:val="Sinespaciado"/>
              <w:tabs>
                <w:tab w:val="left" w:pos="0"/>
              </w:tabs>
              <w:spacing w:after="160"/>
              <w:jc w:val="center"/>
              <w:rPr>
                <w:rFonts w:ascii="Arial Narrow" w:hAnsi="Arial Narrow" w:cs="Tahoma"/>
              </w:rPr>
            </w:pPr>
            <w:r w:rsidRPr="006E1110">
              <w:rPr>
                <w:rFonts w:ascii="Arial Narrow" w:hAnsi="Arial Narrow" w:cs="Tahoma"/>
              </w:rPr>
              <w:t>OP-020-2025</w:t>
            </w:r>
          </w:p>
        </w:tc>
        <w:tc>
          <w:tcPr>
            <w:tcW w:w="539" w:type="pct"/>
          </w:tcPr>
          <w:p w14:paraId="3507D377" w14:textId="77777777" w:rsidR="005130D4" w:rsidRPr="006E1110" w:rsidRDefault="005130D4" w:rsidP="006E1110">
            <w:pPr>
              <w:pStyle w:val="Sinespaciado"/>
              <w:tabs>
                <w:tab w:val="left" w:pos="0"/>
              </w:tabs>
              <w:spacing w:after="160"/>
              <w:jc w:val="center"/>
              <w:rPr>
                <w:rFonts w:ascii="Arial Narrow" w:hAnsi="Arial Narrow" w:cs="Tahoma"/>
              </w:rPr>
            </w:pPr>
            <w:r w:rsidRPr="006E1110">
              <w:rPr>
                <w:rFonts w:ascii="Arial Narrow" w:hAnsi="Arial Narrow" w:cs="Tahoma"/>
              </w:rPr>
              <w:t>1 MES</w:t>
            </w:r>
          </w:p>
        </w:tc>
        <w:tc>
          <w:tcPr>
            <w:tcW w:w="544" w:type="pct"/>
          </w:tcPr>
          <w:p w14:paraId="084856E6" w14:textId="77777777" w:rsidR="005130D4" w:rsidRPr="006E1110" w:rsidRDefault="005130D4" w:rsidP="006E1110">
            <w:pPr>
              <w:pStyle w:val="Sinespaciado"/>
              <w:tabs>
                <w:tab w:val="left" w:pos="0"/>
              </w:tabs>
              <w:spacing w:after="160"/>
              <w:jc w:val="center"/>
              <w:rPr>
                <w:rFonts w:ascii="Arial Narrow" w:hAnsi="Arial Narrow" w:cs="Tahoma"/>
              </w:rPr>
            </w:pPr>
            <w:r w:rsidRPr="006E1110">
              <w:rPr>
                <w:rFonts w:ascii="Arial Narrow" w:hAnsi="Arial Narrow" w:cs="Tahoma"/>
              </w:rPr>
              <w:t>$ 36.695.158</w:t>
            </w:r>
          </w:p>
        </w:tc>
        <w:tc>
          <w:tcPr>
            <w:tcW w:w="826" w:type="pct"/>
          </w:tcPr>
          <w:p w14:paraId="05734121" w14:textId="2205A1AB" w:rsidR="005130D4" w:rsidRPr="006E1110" w:rsidRDefault="005130D4" w:rsidP="006E1110">
            <w:pPr>
              <w:pStyle w:val="Sinespaciado"/>
              <w:tabs>
                <w:tab w:val="left" w:pos="0"/>
              </w:tabs>
              <w:spacing w:after="160"/>
              <w:jc w:val="center"/>
              <w:rPr>
                <w:rFonts w:ascii="Arial Narrow" w:hAnsi="Arial Narrow" w:cs="Tahoma"/>
              </w:rPr>
            </w:pPr>
            <w:r>
              <w:rPr>
                <w:rFonts w:ascii="Arial Narrow" w:hAnsi="Arial Narrow" w:cs="Tahoma"/>
              </w:rPr>
              <w:t>MIPYME MUNICIPAL GACHALÁ</w:t>
            </w:r>
          </w:p>
        </w:tc>
      </w:tr>
      <w:tr w:rsidR="005130D4" w:rsidRPr="006E1110" w14:paraId="590095ED" w14:textId="3196410B" w:rsidTr="000F4239">
        <w:trPr>
          <w:trHeight w:val="721"/>
          <w:jc w:val="center"/>
        </w:trPr>
        <w:tc>
          <w:tcPr>
            <w:tcW w:w="313" w:type="pct"/>
          </w:tcPr>
          <w:p w14:paraId="0C9FF7CF" w14:textId="77777777" w:rsidR="005130D4" w:rsidRPr="006E1110" w:rsidRDefault="005130D4" w:rsidP="006E1110">
            <w:pPr>
              <w:pStyle w:val="Sinespaciado"/>
              <w:tabs>
                <w:tab w:val="left" w:pos="0"/>
              </w:tabs>
              <w:spacing w:after="160"/>
              <w:jc w:val="center"/>
              <w:rPr>
                <w:rFonts w:ascii="Arial Narrow" w:hAnsi="Arial Narrow" w:cs="Tahoma"/>
              </w:rPr>
            </w:pPr>
            <w:r w:rsidRPr="006E1110">
              <w:rPr>
                <w:rFonts w:ascii="Arial Narrow" w:hAnsi="Arial Narrow" w:cs="Tahoma"/>
              </w:rPr>
              <w:t>2024</w:t>
            </w:r>
          </w:p>
        </w:tc>
        <w:tc>
          <w:tcPr>
            <w:tcW w:w="645" w:type="pct"/>
          </w:tcPr>
          <w:p w14:paraId="6FF26C2E" w14:textId="77777777" w:rsidR="005130D4" w:rsidRPr="006E1110" w:rsidRDefault="005130D4" w:rsidP="006E1110">
            <w:pPr>
              <w:pStyle w:val="Sinespaciado"/>
              <w:tabs>
                <w:tab w:val="left" w:pos="0"/>
              </w:tabs>
              <w:spacing w:after="160"/>
              <w:jc w:val="center"/>
              <w:rPr>
                <w:rFonts w:ascii="Arial Narrow" w:hAnsi="Arial Narrow" w:cs="Tahoma"/>
              </w:rPr>
            </w:pPr>
            <w:r w:rsidRPr="006E1110">
              <w:rPr>
                <w:rFonts w:ascii="Arial Narrow" w:hAnsi="Arial Narrow" w:cs="Tahoma"/>
              </w:rPr>
              <w:t>ALCALDÍA DE GACHALÁ</w:t>
            </w:r>
          </w:p>
        </w:tc>
        <w:tc>
          <w:tcPr>
            <w:tcW w:w="1576" w:type="pct"/>
          </w:tcPr>
          <w:p w14:paraId="422D1274" w14:textId="77777777" w:rsidR="005130D4" w:rsidRPr="006E1110" w:rsidRDefault="005130D4" w:rsidP="006E1110">
            <w:pPr>
              <w:pStyle w:val="Sinespaciado"/>
              <w:tabs>
                <w:tab w:val="left" w:pos="0"/>
              </w:tabs>
              <w:spacing w:after="160"/>
              <w:jc w:val="both"/>
              <w:rPr>
                <w:rFonts w:ascii="Arial Narrow" w:hAnsi="Arial Narrow" w:cs="Tahoma"/>
              </w:rPr>
            </w:pPr>
            <w:r w:rsidRPr="006E1110">
              <w:rPr>
                <w:rFonts w:ascii="Arial Narrow" w:hAnsi="Arial Narrow" w:cs="Tahoma"/>
              </w:rPr>
              <w:t>MEJORAMIENTO Y MANTENIMIENTO DE LA PLANTA DE TRATAMIENTO DE AGUA POTABLE PTAP EN EL MUNICIPIO DE GACHALA</w:t>
            </w:r>
          </w:p>
        </w:tc>
        <w:tc>
          <w:tcPr>
            <w:tcW w:w="556" w:type="pct"/>
          </w:tcPr>
          <w:p w14:paraId="5629BBCA" w14:textId="77777777" w:rsidR="005130D4" w:rsidRPr="006E1110" w:rsidRDefault="005130D4" w:rsidP="006E1110">
            <w:pPr>
              <w:pStyle w:val="Sinespaciado"/>
              <w:tabs>
                <w:tab w:val="left" w:pos="0"/>
              </w:tabs>
              <w:spacing w:after="160"/>
              <w:jc w:val="center"/>
              <w:rPr>
                <w:rFonts w:ascii="Arial Narrow" w:hAnsi="Arial Narrow" w:cs="Tahoma"/>
              </w:rPr>
            </w:pPr>
            <w:r w:rsidRPr="006E1110">
              <w:rPr>
                <w:rFonts w:ascii="Arial Narrow" w:hAnsi="Arial Narrow" w:cs="Tahoma"/>
              </w:rPr>
              <w:t>OP-008-2024</w:t>
            </w:r>
          </w:p>
        </w:tc>
        <w:tc>
          <w:tcPr>
            <w:tcW w:w="539" w:type="pct"/>
          </w:tcPr>
          <w:p w14:paraId="1A161172" w14:textId="77777777" w:rsidR="005130D4" w:rsidRPr="006E1110" w:rsidRDefault="005130D4" w:rsidP="006E1110">
            <w:pPr>
              <w:pStyle w:val="Sinespaciado"/>
              <w:tabs>
                <w:tab w:val="left" w:pos="0"/>
              </w:tabs>
              <w:spacing w:after="160"/>
              <w:jc w:val="center"/>
              <w:rPr>
                <w:rFonts w:ascii="Arial Narrow" w:hAnsi="Arial Narrow" w:cs="Tahoma"/>
              </w:rPr>
            </w:pPr>
            <w:r w:rsidRPr="006E1110">
              <w:rPr>
                <w:rFonts w:ascii="Arial Narrow" w:hAnsi="Arial Narrow" w:cs="Tahoma"/>
              </w:rPr>
              <w:t>2 MESES</w:t>
            </w:r>
          </w:p>
        </w:tc>
        <w:tc>
          <w:tcPr>
            <w:tcW w:w="544" w:type="pct"/>
          </w:tcPr>
          <w:p w14:paraId="5BA80CD1" w14:textId="77777777" w:rsidR="005130D4" w:rsidRPr="006E1110" w:rsidRDefault="005130D4" w:rsidP="006E1110">
            <w:pPr>
              <w:pStyle w:val="Sinespaciado"/>
              <w:tabs>
                <w:tab w:val="left" w:pos="0"/>
              </w:tabs>
              <w:spacing w:after="160"/>
              <w:jc w:val="center"/>
              <w:rPr>
                <w:rFonts w:ascii="Arial Narrow" w:hAnsi="Arial Narrow" w:cs="Tahoma"/>
              </w:rPr>
            </w:pPr>
            <w:r w:rsidRPr="006E1110">
              <w:rPr>
                <w:rFonts w:ascii="Arial Narrow" w:hAnsi="Arial Narrow" w:cs="Tahoma"/>
              </w:rPr>
              <w:t>$ 33.441.850</w:t>
            </w:r>
          </w:p>
        </w:tc>
        <w:tc>
          <w:tcPr>
            <w:tcW w:w="826" w:type="pct"/>
          </w:tcPr>
          <w:p w14:paraId="6C4A035B" w14:textId="2A7897E7" w:rsidR="005130D4" w:rsidRPr="006E1110" w:rsidRDefault="005130D4" w:rsidP="006E1110">
            <w:pPr>
              <w:pStyle w:val="Sinespaciado"/>
              <w:tabs>
                <w:tab w:val="left" w:pos="0"/>
              </w:tabs>
              <w:spacing w:after="160"/>
              <w:jc w:val="center"/>
              <w:rPr>
                <w:rFonts w:ascii="Arial Narrow" w:hAnsi="Arial Narrow" w:cs="Tahoma"/>
              </w:rPr>
            </w:pPr>
            <w:r>
              <w:rPr>
                <w:rFonts w:ascii="Arial Narrow" w:hAnsi="Arial Narrow" w:cs="Tahoma"/>
              </w:rPr>
              <w:t>MIPYME MUNICIPAL GACHALÁ</w:t>
            </w:r>
          </w:p>
        </w:tc>
      </w:tr>
    </w:tbl>
    <w:p w14:paraId="378F9EF6" w14:textId="77777777" w:rsidR="00926C9A" w:rsidRPr="006E1110" w:rsidRDefault="00926C9A" w:rsidP="006E1110">
      <w:pPr>
        <w:pStyle w:val="Sinespaciado"/>
        <w:jc w:val="both"/>
        <w:rPr>
          <w:rFonts w:ascii="Arial Narrow" w:hAnsi="Arial Narrow" w:cs="Tahoma"/>
          <w:b/>
        </w:rPr>
      </w:pPr>
    </w:p>
    <w:p w14:paraId="694E4FCD" w14:textId="77777777" w:rsidR="000F4239" w:rsidRDefault="000F4239" w:rsidP="006E1110">
      <w:pPr>
        <w:spacing w:after="0" w:line="240" w:lineRule="auto"/>
        <w:jc w:val="both"/>
        <w:rPr>
          <w:rFonts w:ascii="Arial Narrow" w:hAnsi="Arial Narrow"/>
          <w:b/>
          <w:bCs/>
        </w:rPr>
      </w:pPr>
    </w:p>
    <w:p w14:paraId="6267B439" w14:textId="1D7F7BCC" w:rsidR="000F4239" w:rsidRPr="000F4239" w:rsidRDefault="000F4239" w:rsidP="006E1110">
      <w:pPr>
        <w:spacing w:after="0" w:line="240" w:lineRule="auto"/>
        <w:jc w:val="both"/>
        <w:rPr>
          <w:rFonts w:ascii="Arial Narrow" w:hAnsi="Arial Narrow"/>
        </w:rPr>
      </w:pPr>
      <w:r w:rsidRPr="000F4239">
        <w:rPr>
          <w:rFonts w:ascii="Arial Narrow" w:hAnsi="Arial Narrow"/>
        </w:rPr>
        <w:t>Estos antecedentes permiten observar que los valores contractuales registrados en Gachalá aumentaron de una vigencia a otra, pasando de $33.441.850 en 2024 a $36.695.158 en 2025, lo que representa una variación nominal aproximada del 9,73 %. No obstante, esta variación no permite concluir por sí sola que exista un incremento general de los precios del sector, dado que el valor de cada contrato depende del alcance, las cantidades de obra, los materiales y las actividades efectivamente requeridas.</w:t>
      </w:r>
    </w:p>
    <w:p w14:paraId="4087D814" w14:textId="308FEF61" w:rsidR="000F4239" w:rsidRDefault="000F4239" w:rsidP="006E1110">
      <w:pPr>
        <w:spacing w:after="0" w:line="240" w:lineRule="auto"/>
        <w:jc w:val="both"/>
        <w:rPr>
          <w:rFonts w:ascii="Arial Narrow" w:hAnsi="Arial Narrow"/>
          <w:b/>
          <w:bCs/>
        </w:rPr>
      </w:pPr>
    </w:p>
    <w:p w14:paraId="118E2AB2" w14:textId="77777777" w:rsidR="000F4239" w:rsidRPr="000F4239" w:rsidRDefault="000F4239" w:rsidP="000F4239">
      <w:pPr>
        <w:spacing w:after="0" w:line="240" w:lineRule="auto"/>
        <w:jc w:val="both"/>
        <w:rPr>
          <w:rFonts w:ascii="Arial Narrow" w:hAnsi="Arial Narrow"/>
        </w:rPr>
      </w:pPr>
      <w:r w:rsidRPr="000F4239">
        <w:rPr>
          <w:rFonts w:ascii="Arial Narrow" w:hAnsi="Arial Narrow"/>
        </w:rPr>
        <w:t>De acuerdo con la información aportada sobre la revisión de los expedientes contractuales, no se identificaron procesos sancionatorios ni siniestros declarados en contra de los contratistas en los antecedentes examinados.</w:t>
      </w:r>
    </w:p>
    <w:p w14:paraId="1608BC84" w14:textId="5E3C5B5D" w:rsidR="000F4239" w:rsidRDefault="000F4239" w:rsidP="000F4239">
      <w:pPr>
        <w:spacing w:after="0" w:line="240" w:lineRule="auto"/>
        <w:jc w:val="both"/>
        <w:rPr>
          <w:rFonts w:ascii="Arial Narrow" w:hAnsi="Arial Narrow"/>
        </w:rPr>
      </w:pPr>
      <w:r w:rsidRPr="000F4239">
        <w:rPr>
          <w:rFonts w:ascii="Arial Narrow" w:hAnsi="Arial Narrow"/>
        </w:rPr>
        <w:t>Este resultado constituye un referente sobre el comportamiento contractual registrado en los expedientes consultados. Sin embargo, no permite garantizar el desempeño futuro de los contratistas ni reemplaza la evaluación de los requisitos de capacidad jurídica, experiencia, capacidad financiera y capacidad técnica que correspondan al proceso de selección.</w:t>
      </w:r>
    </w:p>
    <w:p w14:paraId="4C89F5D9" w14:textId="77777777" w:rsidR="000F4239" w:rsidRPr="000F4239" w:rsidRDefault="000F4239" w:rsidP="000F4239">
      <w:pPr>
        <w:spacing w:after="0" w:line="240" w:lineRule="auto"/>
        <w:jc w:val="both"/>
        <w:rPr>
          <w:rFonts w:ascii="Arial Narrow" w:hAnsi="Arial Narrow"/>
        </w:rPr>
      </w:pPr>
    </w:p>
    <w:p w14:paraId="6834E33A" w14:textId="77777777" w:rsidR="000F4239" w:rsidRPr="000F4239" w:rsidRDefault="000F4239" w:rsidP="000F4239">
      <w:pPr>
        <w:spacing w:after="0" w:line="240" w:lineRule="auto"/>
        <w:jc w:val="both"/>
        <w:rPr>
          <w:rFonts w:ascii="Arial Narrow" w:hAnsi="Arial Narrow"/>
        </w:rPr>
      </w:pPr>
      <w:r w:rsidRPr="000F4239">
        <w:rPr>
          <w:rFonts w:ascii="Arial Narrow" w:hAnsi="Arial Narrow"/>
        </w:rPr>
        <w:t>Adicionalmente, se observa que los procesos OP-008-2024 y OP-020-2025 de la Alcaldía Municipal de Gachalá fueron ejecutados con participación de MIPYMES municipales, circunstancia que constituye un antecedente relevante para analizar la participación de proveedores locales. La eventual adopción de medidas de promoción o limitación a MIPYMES deberá sujetarse a los requisitos y condiciones establecidos en la normativa vigente.</w:t>
      </w:r>
    </w:p>
    <w:p w14:paraId="57496FF9" w14:textId="77777777" w:rsidR="000F4239" w:rsidRDefault="000F4239" w:rsidP="006E1110">
      <w:pPr>
        <w:spacing w:after="0" w:line="240" w:lineRule="auto"/>
        <w:jc w:val="both"/>
        <w:rPr>
          <w:rFonts w:ascii="Arial Narrow" w:hAnsi="Arial Narrow"/>
          <w:b/>
          <w:bCs/>
        </w:rPr>
      </w:pPr>
      <w:bookmarkStart w:id="0" w:name="_GoBack"/>
      <w:bookmarkEnd w:id="0"/>
    </w:p>
    <w:p w14:paraId="7F90199F" w14:textId="77777777" w:rsidR="000F4239" w:rsidRDefault="000F4239" w:rsidP="006E1110">
      <w:pPr>
        <w:spacing w:after="0" w:line="240" w:lineRule="auto"/>
        <w:jc w:val="both"/>
        <w:rPr>
          <w:rFonts w:ascii="Arial Narrow" w:hAnsi="Arial Narrow"/>
          <w:b/>
          <w:bCs/>
        </w:rPr>
      </w:pPr>
    </w:p>
    <w:p w14:paraId="674EFA2D" w14:textId="37597FFF" w:rsidR="001435A8" w:rsidRPr="006E1110" w:rsidRDefault="00C80455" w:rsidP="006E1110">
      <w:pPr>
        <w:spacing w:after="0" w:line="240" w:lineRule="auto"/>
        <w:jc w:val="both"/>
        <w:rPr>
          <w:rFonts w:ascii="Arial Narrow" w:hAnsi="Arial Narrow"/>
          <w:b/>
          <w:bCs/>
        </w:rPr>
      </w:pPr>
      <w:r w:rsidRPr="006E1110">
        <w:rPr>
          <w:rFonts w:ascii="Arial Narrow" w:hAnsi="Arial Narrow"/>
          <w:b/>
          <w:bCs/>
        </w:rPr>
        <w:t>ANÁLISIS SECTORIAL PARA LA IDENTIFICACIÓN DE POSIBLES OFERTAS ARTIFICIALMENTE BAJAS</w:t>
      </w:r>
    </w:p>
    <w:p w14:paraId="4A779D37" w14:textId="77777777" w:rsidR="00B2421B" w:rsidRPr="006E1110" w:rsidRDefault="00B2421B" w:rsidP="006E1110">
      <w:pPr>
        <w:spacing w:after="0" w:line="240" w:lineRule="auto"/>
        <w:jc w:val="both"/>
        <w:rPr>
          <w:rFonts w:ascii="Arial Narrow" w:hAnsi="Arial Narrow"/>
          <w:b/>
          <w:bCs/>
        </w:rPr>
      </w:pPr>
    </w:p>
    <w:p w14:paraId="0084D365"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En el marco del estudio del sector y de mercado, la Alcaldía Municipal de Gachalá define la metodología técnica, económica y sectorial que servirá como referente previo, objetivo y verificable para la identificación y análisis de posibles ofertas artificialmente bajas, de conformidad con los lineamientos establecidos por Colombia Compra Eficiente.</w:t>
      </w:r>
    </w:p>
    <w:p w14:paraId="02AE6EEF" w14:textId="77777777" w:rsidR="00B2421B" w:rsidRPr="006E1110" w:rsidRDefault="00B2421B" w:rsidP="006E1110">
      <w:pPr>
        <w:spacing w:after="0" w:line="240" w:lineRule="auto"/>
        <w:jc w:val="both"/>
        <w:rPr>
          <w:rFonts w:ascii="Arial Narrow" w:hAnsi="Arial Narrow"/>
        </w:rPr>
      </w:pPr>
    </w:p>
    <w:p w14:paraId="78E284DD"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El presente capítulo no constituye una evaluación anticipada de ofertas, ni prejuzga sobre propuestas concretas, sino que establece los criterios, métodos y fuentes de información que, con base en el análisis del sector económico correspondiente, podrán ser aplicados por la Entidad en la etapa de evaluación de las ofertas, una vez se cuente con la información propia del proceso de selección.</w:t>
      </w:r>
    </w:p>
    <w:p w14:paraId="251006E9" w14:textId="77777777" w:rsidR="00B2421B" w:rsidRPr="006E1110" w:rsidRDefault="00B2421B" w:rsidP="006E1110">
      <w:pPr>
        <w:spacing w:after="0" w:line="240" w:lineRule="auto"/>
        <w:jc w:val="both"/>
        <w:rPr>
          <w:rFonts w:ascii="Arial Narrow" w:hAnsi="Arial Narrow"/>
          <w:b/>
          <w:bCs/>
        </w:rPr>
      </w:pPr>
    </w:p>
    <w:p w14:paraId="72E5E418" w14:textId="26E99695" w:rsidR="00B2421B" w:rsidRPr="006E1110" w:rsidRDefault="00B2421B" w:rsidP="006E1110">
      <w:pPr>
        <w:spacing w:after="0" w:line="240" w:lineRule="auto"/>
        <w:jc w:val="both"/>
        <w:rPr>
          <w:rFonts w:ascii="Arial Narrow" w:hAnsi="Arial Narrow"/>
          <w:b/>
          <w:bCs/>
        </w:rPr>
      </w:pPr>
      <w:r w:rsidRPr="006E1110">
        <w:rPr>
          <w:rFonts w:ascii="Arial Narrow" w:hAnsi="Arial Narrow"/>
          <w:b/>
          <w:bCs/>
        </w:rPr>
        <w:lastRenderedPageBreak/>
        <w:t>Fundamento sectorial de la metodología</w:t>
      </w:r>
    </w:p>
    <w:p w14:paraId="786C698C" w14:textId="77777777" w:rsidR="00B2421B" w:rsidRPr="006E1110" w:rsidRDefault="00B2421B" w:rsidP="006E1110">
      <w:pPr>
        <w:spacing w:after="0" w:line="240" w:lineRule="auto"/>
        <w:jc w:val="both"/>
        <w:rPr>
          <w:rFonts w:ascii="Arial Narrow" w:hAnsi="Arial Narrow"/>
          <w:b/>
          <w:bCs/>
        </w:rPr>
      </w:pPr>
    </w:p>
    <w:p w14:paraId="721A115F"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La metodología para la identificación de posibles ofertas artificialmente bajas se fundamenta en el análisis integral del sector económico y del mercado relevante, el cual comprende, entre otros aspectos:</w:t>
      </w:r>
    </w:p>
    <w:p w14:paraId="6D1970E8" w14:textId="77777777" w:rsidR="00B2421B" w:rsidRPr="006E1110" w:rsidRDefault="00B2421B" w:rsidP="006E1110">
      <w:pPr>
        <w:spacing w:after="0" w:line="240" w:lineRule="auto"/>
        <w:jc w:val="both"/>
        <w:rPr>
          <w:rFonts w:ascii="Arial Narrow" w:hAnsi="Arial Narrow"/>
        </w:rPr>
      </w:pPr>
    </w:p>
    <w:p w14:paraId="0EC83E03" w14:textId="46644C37" w:rsidR="00B2421B" w:rsidRPr="006E1110" w:rsidRDefault="00B2421B" w:rsidP="006E1110">
      <w:pPr>
        <w:spacing w:after="0" w:line="240" w:lineRule="auto"/>
        <w:jc w:val="both"/>
        <w:rPr>
          <w:rFonts w:ascii="Arial Narrow" w:hAnsi="Arial Narrow"/>
        </w:rPr>
      </w:pPr>
      <w:r w:rsidRPr="006E1110">
        <w:rPr>
          <w:rFonts w:ascii="Arial Narrow" w:hAnsi="Arial Narrow"/>
        </w:rPr>
        <w:t>La estructura general de costos del sector.</w:t>
      </w:r>
    </w:p>
    <w:p w14:paraId="13DFBB9F" w14:textId="45465F27" w:rsidR="00B2421B" w:rsidRPr="006E1110" w:rsidRDefault="00B2421B" w:rsidP="006E1110">
      <w:pPr>
        <w:spacing w:after="0" w:line="240" w:lineRule="auto"/>
        <w:jc w:val="both"/>
        <w:rPr>
          <w:rFonts w:ascii="Arial Narrow" w:hAnsi="Arial Narrow"/>
        </w:rPr>
      </w:pPr>
      <w:r w:rsidRPr="006E1110">
        <w:rPr>
          <w:rFonts w:ascii="Arial Narrow" w:hAnsi="Arial Narrow"/>
        </w:rPr>
        <w:t>Los rangos normales de precios observados en el mercado.</w:t>
      </w:r>
    </w:p>
    <w:p w14:paraId="30153439" w14:textId="51F8BA5B" w:rsidR="00B2421B" w:rsidRPr="006E1110" w:rsidRDefault="00B2421B" w:rsidP="006E1110">
      <w:pPr>
        <w:spacing w:after="0" w:line="240" w:lineRule="auto"/>
        <w:jc w:val="both"/>
        <w:rPr>
          <w:rFonts w:ascii="Arial Narrow" w:hAnsi="Arial Narrow"/>
        </w:rPr>
      </w:pPr>
      <w:r w:rsidRPr="006E1110">
        <w:rPr>
          <w:rFonts w:ascii="Arial Narrow" w:hAnsi="Arial Narrow"/>
        </w:rPr>
        <w:t>Los riesgos asociados a la ejecución del objeto contractual.</w:t>
      </w:r>
    </w:p>
    <w:p w14:paraId="38812E19"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La determinación técnica del valor estimado del proceso.</w:t>
      </w:r>
    </w:p>
    <w:p w14:paraId="4ED2422F" w14:textId="77777777" w:rsidR="00B2421B" w:rsidRPr="006E1110" w:rsidRDefault="00B2421B" w:rsidP="006E1110">
      <w:pPr>
        <w:spacing w:after="0" w:line="240" w:lineRule="auto"/>
        <w:jc w:val="both"/>
        <w:rPr>
          <w:rFonts w:ascii="Arial Narrow" w:hAnsi="Arial Narrow"/>
        </w:rPr>
      </w:pPr>
    </w:p>
    <w:p w14:paraId="7341DB64"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Estos elementos permiten a la Entidad comprender las condiciones normales de formación de precios y establecer referentes sectoriales objetivos, evitando decisiones subjetivas, arbitrarias o carentes de sustento técnico en la etapa de evaluación.</w:t>
      </w:r>
    </w:p>
    <w:p w14:paraId="408A6EC2" w14:textId="77777777" w:rsidR="00B2421B" w:rsidRPr="006E1110" w:rsidRDefault="00B2421B" w:rsidP="006E1110">
      <w:pPr>
        <w:spacing w:after="0" w:line="240" w:lineRule="auto"/>
        <w:jc w:val="both"/>
        <w:rPr>
          <w:rFonts w:ascii="Arial Narrow" w:hAnsi="Arial Narrow"/>
          <w:b/>
          <w:bCs/>
        </w:rPr>
      </w:pPr>
    </w:p>
    <w:p w14:paraId="19C7E3D1" w14:textId="4E1210B2" w:rsidR="00B2421B" w:rsidRPr="006E1110" w:rsidRDefault="00B2421B" w:rsidP="006E1110">
      <w:pPr>
        <w:spacing w:after="0" w:line="240" w:lineRule="auto"/>
        <w:jc w:val="both"/>
        <w:rPr>
          <w:rFonts w:ascii="Arial Narrow" w:hAnsi="Arial Narrow"/>
          <w:b/>
          <w:bCs/>
        </w:rPr>
      </w:pPr>
      <w:r w:rsidRPr="006E1110">
        <w:rPr>
          <w:rFonts w:ascii="Arial Narrow" w:hAnsi="Arial Narrow"/>
          <w:b/>
          <w:bCs/>
        </w:rPr>
        <w:t>Metodologías previstas conforme a las guías de Colombia Compra Eficiente</w:t>
      </w:r>
    </w:p>
    <w:p w14:paraId="247B8C83" w14:textId="77777777" w:rsidR="00B2421B" w:rsidRPr="006E1110" w:rsidRDefault="00B2421B" w:rsidP="006E1110">
      <w:pPr>
        <w:spacing w:after="0" w:line="240" w:lineRule="auto"/>
        <w:jc w:val="both"/>
        <w:rPr>
          <w:rFonts w:ascii="Arial Narrow" w:hAnsi="Arial Narrow"/>
          <w:b/>
          <w:bCs/>
        </w:rPr>
      </w:pPr>
    </w:p>
    <w:p w14:paraId="32CA5149"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De acuerdo con las guías para el manejo de ofertas artificialmente bajas expedidas por Colombia Compra Eficiente, y como parte del análisis sectorial, la Entidad prevé las siguientes metodologías, las cuales podrán ser aplicadas en la etapa de evaluación, atendiendo al número de ofertas recibidas, al sector económico y a las condiciones particulares del proceso:</w:t>
      </w:r>
    </w:p>
    <w:p w14:paraId="169D333E" w14:textId="77777777" w:rsidR="00B2421B" w:rsidRPr="006E1110" w:rsidRDefault="00B2421B" w:rsidP="006E1110">
      <w:pPr>
        <w:spacing w:after="0" w:line="240" w:lineRule="auto"/>
        <w:jc w:val="both"/>
        <w:rPr>
          <w:rFonts w:ascii="Arial Narrow" w:hAnsi="Arial Narrow"/>
          <w:b/>
          <w:bCs/>
        </w:rPr>
      </w:pPr>
    </w:p>
    <w:p w14:paraId="27C37D35" w14:textId="26175C20" w:rsidR="00B2421B" w:rsidRPr="006E1110" w:rsidRDefault="00B2421B" w:rsidP="006E1110">
      <w:pPr>
        <w:spacing w:after="0" w:line="240" w:lineRule="auto"/>
        <w:jc w:val="both"/>
        <w:rPr>
          <w:rFonts w:ascii="Arial Narrow" w:hAnsi="Arial Narrow"/>
          <w:b/>
          <w:bCs/>
        </w:rPr>
      </w:pPr>
      <w:r w:rsidRPr="006E1110">
        <w:rPr>
          <w:rFonts w:ascii="Arial Narrow" w:hAnsi="Arial Narrow"/>
          <w:b/>
          <w:bCs/>
        </w:rPr>
        <w:t>Metodología de comparación absoluta</w:t>
      </w:r>
    </w:p>
    <w:p w14:paraId="11A73020" w14:textId="77777777" w:rsidR="00B2421B" w:rsidRPr="006E1110" w:rsidRDefault="00B2421B" w:rsidP="006E1110">
      <w:pPr>
        <w:spacing w:after="0" w:line="240" w:lineRule="auto"/>
        <w:jc w:val="both"/>
        <w:rPr>
          <w:rFonts w:ascii="Arial Narrow" w:hAnsi="Arial Narrow"/>
          <w:b/>
          <w:bCs/>
        </w:rPr>
      </w:pPr>
    </w:p>
    <w:p w14:paraId="55EDF53E"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Esta metodología consiste en comparar el valor de la oferta económica presentada por el proponente con el valor estimado del proceso, determinado a partir del estudio del sector y del mercado.</w:t>
      </w:r>
    </w:p>
    <w:p w14:paraId="24E63F84" w14:textId="77777777" w:rsidR="00B2421B" w:rsidRPr="006E1110" w:rsidRDefault="00B2421B" w:rsidP="006E1110">
      <w:pPr>
        <w:spacing w:after="0" w:line="240" w:lineRule="auto"/>
        <w:jc w:val="both"/>
        <w:rPr>
          <w:rFonts w:ascii="Arial Narrow" w:hAnsi="Arial Narrow"/>
        </w:rPr>
      </w:pPr>
    </w:p>
    <w:p w14:paraId="301F6553"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Desde la perspectiva sectorial, se reconoce que desviaciones significativas frente a dicho valor pueden constituir indicadores de riesgo económico y de inviabilidad contractual. En consecuencia, cuando en la etapa de evaluación se identifique una oferta que se ubique significativamente por debajo del valor estimado, la Entidad podrá requerir explicaciones al proponente, conforme a los lineamientos de Colombia Compra Eficiente.</w:t>
      </w:r>
    </w:p>
    <w:p w14:paraId="3F7EE7BC" w14:textId="77777777" w:rsidR="00B2421B" w:rsidRPr="006E1110" w:rsidRDefault="00B2421B" w:rsidP="006E1110">
      <w:pPr>
        <w:spacing w:after="0" w:line="240" w:lineRule="auto"/>
        <w:jc w:val="both"/>
        <w:rPr>
          <w:rFonts w:ascii="Arial Narrow" w:hAnsi="Arial Narrow"/>
        </w:rPr>
      </w:pPr>
    </w:p>
    <w:p w14:paraId="028CF530"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Este método resulta especialmente pertinente en sectores con baja dispersión de precios o cuando se cuente con un número reducido de ofertas.</w:t>
      </w:r>
    </w:p>
    <w:p w14:paraId="74A6D666" w14:textId="77777777" w:rsidR="00B2421B" w:rsidRPr="006E1110" w:rsidRDefault="00B2421B" w:rsidP="006E1110">
      <w:pPr>
        <w:spacing w:after="0" w:line="240" w:lineRule="auto"/>
        <w:jc w:val="both"/>
        <w:rPr>
          <w:rFonts w:ascii="Arial Narrow" w:hAnsi="Arial Narrow"/>
          <w:b/>
          <w:bCs/>
        </w:rPr>
      </w:pPr>
    </w:p>
    <w:p w14:paraId="3F7C0E74" w14:textId="4BD925BA" w:rsidR="00B2421B" w:rsidRPr="006E1110" w:rsidRDefault="00B2421B" w:rsidP="006E1110">
      <w:pPr>
        <w:spacing w:after="0" w:line="240" w:lineRule="auto"/>
        <w:jc w:val="both"/>
        <w:rPr>
          <w:rFonts w:ascii="Arial Narrow" w:hAnsi="Arial Narrow"/>
          <w:b/>
          <w:bCs/>
        </w:rPr>
      </w:pPr>
      <w:r w:rsidRPr="006E1110">
        <w:rPr>
          <w:rFonts w:ascii="Arial Narrow" w:hAnsi="Arial Narrow"/>
          <w:b/>
          <w:bCs/>
        </w:rPr>
        <w:t>Metodología de comparación relativa</w:t>
      </w:r>
    </w:p>
    <w:p w14:paraId="15434B3D" w14:textId="77777777" w:rsidR="00B2421B" w:rsidRPr="006E1110" w:rsidRDefault="00B2421B" w:rsidP="006E1110">
      <w:pPr>
        <w:spacing w:after="0" w:line="240" w:lineRule="auto"/>
        <w:jc w:val="both"/>
        <w:rPr>
          <w:rFonts w:ascii="Arial Narrow" w:hAnsi="Arial Narrow"/>
          <w:b/>
          <w:bCs/>
        </w:rPr>
      </w:pPr>
    </w:p>
    <w:p w14:paraId="51AA277E"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Cuando en el proceso de selección se reciban cinco (5) o más ofertas habilitadas, la Entidad podrá aplicar, en la etapa de evaluación, la metodología de comparación relativa.</w:t>
      </w:r>
    </w:p>
    <w:p w14:paraId="07B9FFCB" w14:textId="77777777" w:rsidR="00B2421B" w:rsidRPr="006E1110" w:rsidRDefault="00B2421B" w:rsidP="006E1110">
      <w:pPr>
        <w:spacing w:after="0" w:line="240" w:lineRule="auto"/>
        <w:jc w:val="both"/>
        <w:rPr>
          <w:rFonts w:ascii="Arial Narrow" w:hAnsi="Arial Narrow"/>
        </w:rPr>
      </w:pPr>
    </w:p>
    <w:p w14:paraId="0596BB42"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Esta metodología se basa en el análisis estadístico del conjunto de ofertas económicas, mediante el cálculo de la mediana y la desviación estándar, con el fin de establecer un valor mínimo aceptable desde la perspectiva del comportamiento normal del mercado.</w:t>
      </w:r>
    </w:p>
    <w:p w14:paraId="029A8269" w14:textId="77777777" w:rsidR="00B2421B" w:rsidRPr="006E1110" w:rsidRDefault="00B2421B" w:rsidP="006E1110">
      <w:pPr>
        <w:spacing w:after="0" w:line="240" w:lineRule="auto"/>
        <w:jc w:val="both"/>
        <w:rPr>
          <w:rFonts w:ascii="Arial Narrow" w:hAnsi="Arial Narrow"/>
        </w:rPr>
      </w:pPr>
    </w:p>
    <w:p w14:paraId="7C89A8CB"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Las ofertas que, en la etapa de evaluación, se ubiquen por debajo de dicho valor mínimo podrán ser identificadas como posibles ofertas artificialmente bajas, habilitando el requerimiento de aclaraciones y soportes al proponente correspondiente.</w:t>
      </w:r>
    </w:p>
    <w:p w14:paraId="481D6BDC" w14:textId="77777777" w:rsidR="00B2421B" w:rsidRPr="006E1110" w:rsidRDefault="00B2421B" w:rsidP="006E1110">
      <w:pPr>
        <w:spacing w:after="0" w:line="240" w:lineRule="auto"/>
        <w:jc w:val="both"/>
        <w:rPr>
          <w:rFonts w:ascii="Arial Narrow" w:hAnsi="Arial Narrow"/>
        </w:rPr>
      </w:pPr>
    </w:p>
    <w:p w14:paraId="2BBFA7EC"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lastRenderedPageBreak/>
        <w:t>Parágrafo. Los resultados de esta metodología constituyen un insumo técnico de análisis y no se aplicarán de manera automática o mecánica, debiendo integrarse con el análisis del sector, del objeto contractual y de la estructura de costos del proponente.</w:t>
      </w:r>
    </w:p>
    <w:p w14:paraId="7299C9C5" w14:textId="77777777" w:rsidR="00B2421B" w:rsidRPr="006E1110" w:rsidRDefault="00B2421B" w:rsidP="006E1110">
      <w:pPr>
        <w:spacing w:after="0" w:line="240" w:lineRule="auto"/>
        <w:jc w:val="both"/>
        <w:rPr>
          <w:rFonts w:ascii="Arial Narrow" w:hAnsi="Arial Narrow"/>
          <w:b/>
          <w:bCs/>
        </w:rPr>
      </w:pPr>
    </w:p>
    <w:p w14:paraId="10DE7DE2" w14:textId="648928B9" w:rsidR="00B2421B" w:rsidRPr="006E1110" w:rsidRDefault="00B2421B" w:rsidP="006E1110">
      <w:pPr>
        <w:spacing w:after="0" w:line="240" w:lineRule="auto"/>
        <w:jc w:val="both"/>
        <w:rPr>
          <w:rFonts w:ascii="Arial Narrow" w:hAnsi="Arial Narrow"/>
          <w:b/>
          <w:bCs/>
        </w:rPr>
      </w:pPr>
      <w:r w:rsidRPr="006E1110">
        <w:rPr>
          <w:rFonts w:ascii="Arial Narrow" w:hAnsi="Arial Narrow"/>
          <w:b/>
          <w:bCs/>
        </w:rPr>
        <w:t>Metodología de análisis histórico y promedio sectorial</w:t>
      </w:r>
    </w:p>
    <w:p w14:paraId="42900F8F" w14:textId="77777777" w:rsidR="00B2421B" w:rsidRPr="006E1110" w:rsidRDefault="00B2421B" w:rsidP="006E1110">
      <w:pPr>
        <w:spacing w:after="0" w:line="240" w:lineRule="auto"/>
        <w:jc w:val="both"/>
        <w:rPr>
          <w:rFonts w:ascii="Arial Narrow" w:hAnsi="Arial Narrow"/>
          <w:b/>
          <w:bCs/>
        </w:rPr>
      </w:pPr>
    </w:p>
    <w:p w14:paraId="5A4F6076" w14:textId="1AC3FD2E" w:rsidR="00B2421B" w:rsidRPr="006E1110" w:rsidRDefault="00B2421B" w:rsidP="006E1110">
      <w:pPr>
        <w:spacing w:after="0" w:line="240" w:lineRule="auto"/>
        <w:jc w:val="both"/>
        <w:rPr>
          <w:rFonts w:ascii="Arial Narrow" w:hAnsi="Arial Narrow"/>
        </w:rPr>
      </w:pPr>
      <w:r w:rsidRPr="006E1110">
        <w:rPr>
          <w:rFonts w:ascii="Arial Narrow" w:hAnsi="Arial Narrow"/>
        </w:rPr>
        <w:t>Como parte del estudio del sector, la Alcaldía Municipal de Gachalá identifica la posibilidad de utilizar, en la etapa de evaluación, un análisis histórico de procesos contractuales similares, ejecutados en el mismo sector económico y con objetos comparables, como mecanismo complementario para la identificación de posibles ofertas artificialmente bajas.</w:t>
      </w:r>
    </w:p>
    <w:p w14:paraId="32347944"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Dicho análisis histórico podrá incluir, entre otros aspectos:</w:t>
      </w:r>
    </w:p>
    <w:p w14:paraId="221CFCD9" w14:textId="77777777" w:rsidR="00B2421B" w:rsidRPr="006E1110" w:rsidRDefault="00B2421B" w:rsidP="006E1110">
      <w:pPr>
        <w:spacing w:after="0" w:line="240" w:lineRule="auto"/>
        <w:jc w:val="both"/>
        <w:rPr>
          <w:rFonts w:ascii="Arial Narrow" w:hAnsi="Arial Narrow"/>
        </w:rPr>
      </w:pPr>
    </w:p>
    <w:p w14:paraId="6510EBF2" w14:textId="465EE83C" w:rsidR="00B2421B" w:rsidRPr="006E1110" w:rsidRDefault="00B2421B" w:rsidP="006E1110">
      <w:pPr>
        <w:pStyle w:val="Prrafodelista"/>
        <w:spacing w:after="0" w:line="240" w:lineRule="auto"/>
        <w:ind w:left="0"/>
        <w:jc w:val="both"/>
        <w:rPr>
          <w:rFonts w:ascii="Arial Narrow" w:hAnsi="Arial Narrow"/>
        </w:rPr>
      </w:pPr>
      <w:r w:rsidRPr="006E1110">
        <w:rPr>
          <w:rFonts w:ascii="Arial Narrow" w:hAnsi="Arial Narrow"/>
        </w:rPr>
        <w:t>Valores adjudicados, ejecutados y liquidados en procesos contractuales similares.</w:t>
      </w:r>
    </w:p>
    <w:p w14:paraId="751392E4" w14:textId="2D6280BB" w:rsidR="00B2421B" w:rsidRPr="006E1110" w:rsidRDefault="00B2421B" w:rsidP="006E1110">
      <w:pPr>
        <w:pStyle w:val="Prrafodelista"/>
        <w:spacing w:after="0" w:line="240" w:lineRule="auto"/>
        <w:ind w:left="0"/>
        <w:jc w:val="both"/>
        <w:rPr>
          <w:rFonts w:ascii="Arial Narrow" w:hAnsi="Arial Narrow"/>
        </w:rPr>
      </w:pPr>
      <w:r w:rsidRPr="006E1110">
        <w:rPr>
          <w:rFonts w:ascii="Arial Narrow" w:hAnsi="Arial Narrow"/>
        </w:rPr>
        <w:t>Ajustes por variables macroeconómicas, tales como inflación, condiciones logísticas y particularidades territoriales.</w:t>
      </w:r>
    </w:p>
    <w:p w14:paraId="0AF7340F" w14:textId="77777777" w:rsidR="00B2421B" w:rsidRPr="006E1110" w:rsidRDefault="00B2421B" w:rsidP="006E1110">
      <w:pPr>
        <w:pStyle w:val="Prrafodelista"/>
        <w:spacing w:after="0" w:line="240" w:lineRule="auto"/>
        <w:ind w:left="0"/>
        <w:jc w:val="both"/>
        <w:rPr>
          <w:rFonts w:ascii="Arial Narrow" w:hAnsi="Arial Narrow"/>
        </w:rPr>
      </w:pPr>
      <w:r w:rsidRPr="006E1110">
        <w:rPr>
          <w:rFonts w:ascii="Arial Narrow" w:hAnsi="Arial Narrow"/>
        </w:rPr>
        <w:t>Determinación de un promedio histórico sectorial, que refleje el comportamiento real del mercado en condiciones normales de ejecución.</w:t>
      </w:r>
    </w:p>
    <w:p w14:paraId="4894E769" w14:textId="77777777" w:rsidR="00B2421B" w:rsidRPr="006E1110" w:rsidRDefault="00B2421B" w:rsidP="006E1110">
      <w:pPr>
        <w:spacing w:after="0" w:line="240" w:lineRule="auto"/>
        <w:jc w:val="both"/>
        <w:rPr>
          <w:rFonts w:ascii="Arial Narrow" w:hAnsi="Arial Narrow"/>
        </w:rPr>
      </w:pPr>
    </w:p>
    <w:p w14:paraId="137E7752"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El promedio histórico sectorial identificado no tendrá carácter vinculante ni excluyente, pero constituirá un insumo objetivo adicional del estudio del sector, que podrá ser aplicado por la Entidad en la etapa de evaluación para sustentar la necesidad de requerir explicaciones cuando una oferta económica se ubique de manera significativa por debajo de los valores históricamente observados en el sector.</w:t>
      </w:r>
    </w:p>
    <w:p w14:paraId="75B445E6" w14:textId="77777777" w:rsidR="00B2421B" w:rsidRPr="006E1110" w:rsidRDefault="00B2421B" w:rsidP="006E1110">
      <w:pPr>
        <w:spacing w:after="0" w:line="240" w:lineRule="auto"/>
        <w:jc w:val="both"/>
        <w:rPr>
          <w:rFonts w:ascii="Arial Narrow" w:hAnsi="Arial Narrow"/>
          <w:b/>
          <w:bCs/>
        </w:rPr>
      </w:pPr>
    </w:p>
    <w:p w14:paraId="1FEA82D7" w14:textId="36F15369" w:rsidR="00B2421B" w:rsidRPr="006E1110" w:rsidRDefault="00B2421B" w:rsidP="006E1110">
      <w:pPr>
        <w:spacing w:after="0" w:line="240" w:lineRule="auto"/>
        <w:jc w:val="both"/>
        <w:rPr>
          <w:rFonts w:ascii="Arial Narrow" w:hAnsi="Arial Narrow"/>
          <w:b/>
          <w:bCs/>
        </w:rPr>
      </w:pPr>
      <w:r w:rsidRPr="006E1110">
        <w:rPr>
          <w:rFonts w:ascii="Arial Narrow" w:hAnsi="Arial Narrow"/>
          <w:b/>
          <w:bCs/>
        </w:rPr>
        <w:t>Requerimiento de aclaraciones, soportes y análisis de razonabilidad</w:t>
      </w:r>
    </w:p>
    <w:p w14:paraId="02AA365F" w14:textId="77777777" w:rsidR="00B2421B" w:rsidRPr="006E1110" w:rsidRDefault="00B2421B" w:rsidP="006E1110">
      <w:pPr>
        <w:spacing w:after="0" w:line="240" w:lineRule="auto"/>
        <w:jc w:val="both"/>
        <w:rPr>
          <w:rFonts w:ascii="Arial Narrow" w:hAnsi="Arial Narrow"/>
          <w:b/>
          <w:bCs/>
        </w:rPr>
      </w:pPr>
    </w:p>
    <w:p w14:paraId="56F479D5"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Cuando, en la etapa de evaluación, una oferta sea identificada como posible oferta artificialmente baja con fundamento en cualquiera de las metodologías definidas en el presente estudio del sector y de mercado, la Alcaldía Municipal de Gachalá requerirá al proponente para que explique y soporte de manera suficiente, objetiva y verificable la razonabilidad de su oferta económica, dentro del término que se establezca para tal fin.</w:t>
      </w:r>
    </w:p>
    <w:p w14:paraId="7BF2B75F" w14:textId="77777777" w:rsidR="00B2421B" w:rsidRPr="006E1110" w:rsidRDefault="00B2421B" w:rsidP="006E1110">
      <w:pPr>
        <w:spacing w:after="0" w:line="240" w:lineRule="auto"/>
        <w:jc w:val="both"/>
        <w:rPr>
          <w:rFonts w:ascii="Arial Narrow" w:hAnsi="Arial Narrow"/>
        </w:rPr>
      </w:pPr>
    </w:p>
    <w:p w14:paraId="2971A3EF"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Las explicaciones presentadas por el proponente no podrán limitarse a manifestaciones genéricas, afirmaciones sin respaldo o simples declaraciones de conveniencia económica, sino que deberán estar plenamente acreditadas mediante documentos idóneos, que permitan a la Entidad verificar la veracidad, consistencia y viabilidad real de lo afirmado.</w:t>
      </w:r>
    </w:p>
    <w:p w14:paraId="07AADB5F" w14:textId="77777777" w:rsidR="00B2421B" w:rsidRPr="006E1110" w:rsidRDefault="00B2421B" w:rsidP="006E1110">
      <w:pPr>
        <w:spacing w:after="0" w:line="240" w:lineRule="auto"/>
        <w:jc w:val="both"/>
        <w:rPr>
          <w:rFonts w:ascii="Arial Narrow" w:hAnsi="Arial Narrow"/>
        </w:rPr>
      </w:pPr>
    </w:p>
    <w:p w14:paraId="40AE934B"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El proponente deberá aportar, según la naturaleza del objeto contractual, como mínimo y sin perjuicio de otros que resulten pertinentes, los siguientes soportes:</w:t>
      </w:r>
    </w:p>
    <w:p w14:paraId="04557E8A" w14:textId="77777777" w:rsidR="00B2421B" w:rsidRPr="006E1110" w:rsidRDefault="00B2421B" w:rsidP="006E1110">
      <w:pPr>
        <w:spacing w:after="0" w:line="240" w:lineRule="auto"/>
        <w:jc w:val="both"/>
        <w:rPr>
          <w:rFonts w:ascii="Arial Narrow" w:hAnsi="Arial Narrow"/>
        </w:rPr>
      </w:pPr>
    </w:p>
    <w:p w14:paraId="711B457D" w14:textId="187D1F25" w:rsidR="00B2421B" w:rsidRPr="006E1110" w:rsidRDefault="00B2421B" w:rsidP="006E1110">
      <w:pPr>
        <w:pStyle w:val="Prrafodelista"/>
        <w:spacing w:after="0" w:line="240" w:lineRule="auto"/>
        <w:ind w:left="0"/>
        <w:jc w:val="both"/>
        <w:rPr>
          <w:rFonts w:ascii="Arial Narrow" w:hAnsi="Arial Narrow"/>
        </w:rPr>
      </w:pPr>
      <w:r w:rsidRPr="006E1110">
        <w:rPr>
          <w:rFonts w:ascii="Arial Narrow" w:hAnsi="Arial Narrow"/>
        </w:rPr>
        <w:t>Desagregación detallada de los costos directos e indirectos de la oferta.</w:t>
      </w:r>
    </w:p>
    <w:p w14:paraId="15602507" w14:textId="767C2B1F" w:rsidR="00B2421B" w:rsidRPr="006E1110" w:rsidRDefault="00B2421B" w:rsidP="006E1110">
      <w:pPr>
        <w:pStyle w:val="Prrafodelista"/>
        <w:spacing w:after="0" w:line="240" w:lineRule="auto"/>
        <w:ind w:left="0"/>
        <w:jc w:val="both"/>
        <w:rPr>
          <w:rFonts w:ascii="Arial Narrow" w:hAnsi="Arial Narrow"/>
        </w:rPr>
      </w:pPr>
      <w:r w:rsidRPr="006E1110">
        <w:rPr>
          <w:rFonts w:ascii="Arial Narrow" w:hAnsi="Arial Narrow"/>
        </w:rPr>
        <w:t>Soporte de los supuestos técnicos, operativos y financieros considerados para la determinación del precio.</w:t>
      </w:r>
    </w:p>
    <w:p w14:paraId="57158D1A" w14:textId="750AC0D8" w:rsidR="00B2421B" w:rsidRPr="006E1110" w:rsidRDefault="00B2421B" w:rsidP="006E1110">
      <w:pPr>
        <w:pStyle w:val="Prrafodelista"/>
        <w:spacing w:after="0" w:line="240" w:lineRule="auto"/>
        <w:ind w:left="0"/>
        <w:jc w:val="both"/>
        <w:rPr>
          <w:rFonts w:ascii="Arial Narrow" w:hAnsi="Arial Narrow"/>
        </w:rPr>
      </w:pPr>
      <w:r w:rsidRPr="006E1110">
        <w:rPr>
          <w:rFonts w:ascii="Arial Narrow" w:hAnsi="Arial Narrow"/>
        </w:rPr>
        <w:t>En caso de alegarse economías de escala, economías de alcance o disponibilidad de inventarios, certificación del inventario real, firmada por contador público y representante legal, acompañada de los soportes contables que permitan verificar su existencia, cantidad y valoración.</w:t>
      </w:r>
    </w:p>
    <w:p w14:paraId="6946B1C8" w14:textId="264C18A0" w:rsidR="00B2421B" w:rsidRPr="006E1110" w:rsidRDefault="00B2421B" w:rsidP="006E1110">
      <w:pPr>
        <w:pStyle w:val="Prrafodelista"/>
        <w:spacing w:after="0" w:line="240" w:lineRule="auto"/>
        <w:ind w:left="0"/>
        <w:jc w:val="both"/>
        <w:rPr>
          <w:rFonts w:ascii="Arial Narrow" w:hAnsi="Arial Narrow"/>
        </w:rPr>
      </w:pPr>
      <w:r w:rsidRPr="006E1110">
        <w:rPr>
          <w:rFonts w:ascii="Arial Narrow" w:hAnsi="Arial Narrow"/>
        </w:rPr>
        <w:t>En caso de invocar acuerdos con proveedores, cotizaciones, contratos, órdenes de compra u otros documentos que respalden las condiciones económicas alegadas.</w:t>
      </w:r>
    </w:p>
    <w:p w14:paraId="42D35A14" w14:textId="76054A70" w:rsidR="00B2421B" w:rsidRPr="006E1110" w:rsidRDefault="00B2421B" w:rsidP="006E1110">
      <w:pPr>
        <w:pStyle w:val="Prrafodelista"/>
        <w:spacing w:after="0" w:line="240" w:lineRule="auto"/>
        <w:ind w:left="0"/>
        <w:jc w:val="both"/>
        <w:rPr>
          <w:rFonts w:ascii="Arial Narrow" w:hAnsi="Arial Narrow"/>
        </w:rPr>
      </w:pPr>
      <w:r w:rsidRPr="006E1110">
        <w:rPr>
          <w:rFonts w:ascii="Arial Narrow" w:hAnsi="Arial Narrow"/>
        </w:rPr>
        <w:t>Evidencia de que el valor ofertado permite cumplir con las especificaciones técnicas, los plazos, la calidad exigida y las obligaciones contractuales.</w:t>
      </w:r>
    </w:p>
    <w:p w14:paraId="41337A2C" w14:textId="77777777" w:rsidR="00B2421B" w:rsidRPr="006E1110" w:rsidRDefault="00B2421B" w:rsidP="006E1110">
      <w:pPr>
        <w:pStyle w:val="Prrafodelista"/>
        <w:spacing w:after="0" w:line="240" w:lineRule="auto"/>
        <w:ind w:left="0"/>
        <w:jc w:val="both"/>
        <w:rPr>
          <w:rFonts w:ascii="Arial Narrow" w:hAnsi="Arial Narrow"/>
        </w:rPr>
      </w:pPr>
      <w:r w:rsidRPr="006E1110">
        <w:rPr>
          <w:rFonts w:ascii="Arial Narrow" w:hAnsi="Arial Narrow"/>
        </w:rPr>
        <w:t>Identificación de los riesgos asociados a la ejecución del contrato y las medidas concretas previstas para su mitigación, sin trasladar dichos riesgos a la Entidad.</w:t>
      </w:r>
    </w:p>
    <w:p w14:paraId="6EE2B9B5" w14:textId="77777777" w:rsidR="00B2421B" w:rsidRPr="006E1110" w:rsidRDefault="00B2421B" w:rsidP="006E1110">
      <w:pPr>
        <w:spacing w:after="0" w:line="240" w:lineRule="auto"/>
        <w:jc w:val="both"/>
        <w:rPr>
          <w:rFonts w:ascii="Arial Narrow" w:hAnsi="Arial Narrow"/>
        </w:rPr>
      </w:pPr>
    </w:p>
    <w:p w14:paraId="0AFB38C9"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Parágrafo. La Entidad no tendrá en cuenta explicaciones que no se encuentren debidamente soportadas con documentos verificables, ni aquellas que resulten inconsistentes con el estudio del sector, el análisis histórico del mercado o las condiciones reales del sector económico correspondiente.</w:t>
      </w:r>
    </w:p>
    <w:p w14:paraId="62BE3D60" w14:textId="77777777" w:rsidR="00B2421B" w:rsidRPr="006E1110" w:rsidRDefault="00B2421B" w:rsidP="006E1110">
      <w:pPr>
        <w:spacing w:after="0" w:line="240" w:lineRule="auto"/>
        <w:jc w:val="both"/>
        <w:rPr>
          <w:rFonts w:ascii="Arial Narrow" w:hAnsi="Arial Narrow"/>
          <w:b/>
          <w:bCs/>
        </w:rPr>
      </w:pPr>
    </w:p>
    <w:p w14:paraId="37457B38" w14:textId="4405989B" w:rsidR="00B2421B" w:rsidRPr="006E1110" w:rsidRDefault="00B2421B" w:rsidP="006E1110">
      <w:pPr>
        <w:spacing w:after="0" w:line="240" w:lineRule="auto"/>
        <w:jc w:val="both"/>
        <w:rPr>
          <w:rFonts w:ascii="Arial Narrow" w:hAnsi="Arial Narrow"/>
          <w:b/>
          <w:bCs/>
        </w:rPr>
      </w:pPr>
      <w:r w:rsidRPr="006E1110">
        <w:rPr>
          <w:rFonts w:ascii="Arial Narrow" w:hAnsi="Arial Narrow"/>
          <w:b/>
          <w:bCs/>
        </w:rPr>
        <w:t>Criterios para la determinación de la condición de oferta artificialmente baja</w:t>
      </w:r>
    </w:p>
    <w:p w14:paraId="7F94EA08" w14:textId="77777777" w:rsidR="00B2421B" w:rsidRPr="006E1110" w:rsidRDefault="00B2421B" w:rsidP="006E1110">
      <w:pPr>
        <w:spacing w:after="0" w:line="240" w:lineRule="auto"/>
        <w:jc w:val="both"/>
        <w:rPr>
          <w:rFonts w:ascii="Arial Narrow" w:hAnsi="Arial Narrow"/>
          <w:b/>
          <w:bCs/>
        </w:rPr>
      </w:pPr>
    </w:p>
    <w:p w14:paraId="0EE33B2E"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Con base en el análisis integral de las aclaraciones y soportes presentados, y atendiendo los referentes sectoriales, históricos y metodológicos definidos en el presente estudio del sector y de mercado, la Entidad adoptará una decisión debidamente motivada, conforme a las siguientes reglas:</w:t>
      </w:r>
    </w:p>
    <w:p w14:paraId="3E621A5E" w14:textId="77777777" w:rsidR="00B2421B" w:rsidRPr="006E1110" w:rsidRDefault="00B2421B" w:rsidP="006E1110">
      <w:pPr>
        <w:spacing w:after="0" w:line="240" w:lineRule="auto"/>
        <w:jc w:val="both"/>
        <w:rPr>
          <w:rFonts w:ascii="Arial Narrow" w:hAnsi="Arial Narrow"/>
          <w:b/>
          <w:bCs/>
        </w:rPr>
      </w:pPr>
    </w:p>
    <w:p w14:paraId="549A6D00" w14:textId="4642F317" w:rsidR="00B2421B" w:rsidRPr="006E1110" w:rsidRDefault="00B2421B" w:rsidP="006E1110">
      <w:pPr>
        <w:spacing w:after="0" w:line="240" w:lineRule="auto"/>
        <w:jc w:val="both"/>
        <w:rPr>
          <w:rFonts w:ascii="Arial Narrow" w:hAnsi="Arial Narrow"/>
          <w:b/>
          <w:bCs/>
        </w:rPr>
      </w:pPr>
      <w:r w:rsidRPr="006E1110">
        <w:rPr>
          <w:rFonts w:ascii="Arial Narrow" w:hAnsi="Arial Narrow"/>
          <w:b/>
          <w:bCs/>
        </w:rPr>
        <w:t>Oferta no artificialmente baja</w:t>
      </w:r>
    </w:p>
    <w:p w14:paraId="43548592" w14:textId="77777777" w:rsidR="00B2421B" w:rsidRPr="006E1110" w:rsidRDefault="00B2421B" w:rsidP="006E1110">
      <w:pPr>
        <w:spacing w:after="0" w:line="240" w:lineRule="auto"/>
        <w:jc w:val="both"/>
        <w:rPr>
          <w:rFonts w:ascii="Arial Narrow" w:hAnsi="Arial Narrow"/>
          <w:b/>
          <w:bCs/>
        </w:rPr>
      </w:pPr>
    </w:p>
    <w:p w14:paraId="1C951373"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Se considerará que una oferta no es artificialmente baja cuando el proponente demuestre, de manera suficiente, objetiva y documentada, que el valor ofertado es razonable, ejecutable y sostenible, y que obedece a condiciones reales del mercado o a eficiencias propias de su estructura de costos, sin comprometer la calidad, los plazos ni el cumplimiento integral del contrato.</w:t>
      </w:r>
    </w:p>
    <w:p w14:paraId="1E17DB5A" w14:textId="77777777" w:rsidR="00B2421B" w:rsidRPr="006E1110" w:rsidRDefault="00B2421B" w:rsidP="006E1110">
      <w:pPr>
        <w:spacing w:after="0" w:line="240" w:lineRule="auto"/>
        <w:jc w:val="both"/>
        <w:rPr>
          <w:rFonts w:ascii="Arial Narrow" w:hAnsi="Arial Narrow"/>
          <w:b/>
          <w:bCs/>
        </w:rPr>
      </w:pPr>
    </w:p>
    <w:p w14:paraId="1446C47E" w14:textId="117491B3" w:rsidR="00B2421B" w:rsidRPr="006E1110" w:rsidRDefault="00B2421B" w:rsidP="006E1110">
      <w:pPr>
        <w:spacing w:after="0" w:line="240" w:lineRule="auto"/>
        <w:jc w:val="both"/>
        <w:rPr>
          <w:rFonts w:ascii="Arial Narrow" w:hAnsi="Arial Narrow"/>
          <w:b/>
          <w:bCs/>
        </w:rPr>
      </w:pPr>
      <w:r w:rsidRPr="006E1110">
        <w:rPr>
          <w:rFonts w:ascii="Arial Narrow" w:hAnsi="Arial Narrow"/>
          <w:b/>
          <w:bCs/>
        </w:rPr>
        <w:t>Oferta artificialmente baja</w:t>
      </w:r>
    </w:p>
    <w:p w14:paraId="79ECE379" w14:textId="77777777" w:rsidR="00B2421B" w:rsidRPr="006E1110" w:rsidRDefault="00B2421B" w:rsidP="006E1110">
      <w:pPr>
        <w:spacing w:after="0" w:line="240" w:lineRule="auto"/>
        <w:jc w:val="both"/>
        <w:rPr>
          <w:rFonts w:ascii="Arial Narrow" w:hAnsi="Arial Narrow"/>
          <w:b/>
          <w:bCs/>
        </w:rPr>
      </w:pPr>
    </w:p>
    <w:p w14:paraId="0FDF80A9"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Se considerará que una oferta es artificialmente baja cuando el proponente no atienda el requerimiento de aclaración, lo haga de forma incompleta, no allegue los soportes exigidos, o cuando del análisis integral se evidencie que el precio ofertado no resulta razonable ni viable y compromete la correcta ejecución del objeto contractual, la calidad, los plazos o el cumplimiento de las obligaciones contractuales.</w:t>
      </w:r>
    </w:p>
    <w:p w14:paraId="0C5795DC" w14:textId="77777777" w:rsidR="00B2421B" w:rsidRPr="006E1110" w:rsidRDefault="00B2421B" w:rsidP="006E1110">
      <w:pPr>
        <w:spacing w:after="0" w:line="240" w:lineRule="auto"/>
        <w:jc w:val="both"/>
        <w:rPr>
          <w:rFonts w:ascii="Arial Narrow" w:hAnsi="Arial Narrow"/>
        </w:rPr>
      </w:pPr>
    </w:p>
    <w:p w14:paraId="171CD0D2" w14:textId="4006396C" w:rsidR="00B2421B" w:rsidRPr="006E1110" w:rsidRDefault="00B2421B" w:rsidP="006E1110">
      <w:pPr>
        <w:spacing w:after="0" w:line="240" w:lineRule="auto"/>
        <w:jc w:val="both"/>
        <w:rPr>
          <w:rFonts w:ascii="Arial Narrow" w:hAnsi="Arial Narrow"/>
          <w:b/>
          <w:bCs/>
        </w:rPr>
      </w:pPr>
      <w:r w:rsidRPr="006E1110">
        <w:rPr>
          <w:rFonts w:ascii="Arial Narrow" w:hAnsi="Arial Narrow"/>
          <w:b/>
          <w:bCs/>
        </w:rPr>
        <w:t>Motivación y constancia en el expediente contractual</w:t>
      </w:r>
    </w:p>
    <w:p w14:paraId="4783CF19" w14:textId="77777777" w:rsidR="00B2421B" w:rsidRPr="006E1110" w:rsidRDefault="00B2421B" w:rsidP="006E1110">
      <w:pPr>
        <w:spacing w:after="0" w:line="240" w:lineRule="auto"/>
        <w:jc w:val="both"/>
        <w:rPr>
          <w:rFonts w:ascii="Arial Narrow" w:hAnsi="Arial Narrow"/>
          <w:b/>
          <w:bCs/>
        </w:rPr>
      </w:pPr>
    </w:p>
    <w:p w14:paraId="26ACBE83"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La Alcaldía Municipal de Gachalá dejará constancia expresa en el expediente del proceso de contratación de:</w:t>
      </w:r>
    </w:p>
    <w:p w14:paraId="4C15658E" w14:textId="77777777" w:rsidR="00B2421B" w:rsidRPr="006E1110" w:rsidRDefault="00B2421B" w:rsidP="006E1110">
      <w:pPr>
        <w:spacing w:after="0" w:line="240" w:lineRule="auto"/>
        <w:jc w:val="both"/>
        <w:rPr>
          <w:rFonts w:ascii="Arial Narrow" w:hAnsi="Arial Narrow"/>
        </w:rPr>
      </w:pPr>
    </w:p>
    <w:p w14:paraId="6C0582E9" w14:textId="3815C0DB" w:rsidR="00B2421B" w:rsidRPr="006E1110" w:rsidRDefault="00B2421B" w:rsidP="006E1110">
      <w:pPr>
        <w:pStyle w:val="Prrafodelista"/>
        <w:spacing w:after="0" w:line="240" w:lineRule="auto"/>
        <w:ind w:left="0"/>
        <w:jc w:val="both"/>
        <w:rPr>
          <w:rFonts w:ascii="Arial Narrow" w:hAnsi="Arial Narrow"/>
        </w:rPr>
      </w:pPr>
      <w:r w:rsidRPr="006E1110">
        <w:rPr>
          <w:rFonts w:ascii="Arial Narrow" w:hAnsi="Arial Narrow"/>
        </w:rPr>
        <w:t>La metodología sectorial aplicada.</w:t>
      </w:r>
    </w:p>
    <w:p w14:paraId="7800262E" w14:textId="766757F1" w:rsidR="00B2421B" w:rsidRPr="006E1110" w:rsidRDefault="00B2421B" w:rsidP="006E1110">
      <w:pPr>
        <w:pStyle w:val="Prrafodelista"/>
        <w:spacing w:after="0" w:line="240" w:lineRule="auto"/>
        <w:ind w:left="0"/>
        <w:jc w:val="both"/>
        <w:rPr>
          <w:rFonts w:ascii="Arial Narrow" w:hAnsi="Arial Narrow"/>
        </w:rPr>
      </w:pPr>
      <w:r w:rsidRPr="006E1110">
        <w:rPr>
          <w:rFonts w:ascii="Arial Narrow" w:hAnsi="Arial Narrow"/>
        </w:rPr>
        <w:t>Los valores de referencia utilizados (valor estimado, comparación relativa o promedio histórico sectorial).</w:t>
      </w:r>
    </w:p>
    <w:p w14:paraId="10A78CA0" w14:textId="35E4722F" w:rsidR="00B2421B" w:rsidRPr="006E1110" w:rsidRDefault="00B2421B" w:rsidP="006E1110">
      <w:pPr>
        <w:pStyle w:val="Prrafodelista"/>
        <w:spacing w:after="0" w:line="240" w:lineRule="auto"/>
        <w:ind w:left="0"/>
        <w:jc w:val="both"/>
        <w:rPr>
          <w:rFonts w:ascii="Arial Narrow" w:hAnsi="Arial Narrow"/>
        </w:rPr>
      </w:pPr>
      <w:r w:rsidRPr="006E1110">
        <w:rPr>
          <w:rFonts w:ascii="Arial Narrow" w:hAnsi="Arial Narrow"/>
        </w:rPr>
        <w:t>El análisis de los soportes aportados por el proponente.</w:t>
      </w:r>
    </w:p>
    <w:p w14:paraId="06CA9D9C" w14:textId="77777777" w:rsidR="00B2421B" w:rsidRPr="006E1110" w:rsidRDefault="00B2421B" w:rsidP="006E1110">
      <w:pPr>
        <w:pStyle w:val="Prrafodelista"/>
        <w:spacing w:after="0" w:line="240" w:lineRule="auto"/>
        <w:ind w:left="0"/>
        <w:jc w:val="both"/>
        <w:rPr>
          <w:rFonts w:ascii="Arial Narrow" w:hAnsi="Arial Narrow"/>
        </w:rPr>
      </w:pPr>
      <w:r w:rsidRPr="006E1110">
        <w:rPr>
          <w:rFonts w:ascii="Arial Narrow" w:hAnsi="Arial Narrow"/>
        </w:rPr>
        <w:t>Las razones técnicas, económicas y jurídicas que sustentan la decisión adoptada.</w:t>
      </w:r>
    </w:p>
    <w:p w14:paraId="260D2817" w14:textId="77777777" w:rsidR="00B2421B" w:rsidRPr="006E1110" w:rsidRDefault="00B2421B" w:rsidP="006E1110">
      <w:pPr>
        <w:spacing w:after="0" w:line="240" w:lineRule="auto"/>
        <w:jc w:val="both"/>
        <w:rPr>
          <w:rFonts w:ascii="Arial Narrow" w:hAnsi="Arial Narrow"/>
        </w:rPr>
      </w:pPr>
    </w:p>
    <w:p w14:paraId="61C7B998"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En los procesos adelantados bajo la modalidad de mínima cuantía, en los cuales no existe acto administrativo de adjudicación, la Entidad efectuará dicho análisis y dejará la correspondiente motivación antes de la aceptación de la oferta seleccionada, garantizando la trazabilidad del análisis desde el estudio del sector hasta la etapa de evaluación.</w:t>
      </w:r>
    </w:p>
    <w:p w14:paraId="073E3899" w14:textId="77777777" w:rsidR="00B2421B" w:rsidRPr="006E1110" w:rsidRDefault="00B2421B" w:rsidP="006E1110">
      <w:pPr>
        <w:spacing w:after="0" w:line="240" w:lineRule="auto"/>
        <w:jc w:val="both"/>
        <w:rPr>
          <w:rFonts w:ascii="Arial Narrow" w:hAnsi="Arial Narrow"/>
          <w:b/>
          <w:bCs/>
        </w:rPr>
      </w:pPr>
    </w:p>
    <w:p w14:paraId="790E0186" w14:textId="77777777" w:rsidR="00B2421B" w:rsidRPr="006E1110" w:rsidRDefault="00B2421B" w:rsidP="006E1110">
      <w:pPr>
        <w:spacing w:after="0" w:line="240" w:lineRule="auto"/>
        <w:jc w:val="both"/>
        <w:rPr>
          <w:rFonts w:ascii="Arial Narrow" w:hAnsi="Arial Narrow"/>
        </w:rPr>
      </w:pPr>
      <w:r w:rsidRPr="006E1110">
        <w:rPr>
          <w:rFonts w:ascii="Arial Narrow" w:hAnsi="Arial Narrow"/>
        </w:rPr>
        <w:t>Para efectos de estandarizar y facilitar el análisis, la Entidad podrá utilizar herramientas de cálculo en hoja de cálculo que permitan determinar la mediana, la desviación estándar y el valor mínimo aceptable, conforme a las metodologías previstas por Colombia Compra Eficiente.</w:t>
      </w:r>
    </w:p>
    <w:p w14:paraId="295D6E81" w14:textId="77777777" w:rsidR="00B2421B" w:rsidRPr="006E1110" w:rsidRDefault="00B2421B" w:rsidP="006E1110">
      <w:pPr>
        <w:spacing w:after="0" w:line="240" w:lineRule="auto"/>
        <w:jc w:val="both"/>
        <w:rPr>
          <w:rFonts w:ascii="Arial Narrow" w:hAnsi="Arial Narrow"/>
        </w:rPr>
      </w:pPr>
    </w:p>
    <w:p w14:paraId="5E8A5DB9" w14:textId="006506BC" w:rsidR="00C80455" w:rsidRPr="006E1110" w:rsidRDefault="00B2421B" w:rsidP="006E1110">
      <w:pPr>
        <w:spacing w:after="0" w:line="240" w:lineRule="auto"/>
        <w:jc w:val="both"/>
        <w:rPr>
          <w:rFonts w:ascii="Arial Narrow" w:hAnsi="Arial Narrow"/>
        </w:rPr>
      </w:pPr>
      <w:r w:rsidRPr="006E1110">
        <w:rPr>
          <w:rFonts w:ascii="Arial Narrow" w:hAnsi="Arial Narrow"/>
        </w:rPr>
        <w:t>Estas herramientas constituirán un apoyo técnico, y en ningún caso reemplazarán el análisis integral, material y razonado de cada caso concreto, ni eximirán a la Entidad del deber de motivar sus decisiones con fundamento en el estudio del sector y de mercado.</w:t>
      </w:r>
    </w:p>
    <w:p w14:paraId="08DA3491" w14:textId="77777777" w:rsidR="00BF2BF7" w:rsidRPr="006E1110" w:rsidRDefault="00BF2BF7" w:rsidP="006E1110">
      <w:pPr>
        <w:spacing w:after="0" w:line="240" w:lineRule="auto"/>
        <w:jc w:val="both"/>
        <w:rPr>
          <w:rFonts w:ascii="Arial Narrow" w:hAnsi="Arial Narrow"/>
        </w:rPr>
      </w:pPr>
    </w:p>
    <w:p w14:paraId="71EDB508" w14:textId="61968A92" w:rsidR="00D02252" w:rsidRPr="006E1110" w:rsidRDefault="00BD3C53" w:rsidP="006E1110">
      <w:pPr>
        <w:spacing w:after="0" w:line="240" w:lineRule="auto"/>
        <w:jc w:val="both"/>
        <w:rPr>
          <w:rFonts w:ascii="Arial Narrow" w:hAnsi="Arial Narrow"/>
          <w:b/>
          <w:bCs/>
        </w:rPr>
      </w:pPr>
      <w:r w:rsidRPr="006E1110">
        <w:rPr>
          <w:rFonts w:ascii="Arial Narrow" w:hAnsi="Arial Narrow"/>
          <w:b/>
          <w:bCs/>
        </w:rPr>
        <w:t>ANALISIS DEL MERCADO</w:t>
      </w:r>
    </w:p>
    <w:p w14:paraId="4DAF4A14" w14:textId="77777777" w:rsidR="001435A8" w:rsidRPr="006E1110" w:rsidRDefault="001435A8" w:rsidP="006E1110">
      <w:pPr>
        <w:spacing w:after="0" w:line="240" w:lineRule="auto"/>
        <w:jc w:val="both"/>
        <w:rPr>
          <w:rFonts w:ascii="Arial Narrow" w:hAnsi="Arial Narrow"/>
        </w:rPr>
      </w:pPr>
    </w:p>
    <w:p w14:paraId="1F6C4B57" w14:textId="77777777" w:rsidR="006E1110" w:rsidRDefault="006E1110" w:rsidP="006E1110">
      <w:pPr>
        <w:spacing w:after="0" w:line="240" w:lineRule="auto"/>
        <w:jc w:val="both"/>
        <w:rPr>
          <w:rFonts w:ascii="Arial Narrow" w:eastAsia="Arial Narrow" w:hAnsi="Arial Narrow" w:cs="Arial Narrow"/>
          <w:color w:val="000000"/>
        </w:rPr>
      </w:pPr>
      <w:r w:rsidRPr="00786456">
        <w:rPr>
          <w:rFonts w:ascii="Arial Narrow" w:eastAsia="Arial Narrow" w:hAnsi="Arial Narrow" w:cs="Arial Narrow"/>
          <w:color w:val="000000"/>
        </w:rPr>
        <w:lastRenderedPageBreak/>
        <w:t>La Alcaldía Municipal de Gachalá estimó el valor del presupuesto con base en las visitas técnicas adelantadas por la Oficina de Servicios Públicos Domiciliarios para determinar el diagnóstico y la necesidad actual de los seis (6) puntos concertados de muestreo, la estimación de las cantidades de obra a contratar y la aplicación de los valores fundamentados en los Análisis de Precios Unitarios establecidos por la Gobernación de Cundinamarca en la Cartilla de precios 2026, a través del Instituto de Infraestructura y Concesiones de Cundinamarca – ICCU –, calculados para la Provincia del Guavio y el Municipio de Gachalá, publicados en la página web de la entidad. Así mismo, los análisis de precios unitarios (APU) elaborados por la Oficina de Servicios Públicos Domiciliarios hacen parte integral del presente proceso.</w:t>
      </w:r>
    </w:p>
    <w:p w14:paraId="1893169C" w14:textId="77777777" w:rsidR="006E1110" w:rsidRPr="00786456" w:rsidRDefault="006E1110" w:rsidP="006E1110">
      <w:pPr>
        <w:spacing w:after="0" w:line="240" w:lineRule="auto"/>
        <w:jc w:val="both"/>
        <w:rPr>
          <w:rFonts w:ascii="Arial Narrow" w:hAnsi="Arial Narrow"/>
        </w:rPr>
      </w:pPr>
    </w:p>
    <w:p w14:paraId="5DD71585" w14:textId="77777777" w:rsidR="006E1110" w:rsidRDefault="006E1110" w:rsidP="006E1110">
      <w:pPr>
        <w:spacing w:after="0" w:line="240" w:lineRule="auto"/>
        <w:jc w:val="both"/>
        <w:rPr>
          <w:rFonts w:ascii="Arial Narrow" w:eastAsia="Arial Narrow" w:hAnsi="Arial Narrow" w:cs="Arial Narrow"/>
          <w:color w:val="000000"/>
        </w:rPr>
      </w:pPr>
      <w:r w:rsidRPr="00786456">
        <w:rPr>
          <w:rFonts w:ascii="Arial Narrow" w:eastAsia="Arial Narrow" w:hAnsi="Arial Narrow" w:cs="Arial Narrow"/>
          <w:color w:val="000000"/>
        </w:rPr>
        <w:t>Dado que el presente proceso corresponde a un contrato de obra pública, la estimación del valor no se sustenta en cotizaciones de mercado, sino en los valores unitarios de la Cartilla del ICCU y en los estudios y diseños del proyecto, conforme al siguiente cuadro de análisis:</w:t>
      </w:r>
    </w:p>
    <w:p w14:paraId="1F6167A9" w14:textId="77777777" w:rsidR="006E1110" w:rsidRPr="00786456" w:rsidRDefault="006E1110" w:rsidP="006E1110">
      <w:pPr>
        <w:spacing w:after="0" w:line="240" w:lineRule="auto"/>
        <w:jc w:val="both"/>
        <w:rPr>
          <w:rFonts w:ascii="Arial Narrow" w:hAnsi="Arial Narrow"/>
        </w:rPr>
      </w:pPr>
    </w:p>
    <w:tbl>
      <w:tblPr>
        <w:tblW w:w="50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65"/>
        <w:gridCol w:w="550"/>
        <w:gridCol w:w="2742"/>
        <w:gridCol w:w="575"/>
        <w:gridCol w:w="626"/>
        <w:gridCol w:w="1225"/>
        <w:gridCol w:w="1497"/>
      </w:tblGrid>
      <w:tr w:rsidR="006E1110" w:rsidRPr="00786456" w14:paraId="179823C8" w14:textId="77777777" w:rsidTr="00A75464">
        <w:trPr>
          <w:tblHeader/>
          <w:jc w:val="center"/>
        </w:trPr>
        <w:tc>
          <w:tcPr>
            <w:tcW w:w="1765" w:type="dxa"/>
            <w:tcBorders>
              <w:top w:val="single" w:sz="4" w:space="0" w:color="7F7F7F"/>
              <w:left w:val="single" w:sz="4" w:space="0" w:color="7F7F7F"/>
              <w:bottom w:val="single" w:sz="4" w:space="0" w:color="7F7F7F"/>
              <w:right w:val="single" w:sz="4" w:space="0" w:color="7F7F7F"/>
            </w:tcBorders>
            <w:shd w:val="clear" w:color="auto" w:fill="2E75B6"/>
            <w:tcMar>
              <w:top w:w="26" w:type="dxa"/>
              <w:left w:w="50" w:type="dxa"/>
              <w:bottom w:w="26" w:type="dxa"/>
              <w:right w:w="50" w:type="dxa"/>
            </w:tcMar>
            <w:vAlign w:val="center"/>
          </w:tcPr>
          <w:p w14:paraId="76D277C9"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FFFFFF"/>
              </w:rPr>
              <w:t>ESPECIFICACIÓN</w:t>
            </w:r>
          </w:p>
        </w:tc>
        <w:tc>
          <w:tcPr>
            <w:tcW w:w="553" w:type="dxa"/>
            <w:tcBorders>
              <w:top w:val="single" w:sz="4" w:space="0" w:color="7F7F7F"/>
              <w:left w:val="single" w:sz="4" w:space="0" w:color="7F7F7F"/>
              <w:bottom w:val="single" w:sz="4" w:space="0" w:color="7F7F7F"/>
              <w:right w:val="single" w:sz="4" w:space="0" w:color="7F7F7F"/>
            </w:tcBorders>
            <w:shd w:val="clear" w:color="auto" w:fill="2E75B6"/>
            <w:tcMar>
              <w:top w:w="26" w:type="dxa"/>
              <w:left w:w="50" w:type="dxa"/>
              <w:bottom w:w="26" w:type="dxa"/>
              <w:right w:w="50" w:type="dxa"/>
            </w:tcMar>
            <w:vAlign w:val="center"/>
          </w:tcPr>
          <w:p w14:paraId="034A5F79"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FFFFFF"/>
              </w:rPr>
              <w:t>ÍTEM</w:t>
            </w:r>
          </w:p>
        </w:tc>
        <w:tc>
          <w:tcPr>
            <w:tcW w:w="2875" w:type="dxa"/>
            <w:tcBorders>
              <w:top w:val="single" w:sz="4" w:space="0" w:color="7F7F7F"/>
              <w:left w:val="single" w:sz="4" w:space="0" w:color="7F7F7F"/>
              <w:bottom w:val="single" w:sz="4" w:space="0" w:color="7F7F7F"/>
              <w:right w:val="single" w:sz="4" w:space="0" w:color="7F7F7F"/>
            </w:tcBorders>
            <w:shd w:val="clear" w:color="auto" w:fill="2E75B6"/>
            <w:tcMar>
              <w:top w:w="26" w:type="dxa"/>
              <w:left w:w="50" w:type="dxa"/>
              <w:bottom w:w="26" w:type="dxa"/>
              <w:right w:w="50" w:type="dxa"/>
            </w:tcMar>
            <w:vAlign w:val="center"/>
          </w:tcPr>
          <w:p w14:paraId="573D4566"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FFFFFF"/>
              </w:rPr>
              <w:t>DESCRIPCIÓN</w:t>
            </w:r>
          </w:p>
        </w:tc>
        <w:tc>
          <w:tcPr>
            <w:tcW w:w="588" w:type="dxa"/>
            <w:tcBorders>
              <w:top w:val="single" w:sz="4" w:space="0" w:color="7F7F7F"/>
              <w:left w:val="single" w:sz="4" w:space="0" w:color="7F7F7F"/>
              <w:bottom w:val="single" w:sz="4" w:space="0" w:color="7F7F7F"/>
              <w:right w:val="single" w:sz="4" w:space="0" w:color="7F7F7F"/>
            </w:tcBorders>
            <w:shd w:val="clear" w:color="auto" w:fill="2E75B6"/>
            <w:tcMar>
              <w:top w:w="26" w:type="dxa"/>
              <w:left w:w="50" w:type="dxa"/>
              <w:bottom w:w="26" w:type="dxa"/>
              <w:right w:w="50" w:type="dxa"/>
            </w:tcMar>
            <w:vAlign w:val="center"/>
          </w:tcPr>
          <w:p w14:paraId="649C4CD8"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FFFFFF"/>
              </w:rPr>
              <w:t>UND</w:t>
            </w:r>
          </w:p>
        </w:tc>
        <w:tc>
          <w:tcPr>
            <w:tcW w:w="630" w:type="dxa"/>
            <w:tcBorders>
              <w:top w:val="single" w:sz="4" w:space="0" w:color="7F7F7F"/>
              <w:left w:val="single" w:sz="4" w:space="0" w:color="7F7F7F"/>
              <w:bottom w:val="single" w:sz="4" w:space="0" w:color="7F7F7F"/>
              <w:right w:val="single" w:sz="4" w:space="0" w:color="7F7F7F"/>
            </w:tcBorders>
            <w:shd w:val="clear" w:color="auto" w:fill="2E75B6"/>
            <w:tcMar>
              <w:top w:w="26" w:type="dxa"/>
              <w:left w:w="50" w:type="dxa"/>
              <w:bottom w:w="26" w:type="dxa"/>
              <w:right w:w="50" w:type="dxa"/>
            </w:tcMar>
            <w:vAlign w:val="center"/>
          </w:tcPr>
          <w:p w14:paraId="5B3CF5CD"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FFFFFF"/>
              </w:rPr>
              <w:t>CANT</w:t>
            </w:r>
          </w:p>
        </w:tc>
        <w:tc>
          <w:tcPr>
            <w:tcW w:w="1264" w:type="dxa"/>
            <w:tcBorders>
              <w:top w:val="single" w:sz="4" w:space="0" w:color="7F7F7F"/>
              <w:left w:val="single" w:sz="4" w:space="0" w:color="7F7F7F"/>
              <w:bottom w:val="single" w:sz="4" w:space="0" w:color="7F7F7F"/>
              <w:right w:val="single" w:sz="4" w:space="0" w:color="7F7F7F"/>
            </w:tcBorders>
            <w:shd w:val="clear" w:color="auto" w:fill="2E75B6"/>
            <w:tcMar>
              <w:top w:w="26" w:type="dxa"/>
              <w:left w:w="50" w:type="dxa"/>
              <w:bottom w:w="26" w:type="dxa"/>
              <w:right w:w="50" w:type="dxa"/>
            </w:tcMar>
            <w:vAlign w:val="center"/>
          </w:tcPr>
          <w:p w14:paraId="4CAE9290"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FFFFFF"/>
              </w:rPr>
              <w:t>VR. UNITARIO</w:t>
            </w:r>
          </w:p>
        </w:tc>
        <w:tc>
          <w:tcPr>
            <w:tcW w:w="1534" w:type="dxa"/>
            <w:tcBorders>
              <w:top w:val="single" w:sz="4" w:space="0" w:color="7F7F7F"/>
              <w:left w:val="single" w:sz="4" w:space="0" w:color="7F7F7F"/>
              <w:bottom w:val="single" w:sz="4" w:space="0" w:color="7F7F7F"/>
              <w:right w:val="single" w:sz="4" w:space="0" w:color="7F7F7F"/>
            </w:tcBorders>
            <w:shd w:val="clear" w:color="auto" w:fill="2E75B6"/>
            <w:tcMar>
              <w:top w:w="26" w:type="dxa"/>
              <w:left w:w="50" w:type="dxa"/>
              <w:bottom w:w="26" w:type="dxa"/>
              <w:right w:w="50" w:type="dxa"/>
            </w:tcMar>
            <w:vAlign w:val="center"/>
          </w:tcPr>
          <w:p w14:paraId="60397707"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FFFFFF"/>
              </w:rPr>
              <w:t>VR. TOTAL</w:t>
            </w:r>
          </w:p>
        </w:tc>
      </w:tr>
      <w:tr w:rsidR="006E1110" w:rsidRPr="00786456" w14:paraId="021E0060"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42A17A23" w14:textId="77777777" w:rsidR="006E1110" w:rsidRPr="00786456" w:rsidRDefault="006E1110" w:rsidP="00A75464">
            <w:pPr>
              <w:spacing w:after="0" w:line="240" w:lineRule="auto"/>
              <w:jc w:val="center"/>
              <w:rPr>
                <w:rFonts w:ascii="Arial Narrow" w:hAnsi="Arial Narrow"/>
              </w:rPr>
            </w:pPr>
          </w:p>
        </w:tc>
        <w:tc>
          <w:tcPr>
            <w:tcW w:w="553"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47D75952"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000000"/>
              </w:rPr>
              <w:t>1</w:t>
            </w:r>
          </w:p>
        </w:tc>
        <w:tc>
          <w:tcPr>
            <w:tcW w:w="2875"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2B8A7901"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000000"/>
              </w:rPr>
              <w:t>PRELIMINARES</w:t>
            </w:r>
          </w:p>
        </w:tc>
        <w:tc>
          <w:tcPr>
            <w:tcW w:w="588"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7A50E983" w14:textId="77777777" w:rsidR="006E1110" w:rsidRPr="00786456" w:rsidRDefault="006E1110" w:rsidP="00A75464">
            <w:pPr>
              <w:spacing w:after="0" w:line="240" w:lineRule="auto"/>
              <w:jc w:val="center"/>
              <w:rPr>
                <w:rFonts w:ascii="Arial Narrow" w:hAnsi="Arial Narrow"/>
              </w:rPr>
            </w:pPr>
          </w:p>
        </w:tc>
        <w:tc>
          <w:tcPr>
            <w:tcW w:w="630"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0D1B31BE" w14:textId="77777777" w:rsidR="006E1110" w:rsidRPr="00786456" w:rsidRDefault="006E1110" w:rsidP="00A75464">
            <w:pPr>
              <w:spacing w:after="0" w:line="240" w:lineRule="auto"/>
              <w:jc w:val="center"/>
              <w:rPr>
                <w:rFonts w:ascii="Arial Narrow" w:hAnsi="Arial Narrow"/>
              </w:rPr>
            </w:pPr>
          </w:p>
        </w:tc>
        <w:tc>
          <w:tcPr>
            <w:tcW w:w="1264"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674FEFE8" w14:textId="77777777" w:rsidR="006E1110" w:rsidRPr="00786456" w:rsidRDefault="006E1110" w:rsidP="00A75464">
            <w:pPr>
              <w:spacing w:after="0" w:line="240" w:lineRule="auto"/>
              <w:jc w:val="center"/>
              <w:rPr>
                <w:rFonts w:ascii="Arial Narrow" w:hAnsi="Arial Narrow"/>
              </w:rPr>
            </w:pPr>
          </w:p>
        </w:tc>
        <w:tc>
          <w:tcPr>
            <w:tcW w:w="1534"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00B385BB" w14:textId="77777777" w:rsidR="006E1110" w:rsidRPr="00786456" w:rsidRDefault="006E1110" w:rsidP="00A75464">
            <w:pPr>
              <w:spacing w:after="0" w:line="240" w:lineRule="auto"/>
              <w:jc w:val="center"/>
              <w:rPr>
                <w:rFonts w:ascii="Arial Narrow" w:hAnsi="Arial Narrow"/>
              </w:rPr>
            </w:pPr>
          </w:p>
        </w:tc>
      </w:tr>
      <w:tr w:rsidR="006E1110" w:rsidRPr="00786456" w14:paraId="3D640633"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4010125"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ICCU_CONS_1.41.</w:t>
            </w:r>
          </w:p>
        </w:tc>
        <w:tc>
          <w:tcPr>
            <w:tcW w:w="553"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4595DC77"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1.01</w:t>
            </w:r>
          </w:p>
        </w:tc>
        <w:tc>
          <w:tcPr>
            <w:tcW w:w="287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2137A1AA" w14:textId="77777777" w:rsidR="006E1110" w:rsidRPr="00786456" w:rsidRDefault="006E1110" w:rsidP="00A75464">
            <w:pPr>
              <w:spacing w:after="0" w:line="240" w:lineRule="auto"/>
              <w:jc w:val="both"/>
              <w:rPr>
                <w:rFonts w:ascii="Arial Narrow" w:hAnsi="Arial Narrow"/>
              </w:rPr>
            </w:pPr>
            <w:r w:rsidRPr="00786456">
              <w:rPr>
                <w:rFonts w:ascii="Arial Narrow" w:eastAsia="Arial Narrow" w:hAnsi="Arial Narrow" w:cs="Arial Narrow"/>
                <w:color w:val="000000"/>
              </w:rPr>
              <w:t>LOCALIZACIÓN Y REPLANTEO DE ESTRUCTURA CON ELEMENTOS DE PRECISION</w:t>
            </w:r>
          </w:p>
        </w:tc>
        <w:tc>
          <w:tcPr>
            <w:tcW w:w="588"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6E41C7D4"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M2</w:t>
            </w:r>
          </w:p>
        </w:tc>
        <w:tc>
          <w:tcPr>
            <w:tcW w:w="630"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6C9BFE62"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6</w:t>
            </w:r>
          </w:p>
        </w:tc>
        <w:tc>
          <w:tcPr>
            <w:tcW w:w="126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77AE4DF"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$ 6.788</w:t>
            </w:r>
          </w:p>
        </w:tc>
        <w:tc>
          <w:tcPr>
            <w:tcW w:w="153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00AB0ED1"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$ 40.728</w:t>
            </w:r>
          </w:p>
        </w:tc>
      </w:tr>
      <w:tr w:rsidR="006E1110" w:rsidRPr="00786456" w14:paraId="2EE745A8"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414E94B1"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ICCU_CONS_1.16.</w:t>
            </w:r>
          </w:p>
        </w:tc>
        <w:tc>
          <w:tcPr>
            <w:tcW w:w="553"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7EAB1826"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1.02</w:t>
            </w:r>
          </w:p>
        </w:tc>
        <w:tc>
          <w:tcPr>
            <w:tcW w:w="287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04CA5F72" w14:textId="77777777" w:rsidR="006E1110" w:rsidRPr="00786456" w:rsidRDefault="006E1110" w:rsidP="00A75464">
            <w:pPr>
              <w:spacing w:after="0" w:line="240" w:lineRule="auto"/>
              <w:jc w:val="both"/>
              <w:rPr>
                <w:rFonts w:ascii="Arial Narrow" w:hAnsi="Arial Narrow"/>
              </w:rPr>
            </w:pPr>
            <w:r w:rsidRPr="00786456">
              <w:rPr>
                <w:rFonts w:ascii="Arial Narrow" w:eastAsia="Arial Narrow" w:hAnsi="Arial Narrow" w:cs="Arial Narrow"/>
                <w:color w:val="000000"/>
              </w:rPr>
              <w:t>DEMOLICION MUROS EN MAMPOSTERIA 0.15 M, INC RETIRO</w:t>
            </w:r>
          </w:p>
        </w:tc>
        <w:tc>
          <w:tcPr>
            <w:tcW w:w="588"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62BC52C8"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M2</w:t>
            </w:r>
          </w:p>
        </w:tc>
        <w:tc>
          <w:tcPr>
            <w:tcW w:w="630"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6DC0AF99"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8.64</w:t>
            </w:r>
          </w:p>
        </w:tc>
        <w:tc>
          <w:tcPr>
            <w:tcW w:w="126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141D84D5"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$ 26.178</w:t>
            </w:r>
          </w:p>
        </w:tc>
        <w:tc>
          <w:tcPr>
            <w:tcW w:w="153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4B7DA9C8"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$ 226.178</w:t>
            </w:r>
          </w:p>
        </w:tc>
      </w:tr>
      <w:tr w:rsidR="006E1110" w:rsidRPr="00786456" w14:paraId="2C176ACA"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79681C5D"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ICCU_CONS_1.27.</w:t>
            </w:r>
          </w:p>
        </w:tc>
        <w:tc>
          <w:tcPr>
            <w:tcW w:w="553"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2A150FED"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1.03</w:t>
            </w:r>
          </w:p>
        </w:tc>
        <w:tc>
          <w:tcPr>
            <w:tcW w:w="287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0510BF8F" w14:textId="77777777" w:rsidR="006E1110" w:rsidRPr="00786456" w:rsidRDefault="006E1110" w:rsidP="00A75464">
            <w:pPr>
              <w:spacing w:after="0" w:line="240" w:lineRule="auto"/>
              <w:jc w:val="both"/>
              <w:rPr>
                <w:rFonts w:ascii="Arial Narrow" w:hAnsi="Arial Narrow"/>
              </w:rPr>
            </w:pPr>
            <w:r w:rsidRPr="00786456">
              <w:rPr>
                <w:rFonts w:ascii="Arial Narrow" w:eastAsia="Arial Narrow" w:hAnsi="Arial Narrow" w:cs="Arial Narrow"/>
                <w:color w:val="000000"/>
              </w:rPr>
              <w:t>DEMOLICION PLACA PISO 0.15 M, INC. RETIRO</w:t>
            </w:r>
          </w:p>
        </w:tc>
        <w:tc>
          <w:tcPr>
            <w:tcW w:w="588"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6E9176DC"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M2</w:t>
            </w:r>
          </w:p>
        </w:tc>
        <w:tc>
          <w:tcPr>
            <w:tcW w:w="630"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D89D2AD"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6</w:t>
            </w:r>
          </w:p>
        </w:tc>
        <w:tc>
          <w:tcPr>
            <w:tcW w:w="126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0B642153"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$ 42.423</w:t>
            </w:r>
          </w:p>
        </w:tc>
        <w:tc>
          <w:tcPr>
            <w:tcW w:w="153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1B5F24E7"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$ 254.538</w:t>
            </w:r>
          </w:p>
        </w:tc>
      </w:tr>
      <w:tr w:rsidR="006E1110" w:rsidRPr="00786456" w14:paraId="3B8C6263"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19689C0E" w14:textId="77777777" w:rsidR="006E1110" w:rsidRPr="00786456" w:rsidRDefault="006E1110" w:rsidP="00A75464">
            <w:pPr>
              <w:spacing w:after="0" w:line="240" w:lineRule="auto"/>
              <w:jc w:val="center"/>
              <w:rPr>
                <w:rFonts w:ascii="Arial Narrow" w:hAnsi="Arial Narrow"/>
              </w:rPr>
            </w:pPr>
          </w:p>
        </w:tc>
        <w:tc>
          <w:tcPr>
            <w:tcW w:w="553"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5D37824D"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000000"/>
              </w:rPr>
              <w:t>2</w:t>
            </w:r>
          </w:p>
        </w:tc>
        <w:tc>
          <w:tcPr>
            <w:tcW w:w="2875"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358EAD2C"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000000"/>
              </w:rPr>
              <w:t>CONSTRUCCIÓN ESTRUCTURA NUEVA</w:t>
            </w:r>
          </w:p>
        </w:tc>
        <w:tc>
          <w:tcPr>
            <w:tcW w:w="588"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3D964BB9" w14:textId="77777777" w:rsidR="006E1110" w:rsidRPr="00786456" w:rsidRDefault="006E1110" w:rsidP="00A75464">
            <w:pPr>
              <w:spacing w:after="0" w:line="240" w:lineRule="auto"/>
              <w:jc w:val="center"/>
              <w:rPr>
                <w:rFonts w:ascii="Arial Narrow" w:hAnsi="Arial Narrow"/>
              </w:rPr>
            </w:pPr>
          </w:p>
        </w:tc>
        <w:tc>
          <w:tcPr>
            <w:tcW w:w="630"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49E3D0C6" w14:textId="77777777" w:rsidR="006E1110" w:rsidRPr="00786456" w:rsidRDefault="006E1110" w:rsidP="00A75464">
            <w:pPr>
              <w:spacing w:after="0" w:line="240" w:lineRule="auto"/>
              <w:jc w:val="center"/>
              <w:rPr>
                <w:rFonts w:ascii="Arial Narrow" w:hAnsi="Arial Narrow"/>
              </w:rPr>
            </w:pPr>
          </w:p>
        </w:tc>
        <w:tc>
          <w:tcPr>
            <w:tcW w:w="1264"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43CD0A3B" w14:textId="77777777" w:rsidR="006E1110" w:rsidRPr="00786456" w:rsidRDefault="006E1110" w:rsidP="00A75464">
            <w:pPr>
              <w:spacing w:after="0" w:line="240" w:lineRule="auto"/>
              <w:jc w:val="center"/>
              <w:rPr>
                <w:rFonts w:ascii="Arial Narrow" w:hAnsi="Arial Narrow"/>
              </w:rPr>
            </w:pPr>
          </w:p>
        </w:tc>
        <w:tc>
          <w:tcPr>
            <w:tcW w:w="1534"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2C0E4C28" w14:textId="77777777" w:rsidR="006E1110" w:rsidRPr="00786456" w:rsidRDefault="006E1110" w:rsidP="00A75464">
            <w:pPr>
              <w:spacing w:after="0" w:line="240" w:lineRule="auto"/>
              <w:jc w:val="center"/>
              <w:rPr>
                <w:rFonts w:ascii="Arial Narrow" w:hAnsi="Arial Narrow"/>
              </w:rPr>
            </w:pPr>
          </w:p>
        </w:tc>
      </w:tr>
      <w:tr w:rsidR="006E1110" w:rsidRPr="00786456" w14:paraId="21BC7AB7"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13A7513A"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ICCU_CONS_16.4.</w:t>
            </w:r>
          </w:p>
        </w:tc>
        <w:tc>
          <w:tcPr>
            <w:tcW w:w="553"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14E3C8B5"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2.01</w:t>
            </w:r>
          </w:p>
        </w:tc>
        <w:tc>
          <w:tcPr>
            <w:tcW w:w="287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019788CC" w14:textId="77777777" w:rsidR="006E1110" w:rsidRPr="00786456" w:rsidRDefault="006E1110" w:rsidP="00A75464">
            <w:pPr>
              <w:spacing w:after="0" w:line="240" w:lineRule="auto"/>
              <w:jc w:val="both"/>
              <w:rPr>
                <w:rFonts w:ascii="Arial Narrow" w:hAnsi="Arial Narrow"/>
              </w:rPr>
            </w:pPr>
            <w:r w:rsidRPr="00786456">
              <w:rPr>
                <w:rFonts w:ascii="Arial Narrow" w:eastAsia="Arial Narrow" w:hAnsi="Arial Narrow" w:cs="Arial Narrow"/>
                <w:color w:val="000000"/>
              </w:rPr>
              <w:t>EXCAVACION MANUAL EN MATERIAL COMPUN H=0.0-2.0 M (INCLUYE RETIRO SOBRANTES A UNA DISTANCIA MENOR DE 5 KM)</w:t>
            </w:r>
          </w:p>
        </w:tc>
        <w:tc>
          <w:tcPr>
            <w:tcW w:w="588"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2D67A0B3"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M3</w:t>
            </w:r>
          </w:p>
        </w:tc>
        <w:tc>
          <w:tcPr>
            <w:tcW w:w="630"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7B8CBB68"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1.2</w:t>
            </w:r>
          </w:p>
        </w:tc>
        <w:tc>
          <w:tcPr>
            <w:tcW w:w="126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60FE7BF4"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$ 375.691</w:t>
            </w:r>
          </w:p>
        </w:tc>
        <w:tc>
          <w:tcPr>
            <w:tcW w:w="153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1DE628EB"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$ 450.829</w:t>
            </w:r>
          </w:p>
        </w:tc>
      </w:tr>
      <w:tr w:rsidR="006E1110" w:rsidRPr="00786456" w14:paraId="590157AB"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6BC92EC"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APU 1</w:t>
            </w:r>
          </w:p>
        </w:tc>
        <w:tc>
          <w:tcPr>
            <w:tcW w:w="553"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1B5D5CC6"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2.02</w:t>
            </w:r>
          </w:p>
        </w:tc>
        <w:tc>
          <w:tcPr>
            <w:tcW w:w="287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67BCE720" w14:textId="77777777" w:rsidR="006E1110" w:rsidRPr="00786456" w:rsidRDefault="006E1110" w:rsidP="00A75464">
            <w:pPr>
              <w:spacing w:after="0" w:line="240" w:lineRule="auto"/>
              <w:jc w:val="both"/>
              <w:rPr>
                <w:rFonts w:ascii="Arial Narrow" w:hAnsi="Arial Narrow"/>
              </w:rPr>
            </w:pPr>
            <w:r w:rsidRPr="00786456">
              <w:rPr>
                <w:rFonts w:ascii="Arial Narrow" w:eastAsia="Arial Narrow" w:hAnsi="Arial Narrow" w:cs="Arial Narrow"/>
                <w:color w:val="000000"/>
              </w:rPr>
              <w:t>CAJA DE PROTECCIÓN 60X60</w:t>
            </w:r>
          </w:p>
        </w:tc>
        <w:tc>
          <w:tcPr>
            <w:tcW w:w="588"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4FBB69A"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UND</w:t>
            </w:r>
          </w:p>
        </w:tc>
        <w:tc>
          <w:tcPr>
            <w:tcW w:w="630"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7991513"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6</w:t>
            </w:r>
          </w:p>
        </w:tc>
        <w:tc>
          <w:tcPr>
            <w:tcW w:w="126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26CA5FA8"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$ 375.691</w:t>
            </w:r>
          </w:p>
        </w:tc>
        <w:tc>
          <w:tcPr>
            <w:tcW w:w="153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CC47D22"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$ 2.254.146</w:t>
            </w:r>
          </w:p>
        </w:tc>
      </w:tr>
      <w:tr w:rsidR="006E1110" w:rsidRPr="00786456" w14:paraId="40BE6D51"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238D1E8E"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ICCU_CONS_6.15.</w:t>
            </w:r>
          </w:p>
        </w:tc>
        <w:tc>
          <w:tcPr>
            <w:tcW w:w="553"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77D9E27B"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2.03</w:t>
            </w:r>
          </w:p>
        </w:tc>
        <w:tc>
          <w:tcPr>
            <w:tcW w:w="287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7CD29206" w14:textId="77777777" w:rsidR="006E1110" w:rsidRPr="00786456" w:rsidRDefault="006E1110" w:rsidP="00A75464">
            <w:pPr>
              <w:spacing w:after="0" w:line="240" w:lineRule="auto"/>
              <w:jc w:val="both"/>
              <w:rPr>
                <w:rFonts w:ascii="Arial Narrow" w:hAnsi="Arial Narrow"/>
              </w:rPr>
            </w:pPr>
            <w:r w:rsidRPr="00786456">
              <w:rPr>
                <w:rFonts w:ascii="Arial Narrow" w:eastAsia="Arial Narrow" w:hAnsi="Arial Narrow" w:cs="Arial Narrow"/>
                <w:color w:val="000000"/>
              </w:rPr>
              <w:t>PAÑETE IMPERMEABILIZADO MUROS 1:3, E=1.5 CM</w:t>
            </w:r>
          </w:p>
        </w:tc>
        <w:tc>
          <w:tcPr>
            <w:tcW w:w="588"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538EE6F"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M2</w:t>
            </w:r>
          </w:p>
        </w:tc>
        <w:tc>
          <w:tcPr>
            <w:tcW w:w="630"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641FF4B5"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25.2</w:t>
            </w:r>
          </w:p>
        </w:tc>
        <w:tc>
          <w:tcPr>
            <w:tcW w:w="126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8FBC289"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$ 35.284</w:t>
            </w:r>
          </w:p>
        </w:tc>
        <w:tc>
          <w:tcPr>
            <w:tcW w:w="153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2D62C222"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$ 889.157</w:t>
            </w:r>
          </w:p>
        </w:tc>
      </w:tr>
      <w:tr w:rsidR="006E1110" w:rsidRPr="00786456" w14:paraId="4A909E35"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64748388"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ICCU_CONS_18.29.</w:t>
            </w:r>
          </w:p>
        </w:tc>
        <w:tc>
          <w:tcPr>
            <w:tcW w:w="553"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64E6E0B4"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2.04</w:t>
            </w:r>
          </w:p>
        </w:tc>
        <w:tc>
          <w:tcPr>
            <w:tcW w:w="287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0847539A" w14:textId="77777777" w:rsidR="006E1110" w:rsidRPr="00786456" w:rsidRDefault="006E1110" w:rsidP="00A75464">
            <w:pPr>
              <w:spacing w:after="0" w:line="240" w:lineRule="auto"/>
              <w:jc w:val="both"/>
              <w:rPr>
                <w:rFonts w:ascii="Arial Narrow" w:hAnsi="Arial Narrow"/>
              </w:rPr>
            </w:pPr>
            <w:r w:rsidRPr="00786456">
              <w:rPr>
                <w:rFonts w:ascii="Arial Narrow" w:eastAsia="Arial Narrow" w:hAnsi="Arial Narrow" w:cs="Arial Narrow"/>
                <w:color w:val="000000"/>
              </w:rPr>
              <w:t>PINTURA TIPO KORAZA PARA EXTERIOR</w:t>
            </w:r>
          </w:p>
        </w:tc>
        <w:tc>
          <w:tcPr>
            <w:tcW w:w="588"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35EF83D"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M2</w:t>
            </w:r>
          </w:p>
        </w:tc>
        <w:tc>
          <w:tcPr>
            <w:tcW w:w="630"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D6605F7"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12.6</w:t>
            </w:r>
          </w:p>
        </w:tc>
        <w:tc>
          <w:tcPr>
            <w:tcW w:w="126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2DFFAB59"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$ 28.232</w:t>
            </w:r>
          </w:p>
        </w:tc>
        <w:tc>
          <w:tcPr>
            <w:tcW w:w="153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445D4E46"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$ 355.723</w:t>
            </w:r>
          </w:p>
        </w:tc>
      </w:tr>
      <w:tr w:rsidR="006E1110" w:rsidRPr="00786456" w14:paraId="5C468774"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29123BBC"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ICCU_CONS_14.1.</w:t>
            </w:r>
          </w:p>
        </w:tc>
        <w:tc>
          <w:tcPr>
            <w:tcW w:w="553"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B8A6507"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2.05</w:t>
            </w:r>
          </w:p>
        </w:tc>
        <w:tc>
          <w:tcPr>
            <w:tcW w:w="287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47528D31" w14:textId="77777777" w:rsidR="006E1110" w:rsidRPr="00786456" w:rsidRDefault="006E1110" w:rsidP="00A75464">
            <w:pPr>
              <w:spacing w:after="0" w:line="240" w:lineRule="auto"/>
              <w:jc w:val="both"/>
              <w:rPr>
                <w:rFonts w:ascii="Arial Narrow" w:hAnsi="Arial Narrow"/>
              </w:rPr>
            </w:pPr>
            <w:r w:rsidRPr="00786456">
              <w:rPr>
                <w:rFonts w:ascii="Arial Narrow" w:eastAsia="Arial Narrow" w:hAnsi="Arial Narrow" w:cs="Arial Narrow"/>
                <w:color w:val="000000"/>
              </w:rPr>
              <w:t>BALDOSA CERÁMICA PARED 20X20, CALIDAD PRIMERA</w:t>
            </w:r>
          </w:p>
        </w:tc>
        <w:tc>
          <w:tcPr>
            <w:tcW w:w="588"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44FF6DDD"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M2</w:t>
            </w:r>
          </w:p>
        </w:tc>
        <w:tc>
          <w:tcPr>
            <w:tcW w:w="630"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162681B1"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14.44</w:t>
            </w:r>
          </w:p>
        </w:tc>
        <w:tc>
          <w:tcPr>
            <w:tcW w:w="126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E4A24F0"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$ 91.086</w:t>
            </w:r>
          </w:p>
        </w:tc>
        <w:tc>
          <w:tcPr>
            <w:tcW w:w="153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D77E985"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$ 1.315.282</w:t>
            </w:r>
          </w:p>
        </w:tc>
      </w:tr>
      <w:tr w:rsidR="006E1110" w:rsidRPr="00786456" w14:paraId="14B63D9F"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18C75BD0"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ICCU_VIAS_4.6.</w:t>
            </w:r>
          </w:p>
        </w:tc>
        <w:tc>
          <w:tcPr>
            <w:tcW w:w="553"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319F8E7"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2.06</w:t>
            </w:r>
          </w:p>
        </w:tc>
        <w:tc>
          <w:tcPr>
            <w:tcW w:w="287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066E948E" w14:textId="77777777" w:rsidR="006E1110" w:rsidRPr="00786456" w:rsidRDefault="006E1110" w:rsidP="00A75464">
            <w:pPr>
              <w:spacing w:after="0" w:line="240" w:lineRule="auto"/>
              <w:jc w:val="both"/>
              <w:rPr>
                <w:rFonts w:ascii="Arial Narrow" w:hAnsi="Arial Narrow"/>
              </w:rPr>
            </w:pPr>
            <w:r w:rsidRPr="00786456">
              <w:rPr>
                <w:rFonts w:ascii="Arial Narrow" w:eastAsia="Arial Narrow" w:hAnsi="Arial Narrow" w:cs="Arial Narrow"/>
                <w:color w:val="000000"/>
              </w:rPr>
              <w:t xml:space="preserve">CONCRETO CLASE </w:t>
            </w:r>
            <w:proofErr w:type="spellStart"/>
            <w:r w:rsidRPr="00786456">
              <w:rPr>
                <w:rFonts w:ascii="Arial Narrow" w:eastAsia="Arial Narrow" w:hAnsi="Arial Narrow" w:cs="Arial Narrow"/>
                <w:color w:val="000000"/>
              </w:rPr>
              <w:t>D,f</w:t>
            </w:r>
            <w:proofErr w:type="spellEnd"/>
            <w:r w:rsidRPr="00786456">
              <w:rPr>
                <w:rFonts w:ascii="Arial Narrow" w:eastAsia="Arial Narrow" w:hAnsi="Arial Narrow" w:cs="Arial Narrow"/>
                <w:color w:val="000000"/>
              </w:rPr>
              <w:t>' c =3000 PSI (BASES)</w:t>
            </w:r>
          </w:p>
        </w:tc>
        <w:tc>
          <w:tcPr>
            <w:tcW w:w="588"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B45CEDF"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M3</w:t>
            </w:r>
          </w:p>
        </w:tc>
        <w:tc>
          <w:tcPr>
            <w:tcW w:w="630"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201E1F33"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0.38</w:t>
            </w:r>
          </w:p>
        </w:tc>
        <w:tc>
          <w:tcPr>
            <w:tcW w:w="126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E9FA75E"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$ 847.234</w:t>
            </w:r>
          </w:p>
        </w:tc>
        <w:tc>
          <w:tcPr>
            <w:tcW w:w="153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0DE491B3"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$ 321.949</w:t>
            </w:r>
          </w:p>
        </w:tc>
      </w:tr>
      <w:tr w:rsidR="006E1110" w:rsidRPr="00786456" w14:paraId="0FEC2F43"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2E66BC14"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ICCU_CONS_4.22.</w:t>
            </w:r>
          </w:p>
        </w:tc>
        <w:tc>
          <w:tcPr>
            <w:tcW w:w="553"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64A1166"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2.07</w:t>
            </w:r>
          </w:p>
        </w:tc>
        <w:tc>
          <w:tcPr>
            <w:tcW w:w="287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28A507E" w14:textId="77777777" w:rsidR="006E1110" w:rsidRPr="00786456" w:rsidRDefault="006E1110" w:rsidP="00A75464">
            <w:pPr>
              <w:spacing w:after="0" w:line="240" w:lineRule="auto"/>
              <w:jc w:val="both"/>
              <w:rPr>
                <w:rFonts w:ascii="Arial Narrow" w:hAnsi="Arial Narrow"/>
              </w:rPr>
            </w:pPr>
            <w:r w:rsidRPr="00786456">
              <w:rPr>
                <w:rFonts w:ascii="Arial Narrow" w:eastAsia="Arial Narrow" w:hAnsi="Arial Narrow" w:cs="Arial Narrow"/>
                <w:color w:val="000000"/>
              </w:rPr>
              <w:t>ACERO FIGURADO 60000 PSI</w:t>
            </w:r>
          </w:p>
        </w:tc>
        <w:tc>
          <w:tcPr>
            <w:tcW w:w="588"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1F3ED4D5"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KG</w:t>
            </w:r>
          </w:p>
        </w:tc>
        <w:tc>
          <w:tcPr>
            <w:tcW w:w="630"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4877A7CD"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34.65</w:t>
            </w:r>
          </w:p>
        </w:tc>
        <w:tc>
          <w:tcPr>
            <w:tcW w:w="126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16D34B2"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$ 8.953</w:t>
            </w:r>
          </w:p>
        </w:tc>
        <w:tc>
          <w:tcPr>
            <w:tcW w:w="153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458B669B"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$ 310.221</w:t>
            </w:r>
          </w:p>
        </w:tc>
      </w:tr>
      <w:tr w:rsidR="006E1110" w:rsidRPr="00786456" w14:paraId="4F1364F1"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72DDE6D7"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APU 2</w:t>
            </w:r>
          </w:p>
        </w:tc>
        <w:tc>
          <w:tcPr>
            <w:tcW w:w="553"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45EDCD93"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2.08</w:t>
            </w:r>
          </w:p>
        </w:tc>
        <w:tc>
          <w:tcPr>
            <w:tcW w:w="287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4EF469D3" w14:textId="77777777" w:rsidR="006E1110" w:rsidRPr="00786456" w:rsidRDefault="006E1110" w:rsidP="00A75464">
            <w:pPr>
              <w:spacing w:after="0" w:line="240" w:lineRule="auto"/>
              <w:jc w:val="both"/>
              <w:rPr>
                <w:rFonts w:ascii="Arial Narrow" w:hAnsi="Arial Narrow"/>
              </w:rPr>
            </w:pPr>
            <w:r w:rsidRPr="00786456">
              <w:rPr>
                <w:rFonts w:ascii="Arial Narrow" w:eastAsia="Arial Narrow" w:hAnsi="Arial Narrow" w:cs="Arial Narrow"/>
                <w:color w:val="000000"/>
              </w:rPr>
              <w:t xml:space="preserve">SUMINISTRO E INSTALACION TAPA DE ALFAJOR =1/4" CON RIGIZADORES Y MARCO EN ÁNGULO. (0.60X0.60) M O SIMILAR PARA ESTRUCTURA </w:t>
            </w:r>
            <w:r w:rsidRPr="00786456">
              <w:rPr>
                <w:rFonts w:ascii="Arial Narrow" w:eastAsia="Arial Narrow" w:hAnsi="Arial Narrow" w:cs="Arial Narrow"/>
                <w:color w:val="000000"/>
              </w:rPr>
              <w:lastRenderedPageBreak/>
              <w:t>NUEVA INCLUYE ANTICORROSIVO</w:t>
            </w:r>
          </w:p>
        </w:tc>
        <w:tc>
          <w:tcPr>
            <w:tcW w:w="588"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118CB34C"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lastRenderedPageBreak/>
              <w:t>UND</w:t>
            </w:r>
          </w:p>
        </w:tc>
        <w:tc>
          <w:tcPr>
            <w:tcW w:w="630"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DC736CF"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6</w:t>
            </w:r>
          </w:p>
        </w:tc>
        <w:tc>
          <w:tcPr>
            <w:tcW w:w="126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E8E98FD"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$ 766.237</w:t>
            </w:r>
          </w:p>
        </w:tc>
        <w:tc>
          <w:tcPr>
            <w:tcW w:w="153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7F8FEA10"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$ 4.597.422</w:t>
            </w:r>
          </w:p>
        </w:tc>
      </w:tr>
      <w:tr w:rsidR="006E1110" w:rsidRPr="00786456" w14:paraId="5DAADAD1"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6145894"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ICCU_CONS_18.9.</w:t>
            </w:r>
          </w:p>
        </w:tc>
        <w:tc>
          <w:tcPr>
            <w:tcW w:w="553"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4596F63D"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2.09</w:t>
            </w:r>
          </w:p>
        </w:tc>
        <w:tc>
          <w:tcPr>
            <w:tcW w:w="287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4B715F25" w14:textId="77777777" w:rsidR="006E1110" w:rsidRPr="00786456" w:rsidRDefault="006E1110" w:rsidP="00A75464">
            <w:pPr>
              <w:spacing w:after="0" w:line="240" w:lineRule="auto"/>
              <w:jc w:val="both"/>
              <w:rPr>
                <w:rFonts w:ascii="Arial Narrow" w:hAnsi="Arial Narrow"/>
              </w:rPr>
            </w:pPr>
            <w:r w:rsidRPr="00786456">
              <w:rPr>
                <w:rFonts w:ascii="Arial Narrow" w:eastAsia="Arial Narrow" w:hAnsi="Arial Narrow" w:cs="Arial Narrow"/>
                <w:color w:val="000000"/>
              </w:rPr>
              <w:t>ESMALTE SOBRE LAMINA LLENA</w:t>
            </w:r>
          </w:p>
        </w:tc>
        <w:tc>
          <w:tcPr>
            <w:tcW w:w="588"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75BF83D"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M2</w:t>
            </w:r>
          </w:p>
        </w:tc>
        <w:tc>
          <w:tcPr>
            <w:tcW w:w="630"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7E4F2847"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4.32</w:t>
            </w:r>
          </w:p>
        </w:tc>
        <w:tc>
          <w:tcPr>
            <w:tcW w:w="126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DC9301E"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$ 25.041</w:t>
            </w:r>
          </w:p>
        </w:tc>
        <w:tc>
          <w:tcPr>
            <w:tcW w:w="153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6A47C058"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$ 108.177</w:t>
            </w:r>
          </w:p>
        </w:tc>
      </w:tr>
      <w:tr w:rsidR="006E1110" w:rsidRPr="00786456" w14:paraId="45111BB7"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7E995E83"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APU 3</w:t>
            </w:r>
          </w:p>
        </w:tc>
        <w:tc>
          <w:tcPr>
            <w:tcW w:w="553"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CCBB895"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2.10</w:t>
            </w:r>
          </w:p>
        </w:tc>
        <w:tc>
          <w:tcPr>
            <w:tcW w:w="287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0E7502AD" w14:textId="77777777" w:rsidR="006E1110" w:rsidRPr="00786456" w:rsidRDefault="006E1110" w:rsidP="00A75464">
            <w:pPr>
              <w:spacing w:after="0" w:line="240" w:lineRule="auto"/>
              <w:jc w:val="both"/>
              <w:rPr>
                <w:rFonts w:ascii="Arial Narrow" w:hAnsi="Arial Narrow"/>
              </w:rPr>
            </w:pPr>
            <w:r w:rsidRPr="00786456">
              <w:rPr>
                <w:rFonts w:ascii="Arial Narrow" w:eastAsia="Arial Narrow" w:hAnsi="Arial Narrow" w:cs="Arial Narrow"/>
                <w:color w:val="000000"/>
              </w:rPr>
              <w:t>SUMINISTRO E INSTALACIÓN DE SEÑALIZACION DE INDENTIFICACIÓN DEL PUNTO DE MUESTREO EN MATERIAL RESISTENTE A LA INTEMPERIE</w:t>
            </w:r>
          </w:p>
        </w:tc>
        <w:tc>
          <w:tcPr>
            <w:tcW w:w="588"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9F45275"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UND</w:t>
            </w:r>
          </w:p>
        </w:tc>
        <w:tc>
          <w:tcPr>
            <w:tcW w:w="630"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6D0C2167"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6</w:t>
            </w:r>
          </w:p>
        </w:tc>
        <w:tc>
          <w:tcPr>
            <w:tcW w:w="126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056A5087"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$ 85.369</w:t>
            </w:r>
          </w:p>
        </w:tc>
        <w:tc>
          <w:tcPr>
            <w:tcW w:w="153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A9FF1EE"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$ 512.214</w:t>
            </w:r>
          </w:p>
        </w:tc>
      </w:tr>
      <w:tr w:rsidR="006E1110" w:rsidRPr="00786456" w14:paraId="5FA8B36A"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3C6116AB" w14:textId="77777777" w:rsidR="006E1110" w:rsidRPr="00786456" w:rsidRDefault="006E1110" w:rsidP="00A75464">
            <w:pPr>
              <w:spacing w:after="0" w:line="240" w:lineRule="auto"/>
              <w:jc w:val="center"/>
              <w:rPr>
                <w:rFonts w:ascii="Arial Narrow" w:hAnsi="Arial Narrow"/>
              </w:rPr>
            </w:pPr>
          </w:p>
        </w:tc>
        <w:tc>
          <w:tcPr>
            <w:tcW w:w="553"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73AF7A21"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000000"/>
              </w:rPr>
              <w:t>3</w:t>
            </w:r>
          </w:p>
        </w:tc>
        <w:tc>
          <w:tcPr>
            <w:tcW w:w="2875"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2DED464A"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000000"/>
              </w:rPr>
              <w:t>INSTALACIÓN DE SISTEMA HIDRÁULICO</w:t>
            </w:r>
          </w:p>
        </w:tc>
        <w:tc>
          <w:tcPr>
            <w:tcW w:w="588"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02AE59EE" w14:textId="77777777" w:rsidR="006E1110" w:rsidRPr="00786456" w:rsidRDefault="006E1110" w:rsidP="00A75464">
            <w:pPr>
              <w:spacing w:after="0" w:line="240" w:lineRule="auto"/>
              <w:jc w:val="center"/>
              <w:rPr>
                <w:rFonts w:ascii="Arial Narrow" w:hAnsi="Arial Narrow"/>
              </w:rPr>
            </w:pPr>
          </w:p>
        </w:tc>
        <w:tc>
          <w:tcPr>
            <w:tcW w:w="630"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75BCB927" w14:textId="77777777" w:rsidR="006E1110" w:rsidRPr="00786456" w:rsidRDefault="006E1110" w:rsidP="00A75464">
            <w:pPr>
              <w:spacing w:after="0" w:line="240" w:lineRule="auto"/>
              <w:jc w:val="center"/>
              <w:rPr>
                <w:rFonts w:ascii="Arial Narrow" w:hAnsi="Arial Narrow"/>
              </w:rPr>
            </w:pPr>
          </w:p>
        </w:tc>
        <w:tc>
          <w:tcPr>
            <w:tcW w:w="1264"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64180820" w14:textId="77777777" w:rsidR="006E1110" w:rsidRPr="00786456" w:rsidRDefault="006E1110" w:rsidP="00A75464">
            <w:pPr>
              <w:spacing w:after="0" w:line="240" w:lineRule="auto"/>
              <w:jc w:val="center"/>
              <w:rPr>
                <w:rFonts w:ascii="Arial Narrow" w:hAnsi="Arial Narrow"/>
              </w:rPr>
            </w:pPr>
          </w:p>
        </w:tc>
        <w:tc>
          <w:tcPr>
            <w:tcW w:w="1534" w:type="dxa"/>
            <w:tcBorders>
              <w:top w:val="single" w:sz="4" w:space="0" w:color="7F7F7F"/>
              <w:left w:val="single" w:sz="4" w:space="0" w:color="7F7F7F"/>
              <w:bottom w:val="single" w:sz="4" w:space="0" w:color="7F7F7F"/>
              <w:right w:val="single" w:sz="4" w:space="0" w:color="7F7F7F"/>
            </w:tcBorders>
            <w:shd w:val="clear" w:color="auto" w:fill="C9D6E5"/>
            <w:tcMar>
              <w:top w:w="26" w:type="dxa"/>
              <w:left w:w="50" w:type="dxa"/>
              <w:bottom w:w="26" w:type="dxa"/>
              <w:right w:w="50" w:type="dxa"/>
            </w:tcMar>
            <w:vAlign w:val="center"/>
          </w:tcPr>
          <w:p w14:paraId="08FCA73E" w14:textId="77777777" w:rsidR="006E1110" w:rsidRPr="00786456" w:rsidRDefault="006E1110" w:rsidP="00A75464">
            <w:pPr>
              <w:spacing w:after="0" w:line="240" w:lineRule="auto"/>
              <w:jc w:val="center"/>
              <w:rPr>
                <w:rFonts w:ascii="Arial Narrow" w:hAnsi="Arial Narrow"/>
              </w:rPr>
            </w:pPr>
          </w:p>
        </w:tc>
      </w:tr>
      <w:tr w:rsidR="006E1110" w:rsidRPr="00786456" w14:paraId="67C98A8F"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65F7C4B2"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ICCU_CONS_11.16</w:t>
            </w:r>
          </w:p>
        </w:tc>
        <w:tc>
          <w:tcPr>
            <w:tcW w:w="553"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6D41BCAC"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3.01</w:t>
            </w:r>
          </w:p>
        </w:tc>
        <w:tc>
          <w:tcPr>
            <w:tcW w:w="287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0DF014CA" w14:textId="77777777" w:rsidR="006E1110" w:rsidRPr="00786456" w:rsidRDefault="006E1110" w:rsidP="00A75464">
            <w:pPr>
              <w:spacing w:after="0" w:line="240" w:lineRule="auto"/>
              <w:jc w:val="both"/>
              <w:rPr>
                <w:rFonts w:ascii="Arial Narrow" w:hAnsi="Arial Narrow"/>
              </w:rPr>
            </w:pPr>
            <w:r w:rsidRPr="00786456">
              <w:rPr>
                <w:rFonts w:ascii="Arial Narrow" w:eastAsia="Arial Narrow" w:hAnsi="Arial Narrow" w:cs="Arial Narrow"/>
                <w:color w:val="000000"/>
              </w:rPr>
              <w:t>PUNTO HIDRPAULICO PVC-P/PARAL 1/2"</w:t>
            </w:r>
          </w:p>
        </w:tc>
        <w:tc>
          <w:tcPr>
            <w:tcW w:w="588"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4E5A3810"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UND</w:t>
            </w:r>
          </w:p>
        </w:tc>
        <w:tc>
          <w:tcPr>
            <w:tcW w:w="630"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76259DDE"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6</w:t>
            </w:r>
          </w:p>
        </w:tc>
        <w:tc>
          <w:tcPr>
            <w:tcW w:w="126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1C26489C"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$ 116.438</w:t>
            </w:r>
          </w:p>
        </w:tc>
        <w:tc>
          <w:tcPr>
            <w:tcW w:w="153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03BC3F00"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$ 698.628</w:t>
            </w:r>
          </w:p>
        </w:tc>
      </w:tr>
      <w:tr w:rsidR="006E1110" w:rsidRPr="00786456" w14:paraId="3F809D4C" w14:textId="77777777" w:rsidTr="00A75464">
        <w:trPr>
          <w:jc w:val="center"/>
        </w:trPr>
        <w:tc>
          <w:tcPr>
            <w:tcW w:w="176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9D58C8E"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APU 4</w:t>
            </w:r>
          </w:p>
        </w:tc>
        <w:tc>
          <w:tcPr>
            <w:tcW w:w="553"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07E000C"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3.02</w:t>
            </w:r>
          </w:p>
        </w:tc>
        <w:tc>
          <w:tcPr>
            <w:tcW w:w="2875"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0CD4ABBF" w14:textId="77777777" w:rsidR="006E1110" w:rsidRPr="00786456" w:rsidRDefault="006E1110" w:rsidP="00A75464">
            <w:pPr>
              <w:spacing w:after="0" w:line="240" w:lineRule="auto"/>
              <w:jc w:val="both"/>
              <w:rPr>
                <w:rFonts w:ascii="Arial Narrow" w:hAnsi="Arial Narrow"/>
              </w:rPr>
            </w:pPr>
            <w:r w:rsidRPr="00786456">
              <w:rPr>
                <w:rFonts w:ascii="Arial Narrow" w:eastAsia="Arial Narrow" w:hAnsi="Arial Narrow" w:cs="Arial Narrow"/>
                <w:color w:val="000000"/>
              </w:rPr>
              <w:t>SUMINISTRO E INSTALACION DE LLAVE TERMINAL DE MUESTREO EN BRONCE - LATÓN DE 1/2" DE ALTO DESEMPEÑO</w:t>
            </w:r>
          </w:p>
        </w:tc>
        <w:tc>
          <w:tcPr>
            <w:tcW w:w="588"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55CD7AA1"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UND</w:t>
            </w:r>
          </w:p>
        </w:tc>
        <w:tc>
          <w:tcPr>
            <w:tcW w:w="630"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46E64DD3"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6</w:t>
            </w:r>
          </w:p>
        </w:tc>
        <w:tc>
          <w:tcPr>
            <w:tcW w:w="126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0C44819B"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$ 74.458</w:t>
            </w:r>
          </w:p>
        </w:tc>
        <w:tc>
          <w:tcPr>
            <w:tcW w:w="1534" w:type="dxa"/>
            <w:tcBorders>
              <w:top w:val="single" w:sz="4" w:space="0" w:color="7F7F7F"/>
              <w:left w:val="single" w:sz="4" w:space="0" w:color="7F7F7F"/>
              <w:bottom w:val="single" w:sz="4" w:space="0" w:color="7F7F7F"/>
              <w:right w:val="single" w:sz="4" w:space="0" w:color="7F7F7F"/>
            </w:tcBorders>
            <w:tcMar>
              <w:top w:w="26" w:type="dxa"/>
              <w:left w:w="50" w:type="dxa"/>
              <w:bottom w:w="26" w:type="dxa"/>
              <w:right w:w="50" w:type="dxa"/>
            </w:tcMar>
            <w:vAlign w:val="center"/>
          </w:tcPr>
          <w:p w14:paraId="3B2CC4A4"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color w:val="000000"/>
              </w:rPr>
              <w:t>$ 446.748</w:t>
            </w:r>
          </w:p>
        </w:tc>
      </w:tr>
      <w:tr w:rsidR="006E1110" w:rsidRPr="00786456" w14:paraId="6B97BF89" w14:textId="77777777" w:rsidTr="00A75464">
        <w:trPr>
          <w:jc w:val="center"/>
        </w:trPr>
        <w:tc>
          <w:tcPr>
            <w:tcW w:w="7675" w:type="dxa"/>
            <w:gridSpan w:val="6"/>
            <w:tcBorders>
              <w:top w:val="single" w:sz="4" w:space="0" w:color="7F7F7F"/>
              <w:left w:val="single" w:sz="4" w:space="0" w:color="7F7F7F"/>
              <w:bottom w:val="single" w:sz="4" w:space="0" w:color="7F7F7F"/>
              <w:right w:val="single" w:sz="4" w:space="0" w:color="7F7F7F"/>
            </w:tcBorders>
            <w:shd w:val="clear" w:color="auto" w:fill="D9E1F2"/>
            <w:tcMar>
              <w:top w:w="26" w:type="dxa"/>
              <w:left w:w="50" w:type="dxa"/>
              <w:bottom w:w="26" w:type="dxa"/>
              <w:right w:w="50" w:type="dxa"/>
            </w:tcMar>
            <w:vAlign w:val="center"/>
          </w:tcPr>
          <w:p w14:paraId="441F3EA8"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000000"/>
              </w:rPr>
              <w:t>TOTAL, COSTO DIRECTO</w:t>
            </w:r>
          </w:p>
        </w:tc>
        <w:tc>
          <w:tcPr>
            <w:tcW w:w="1534" w:type="dxa"/>
            <w:tcBorders>
              <w:top w:val="single" w:sz="4" w:space="0" w:color="7F7F7F"/>
              <w:left w:val="single" w:sz="4" w:space="0" w:color="7F7F7F"/>
              <w:bottom w:val="single" w:sz="4" w:space="0" w:color="7F7F7F"/>
              <w:right w:val="single" w:sz="4" w:space="0" w:color="7F7F7F"/>
            </w:tcBorders>
            <w:shd w:val="clear" w:color="auto" w:fill="D9E1F2"/>
            <w:tcMar>
              <w:top w:w="26" w:type="dxa"/>
              <w:left w:w="50" w:type="dxa"/>
              <w:bottom w:w="26" w:type="dxa"/>
              <w:right w:w="50" w:type="dxa"/>
            </w:tcMar>
            <w:vAlign w:val="center"/>
          </w:tcPr>
          <w:p w14:paraId="7DB388E5"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000000"/>
              </w:rPr>
              <w:t>$ 12.781.940,45</w:t>
            </w:r>
          </w:p>
        </w:tc>
      </w:tr>
      <w:tr w:rsidR="006E1110" w:rsidRPr="00786456" w14:paraId="7FF4BCF5" w14:textId="77777777" w:rsidTr="00A75464">
        <w:trPr>
          <w:jc w:val="center"/>
        </w:trPr>
        <w:tc>
          <w:tcPr>
            <w:tcW w:w="7675" w:type="dxa"/>
            <w:gridSpan w:val="6"/>
            <w:tcBorders>
              <w:top w:val="single" w:sz="4" w:space="0" w:color="7F7F7F"/>
              <w:left w:val="single" w:sz="4" w:space="0" w:color="7F7F7F"/>
              <w:bottom w:val="single" w:sz="4" w:space="0" w:color="7F7F7F"/>
              <w:right w:val="single" w:sz="4" w:space="0" w:color="7F7F7F"/>
            </w:tcBorders>
            <w:shd w:val="clear" w:color="auto" w:fill="D9E1F2"/>
            <w:tcMar>
              <w:top w:w="26" w:type="dxa"/>
              <w:left w:w="50" w:type="dxa"/>
              <w:bottom w:w="26" w:type="dxa"/>
              <w:right w:w="50" w:type="dxa"/>
            </w:tcMar>
            <w:vAlign w:val="center"/>
          </w:tcPr>
          <w:p w14:paraId="379BDED6"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000000"/>
              </w:rPr>
              <w:t>A.I.U. (33%)</w:t>
            </w:r>
          </w:p>
        </w:tc>
        <w:tc>
          <w:tcPr>
            <w:tcW w:w="1534" w:type="dxa"/>
            <w:tcBorders>
              <w:top w:val="single" w:sz="4" w:space="0" w:color="7F7F7F"/>
              <w:left w:val="single" w:sz="4" w:space="0" w:color="7F7F7F"/>
              <w:bottom w:val="single" w:sz="4" w:space="0" w:color="7F7F7F"/>
              <w:right w:val="single" w:sz="4" w:space="0" w:color="7F7F7F"/>
            </w:tcBorders>
            <w:shd w:val="clear" w:color="auto" w:fill="D9E1F2"/>
            <w:tcMar>
              <w:top w:w="26" w:type="dxa"/>
              <w:left w:w="50" w:type="dxa"/>
              <w:bottom w:w="26" w:type="dxa"/>
              <w:right w:w="50" w:type="dxa"/>
            </w:tcMar>
            <w:vAlign w:val="center"/>
          </w:tcPr>
          <w:p w14:paraId="71C07927"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000000"/>
              </w:rPr>
              <w:t>$ 4.218.059,55</w:t>
            </w:r>
          </w:p>
        </w:tc>
      </w:tr>
      <w:tr w:rsidR="006E1110" w:rsidRPr="00786456" w14:paraId="7D6EB9FE" w14:textId="77777777" w:rsidTr="00A75464">
        <w:trPr>
          <w:jc w:val="center"/>
        </w:trPr>
        <w:tc>
          <w:tcPr>
            <w:tcW w:w="7675" w:type="dxa"/>
            <w:gridSpan w:val="6"/>
            <w:tcBorders>
              <w:top w:val="single" w:sz="4" w:space="0" w:color="7F7F7F"/>
              <w:left w:val="single" w:sz="4" w:space="0" w:color="7F7F7F"/>
              <w:bottom w:val="single" w:sz="4" w:space="0" w:color="7F7F7F"/>
              <w:right w:val="single" w:sz="4" w:space="0" w:color="7F7F7F"/>
            </w:tcBorders>
            <w:shd w:val="clear" w:color="auto" w:fill="2E75B6"/>
            <w:tcMar>
              <w:top w:w="26" w:type="dxa"/>
              <w:left w:w="50" w:type="dxa"/>
              <w:bottom w:w="26" w:type="dxa"/>
              <w:right w:w="50" w:type="dxa"/>
            </w:tcMar>
            <w:vAlign w:val="center"/>
          </w:tcPr>
          <w:p w14:paraId="6B020381"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FFFFFF"/>
              </w:rPr>
              <w:t>VALOR TOTAL DEL PRESUPUESTO OFICIAL</w:t>
            </w:r>
          </w:p>
        </w:tc>
        <w:tc>
          <w:tcPr>
            <w:tcW w:w="1534" w:type="dxa"/>
            <w:tcBorders>
              <w:top w:val="single" w:sz="4" w:space="0" w:color="7F7F7F"/>
              <w:left w:val="single" w:sz="4" w:space="0" w:color="7F7F7F"/>
              <w:bottom w:val="single" w:sz="4" w:space="0" w:color="7F7F7F"/>
              <w:right w:val="single" w:sz="4" w:space="0" w:color="7F7F7F"/>
            </w:tcBorders>
            <w:shd w:val="clear" w:color="auto" w:fill="2E75B6"/>
            <w:tcMar>
              <w:top w:w="26" w:type="dxa"/>
              <w:left w:w="50" w:type="dxa"/>
              <w:bottom w:w="26" w:type="dxa"/>
              <w:right w:w="50" w:type="dxa"/>
            </w:tcMar>
            <w:vAlign w:val="center"/>
          </w:tcPr>
          <w:p w14:paraId="474D597C" w14:textId="77777777" w:rsidR="006E1110" w:rsidRPr="00786456" w:rsidRDefault="006E1110" w:rsidP="00A75464">
            <w:pPr>
              <w:spacing w:after="0" w:line="240" w:lineRule="auto"/>
              <w:jc w:val="center"/>
              <w:rPr>
                <w:rFonts w:ascii="Arial Narrow" w:hAnsi="Arial Narrow"/>
              </w:rPr>
            </w:pPr>
            <w:r w:rsidRPr="00786456">
              <w:rPr>
                <w:rFonts w:ascii="Arial Narrow" w:eastAsia="Arial Narrow" w:hAnsi="Arial Narrow" w:cs="Arial Narrow"/>
                <w:b/>
                <w:bCs/>
                <w:color w:val="FFFFFF"/>
              </w:rPr>
              <w:t>$ 17.000.000,00</w:t>
            </w:r>
          </w:p>
        </w:tc>
      </w:tr>
    </w:tbl>
    <w:p w14:paraId="1BE23E36" w14:textId="77777777" w:rsidR="006E1110" w:rsidRPr="00786456" w:rsidRDefault="006E1110" w:rsidP="006E1110">
      <w:pPr>
        <w:spacing w:after="0" w:line="240" w:lineRule="auto"/>
        <w:jc w:val="both"/>
        <w:rPr>
          <w:rFonts w:ascii="Arial Narrow" w:hAnsi="Arial Narrow"/>
        </w:rPr>
      </w:pPr>
    </w:p>
    <w:p w14:paraId="517957B0" w14:textId="77777777" w:rsidR="006E1110" w:rsidRDefault="006E1110" w:rsidP="006E1110">
      <w:pPr>
        <w:spacing w:after="0" w:line="240" w:lineRule="auto"/>
        <w:jc w:val="both"/>
        <w:rPr>
          <w:rFonts w:ascii="Arial Narrow" w:eastAsia="Arial Narrow" w:hAnsi="Arial Narrow" w:cs="Arial Narrow"/>
          <w:color w:val="000000"/>
        </w:rPr>
      </w:pPr>
      <w:r w:rsidRPr="00786456">
        <w:rPr>
          <w:rFonts w:ascii="Arial Narrow" w:eastAsia="Arial Narrow" w:hAnsi="Arial Narrow" w:cs="Arial Narrow"/>
          <w:color w:val="000000"/>
        </w:rPr>
        <w:t xml:space="preserve">De acuerdo con lo anterior, el presupuesto oficial del presente proceso asciende a la suma de </w:t>
      </w:r>
      <w:r w:rsidRPr="00786456">
        <w:rPr>
          <w:rFonts w:ascii="Arial Narrow" w:eastAsia="Arial Narrow" w:hAnsi="Arial Narrow" w:cs="Arial Narrow"/>
          <w:b/>
          <w:bCs/>
          <w:color w:val="000000"/>
        </w:rPr>
        <w:t>DIECISIETE MILLONES DE PESOS ($ 17.000.000,00 M/CTE)</w:t>
      </w:r>
      <w:r w:rsidRPr="00786456">
        <w:rPr>
          <w:rFonts w:ascii="Arial Narrow" w:eastAsia="Arial Narrow" w:hAnsi="Arial Narrow" w:cs="Arial Narrow"/>
          <w:color w:val="000000"/>
        </w:rPr>
        <w:t>, incluido el A.I.U. del treinta y tres por ciento (33%), valor que se establece como presupuesto oficial y valor de referencia para la evaluación de las ofertas.</w:t>
      </w:r>
    </w:p>
    <w:p w14:paraId="01C444C1" w14:textId="77777777" w:rsidR="00A50CD7" w:rsidRPr="006E1110" w:rsidRDefault="00A50CD7" w:rsidP="006E1110">
      <w:pPr>
        <w:spacing w:after="0" w:line="240" w:lineRule="auto"/>
        <w:jc w:val="both"/>
        <w:rPr>
          <w:rFonts w:ascii="Arial Narrow" w:hAnsi="Arial Narrow"/>
        </w:rPr>
      </w:pPr>
    </w:p>
    <w:p w14:paraId="292FDBCD" w14:textId="77777777" w:rsidR="00A50CD7" w:rsidRPr="006E1110" w:rsidRDefault="00A50CD7" w:rsidP="006E1110">
      <w:pPr>
        <w:spacing w:after="0" w:line="240" w:lineRule="auto"/>
        <w:jc w:val="both"/>
        <w:rPr>
          <w:rFonts w:ascii="Arial Narrow" w:hAnsi="Arial Narrow"/>
        </w:rPr>
      </w:pPr>
    </w:p>
    <w:p w14:paraId="7A74B298" w14:textId="7ECCB3E8" w:rsidR="00763E20" w:rsidRPr="006E1110" w:rsidRDefault="00763E20" w:rsidP="006E1110">
      <w:pPr>
        <w:spacing w:after="0" w:line="240" w:lineRule="auto"/>
        <w:jc w:val="both"/>
        <w:rPr>
          <w:rFonts w:ascii="Arial Narrow" w:hAnsi="Arial Narrow" w:cs="Tahoma"/>
        </w:rPr>
      </w:pPr>
      <w:r w:rsidRPr="006E1110">
        <w:rPr>
          <w:rFonts w:ascii="Arial Narrow" w:hAnsi="Arial Narrow"/>
        </w:rPr>
        <w:t xml:space="preserve">Se firma el presente estudio del sector el </w:t>
      </w:r>
      <w:sdt>
        <w:sdtPr>
          <w:rPr>
            <w:rFonts w:ascii="Arial Narrow" w:hAnsi="Arial Narrow"/>
          </w:rPr>
          <w:id w:val="1792855469"/>
          <w:placeholder>
            <w:docPart w:val="DefaultPlaceholder_-1854013437"/>
          </w:placeholder>
          <w:date w:fullDate="2026-10-15T00:00:00Z">
            <w:dateFormat w:val="d/MM/yyyy"/>
            <w:lid w:val="es-CO"/>
            <w:storeMappedDataAs w:val="dateTime"/>
            <w:calendar w:val="gregorian"/>
          </w:date>
        </w:sdtPr>
        <w:sdtContent>
          <w:r w:rsidR="006E1110">
            <w:rPr>
              <w:rFonts w:ascii="Arial Narrow" w:hAnsi="Arial Narrow"/>
            </w:rPr>
            <w:t>15/10/2026</w:t>
          </w:r>
        </w:sdtContent>
      </w:sdt>
    </w:p>
    <w:p w14:paraId="68E5A55E" w14:textId="6F97F0ED" w:rsidR="00FC58EE" w:rsidRDefault="00FC58EE" w:rsidP="006E1110">
      <w:pPr>
        <w:spacing w:after="0" w:line="240" w:lineRule="auto"/>
        <w:jc w:val="both"/>
        <w:rPr>
          <w:rFonts w:ascii="Arial Narrow" w:hAnsi="Arial Narrow"/>
        </w:rPr>
      </w:pPr>
    </w:p>
    <w:p w14:paraId="4455812E" w14:textId="77777777" w:rsidR="006E1110" w:rsidRPr="006E1110" w:rsidRDefault="006E1110" w:rsidP="006E1110">
      <w:pPr>
        <w:spacing w:after="0" w:line="240" w:lineRule="auto"/>
        <w:jc w:val="both"/>
        <w:rPr>
          <w:rFonts w:ascii="Arial Narrow" w:hAnsi="Arial Narrow"/>
        </w:rPr>
      </w:pPr>
    </w:p>
    <w:p w14:paraId="0D8A6D1F" w14:textId="77777777" w:rsidR="004F3A74" w:rsidRPr="006E1110" w:rsidRDefault="004F3A74" w:rsidP="006E1110">
      <w:pPr>
        <w:spacing w:after="0" w:line="240" w:lineRule="auto"/>
        <w:jc w:val="both"/>
        <w:rPr>
          <w:rFonts w:ascii="Arial Narrow" w:hAnsi="Arial Narrow"/>
        </w:rPr>
      </w:pPr>
    </w:p>
    <w:p w14:paraId="791DBB05" w14:textId="77777777" w:rsidR="006E1110" w:rsidRPr="000632B0" w:rsidRDefault="006E1110" w:rsidP="006E1110">
      <w:pPr>
        <w:pStyle w:val="Prrafodelista"/>
        <w:autoSpaceDE w:val="0"/>
        <w:autoSpaceDN w:val="0"/>
        <w:adjustRightInd w:val="0"/>
        <w:spacing w:after="0" w:line="240" w:lineRule="auto"/>
        <w:ind w:left="0"/>
        <w:jc w:val="center"/>
        <w:rPr>
          <w:rFonts w:ascii="Arial Narrow" w:hAnsi="Arial Narrow" w:cs="Arial"/>
          <w:b/>
          <w:bCs/>
        </w:rPr>
      </w:pPr>
      <w:r w:rsidRPr="000632B0">
        <w:rPr>
          <w:rFonts w:ascii="Arial Narrow" w:hAnsi="Arial Narrow" w:cs="Arial"/>
          <w:b/>
          <w:bCs/>
        </w:rPr>
        <w:t>________________________________________</w:t>
      </w:r>
    </w:p>
    <w:p w14:paraId="049C9E77" w14:textId="77777777" w:rsidR="006E1110" w:rsidRPr="000632B0" w:rsidRDefault="006E1110" w:rsidP="006E1110">
      <w:pPr>
        <w:spacing w:after="0" w:line="240" w:lineRule="auto"/>
        <w:jc w:val="center"/>
        <w:rPr>
          <w:rFonts w:ascii="Arial Narrow" w:eastAsia="Arial Narrow" w:hAnsi="Arial Narrow" w:cs="Arial Narrow"/>
          <w:b/>
          <w:bCs/>
        </w:rPr>
      </w:pPr>
      <w:r w:rsidRPr="000632B0">
        <w:rPr>
          <w:rFonts w:ascii="Arial Narrow" w:eastAsia="Arial Narrow" w:hAnsi="Arial Narrow" w:cs="Arial Narrow"/>
          <w:b/>
          <w:bCs/>
        </w:rPr>
        <w:t>YAIR SANTIAGO BERMUDEZ URREGO</w:t>
      </w:r>
    </w:p>
    <w:p w14:paraId="0777E139" w14:textId="77777777" w:rsidR="006E1110" w:rsidRPr="000632B0" w:rsidRDefault="006E1110" w:rsidP="006E1110">
      <w:pPr>
        <w:spacing w:after="0" w:line="240" w:lineRule="auto"/>
        <w:jc w:val="center"/>
        <w:rPr>
          <w:rFonts w:ascii="Arial Narrow" w:eastAsia="Arial Narrow" w:hAnsi="Arial Narrow" w:cs="Arial Narrow"/>
        </w:rPr>
      </w:pPr>
      <w:r w:rsidRPr="000632B0">
        <w:rPr>
          <w:rFonts w:ascii="Arial Narrow" w:eastAsia="Arial Narrow" w:hAnsi="Arial Narrow" w:cs="Arial Narrow"/>
        </w:rPr>
        <w:t xml:space="preserve">Jefe Oficina de Servicios Públicos Domiciliarios </w:t>
      </w:r>
    </w:p>
    <w:p w14:paraId="1D07FEB5" w14:textId="77777777" w:rsidR="006E1110" w:rsidRPr="00816C61" w:rsidRDefault="006E1110" w:rsidP="006E1110">
      <w:pPr>
        <w:spacing w:after="0" w:line="240" w:lineRule="auto"/>
        <w:rPr>
          <w:rFonts w:ascii="Arial Narrow" w:eastAsia="Arial Narrow" w:hAnsi="Arial Narrow" w:cs="Arial Narrow"/>
        </w:rPr>
      </w:pPr>
    </w:p>
    <w:p w14:paraId="56C325AB" w14:textId="77777777" w:rsidR="006E1110" w:rsidRPr="000632B0" w:rsidRDefault="006E1110" w:rsidP="006E1110">
      <w:pPr>
        <w:spacing w:after="0" w:line="240" w:lineRule="auto"/>
        <w:rPr>
          <w:rFonts w:ascii="Arial Narrow" w:eastAsia="Arial Narrow" w:hAnsi="Arial Narrow" w:cs="Arial Narrow"/>
          <w:i/>
          <w:color w:val="A6A6A6"/>
          <w:sz w:val="18"/>
          <w:szCs w:val="18"/>
        </w:rPr>
      </w:pPr>
      <w:r w:rsidRPr="000632B0">
        <w:rPr>
          <w:rFonts w:ascii="Arial Narrow" w:eastAsia="Arial Narrow" w:hAnsi="Arial Narrow" w:cs="Arial Narrow"/>
          <w:i/>
          <w:color w:val="A6A6A6"/>
          <w:sz w:val="18"/>
          <w:szCs w:val="18"/>
        </w:rPr>
        <w:t xml:space="preserve">Elaboró: Yair Santiago </w:t>
      </w:r>
      <w:proofErr w:type="spellStart"/>
      <w:r w:rsidRPr="000632B0">
        <w:rPr>
          <w:rFonts w:ascii="Arial Narrow" w:eastAsia="Arial Narrow" w:hAnsi="Arial Narrow" w:cs="Arial Narrow"/>
          <w:i/>
          <w:color w:val="A6A6A6"/>
          <w:sz w:val="18"/>
          <w:szCs w:val="18"/>
        </w:rPr>
        <w:t>Bermudez</w:t>
      </w:r>
      <w:proofErr w:type="spellEnd"/>
      <w:r w:rsidRPr="000632B0">
        <w:rPr>
          <w:rFonts w:ascii="Arial Narrow" w:eastAsia="Arial Narrow" w:hAnsi="Arial Narrow" w:cs="Arial Narrow"/>
          <w:i/>
          <w:color w:val="A6A6A6"/>
          <w:sz w:val="18"/>
          <w:szCs w:val="18"/>
        </w:rPr>
        <w:t xml:space="preserve"> Urrego / Jefe Oficina de Servicios Públicos Domiciliarios </w:t>
      </w:r>
    </w:p>
    <w:p w14:paraId="1788E8A4" w14:textId="77777777" w:rsidR="006E1110" w:rsidRPr="000632B0" w:rsidRDefault="006E1110" w:rsidP="006E1110">
      <w:pPr>
        <w:spacing w:after="0" w:line="240" w:lineRule="auto"/>
        <w:rPr>
          <w:rFonts w:ascii="Arial Narrow" w:eastAsia="Arial Narrow" w:hAnsi="Arial Narrow" w:cs="Arial Narrow"/>
          <w:i/>
          <w:color w:val="A6A6A6"/>
          <w:sz w:val="18"/>
          <w:szCs w:val="18"/>
        </w:rPr>
      </w:pPr>
      <w:r w:rsidRPr="000632B0">
        <w:rPr>
          <w:rFonts w:ascii="Arial Narrow" w:eastAsia="Arial Narrow" w:hAnsi="Arial Narrow" w:cs="Arial Narrow"/>
          <w:i/>
          <w:color w:val="A6A6A6"/>
          <w:sz w:val="18"/>
          <w:szCs w:val="18"/>
        </w:rPr>
        <w:t xml:space="preserve">Revisó: Yair Santiago </w:t>
      </w:r>
      <w:proofErr w:type="spellStart"/>
      <w:r w:rsidRPr="000632B0">
        <w:rPr>
          <w:rFonts w:ascii="Arial Narrow" w:eastAsia="Arial Narrow" w:hAnsi="Arial Narrow" w:cs="Arial Narrow"/>
          <w:i/>
          <w:color w:val="A6A6A6"/>
          <w:sz w:val="18"/>
          <w:szCs w:val="18"/>
        </w:rPr>
        <w:t>Bermudez</w:t>
      </w:r>
      <w:proofErr w:type="spellEnd"/>
      <w:r w:rsidRPr="000632B0">
        <w:rPr>
          <w:rFonts w:ascii="Arial Narrow" w:eastAsia="Arial Narrow" w:hAnsi="Arial Narrow" w:cs="Arial Narrow"/>
          <w:i/>
          <w:color w:val="A6A6A6"/>
          <w:sz w:val="18"/>
          <w:szCs w:val="18"/>
        </w:rPr>
        <w:t xml:space="preserve"> Urrego / Jefe Oficina de Servicios Públicos Domiciliarios </w:t>
      </w:r>
    </w:p>
    <w:p w14:paraId="7A51950B" w14:textId="77777777" w:rsidR="006E1110" w:rsidRPr="000632B0" w:rsidRDefault="006E1110" w:rsidP="006E1110">
      <w:pPr>
        <w:spacing w:after="0" w:line="240" w:lineRule="auto"/>
        <w:rPr>
          <w:rFonts w:ascii="Arial Narrow" w:eastAsia="Arial Narrow" w:hAnsi="Arial Narrow" w:cs="Arial Narrow"/>
          <w:i/>
          <w:color w:val="A6A6A6"/>
          <w:sz w:val="18"/>
          <w:szCs w:val="18"/>
        </w:rPr>
      </w:pPr>
      <w:r w:rsidRPr="000632B0">
        <w:rPr>
          <w:rFonts w:ascii="Arial Narrow" w:eastAsia="Arial Narrow" w:hAnsi="Arial Narrow" w:cs="Arial Narrow"/>
          <w:i/>
          <w:color w:val="A6A6A6"/>
          <w:sz w:val="18"/>
          <w:szCs w:val="18"/>
        </w:rPr>
        <w:t xml:space="preserve">Aprobó: Yair Santiago </w:t>
      </w:r>
      <w:proofErr w:type="spellStart"/>
      <w:r w:rsidRPr="000632B0">
        <w:rPr>
          <w:rFonts w:ascii="Arial Narrow" w:eastAsia="Arial Narrow" w:hAnsi="Arial Narrow" w:cs="Arial Narrow"/>
          <w:i/>
          <w:color w:val="A6A6A6"/>
          <w:sz w:val="18"/>
          <w:szCs w:val="18"/>
        </w:rPr>
        <w:t>Bermudez</w:t>
      </w:r>
      <w:proofErr w:type="spellEnd"/>
      <w:r w:rsidRPr="000632B0">
        <w:rPr>
          <w:rFonts w:ascii="Arial Narrow" w:eastAsia="Arial Narrow" w:hAnsi="Arial Narrow" w:cs="Arial Narrow"/>
          <w:i/>
          <w:color w:val="A6A6A6"/>
          <w:sz w:val="18"/>
          <w:szCs w:val="18"/>
        </w:rPr>
        <w:t xml:space="preserve"> Urrego / Jefe Oficina de Servicios Públicos Domiciliarios </w:t>
      </w:r>
    </w:p>
    <w:p w14:paraId="26CFD36A" w14:textId="77777777" w:rsidR="006E1110" w:rsidRPr="00816C61" w:rsidRDefault="006E1110" w:rsidP="006E1110">
      <w:pPr>
        <w:spacing w:after="0" w:line="240" w:lineRule="auto"/>
        <w:rPr>
          <w:rFonts w:ascii="Arial Narrow" w:eastAsia="Arial Narrow" w:hAnsi="Arial Narrow" w:cs="Arial Narrow"/>
          <w:i/>
          <w:color w:val="A6A6A6"/>
        </w:rPr>
      </w:pPr>
    </w:p>
    <w:p w14:paraId="59424476" w14:textId="77777777" w:rsidR="005A2D62" w:rsidRPr="006E1110" w:rsidRDefault="005A2D62" w:rsidP="006E1110">
      <w:pPr>
        <w:spacing w:after="0" w:line="240" w:lineRule="auto"/>
        <w:jc w:val="both"/>
        <w:rPr>
          <w:rFonts w:ascii="Arial Narrow" w:eastAsia="Arial Narrow" w:hAnsi="Arial Narrow" w:cs="Arial Narrow"/>
        </w:rPr>
      </w:pPr>
    </w:p>
    <w:p w14:paraId="5E493A3B" w14:textId="77777777" w:rsidR="005A2D62" w:rsidRPr="006E1110" w:rsidRDefault="005A2D62" w:rsidP="006E1110">
      <w:pPr>
        <w:spacing w:after="0" w:line="240" w:lineRule="auto"/>
        <w:jc w:val="both"/>
        <w:rPr>
          <w:rFonts w:ascii="Arial Narrow" w:eastAsia="Arial Narrow" w:hAnsi="Arial Narrow" w:cs="Arial Narrow"/>
        </w:rPr>
      </w:pPr>
    </w:p>
    <w:p w14:paraId="28CFB312" w14:textId="77777777" w:rsidR="000F1F07" w:rsidRPr="006E1110" w:rsidRDefault="000F1F07" w:rsidP="006E1110">
      <w:pPr>
        <w:spacing w:after="0" w:line="240" w:lineRule="auto"/>
        <w:jc w:val="both"/>
        <w:rPr>
          <w:rFonts w:ascii="Arial Narrow" w:hAnsi="Arial Narrow"/>
        </w:rPr>
      </w:pPr>
    </w:p>
    <w:sectPr w:rsidR="000F1F07" w:rsidRPr="006E1110">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829FD8" w14:textId="77777777" w:rsidR="00225B68" w:rsidRDefault="00225B68" w:rsidP="003E40DB">
      <w:pPr>
        <w:spacing w:after="0" w:line="240" w:lineRule="auto"/>
      </w:pPr>
      <w:r>
        <w:separator/>
      </w:r>
    </w:p>
  </w:endnote>
  <w:endnote w:type="continuationSeparator" w:id="0">
    <w:p w14:paraId="558E8577" w14:textId="77777777" w:rsidR="00225B68" w:rsidRDefault="00225B68" w:rsidP="003E4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6F85D8" w14:textId="7041C4B5" w:rsidR="00A75464" w:rsidRPr="006B23CE" w:rsidRDefault="00A75464" w:rsidP="003E40DB">
    <w:pPr>
      <w:pStyle w:val="Encabezado"/>
      <w:tabs>
        <w:tab w:val="left" w:pos="1134"/>
      </w:tabs>
      <w:jc w:val="center"/>
      <w:rPr>
        <w:rFonts w:ascii="Arial Narrow" w:hAnsi="Arial Narrow"/>
        <w:sz w:val="20"/>
        <w:szCs w:val="20"/>
      </w:rPr>
    </w:pPr>
    <w:bookmarkStart w:id="1" w:name="_Hlk34118089"/>
    <w:bookmarkStart w:id="2" w:name="_Hlk34118090"/>
    <w:r w:rsidRPr="00915B0D">
      <w:rPr>
        <w:rFonts w:ascii="Arial Narrow" w:hAnsi="Arial Narrow"/>
        <w:noProof/>
        <w:sz w:val="20"/>
        <w:szCs w:val="20"/>
        <w:lang w:eastAsia="es-CO"/>
      </w:rPr>
      <mc:AlternateContent>
        <mc:Choice Requires="wps">
          <w:drawing>
            <wp:anchor distT="0" distB="0" distL="114300" distR="114300" simplePos="0" relativeHeight="251664384" behindDoc="1" locked="0" layoutInCell="1" allowOverlap="1" wp14:anchorId="11C523AF" wp14:editId="0E18EA8E">
              <wp:simplePos x="0" y="0"/>
              <wp:positionH relativeFrom="page">
                <wp:posOffset>6309360</wp:posOffset>
              </wp:positionH>
              <wp:positionV relativeFrom="page">
                <wp:posOffset>9228455</wp:posOffset>
              </wp:positionV>
              <wp:extent cx="1171575" cy="476250"/>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1171575" cy="476250"/>
                      </a:xfrm>
                      <a:prstGeom prst="rect">
                        <a:avLst/>
                      </a:prstGeom>
                      <a:noFill/>
                      <a:ln w="6350">
                        <a:noFill/>
                      </a:ln>
                      <a:effectLst/>
                    </wps:spPr>
                    <wps:txbx>
                      <w:txbxContent>
                        <w:p w14:paraId="7E039E8E" w14:textId="77777777" w:rsidR="00A75464" w:rsidRDefault="00A75464" w:rsidP="00B32562">
                          <w:pPr>
                            <w:pStyle w:val="Piedepgina"/>
                            <w:rPr>
                              <w:rFonts w:ascii="Tahoma" w:hAnsi="Tahoma" w:cs="Tahoma"/>
                              <w:sz w:val="14"/>
                              <w:szCs w:val="18"/>
                            </w:rPr>
                          </w:pPr>
                          <w:r w:rsidRPr="004779C5">
                            <w:rPr>
                              <w:rFonts w:ascii="Tahoma" w:hAnsi="Tahoma" w:cs="Tahoma"/>
                              <w:b/>
                              <w:sz w:val="14"/>
                              <w:szCs w:val="18"/>
                            </w:rPr>
                            <w:t xml:space="preserve">CÓDIGO: </w:t>
                          </w:r>
                          <w:r w:rsidRPr="00915B0D">
                            <w:rPr>
                              <w:rFonts w:ascii="Tahoma" w:hAnsi="Tahoma" w:cs="Tahoma"/>
                              <w:bCs/>
                              <w:sz w:val="14"/>
                              <w:szCs w:val="18"/>
                            </w:rPr>
                            <w:t>PA</w:t>
                          </w:r>
                          <w:r>
                            <w:rPr>
                              <w:rFonts w:ascii="Tahoma" w:hAnsi="Tahoma" w:cs="Tahoma"/>
                              <w:b/>
                              <w:sz w:val="14"/>
                              <w:szCs w:val="18"/>
                            </w:rPr>
                            <w:t>-</w:t>
                          </w:r>
                          <w:r>
                            <w:rPr>
                              <w:rFonts w:ascii="Tahoma" w:hAnsi="Tahoma" w:cs="Tahoma"/>
                              <w:sz w:val="14"/>
                              <w:szCs w:val="18"/>
                            </w:rPr>
                            <w:t>C-FT-ESM</w:t>
                          </w:r>
                        </w:p>
                        <w:p w14:paraId="6BE6B235" w14:textId="6BCD65DB" w:rsidR="00A75464" w:rsidRDefault="00A75464" w:rsidP="00B32562">
                          <w:pPr>
                            <w:pStyle w:val="Piedepgina"/>
                            <w:rPr>
                              <w:rFonts w:ascii="Tahoma" w:hAnsi="Tahoma" w:cs="Tahoma"/>
                              <w:sz w:val="14"/>
                              <w:szCs w:val="18"/>
                            </w:rPr>
                          </w:pPr>
                          <w:r w:rsidRPr="004779C5">
                            <w:rPr>
                              <w:rFonts w:ascii="Tahoma" w:hAnsi="Tahoma" w:cs="Tahoma"/>
                              <w:b/>
                              <w:sz w:val="14"/>
                              <w:szCs w:val="18"/>
                            </w:rPr>
                            <w:t>VERSIÓN:</w:t>
                          </w:r>
                          <w:r w:rsidRPr="004779C5">
                            <w:rPr>
                              <w:rFonts w:ascii="Tahoma" w:hAnsi="Tahoma" w:cs="Tahoma"/>
                              <w:sz w:val="14"/>
                              <w:szCs w:val="18"/>
                            </w:rPr>
                            <w:t xml:space="preserve"> 0</w:t>
                          </w:r>
                          <w:r>
                            <w:rPr>
                              <w:rFonts w:ascii="Tahoma" w:hAnsi="Tahoma" w:cs="Tahoma"/>
                              <w:sz w:val="14"/>
                              <w:szCs w:val="18"/>
                            </w:rPr>
                            <w:t>4</w:t>
                          </w:r>
                        </w:p>
                        <w:p w14:paraId="0C4F8894" w14:textId="5C07270B" w:rsidR="00A75464" w:rsidRPr="004779C5" w:rsidRDefault="00A75464" w:rsidP="00B32562">
                          <w:pPr>
                            <w:pStyle w:val="Piedepgina"/>
                            <w:rPr>
                              <w:rFonts w:ascii="Tahoma" w:hAnsi="Tahoma" w:cs="Tahoma"/>
                              <w:b/>
                              <w:sz w:val="14"/>
                              <w:szCs w:val="18"/>
                            </w:rPr>
                          </w:pPr>
                          <w:r w:rsidRPr="004779C5">
                            <w:rPr>
                              <w:rFonts w:ascii="Tahoma" w:hAnsi="Tahoma" w:cs="Tahoma"/>
                              <w:b/>
                              <w:sz w:val="14"/>
                              <w:szCs w:val="18"/>
                            </w:rPr>
                            <w:t xml:space="preserve">FECHA: </w:t>
                          </w:r>
                          <w:r>
                            <w:rPr>
                              <w:rFonts w:ascii="Tahoma" w:hAnsi="Tahoma" w:cs="Tahoma"/>
                              <w:bCs/>
                              <w:sz w:val="14"/>
                              <w:szCs w:val="18"/>
                            </w:rPr>
                            <w:t>ENERO</w:t>
                          </w:r>
                          <w:r>
                            <w:rPr>
                              <w:rFonts w:ascii="Tahoma" w:hAnsi="Tahoma" w:cs="Tahoma"/>
                              <w:b/>
                              <w:sz w:val="14"/>
                              <w:szCs w:val="18"/>
                            </w:rPr>
                            <w:t>-</w:t>
                          </w:r>
                          <w:r>
                            <w:rPr>
                              <w:rFonts w:ascii="Tahoma" w:hAnsi="Tahoma" w:cs="Tahoma"/>
                              <w:sz w:val="14"/>
                              <w:szCs w:val="18"/>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C523AF" id="_x0000_t202" coordsize="21600,21600" o:spt="202" path="m,l,21600r21600,l21600,xe">
              <v:stroke joinstyle="miter"/>
              <v:path gradientshapeok="t" o:connecttype="rect"/>
            </v:shapetype>
            <v:shape id="Cuadro de texto 2" o:spid="_x0000_s1026" type="#_x0000_t202" style="position:absolute;left:0;text-align:left;margin-left:496.8pt;margin-top:726.65pt;width:92.25pt;height:37.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" filled="f" stroked="f" strokeweight=".5pt">
              <v:textbox>
                <w:txbxContent>
                  <w:p w14:paraId="7E039E8E" w14:textId="77777777" w:rsidR="00A75464" w:rsidRDefault="00A75464" w:rsidP="00B32562">
                    <w:pPr>
                      <w:pStyle w:val="Piedepgina"/>
                      <w:rPr>
                        <w:rFonts w:ascii="Tahoma" w:hAnsi="Tahoma" w:cs="Tahoma"/>
                        <w:sz w:val="14"/>
                        <w:szCs w:val="18"/>
                      </w:rPr>
                    </w:pPr>
                    <w:r w:rsidRPr="004779C5">
                      <w:rPr>
                        <w:rFonts w:ascii="Tahoma" w:hAnsi="Tahoma" w:cs="Tahoma"/>
                        <w:b/>
                        <w:sz w:val="14"/>
                        <w:szCs w:val="18"/>
                      </w:rPr>
                      <w:t xml:space="preserve">CÓDIGO: </w:t>
                    </w:r>
                    <w:r w:rsidRPr="00915B0D">
                      <w:rPr>
                        <w:rFonts w:ascii="Tahoma" w:hAnsi="Tahoma" w:cs="Tahoma"/>
                        <w:bCs/>
                        <w:sz w:val="14"/>
                        <w:szCs w:val="18"/>
                      </w:rPr>
                      <w:t>PA</w:t>
                    </w:r>
                    <w:r>
                      <w:rPr>
                        <w:rFonts w:ascii="Tahoma" w:hAnsi="Tahoma" w:cs="Tahoma"/>
                        <w:b/>
                        <w:sz w:val="14"/>
                        <w:szCs w:val="18"/>
                      </w:rPr>
                      <w:t>-</w:t>
                    </w:r>
                    <w:r>
                      <w:rPr>
                        <w:rFonts w:ascii="Tahoma" w:hAnsi="Tahoma" w:cs="Tahoma"/>
                        <w:sz w:val="14"/>
                        <w:szCs w:val="18"/>
                      </w:rPr>
                      <w:t>C-FT-ESM</w:t>
                    </w:r>
                  </w:p>
                  <w:p w14:paraId="6BE6B235" w14:textId="6BCD65DB" w:rsidR="00A75464" w:rsidRDefault="00A75464" w:rsidP="00B32562">
                    <w:pPr>
                      <w:pStyle w:val="Piedepgina"/>
                      <w:rPr>
                        <w:rFonts w:ascii="Tahoma" w:hAnsi="Tahoma" w:cs="Tahoma"/>
                        <w:sz w:val="14"/>
                        <w:szCs w:val="18"/>
                      </w:rPr>
                    </w:pPr>
                    <w:r w:rsidRPr="004779C5">
                      <w:rPr>
                        <w:rFonts w:ascii="Tahoma" w:hAnsi="Tahoma" w:cs="Tahoma"/>
                        <w:b/>
                        <w:sz w:val="14"/>
                        <w:szCs w:val="18"/>
                      </w:rPr>
                      <w:t>VERSIÓN:</w:t>
                    </w:r>
                    <w:r w:rsidRPr="004779C5">
                      <w:rPr>
                        <w:rFonts w:ascii="Tahoma" w:hAnsi="Tahoma" w:cs="Tahoma"/>
                        <w:sz w:val="14"/>
                        <w:szCs w:val="18"/>
                      </w:rPr>
                      <w:t xml:space="preserve"> 0</w:t>
                    </w:r>
                    <w:r>
                      <w:rPr>
                        <w:rFonts w:ascii="Tahoma" w:hAnsi="Tahoma" w:cs="Tahoma"/>
                        <w:sz w:val="14"/>
                        <w:szCs w:val="18"/>
                      </w:rPr>
                      <w:t>4</w:t>
                    </w:r>
                  </w:p>
                  <w:p w14:paraId="0C4F8894" w14:textId="5C07270B" w:rsidR="00A75464" w:rsidRPr="004779C5" w:rsidRDefault="00A75464" w:rsidP="00B32562">
                    <w:pPr>
                      <w:pStyle w:val="Piedepgina"/>
                      <w:rPr>
                        <w:rFonts w:ascii="Tahoma" w:hAnsi="Tahoma" w:cs="Tahoma"/>
                        <w:b/>
                        <w:sz w:val="14"/>
                        <w:szCs w:val="18"/>
                      </w:rPr>
                    </w:pPr>
                    <w:r w:rsidRPr="004779C5">
                      <w:rPr>
                        <w:rFonts w:ascii="Tahoma" w:hAnsi="Tahoma" w:cs="Tahoma"/>
                        <w:b/>
                        <w:sz w:val="14"/>
                        <w:szCs w:val="18"/>
                      </w:rPr>
                      <w:t xml:space="preserve">FECHA: </w:t>
                    </w:r>
                    <w:r>
                      <w:rPr>
                        <w:rFonts w:ascii="Tahoma" w:hAnsi="Tahoma" w:cs="Tahoma"/>
                        <w:bCs/>
                        <w:sz w:val="14"/>
                        <w:szCs w:val="18"/>
                      </w:rPr>
                      <w:t>ENERO</w:t>
                    </w:r>
                    <w:r>
                      <w:rPr>
                        <w:rFonts w:ascii="Tahoma" w:hAnsi="Tahoma" w:cs="Tahoma"/>
                        <w:b/>
                        <w:sz w:val="14"/>
                        <w:szCs w:val="18"/>
                      </w:rPr>
                      <w:t>-</w:t>
                    </w:r>
                    <w:r>
                      <w:rPr>
                        <w:rFonts w:ascii="Tahoma" w:hAnsi="Tahoma" w:cs="Tahoma"/>
                        <w:sz w:val="14"/>
                        <w:szCs w:val="18"/>
                      </w:rPr>
                      <w:t>2026</w:t>
                    </w:r>
                  </w:p>
                </w:txbxContent>
              </v:textbox>
              <w10:wrap anchorx="page" anchory="page"/>
            </v:shape>
          </w:pict>
        </mc:Fallback>
      </mc:AlternateContent>
    </w:r>
    <w:r w:rsidRPr="006B23CE">
      <w:rPr>
        <w:rFonts w:ascii="Arial Narrow" w:hAnsi="Arial Narrow"/>
        <w:noProof/>
        <w:sz w:val="20"/>
        <w:szCs w:val="20"/>
        <w:lang w:eastAsia="es-CO"/>
      </w:rPr>
      <mc:AlternateContent>
        <mc:Choice Requires="wps">
          <w:drawing>
            <wp:anchor distT="0" distB="0" distL="114300" distR="114300" simplePos="0" relativeHeight="251662336" behindDoc="1" locked="0" layoutInCell="1" allowOverlap="1" wp14:anchorId="03DE4F8D" wp14:editId="029E8D19">
              <wp:simplePos x="0" y="0"/>
              <wp:positionH relativeFrom="page">
                <wp:posOffset>7724775</wp:posOffset>
              </wp:positionH>
              <wp:positionV relativeFrom="page">
                <wp:posOffset>6905625</wp:posOffset>
              </wp:positionV>
              <wp:extent cx="1171575" cy="47625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171575" cy="476250"/>
                      </a:xfrm>
                      <a:prstGeom prst="rect">
                        <a:avLst/>
                      </a:prstGeom>
                      <a:noFill/>
                      <a:ln w="6350">
                        <a:noFill/>
                      </a:ln>
                      <a:effectLst/>
                    </wps:spPr>
                    <wps:txbx>
                      <w:txbxContent>
                        <w:p w14:paraId="1633EA72" w14:textId="77777777" w:rsidR="00A75464" w:rsidRPr="006B23CE" w:rsidRDefault="00A75464" w:rsidP="003E40DB">
                          <w:pPr>
                            <w:pStyle w:val="Piedepgina"/>
                            <w:rPr>
                              <w:rFonts w:ascii="Tahoma" w:hAnsi="Tahoma" w:cs="Tahoma"/>
                              <w:sz w:val="14"/>
                              <w:szCs w:val="18"/>
                            </w:rPr>
                          </w:pPr>
                          <w:r w:rsidRPr="006B23CE">
                            <w:rPr>
                              <w:rFonts w:ascii="Tahoma" w:hAnsi="Tahoma" w:cs="Tahoma"/>
                              <w:b/>
                              <w:sz w:val="14"/>
                              <w:szCs w:val="18"/>
                            </w:rPr>
                            <w:t xml:space="preserve">CÓDIGO: </w:t>
                          </w:r>
                          <w:r w:rsidRPr="006B23CE">
                            <w:rPr>
                              <w:rFonts w:ascii="Tahoma" w:hAnsi="Tahoma" w:cs="Tahoma"/>
                              <w:bCs/>
                              <w:sz w:val="14"/>
                              <w:szCs w:val="18"/>
                            </w:rPr>
                            <w:t>PA</w:t>
                          </w:r>
                          <w:r w:rsidRPr="006B23CE">
                            <w:rPr>
                              <w:rFonts w:ascii="Tahoma" w:hAnsi="Tahoma" w:cs="Tahoma"/>
                              <w:b/>
                              <w:sz w:val="14"/>
                              <w:szCs w:val="18"/>
                            </w:rPr>
                            <w:t>-</w:t>
                          </w:r>
                          <w:r w:rsidRPr="006B23CE">
                            <w:rPr>
                              <w:rFonts w:ascii="Tahoma" w:hAnsi="Tahoma" w:cs="Tahoma"/>
                              <w:sz w:val="14"/>
                              <w:szCs w:val="18"/>
                            </w:rPr>
                            <w:t xml:space="preserve">C-FT-ESM </w:t>
                          </w:r>
                        </w:p>
                        <w:p w14:paraId="60B5C98A" w14:textId="77777777" w:rsidR="00A75464" w:rsidRPr="006B23CE" w:rsidRDefault="00A75464" w:rsidP="003E40DB">
                          <w:pPr>
                            <w:pStyle w:val="Piedepgina"/>
                            <w:rPr>
                              <w:rFonts w:ascii="Tahoma" w:hAnsi="Tahoma" w:cs="Tahoma"/>
                              <w:sz w:val="14"/>
                              <w:szCs w:val="18"/>
                            </w:rPr>
                          </w:pPr>
                          <w:r w:rsidRPr="006B23CE">
                            <w:rPr>
                              <w:rFonts w:ascii="Tahoma" w:hAnsi="Tahoma" w:cs="Tahoma"/>
                              <w:b/>
                              <w:sz w:val="14"/>
                              <w:szCs w:val="18"/>
                            </w:rPr>
                            <w:t>VERSIÓN:</w:t>
                          </w:r>
                          <w:r w:rsidRPr="006B23CE">
                            <w:rPr>
                              <w:rFonts w:ascii="Tahoma" w:hAnsi="Tahoma" w:cs="Tahoma"/>
                              <w:sz w:val="14"/>
                              <w:szCs w:val="18"/>
                            </w:rPr>
                            <w:t xml:space="preserve"> 02</w:t>
                          </w:r>
                        </w:p>
                        <w:p w14:paraId="3901A0D4" w14:textId="77777777" w:rsidR="00A75464" w:rsidRPr="006B23CE" w:rsidRDefault="00A75464" w:rsidP="003E40DB">
                          <w:pPr>
                            <w:pStyle w:val="Piedepgina"/>
                            <w:rPr>
                              <w:rFonts w:ascii="Tahoma" w:hAnsi="Tahoma" w:cs="Tahoma"/>
                              <w:b/>
                              <w:sz w:val="14"/>
                              <w:szCs w:val="18"/>
                            </w:rPr>
                          </w:pPr>
                          <w:r w:rsidRPr="006B23CE">
                            <w:rPr>
                              <w:rFonts w:ascii="Tahoma" w:hAnsi="Tahoma" w:cs="Tahoma"/>
                              <w:b/>
                              <w:sz w:val="14"/>
                              <w:szCs w:val="18"/>
                            </w:rPr>
                            <w:t xml:space="preserve">FECHA: </w:t>
                          </w:r>
                          <w:r w:rsidRPr="006B23CE">
                            <w:rPr>
                              <w:rFonts w:ascii="Tahoma" w:hAnsi="Tahoma" w:cs="Tahoma"/>
                              <w:bCs/>
                              <w:sz w:val="14"/>
                              <w:szCs w:val="18"/>
                            </w:rPr>
                            <w:t>ABRIL-</w:t>
                          </w:r>
                          <w:r w:rsidRPr="006B23CE">
                            <w:rPr>
                              <w:rFonts w:ascii="Tahoma" w:hAnsi="Tahoma" w:cs="Tahoma"/>
                              <w:sz w:val="14"/>
                              <w:szCs w:val="18"/>
                            </w:rPr>
                            <w:t>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E4F8D" id="Cuadro de texto 1" o:spid="_x0000_s1027" type="#_x0000_t202" style="position:absolute;left:0;text-align:left;margin-left:608.25pt;margin-top:543.75pt;width:92.25pt;height:37.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" filled="f" stroked="f" strokeweight=".5pt">
              <v:textbox>
                <w:txbxContent>
                  <w:p w14:paraId="1633EA72" w14:textId="77777777" w:rsidR="00A75464" w:rsidRPr="006B23CE" w:rsidRDefault="00A75464" w:rsidP="003E40DB">
                    <w:pPr>
                      <w:pStyle w:val="Piedepgina"/>
                      <w:rPr>
                        <w:rFonts w:ascii="Tahoma" w:hAnsi="Tahoma" w:cs="Tahoma"/>
                        <w:sz w:val="14"/>
                        <w:szCs w:val="18"/>
                      </w:rPr>
                    </w:pPr>
                    <w:r w:rsidRPr="006B23CE">
                      <w:rPr>
                        <w:rFonts w:ascii="Tahoma" w:hAnsi="Tahoma" w:cs="Tahoma"/>
                        <w:b/>
                        <w:sz w:val="14"/>
                        <w:szCs w:val="18"/>
                      </w:rPr>
                      <w:t xml:space="preserve">CÓDIGO: </w:t>
                    </w:r>
                    <w:r w:rsidRPr="006B23CE">
                      <w:rPr>
                        <w:rFonts w:ascii="Tahoma" w:hAnsi="Tahoma" w:cs="Tahoma"/>
                        <w:bCs/>
                        <w:sz w:val="14"/>
                        <w:szCs w:val="18"/>
                      </w:rPr>
                      <w:t>PA</w:t>
                    </w:r>
                    <w:r w:rsidRPr="006B23CE">
                      <w:rPr>
                        <w:rFonts w:ascii="Tahoma" w:hAnsi="Tahoma" w:cs="Tahoma"/>
                        <w:b/>
                        <w:sz w:val="14"/>
                        <w:szCs w:val="18"/>
                      </w:rPr>
                      <w:t>-</w:t>
                    </w:r>
                    <w:r w:rsidRPr="006B23CE">
                      <w:rPr>
                        <w:rFonts w:ascii="Tahoma" w:hAnsi="Tahoma" w:cs="Tahoma"/>
                        <w:sz w:val="14"/>
                        <w:szCs w:val="18"/>
                      </w:rPr>
                      <w:t xml:space="preserve">C-FT-ESM </w:t>
                    </w:r>
                  </w:p>
                  <w:p w14:paraId="60B5C98A" w14:textId="77777777" w:rsidR="00A75464" w:rsidRPr="006B23CE" w:rsidRDefault="00A75464" w:rsidP="003E40DB">
                    <w:pPr>
                      <w:pStyle w:val="Piedepgina"/>
                      <w:rPr>
                        <w:rFonts w:ascii="Tahoma" w:hAnsi="Tahoma" w:cs="Tahoma"/>
                        <w:sz w:val="14"/>
                        <w:szCs w:val="18"/>
                      </w:rPr>
                    </w:pPr>
                    <w:r w:rsidRPr="006B23CE">
                      <w:rPr>
                        <w:rFonts w:ascii="Tahoma" w:hAnsi="Tahoma" w:cs="Tahoma"/>
                        <w:b/>
                        <w:sz w:val="14"/>
                        <w:szCs w:val="18"/>
                      </w:rPr>
                      <w:t>VERSIÓN:</w:t>
                    </w:r>
                    <w:r w:rsidRPr="006B23CE">
                      <w:rPr>
                        <w:rFonts w:ascii="Tahoma" w:hAnsi="Tahoma" w:cs="Tahoma"/>
                        <w:sz w:val="14"/>
                        <w:szCs w:val="18"/>
                      </w:rPr>
                      <w:t xml:space="preserve"> 02</w:t>
                    </w:r>
                  </w:p>
                  <w:p w14:paraId="3901A0D4" w14:textId="77777777" w:rsidR="00A75464" w:rsidRPr="006B23CE" w:rsidRDefault="00A75464" w:rsidP="003E40DB">
                    <w:pPr>
                      <w:pStyle w:val="Piedepgina"/>
                      <w:rPr>
                        <w:rFonts w:ascii="Tahoma" w:hAnsi="Tahoma" w:cs="Tahoma"/>
                        <w:b/>
                        <w:sz w:val="14"/>
                        <w:szCs w:val="18"/>
                      </w:rPr>
                    </w:pPr>
                    <w:r w:rsidRPr="006B23CE">
                      <w:rPr>
                        <w:rFonts w:ascii="Tahoma" w:hAnsi="Tahoma" w:cs="Tahoma"/>
                        <w:b/>
                        <w:sz w:val="14"/>
                        <w:szCs w:val="18"/>
                      </w:rPr>
                      <w:t xml:space="preserve">FECHA: </w:t>
                    </w:r>
                    <w:r w:rsidRPr="006B23CE">
                      <w:rPr>
                        <w:rFonts w:ascii="Tahoma" w:hAnsi="Tahoma" w:cs="Tahoma"/>
                        <w:bCs/>
                        <w:sz w:val="14"/>
                        <w:szCs w:val="18"/>
                      </w:rPr>
                      <w:t>ABRIL-</w:t>
                    </w:r>
                    <w:r w:rsidRPr="006B23CE">
                      <w:rPr>
                        <w:rFonts w:ascii="Tahoma" w:hAnsi="Tahoma" w:cs="Tahoma"/>
                        <w:sz w:val="14"/>
                        <w:szCs w:val="18"/>
                      </w:rPr>
                      <w:t>2024</w:t>
                    </w:r>
                  </w:p>
                </w:txbxContent>
              </v:textbox>
              <w10:wrap anchorx="page" anchory="page"/>
            </v:shape>
          </w:pict>
        </mc:Fallback>
      </mc:AlternateContent>
    </w:r>
    <w:r w:rsidRPr="006B23CE">
      <w:rPr>
        <w:rFonts w:ascii="Arial Narrow" w:hAnsi="Arial Narrow"/>
        <w:sz w:val="20"/>
        <w:szCs w:val="20"/>
      </w:rPr>
      <w:t xml:space="preserve">Casa De Gobierno - Carrera 4 </w:t>
    </w:r>
    <w:proofErr w:type="spellStart"/>
    <w:r w:rsidRPr="006B23CE">
      <w:rPr>
        <w:rFonts w:ascii="Arial Narrow" w:hAnsi="Arial Narrow"/>
        <w:sz w:val="20"/>
        <w:szCs w:val="20"/>
      </w:rPr>
      <w:t>N°</w:t>
    </w:r>
    <w:proofErr w:type="spellEnd"/>
    <w:r w:rsidRPr="006B23CE">
      <w:rPr>
        <w:rFonts w:ascii="Arial Narrow" w:hAnsi="Arial Narrow"/>
        <w:sz w:val="20"/>
        <w:szCs w:val="20"/>
      </w:rPr>
      <w:t xml:space="preserve"> 5-18 - Tel: 3214926626 – 3214926625 – 3102603121 </w:t>
    </w:r>
  </w:p>
  <w:p w14:paraId="436E75AD" w14:textId="0D2C1C2E" w:rsidR="00A75464" w:rsidRPr="009F2EE7" w:rsidRDefault="00A75464" w:rsidP="003E40DB">
    <w:pPr>
      <w:pStyle w:val="Encabezado"/>
      <w:tabs>
        <w:tab w:val="left" w:pos="1134"/>
      </w:tabs>
      <w:jc w:val="center"/>
      <w:rPr>
        <w:rStyle w:val="Hipervnculo"/>
        <w:rFonts w:ascii="Arial Narrow" w:hAnsi="Arial Narrow"/>
        <w:sz w:val="20"/>
        <w:szCs w:val="20"/>
        <w:lang w:val="en-US"/>
      </w:rPr>
    </w:pPr>
    <w:r w:rsidRPr="009F2EE7">
      <w:rPr>
        <w:rFonts w:ascii="Arial Narrow" w:hAnsi="Arial Narrow"/>
        <w:sz w:val="20"/>
        <w:szCs w:val="20"/>
        <w:lang w:val="en-US"/>
      </w:rPr>
      <w:t xml:space="preserve">Web: </w:t>
    </w:r>
    <w:hyperlink r:id="rId1" w:history="1">
      <w:r w:rsidRPr="009F2EE7">
        <w:rPr>
          <w:rStyle w:val="Hipervnculo"/>
          <w:rFonts w:ascii="Arial Narrow" w:hAnsi="Arial Narrow"/>
          <w:sz w:val="20"/>
          <w:szCs w:val="20"/>
          <w:lang w:val="en-US"/>
        </w:rPr>
        <w:t>www.gachala-cundinamarca.gov.co</w:t>
      </w:r>
    </w:hyperlink>
    <w:r w:rsidRPr="009F2EE7">
      <w:rPr>
        <w:rStyle w:val="Hipervnculo"/>
        <w:rFonts w:ascii="Arial Narrow" w:hAnsi="Arial Narrow"/>
        <w:sz w:val="20"/>
        <w:szCs w:val="20"/>
        <w:lang w:val="en-US"/>
      </w:rPr>
      <w:t xml:space="preserve"> </w:t>
    </w:r>
  </w:p>
  <w:p w14:paraId="7FA54F40" w14:textId="0E5B1C09" w:rsidR="00A75464" w:rsidRPr="006B23CE" w:rsidRDefault="00A75464" w:rsidP="003E40DB">
    <w:pPr>
      <w:pStyle w:val="Piedepgina"/>
      <w:jc w:val="center"/>
      <w:rPr>
        <w:rFonts w:ascii="Arial Narrow" w:hAnsi="Arial Narrow" w:cs="Arial"/>
        <w:sz w:val="20"/>
        <w:szCs w:val="20"/>
      </w:rPr>
    </w:pPr>
    <w:sdt>
      <w:sdtPr>
        <w:rPr>
          <w:rFonts w:ascii="Arial Narrow" w:hAnsi="Arial Narrow"/>
          <w:sz w:val="20"/>
          <w:szCs w:val="20"/>
        </w:rPr>
        <w:id w:val="1120418974"/>
        <w:docPartObj>
          <w:docPartGallery w:val="Page Numbers (Bottom of Page)"/>
          <w:docPartUnique/>
        </w:docPartObj>
      </w:sdtPr>
      <w:sdtEndPr>
        <w:rPr>
          <w:rFonts w:cs="Arial"/>
        </w:rPr>
      </w:sdtEndPr>
      <w:sdtContent>
        <w:r w:rsidRPr="006B23CE">
          <w:rPr>
            <w:rFonts w:ascii="Arial Narrow" w:hAnsi="Arial Narrow" w:cs="Arial"/>
            <w:sz w:val="20"/>
            <w:szCs w:val="20"/>
          </w:rPr>
          <w:fldChar w:fldCharType="begin"/>
        </w:r>
        <w:r w:rsidRPr="006B23CE">
          <w:rPr>
            <w:rFonts w:ascii="Arial Narrow" w:hAnsi="Arial Narrow" w:cs="Arial"/>
            <w:sz w:val="20"/>
            <w:szCs w:val="20"/>
          </w:rPr>
          <w:instrText>PAGE   \* MERGEFORMAT</w:instrText>
        </w:r>
        <w:r w:rsidRPr="006B23CE">
          <w:rPr>
            <w:rFonts w:ascii="Arial Narrow" w:hAnsi="Arial Narrow" w:cs="Arial"/>
            <w:sz w:val="20"/>
            <w:szCs w:val="20"/>
          </w:rPr>
          <w:fldChar w:fldCharType="separate"/>
        </w:r>
        <w:r>
          <w:rPr>
            <w:rFonts w:ascii="Arial Narrow" w:hAnsi="Arial Narrow" w:cs="Arial"/>
            <w:noProof/>
            <w:sz w:val="20"/>
            <w:szCs w:val="20"/>
          </w:rPr>
          <w:t>9</w:t>
        </w:r>
        <w:r w:rsidRPr="006B23CE">
          <w:rPr>
            <w:rFonts w:ascii="Arial Narrow" w:hAnsi="Arial Narrow" w:cs="Arial"/>
            <w:sz w:val="20"/>
            <w:szCs w:val="20"/>
          </w:rPr>
          <w:fldChar w:fldCharType="end"/>
        </w:r>
      </w:sdtContent>
    </w:sdt>
  </w:p>
  <w:bookmarkEnd w:id="1"/>
  <w:bookmarkEnd w:i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43795D" w14:textId="77777777" w:rsidR="00225B68" w:rsidRDefault="00225B68" w:rsidP="003E40DB">
      <w:pPr>
        <w:spacing w:after="0" w:line="240" w:lineRule="auto"/>
      </w:pPr>
      <w:r>
        <w:separator/>
      </w:r>
    </w:p>
  </w:footnote>
  <w:footnote w:type="continuationSeparator" w:id="0">
    <w:p w14:paraId="75832098" w14:textId="77777777" w:rsidR="00225B68" w:rsidRDefault="00225B68" w:rsidP="003E4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9ADDF4" w14:textId="77D9CB83" w:rsidR="00A75464" w:rsidRPr="006B23CE" w:rsidRDefault="00A75464" w:rsidP="003E40DB">
    <w:pPr>
      <w:pStyle w:val="Encabezado"/>
      <w:tabs>
        <w:tab w:val="clear" w:pos="4419"/>
      </w:tabs>
      <w:jc w:val="center"/>
      <w:rPr>
        <w:rFonts w:ascii="Arial Narrow" w:hAnsi="Arial Narrow"/>
        <w:b/>
        <w:sz w:val="20"/>
        <w:szCs w:val="20"/>
      </w:rPr>
    </w:pPr>
    <w:r w:rsidRPr="00896F7F">
      <w:rPr>
        <w:rFonts w:ascii="Arial Narrow" w:hAnsi="Arial Narrow"/>
        <w:noProof/>
        <w:sz w:val="28"/>
        <w:szCs w:val="28"/>
        <w:lang w:eastAsia="es-CO"/>
      </w:rPr>
      <w:drawing>
        <wp:anchor distT="0" distB="0" distL="114300" distR="114300" simplePos="0" relativeHeight="251668480" behindDoc="0" locked="0" layoutInCell="1" allowOverlap="1" wp14:anchorId="67BC3471" wp14:editId="628A7397">
          <wp:simplePos x="0" y="0"/>
          <wp:positionH relativeFrom="margin">
            <wp:posOffset>4657725</wp:posOffset>
          </wp:positionH>
          <wp:positionV relativeFrom="paragraph">
            <wp:posOffset>-82550</wp:posOffset>
          </wp:positionV>
          <wp:extent cx="1219200" cy="573102"/>
          <wp:effectExtent l="0" t="0" r="0" b="0"/>
          <wp:wrapNone/>
          <wp:docPr id="8330349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a:ext>
                    </a:extLst>
                  </a:blip>
                  <a:srcRect/>
                  <a:stretch>
                    <a:fillRect/>
                  </a:stretch>
                </pic:blipFill>
                <pic:spPr bwMode="auto">
                  <a:xfrm>
                    <a:off x="0" y="0"/>
                    <a:ext cx="1219200" cy="57310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6432" behindDoc="0" locked="0" layoutInCell="1" allowOverlap="1" wp14:anchorId="6118AF31" wp14:editId="49570F36">
          <wp:simplePos x="0" y="0"/>
          <wp:positionH relativeFrom="margin">
            <wp:posOffset>-57150</wp:posOffset>
          </wp:positionH>
          <wp:positionV relativeFrom="paragraph">
            <wp:posOffset>-248285</wp:posOffset>
          </wp:positionV>
          <wp:extent cx="742950" cy="807078"/>
          <wp:effectExtent l="0" t="0" r="0" b="0"/>
          <wp:wrapNone/>
          <wp:docPr id="20127345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cstate="print">
                    <a:extLst>
                      <a:ext uri="{28A0092B-C50C-407E-A947-70E740481C1C}">
                        <a14:useLocalDpi xmlns:a14="http://schemas.microsoft.com/office/drawing/2010/main"/>
                      </a:ext>
                    </a:extLst>
                  </a:blip>
                  <a:srcRect/>
                  <a:stretch/>
                </pic:blipFill>
                <pic:spPr bwMode="auto">
                  <a:xfrm>
                    <a:off x="0" y="0"/>
                    <a:ext cx="742950" cy="80707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B23CE">
      <w:rPr>
        <w:rFonts w:ascii="Arial Narrow" w:hAnsi="Arial Narrow"/>
        <w:b/>
        <w:sz w:val="24"/>
        <w:szCs w:val="20"/>
      </w:rPr>
      <w:t>ALCALDÍA MUNICIPAL - GACHALÁ CUNDINAMARCA</w:t>
    </w:r>
  </w:p>
  <w:p w14:paraId="0741A83F" w14:textId="646AFF87" w:rsidR="00A75464" w:rsidRPr="006B23CE" w:rsidRDefault="00A75464" w:rsidP="003E40DB">
    <w:pPr>
      <w:pStyle w:val="Encabezado"/>
      <w:tabs>
        <w:tab w:val="clear" w:pos="4419"/>
      </w:tabs>
      <w:jc w:val="center"/>
      <w:rPr>
        <w:rFonts w:ascii="Arial Narrow" w:hAnsi="Arial Narrow"/>
        <w:b/>
        <w:sz w:val="20"/>
        <w:szCs w:val="20"/>
      </w:rPr>
    </w:pPr>
    <w:r w:rsidRPr="006B23CE">
      <w:rPr>
        <w:rFonts w:ascii="Arial Narrow" w:hAnsi="Arial Narrow"/>
        <w:sz w:val="24"/>
        <w:szCs w:val="20"/>
      </w:rPr>
      <w:t>PROCESO DE CONTRATACIÓN</w:t>
    </w:r>
  </w:p>
  <w:p w14:paraId="7CE01AC0" w14:textId="77777777" w:rsidR="00A75464" w:rsidRPr="006B23CE" w:rsidRDefault="00A75464" w:rsidP="003E40DB">
    <w:pPr>
      <w:pStyle w:val="Encabezado"/>
      <w:tabs>
        <w:tab w:val="clear" w:pos="4419"/>
      </w:tabs>
      <w:jc w:val="center"/>
      <w:rPr>
        <w:rFonts w:ascii="Arial Narrow" w:hAnsi="Arial Narrow"/>
        <w:sz w:val="24"/>
        <w:szCs w:val="20"/>
      </w:rPr>
    </w:pPr>
    <w:r w:rsidRPr="006B23CE">
      <w:rPr>
        <w:rFonts w:ascii="Arial Narrow" w:hAnsi="Arial Narrow"/>
        <w:sz w:val="24"/>
        <w:szCs w:val="20"/>
      </w:rPr>
      <w:t>ESTUDIOS DEL SECTOR Y DE MERCADO</w:t>
    </w:r>
  </w:p>
  <w:p w14:paraId="1C0E9E09" w14:textId="77777777" w:rsidR="00A75464" w:rsidRPr="003E40DB" w:rsidRDefault="00A75464" w:rsidP="003E40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330C2"/>
    <w:multiLevelType w:val="hybridMultilevel"/>
    <w:tmpl w:val="893C5F1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6820D17"/>
    <w:multiLevelType w:val="hybridMultilevel"/>
    <w:tmpl w:val="35AA107C"/>
    <w:lvl w:ilvl="0" w:tplc="DCA8AA0C">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CE0989"/>
    <w:multiLevelType w:val="hybridMultilevel"/>
    <w:tmpl w:val="17DC9ACA"/>
    <w:lvl w:ilvl="0" w:tplc="06E864BC">
      <w:start w:val="1"/>
      <w:numFmt w:val="decimal"/>
      <w:lvlText w:val="%1."/>
      <w:lvlJc w:val="left"/>
      <w:pPr>
        <w:ind w:left="720" w:hanging="360"/>
      </w:pPr>
      <w:rPr>
        <w:rFonts w:ascii="Arial Narrow" w:eastAsia="Arial Narrow" w:hAnsi="Arial Narrow" w:cs="Arial Narrow"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5647E40"/>
    <w:multiLevelType w:val="hybridMultilevel"/>
    <w:tmpl w:val="3C7018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2A04877"/>
    <w:multiLevelType w:val="multilevel"/>
    <w:tmpl w:val="E58E17CA"/>
    <w:lvl w:ilvl="0">
      <w:start w:val="1"/>
      <w:numFmt w:val="decimal"/>
      <w:lvlText w:val="%1."/>
      <w:lvlJc w:val="left"/>
      <w:pPr>
        <w:ind w:left="1152" w:hanging="360"/>
      </w:pPr>
      <w:rPr>
        <w:rFonts w:hint="default"/>
        <w:b/>
        <w:bCs/>
      </w:rPr>
    </w:lvl>
    <w:lvl w:ilvl="1">
      <w:start w:val="1"/>
      <w:numFmt w:val="decimal"/>
      <w:isLgl/>
      <w:lvlText w:val="%1.%2."/>
      <w:lvlJc w:val="left"/>
      <w:pPr>
        <w:ind w:left="1242" w:hanging="450"/>
      </w:pPr>
      <w:rPr>
        <w:rFonts w:hint="default"/>
        <w:b/>
        <w:bCs/>
        <w:color w:val="auto"/>
      </w:rPr>
    </w:lvl>
    <w:lvl w:ilvl="2">
      <w:start w:val="1"/>
      <w:numFmt w:val="decimal"/>
      <w:isLgl/>
      <w:lvlText w:val="%1.%2.%3."/>
      <w:lvlJc w:val="left"/>
      <w:pPr>
        <w:ind w:left="1512" w:hanging="720"/>
      </w:pPr>
      <w:rPr>
        <w:rFonts w:hint="default"/>
        <w:b/>
        <w:bCs/>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1872" w:hanging="108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232" w:hanging="1440"/>
      </w:pPr>
      <w:rPr>
        <w:rFonts w:hint="default"/>
      </w:rPr>
    </w:lvl>
  </w:abstractNum>
  <w:abstractNum w:abstractNumId="5" w15:restartNumberingAfterBreak="0">
    <w:nsid w:val="44B80D49"/>
    <w:multiLevelType w:val="hybridMultilevel"/>
    <w:tmpl w:val="E0EE8F26"/>
    <w:lvl w:ilvl="0" w:tplc="072EE580">
      <w:start w:val="1"/>
      <w:numFmt w:val="decimal"/>
      <w:lvlText w:val="%1."/>
      <w:lvlJc w:val="left"/>
      <w:pPr>
        <w:ind w:left="720" w:hanging="360"/>
      </w:pPr>
      <w:rPr>
        <w:rFonts w:ascii="Arial Narrow" w:eastAsia="Arial Narrow" w:hAnsi="Arial Narrow" w:cs="Arial Narrow"/>
        <w:b/>
        <w:bCs/>
      </w:rPr>
    </w:lvl>
    <w:lvl w:ilvl="1" w:tplc="3C782D68">
      <w:start w:val="1"/>
      <w:numFmt w:val="bullet"/>
      <w:lvlText w:val="○"/>
      <w:lvlJc w:val="left"/>
      <w:pPr>
        <w:ind w:left="1440" w:hanging="360"/>
      </w:pPr>
    </w:lvl>
    <w:lvl w:ilvl="2" w:tplc="4BB02864">
      <w:start w:val="1"/>
      <w:numFmt w:val="bullet"/>
      <w:lvlText w:val="■"/>
      <w:lvlJc w:val="left"/>
      <w:pPr>
        <w:ind w:left="2160" w:hanging="360"/>
      </w:pPr>
    </w:lvl>
    <w:lvl w:ilvl="3" w:tplc="D4D208B4">
      <w:start w:val="1"/>
      <w:numFmt w:val="bullet"/>
      <w:lvlText w:val="●"/>
      <w:lvlJc w:val="left"/>
      <w:pPr>
        <w:ind w:left="2880" w:hanging="360"/>
      </w:pPr>
    </w:lvl>
    <w:lvl w:ilvl="4" w:tplc="48208782">
      <w:start w:val="1"/>
      <w:numFmt w:val="bullet"/>
      <w:lvlText w:val="○"/>
      <w:lvlJc w:val="left"/>
      <w:pPr>
        <w:ind w:left="3600" w:hanging="360"/>
      </w:pPr>
    </w:lvl>
    <w:lvl w:ilvl="5" w:tplc="209EBDB8">
      <w:start w:val="1"/>
      <w:numFmt w:val="bullet"/>
      <w:lvlText w:val="■"/>
      <w:lvlJc w:val="left"/>
      <w:pPr>
        <w:ind w:left="4320" w:hanging="360"/>
      </w:pPr>
    </w:lvl>
    <w:lvl w:ilvl="6" w:tplc="EADCB83E">
      <w:start w:val="1"/>
      <w:numFmt w:val="bullet"/>
      <w:lvlText w:val="●"/>
      <w:lvlJc w:val="left"/>
      <w:pPr>
        <w:ind w:left="5040" w:hanging="360"/>
      </w:pPr>
    </w:lvl>
    <w:lvl w:ilvl="7" w:tplc="A10A94E8">
      <w:start w:val="1"/>
      <w:numFmt w:val="bullet"/>
      <w:lvlText w:val="●"/>
      <w:lvlJc w:val="left"/>
      <w:pPr>
        <w:ind w:left="5760" w:hanging="360"/>
      </w:pPr>
    </w:lvl>
    <w:lvl w:ilvl="8" w:tplc="2A148752">
      <w:start w:val="1"/>
      <w:numFmt w:val="bullet"/>
      <w:lvlText w:val="●"/>
      <w:lvlJc w:val="left"/>
      <w:pPr>
        <w:ind w:left="6480" w:hanging="360"/>
      </w:pPr>
    </w:lvl>
  </w:abstractNum>
  <w:abstractNum w:abstractNumId="6" w15:restartNumberingAfterBreak="0">
    <w:nsid w:val="4E600F34"/>
    <w:multiLevelType w:val="hybridMultilevel"/>
    <w:tmpl w:val="6B40D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06D288D"/>
    <w:multiLevelType w:val="hybridMultilevel"/>
    <w:tmpl w:val="A6D029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E940C9B"/>
    <w:multiLevelType w:val="multilevel"/>
    <w:tmpl w:val="73D0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F67087"/>
    <w:multiLevelType w:val="hybridMultilevel"/>
    <w:tmpl w:val="EF264066"/>
    <w:lvl w:ilvl="0" w:tplc="5B26550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B602031"/>
    <w:multiLevelType w:val="multilevel"/>
    <w:tmpl w:val="EC2E568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740254"/>
    <w:multiLevelType w:val="multilevel"/>
    <w:tmpl w:val="0A8C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785261"/>
    <w:multiLevelType w:val="hybridMultilevel"/>
    <w:tmpl w:val="47D068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F892143"/>
    <w:multiLevelType w:val="multilevel"/>
    <w:tmpl w:val="17902F98"/>
    <w:lvl w:ilvl="0">
      <w:start w:val="9"/>
      <w:numFmt w:val="decimal"/>
      <w:lvlText w:val="%1."/>
      <w:lvlJc w:val="left"/>
      <w:pPr>
        <w:ind w:left="360" w:hanging="360"/>
      </w:pPr>
      <w:rPr>
        <w:rFonts w:hint="default"/>
      </w:rPr>
    </w:lvl>
    <w:lvl w:ilvl="1">
      <w:start w:val="1"/>
      <w:numFmt w:val="decimal"/>
      <w:lvlText w:val="%1.%2."/>
      <w:lvlJc w:val="left"/>
      <w:pPr>
        <w:ind w:left="720" w:hanging="360"/>
      </w:pPr>
      <w:rPr>
        <w:rFonts w:ascii="Arial Narrow" w:hAnsi="Arial Narrow"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0274C99"/>
    <w:multiLevelType w:val="hybridMultilevel"/>
    <w:tmpl w:val="D876AA08"/>
    <w:lvl w:ilvl="0" w:tplc="C7AC9E6A">
      <w:start w:val="1"/>
      <w:numFmt w:val="upperLetter"/>
      <w:lvlText w:val="%1."/>
      <w:lvlJc w:val="left"/>
      <w:pPr>
        <w:ind w:left="720" w:hanging="360"/>
      </w:pPr>
      <w:rPr>
        <w:rFonts w:eastAsia="Arial Narrow" w:cs="Arial Narrow"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1AC2D0E"/>
    <w:multiLevelType w:val="hybridMultilevel"/>
    <w:tmpl w:val="21F061CE"/>
    <w:lvl w:ilvl="0" w:tplc="81E0E53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47A3B29"/>
    <w:multiLevelType w:val="hybridMultilevel"/>
    <w:tmpl w:val="8E48F85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9EF2414"/>
    <w:multiLevelType w:val="hybridMultilevel"/>
    <w:tmpl w:val="D764D8AE"/>
    <w:lvl w:ilvl="0" w:tplc="62C455AE">
      <w:start w:val="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8"/>
  </w:num>
  <w:num w:numId="4">
    <w:abstractNumId w:val="11"/>
  </w:num>
  <w:num w:numId="5">
    <w:abstractNumId w:val="17"/>
  </w:num>
  <w:num w:numId="6">
    <w:abstractNumId w:val="15"/>
  </w:num>
  <w:num w:numId="7">
    <w:abstractNumId w:val="1"/>
  </w:num>
  <w:num w:numId="8">
    <w:abstractNumId w:val="0"/>
  </w:num>
  <w:num w:numId="9">
    <w:abstractNumId w:val="3"/>
  </w:num>
  <w:num w:numId="10">
    <w:abstractNumId w:val="16"/>
  </w:num>
  <w:num w:numId="11">
    <w:abstractNumId w:val="7"/>
  </w:num>
  <w:num w:numId="12">
    <w:abstractNumId w:val="6"/>
  </w:num>
  <w:num w:numId="13">
    <w:abstractNumId w:val="9"/>
  </w:num>
  <w:num w:numId="14">
    <w:abstractNumId w:val="4"/>
  </w:num>
  <w:num w:numId="15">
    <w:abstractNumId w:val="5"/>
    <w:lvlOverride w:ilvl="0">
      <w:startOverride w:val="1"/>
    </w:lvlOverride>
  </w:num>
  <w:num w:numId="16">
    <w:abstractNumId w:val="14"/>
  </w:num>
  <w:num w:numId="17">
    <w:abstractNumId w:val="1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0DB"/>
    <w:rsid w:val="000002A3"/>
    <w:rsid w:val="00007643"/>
    <w:rsid w:val="00015F5D"/>
    <w:rsid w:val="00025AF4"/>
    <w:rsid w:val="00027DFE"/>
    <w:rsid w:val="00040642"/>
    <w:rsid w:val="0004446B"/>
    <w:rsid w:val="00070326"/>
    <w:rsid w:val="0009702C"/>
    <w:rsid w:val="000C24FF"/>
    <w:rsid w:val="000E2890"/>
    <w:rsid w:val="000F1F07"/>
    <w:rsid w:val="000F4239"/>
    <w:rsid w:val="00101297"/>
    <w:rsid w:val="0010207A"/>
    <w:rsid w:val="0010395F"/>
    <w:rsid w:val="00105437"/>
    <w:rsid w:val="0011171B"/>
    <w:rsid w:val="0012046A"/>
    <w:rsid w:val="001435A8"/>
    <w:rsid w:val="00173A55"/>
    <w:rsid w:val="001B4A56"/>
    <w:rsid w:val="00202B39"/>
    <w:rsid w:val="00211693"/>
    <w:rsid w:val="00215F77"/>
    <w:rsid w:val="00220336"/>
    <w:rsid w:val="00225B68"/>
    <w:rsid w:val="00242C47"/>
    <w:rsid w:val="00265DD0"/>
    <w:rsid w:val="00266E2E"/>
    <w:rsid w:val="002734C3"/>
    <w:rsid w:val="00281679"/>
    <w:rsid w:val="00282B3A"/>
    <w:rsid w:val="002B14EF"/>
    <w:rsid w:val="002B434B"/>
    <w:rsid w:val="002B6B36"/>
    <w:rsid w:val="002C4B30"/>
    <w:rsid w:val="002C72A3"/>
    <w:rsid w:val="00316A2A"/>
    <w:rsid w:val="00316F61"/>
    <w:rsid w:val="00326A24"/>
    <w:rsid w:val="0034566C"/>
    <w:rsid w:val="00366102"/>
    <w:rsid w:val="003B31A9"/>
    <w:rsid w:val="003C415E"/>
    <w:rsid w:val="003E40DB"/>
    <w:rsid w:val="00401E31"/>
    <w:rsid w:val="0044224E"/>
    <w:rsid w:val="00470EBE"/>
    <w:rsid w:val="00494346"/>
    <w:rsid w:val="004B3C7E"/>
    <w:rsid w:val="004C00B6"/>
    <w:rsid w:val="004C4E8C"/>
    <w:rsid w:val="004F3A74"/>
    <w:rsid w:val="005130D4"/>
    <w:rsid w:val="00513CC3"/>
    <w:rsid w:val="00515911"/>
    <w:rsid w:val="005A2D62"/>
    <w:rsid w:val="005A655C"/>
    <w:rsid w:val="0060385C"/>
    <w:rsid w:val="00610F1A"/>
    <w:rsid w:val="00630B7A"/>
    <w:rsid w:val="006358BB"/>
    <w:rsid w:val="00653CCC"/>
    <w:rsid w:val="006672D5"/>
    <w:rsid w:val="006A0C65"/>
    <w:rsid w:val="006A0DB4"/>
    <w:rsid w:val="006C5E04"/>
    <w:rsid w:val="006C69D6"/>
    <w:rsid w:val="006D2249"/>
    <w:rsid w:val="006D3059"/>
    <w:rsid w:val="006E1110"/>
    <w:rsid w:val="006F74DF"/>
    <w:rsid w:val="00721875"/>
    <w:rsid w:val="007244D9"/>
    <w:rsid w:val="00733E40"/>
    <w:rsid w:val="00757237"/>
    <w:rsid w:val="00763E20"/>
    <w:rsid w:val="00797250"/>
    <w:rsid w:val="007A684C"/>
    <w:rsid w:val="007B7AF9"/>
    <w:rsid w:val="007C0D6D"/>
    <w:rsid w:val="007C5B13"/>
    <w:rsid w:val="007E2AA1"/>
    <w:rsid w:val="00814D0F"/>
    <w:rsid w:val="008500C3"/>
    <w:rsid w:val="00857893"/>
    <w:rsid w:val="008651BC"/>
    <w:rsid w:val="00887F4D"/>
    <w:rsid w:val="008A4084"/>
    <w:rsid w:val="008D7ABA"/>
    <w:rsid w:val="00904E38"/>
    <w:rsid w:val="009134CB"/>
    <w:rsid w:val="00926C9A"/>
    <w:rsid w:val="0094497D"/>
    <w:rsid w:val="00993207"/>
    <w:rsid w:val="009A1BEE"/>
    <w:rsid w:val="009A5AEC"/>
    <w:rsid w:val="009C4C97"/>
    <w:rsid w:val="009E1AD1"/>
    <w:rsid w:val="009F2EE7"/>
    <w:rsid w:val="00A01A24"/>
    <w:rsid w:val="00A078F5"/>
    <w:rsid w:val="00A2453B"/>
    <w:rsid w:val="00A319CF"/>
    <w:rsid w:val="00A37FF1"/>
    <w:rsid w:val="00A424B8"/>
    <w:rsid w:val="00A50CD7"/>
    <w:rsid w:val="00A54A7F"/>
    <w:rsid w:val="00A6474C"/>
    <w:rsid w:val="00A75464"/>
    <w:rsid w:val="00A823BA"/>
    <w:rsid w:val="00AC20C7"/>
    <w:rsid w:val="00AE1020"/>
    <w:rsid w:val="00B01F6B"/>
    <w:rsid w:val="00B036BA"/>
    <w:rsid w:val="00B21F51"/>
    <w:rsid w:val="00B2421B"/>
    <w:rsid w:val="00B32562"/>
    <w:rsid w:val="00B327D2"/>
    <w:rsid w:val="00B77312"/>
    <w:rsid w:val="00B77F79"/>
    <w:rsid w:val="00B82BDA"/>
    <w:rsid w:val="00BC3337"/>
    <w:rsid w:val="00BD3C53"/>
    <w:rsid w:val="00BE088C"/>
    <w:rsid w:val="00BF2BF7"/>
    <w:rsid w:val="00C04A2F"/>
    <w:rsid w:val="00C20647"/>
    <w:rsid w:val="00C2775C"/>
    <w:rsid w:val="00C50986"/>
    <w:rsid w:val="00C7248D"/>
    <w:rsid w:val="00C80455"/>
    <w:rsid w:val="00C828FF"/>
    <w:rsid w:val="00CA5EB4"/>
    <w:rsid w:val="00D02252"/>
    <w:rsid w:val="00D11F96"/>
    <w:rsid w:val="00D34795"/>
    <w:rsid w:val="00D37F03"/>
    <w:rsid w:val="00D74C17"/>
    <w:rsid w:val="00D8227C"/>
    <w:rsid w:val="00E45B17"/>
    <w:rsid w:val="00E57C1C"/>
    <w:rsid w:val="00E63AAA"/>
    <w:rsid w:val="00E81B48"/>
    <w:rsid w:val="00EA186C"/>
    <w:rsid w:val="00EA1987"/>
    <w:rsid w:val="00EC7A10"/>
    <w:rsid w:val="00EE4B69"/>
    <w:rsid w:val="00EF24E0"/>
    <w:rsid w:val="00F06005"/>
    <w:rsid w:val="00F0727C"/>
    <w:rsid w:val="00F108AD"/>
    <w:rsid w:val="00F23286"/>
    <w:rsid w:val="00F3194C"/>
    <w:rsid w:val="00F3591E"/>
    <w:rsid w:val="00F5199B"/>
    <w:rsid w:val="00F63DE6"/>
    <w:rsid w:val="00F757BD"/>
    <w:rsid w:val="00F906C0"/>
    <w:rsid w:val="00F91BCF"/>
    <w:rsid w:val="00FC1403"/>
    <w:rsid w:val="00FC58EE"/>
    <w:rsid w:val="00FE57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06E4C0"/>
  <w15:chartTrackingRefBased/>
  <w15:docId w15:val="{BB62ADBA-1F76-4872-86F5-D800ABC8D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0DB"/>
    <w:rPr>
      <w:kern w:val="0"/>
      <w14:ligatures w14:val="none"/>
    </w:rPr>
  </w:style>
  <w:style w:type="paragraph" w:styleId="Ttulo1">
    <w:name w:val="heading 1"/>
    <w:basedOn w:val="Normal"/>
    <w:next w:val="Normal"/>
    <w:link w:val="Ttulo1Car"/>
    <w:uiPriority w:val="9"/>
    <w:qFormat/>
    <w:rsid w:val="003E40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E40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E40D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E40D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E40D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E40D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E40D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E40D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E40D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40D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E40D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E40D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E40D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E40D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E40D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E40D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E40D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E40DB"/>
    <w:rPr>
      <w:rFonts w:eastAsiaTheme="majorEastAsia" w:cstheme="majorBidi"/>
      <w:color w:val="272727" w:themeColor="text1" w:themeTint="D8"/>
    </w:rPr>
  </w:style>
  <w:style w:type="paragraph" w:styleId="Ttulo">
    <w:name w:val="Title"/>
    <w:basedOn w:val="Normal"/>
    <w:next w:val="Normal"/>
    <w:link w:val="TtuloCar"/>
    <w:uiPriority w:val="10"/>
    <w:qFormat/>
    <w:rsid w:val="003E40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E40D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E40D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E40D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E40DB"/>
    <w:pPr>
      <w:spacing w:before="160"/>
      <w:jc w:val="center"/>
    </w:pPr>
    <w:rPr>
      <w:i/>
      <w:iCs/>
      <w:color w:val="404040" w:themeColor="text1" w:themeTint="BF"/>
    </w:rPr>
  </w:style>
  <w:style w:type="character" w:customStyle="1" w:styleId="CitaCar">
    <w:name w:val="Cita Car"/>
    <w:basedOn w:val="Fuentedeprrafopredeter"/>
    <w:link w:val="Cita"/>
    <w:uiPriority w:val="29"/>
    <w:rsid w:val="003E40DB"/>
    <w:rPr>
      <w:i/>
      <w:iCs/>
      <w:color w:val="404040" w:themeColor="text1" w:themeTint="BF"/>
    </w:rPr>
  </w:style>
  <w:style w:type="paragraph" w:styleId="Prrafodelista">
    <w:name w:val="List Paragraph"/>
    <w:aliases w:val="Ha,titulo 3,HOJA,Bolita,Párrafo de lista4,BOLADEF,Párrafo de lista3,Párrafo de lista21,BOLA,Nivel 1 OS,Normal_viñetas_ICONTEC,LISTA,Betulia Título 1,biñetas letras,Párrafo de lista2,Parrafo de Lista,Guión,Titulo 8,Flor,parrafo,Viñeta 2"/>
    <w:basedOn w:val="Normal"/>
    <w:link w:val="PrrafodelistaCar"/>
    <w:qFormat/>
    <w:rsid w:val="003E40DB"/>
    <w:pPr>
      <w:ind w:left="720"/>
      <w:contextualSpacing/>
    </w:pPr>
  </w:style>
  <w:style w:type="character" w:styleId="nfasisintenso">
    <w:name w:val="Intense Emphasis"/>
    <w:basedOn w:val="Fuentedeprrafopredeter"/>
    <w:uiPriority w:val="21"/>
    <w:qFormat/>
    <w:rsid w:val="003E40DB"/>
    <w:rPr>
      <w:i/>
      <w:iCs/>
      <w:color w:val="0F4761" w:themeColor="accent1" w:themeShade="BF"/>
    </w:rPr>
  </w:style>
  <w:style w:type="paragraph" w:styleId="Citadestacada">
    <w:name w:val="Intense Quote"/>
    <w:basedOn w:val="Normal"/>
    <w:next w:val="Normal"/>
    <w:link w:val="CitadestacadaCar"/>
    <w:uiPriority w:val="30"/>
    <w:qFormat/>
    <w:rsid w:val="003E40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E40DB"/>
    <w:rPr>
      <w:i/>
      <w:iCs/>
      <w:color w:val="0F4761" w:themeColor="accent1" w:themeShade="BF"/>
    </w:rPr>
  </w:style>
  <w:style w:type="character" w:styleId="Referenciaintensa">
    <w:name w:val="Intense Reference"/>
    <w:basedOn w:val="Fuentedeprrafopredeter"/>
    <w:uiPriority w:val="32"/>
    <w:qFormat/>
    <w:rsid w:val="003E40DB"/>
    <w:rPr>
      <w:b/>
      <w:bCs/>
      <w:smallCaps/>
      <w:color w:val="0F4761" w:themeColor="accent1" w:themeShade="BF"/>
      <w:spacing w:val="5"/>
    </w:rPr>
  </w:style>
  <w:style w:type="table" w:styleId="Tablaconcuadrcula">
    <w:name w:val="Table Grid"/>
    <w:basedOn w:val="Tablanormal"/>
    <w:uiPriority w:val="59"/>
    <w:rsid w:val="003E40D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3E40DB"/>
    <w:pPr>
      <w:autoSpaceDE w:val="0"/>
      <w:autoSpaceDN w:val="0"/>
      <w:adjustRightInd w:val="0"/>
      <w:spacing w:after="0" w:line="240" w:lineRule="auto"/>
    </w:pPr>
    <w:rPr>
      <w:rFonts w:ascii="Tahoma" w:hAnsi="Tahoma" w:cs="Tahoma"/>
      <w:color w:val="000000"/>
      <w:kern w:val="0"/>
      <w:sz w:val="24"/>
      <w:szCs w:val="24"/>
      <w14:ligatures w14:val="none"/>
    </w:rPr>
  </w:style>
  <w:style w:type="character" w:customStyle="1" w:styleId="DefaultCar">
    <w:name w:val="Default Car"/>
    <w:link w:val="Default"/>
    <w:rsid w:val="003E40DB"/>
    <w:rPr>
      <w:rFonts w:ascii="Tahoma" w:hAnsi="Tahoma" w:cs="Tahoma"/>
      <w:color w:val="000000"/>
      <w:kern w:val="0"/>
      <w:sz w:val="24"/>
      <w:szCs w:val="24"/>
      <w14:ligatures w14:val="none"/>
    </w:rPr>
  </w:style>
  <w:style w:type="character" w:styleId="Textodelmarcadordeposicin">
    <w:name w:val="Placeholder Text"/>
    <w:basedOn w:val="Fuentedeprrafopredeter"/>
    <w:uiPriority w:val="99"/>
    <w:semiHidden/>
    <w:rsid w:val="003E40DB"/>
    <w:rPr>
      <w:color w:val="666666"/>
    </w:rPr>
  </w:style>
  <w:style w:type="paragraph" w:styleId="Encabezado">
    <w:name w:val="header"/>
    <w:aliases w:val="encabezado,Encabezado1,Encabezado Car Car Car Car Car,Encabezado Car Car Car,Encabezado 1,h,h8,h9,h10,h18,Tit 1,AL Encabezado,Encabezado AL"/>
    <w:basedOn w:val="Normal"/>
    <w:link w:val="EncabezadoCar"/>
    <w:unhideWhenUsed/>
    <w:rsid w:val="003E40DB"/>
    <w:pPr>
      <w:tabs>
        <w:tab w:val="center" w:pos="4419"/>
        <w:tab w:val="right" w:pos="8838"/>
      </w:tabs>
      <w:spacing w:after="0" w:line="240" w:lineRule="auto"/>
    </w:pPr>
  </w:style>
  <w:style w:type="character" w:customStyle="1" w:styleId="EncabezadoCar">
    <w:name w:val="Encabezado Car"/>
    <w:aliases w:val="encabezado Car,Encabezado1 Car,Encabezado Car Car Car Car Car Car,Encabezado Car Car Car Car,Encabezado 1 Car,h Car,h8 Car,h9 Car,h10 Car,h18 Car,Tit 1 Car,AL Encabezado Car,Encabezado AL Car"/>
    <w:basedOn w:val="Fuentedeprrafopredeter"/>
    <w:link w:val="Encabezado"/>
    <w:rsid w:val="003E40DB"/>
    <w:rPr>
      <w:kern w:val="0"/>
      <w14:ligatures w14:val="none"/>
    </w:rPr>
  </w:style>
  <w:style w:type="paragraph" w:styleId="Piedepgina">
    <w:name w:val="footer"/>
    <w:basedOn w:val="Normal"/>
    <w:link w:val="PiedepginaCar"/>
    <w:uiPriority w:val="99"/>
    <w:unhideWhenUsed/>
    <w:rsid w:val="003E40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E40DB"/>
    <w:rPr>
      <w:kern w:val="0"/>
      <w14:ligatures w14:val="none"/>
    </w:rPr>
  </w:style>
  <w:style w:type="character" w:styleId="Hipervnculo">
    <w:name w:val="Hyperlink"/>
    <w:basedOn w:val="Fuentedeprrafopredeter"/>
    <w:uiPriority w:val="99"/>
    <w:rsid w:val="003E40DB"/>
    <w:rPr>
      <w:color w:val="0000FF"/>
      <w:u w:val="single"/>
    </w:rPr>
  </w:style>
  <w:style w:type="paragraph" w:styleId="NormalWeb">
    <w:name w:val="Normal (Web)"/>
    <w:basedOn w:val="Normal"/>
    <w:uiPriority w:val="99"/>
    <w:rsid w:val="00513CC3"/>
    <w:pPr>
      <w:spacing w:before="100" w:beforeAutospacing="1" w:after="100" w:afterAutospacing="1" w:line="240" w:lineRule="auto"/>
      <w:jc w:val="both"/>
    </w:pPr>
    <w:rPr>
      <w:rFonts w:ascii="Arial Unicode MS" w:eastAsia="Arial Unicode MS" w:hAnsi="Arial Unicode MS" w:cs="Arial Unicode MS"/>
      <w:sz w:val="20"/>
      <w:szCs w:val="24"/>
      <w:lang w:eastAsia="es-ES"/>
    </w:rPr>
  </w:style>
  <w:style w:type="paragraph" w:styleId="Sinespaciado">
    <w:name w:val="No Spacing"/>
    <w:aliases w:val="felipe a,FELIPE"/>
    <w:link w:val="SinespaciadoCar"/>
    <w:uiPriority w:val="1"/>
    <w:qFormat/>
    <w:rsid w:val="00A823BA"/>
    <w:pPr>
      <w:spacing w:after="0" w:line="240" w:lineRule="auto"/>
    </w:pPr>
    <w:rPr>
      <w:rFonts w:ascii="Calibri" w:eastAsiaTheme="minorEastAsia" w:hAnsi="Calibri" w:cs="Calibri"/>
      <w:kern w:val="0"/>
      <w:lang w:eastAsia="es-CO"/>
      <w14:ligatures w14:val="none"/>
    </w:rPr>
  </w:style>
  <w:style w:type="character" w:customStyle="1" w:styleId="SinespaciadoCar">
    <w:name w:val="Sin espaciado Car"/>
    <w:aliases w:val="felipe a Car,FELIPE Car"/>
    <w:link w:val="Sinespaciado"/>
    <w:uiPriority w:val="1"/>
    <w:rsid w:val="00A823BA"/>
    <w:rPr>
      <w:rFonts w:ascii="Calibri" w:eastAsiaTheme="minorEastAsia" w:hAnsi="Calibri" w:cs="Calibri"/>
      <w:kern w:val="0"/>
      <w:lang w:eastAsia="es-CO"/>
      <w14:ligatures w14:val="none"/>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A Car,Betulia Título 1 Car,biñetas letras Car,Guión Car"/>
    <w:link w:val="Prrafodelista"/>
    <w:qFormat/>
    <w:rsid w:val="00993207"/>
    <w:rPr>
      <w:kern w:val="0"/>
      <w14:ligatures w14:val="none"/>
    </w:rPr>
  </w:style>
  <w:style w:type="table" w:customStyle="1" w:styleId="TableNormal">
    <w:name w:val="Table Normal"/>
    <w:uiPriority w:val="2"/>
    <w:semiHidden/>
    <w:unhideWhenUsed/>
    <w:qFormat/>
    <w:rsid w:val="0099320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93207"/>
    <w:pPr>
      <w:widowControl w:val="0"/>
      <w:autoSpaceDE w:val="0"/>
      <w:autoSpaceDN w:val="0"/>
      <w:spacing w:after="0" w:line="240" w:lineRule="auto"/>
      <w:jc w:val="center"/>
    </w:pPr>
    <w:rPr>
      <w:rFonts w:ascii="Calibri Light" w:eastAsia="Calibri Light" w:hAnsi="Calibri Light" w:cs="Calibri Light"/>
      <w:lang w:val="es-ES"/>
    </w:rPr>
  </w:style>
  <w:style w:type="character" w:styleId="Textoennegrita">
    <w:name w:val="Strong"/>
    <w:basedOn w:val="Fuentedeprrafopredeter"/>
    <w:uiPriority w:val="22"/>
    <w:qFormat/>
    <w:rsid w:val="006C69D6"/>
    <w:rPr>
      <w:b/>
      <w:bCs/>
    </w:rPr>
  </w:style>
  <w:style w:type="character" w:styleId="Ttulodellibro">
    <w:name w:val="Book Title"/>
    <w:basedOn w:val="Fuentedeprrafopredeter"/>
    <w:uiPriority w:val="33"/>
    <w:qFormat/>
    <w:rsid w:val="002C4B30"/>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85299">
      <w:bodyDiv w:val="1"/>
      <w:marLeft w:val="0"/>
      <w:marRight w:val="0"/>
      <w:marTop w:val="0"/>
      <w:marBottom w:val="0"/>
      <w:divBdr>
        <w:top w:val="none" w:sz="0" w:space="0" w:color="auto"/>
        <w:left w:val="none" w:sz="0" w:space="0" w:color="auto"/>
        <w:bottom w:val="none" w:sz="0" w:space="0" w:color="auto"/>
        <w:right w:val="none" w:sz="0" w:space="0" w:color="auto"/>
      </w:divBdr>
    </w:div>
    <w:div w:id="186986171">
      <w:bodyDiv w:val="1"/>
      <w:marLeft w:val="0"/>
      <w:marRight w:val="0"/>
      <w:marTop w:val="0"/>
      <w:marBottom w:val="0"/>
      <w:divBdr>
        <w:top w:val="none" w:sz="0" w:space="0" w:color="auto"/>
        <w:left w:val="none" w:sz="0" w:space="0" w:color="auto"/>
        <w:bottom w:val="none" w:sz="0" w:space="0" w:color="auto"/>
        <w:right w:val="none" w:sz="0" w:space="0" w:color="auto"/>
      </w:divBdr>
    </w:div>
    <w:div w:id="231670199">
      <w:bodyDiv w:val="1"/>
      <w:marLeft w:val="0"/>
      <w:marRight w:val="0"/>
      <w:marTop w:val="0"/>
      <w:marBottom w:val="0"/>
      <w:divBdr>
        <w:top w:val="none" w:sz="0" w:space="0" w:color="auto"/>
        <w:left w:val="none" w:sz="0" w:space="0" w:color="auto"/>
        <w:bottom w:val="none" w:sz="0" w:space="0" w:color="auto"/>
        <w:right w:val="none" w:sz="0" w:space="0" w:color="auto"/>
      </w:divBdr>
    </w:div>
    <w:div w:id="254677864">
      <w:bodyDiv w:val="1"/>
      <w:marLeft w:val="0"/>
      <w:marRight w:val="0"/>
      <w:marTop w:val="0"/>
      <w:marBottom w:val="0"/>
      <w:divBdr>
        <w:top w:val="none" w:sz="0" w:space="0" w:color="auto"/>
        <w:left w:val="none" w:sz="0" w:space="0" w:color="auto"/>
        <w:bottom w:val="none" w:sz="0" w:space="0" w:color="auto"/>
        <w:right w:val="none" w:sz="0" w:space="0" w:color="auto"/>
      </w:divBdr>
    </w:div>
    <w:div w:id="572861593">
      <w:bodyDiv w:val="1"/>
      <w:marLeft w:val="0"/>
      <w:marRight w:val="0"/>
      <w:marTop w:val="0"/>
      <w:marBottom w:val="0"/>
      <w:divBdr>
        <w:top w:val="none" w:sz="0" w:space="0" w:color="auto"/>
        <w:left w:val="none" w:sz="0" w:space="0" w:color="auto"/>
        <w:bottom w:val="none" w:sz="0" w:space="0" w:color="auto"/>
        <w:right w:val="none" w:sz="0" w:space="0" w:color="auto"/>
      </w:divBdr>
    </w:div>
    <w:div w:id="611792269">
      <w:bodyDiv w:val="1"/>
      <w:marLeft w:val="0"/>
      <w:marRight w:val="0"/>
      <w:marTop w:val="0"/>
      <w:marBottom w:val="0"/>
      <w:divBdr>
        <w:top w:val="none" w:sz="0" w:space="0" w:color="auto"/>
        <w:left w:val="none" w:sz="0" w:space="0" w:color="auto"/>
        <w:bottom w:val="none" w:sz="0" w:space="0" w:color="auto"/>
        <w:right w:val="none" w:sz="0" w:space="0" w:color="auto"/>
      </w:divBdr>
    </w:div>
    <w:div w:id="740063167">
      <w:bodyDiv w:val="1"/>
      <w:marLeft w:val="0"/>
      <w:marRight w:val="0"/>
      <w:marTop w:val="0"/>
      <w:marBottom w:val="0"/>
      <w:divBdr>
        <w:top w:val="none" w:sz="0" w:space="0" w:color="auto"/>
        <w:left w:val="none" w:sz="0" w:space="0" w:color="auto"/>
        <w:bottom w:val="none" w:sz="0" w:space="0" w:color="auto"/>
        <w:right w:val="none" w:sz="0" w:space="0" w:color="auto"/>
      </w:divBdr>
    </w:div>
    <w:div w:id="1050956200">
      <w:bodyDiv w:val="1"/>
      <w:marLeft w:val="0"/>
      <w:marRight w:val="0"/>
      <w:marTop w:val="0"/>
      <w:marBottom w:val="0"/>
      <w:divBdr>
        <w:top w:val="none" w:sz="0" w:space="0" w:color="auto"/>
        <w:left w:val="none" w:sz="0" w:space="0" w:color="auto"/>
        <w:bottom w:val="none" w:sz="0" w:space="0" w:color="auto"/>
        <w:right w:val="none" w:sz="0" w:space="0" w:color="auto"/>
      </w:divBdr>
    </w:div>
    <w:div w:id="1075778798">
      <w:bodyDiv w:val="1"/>
      <w:marLeft w:val="0"/>
      <w:marRight w:val="0"/>
      <w:marTop w:val="0"/>
      <w:marBottom w:val="0"/>
      <w:divBdr>
        <w:top w:val="none" w:sz="0" w:space="0" w:color="auto"/>
        <w:left w:val="none" w:sz="0" w:space="0" w:color="auto"/>
        <w:bottom w:val="none" w:sz="0" w:space="0" w:color="auto"/>
        <w:right w:val="none" w:sz="0" w:space="0" w:color="auto"/>
      </w:divBdr>
    </w:div>
    <w:div w:id="1222061063">
      <w:bodyDiv w:val="1"/>
      <w:marLeft w:val="0"/>
      <w:marRight w:val="0"/>
      <w:marTop w:val="0"/>
      <w:marBottom w:val="0"/>
      <w:divBdr>
        <w:top w:val="none" w:sz="0" w:space="0" w:color="auto"/>
        <w:left w:val="none" w:sz="0" w:space="0" w:color="auto"/>
        <w:bottom w:val="none" w:sz="0" w:space="0" w:color="auto"/>
        <w:right w:val="none" w:sz="0" w:space="0" w:color="auto"/>
      </w:divBdr>
    </w:div>
    <w:div w:id="1239943110">
      <w:bodyDiv w:val="1"/>
      <w:marLeft w:val="0"/>
      <w:marRight w:val="0"/>
      <w:marTop w:val="0"/>
      <w:marBottom w:val="0"/>
      <w:divBdr>
        <w:top w:val="none" w:sz="0" w:space="0" w:color="auto"/>
        <w:left w:val="none" w:sz="0" w:space="0" w:color="auto"/>
        <w:bottom w:val="none" w:sz="0" w:space="0" w:color="auto"/>
        <w:right w:val="none" w:sz="0" w:space="0" w:color="auto"/>
      </w:divBdr>
    </w:div>
    <w:div w:id="1296835954">
      <w:bodyDiv w:val="1"/>
      <w:marLeft w:val="0"/>
      <w:marRight w:val="0"/>
      <w:marTop w:val="0"/>
      <w:marBottom w:val="0"/>
      <w:divBdr>
        <w:top w:val="none" w:sz="0" w:space="0" w:color="auto"/>
        <w:left w:val="none" w:sz="0" w:space="0" w:color="auto"/>
        <w:bottom w:val="none" w:sz="0" w:space="0" w:color="auto"/>
        <w:right w:val="none" w:sz="0" w:space="0" w:color="auto"/>
      </w:divBdr>
    </w:div>
    <w:div w:id="1307055315">
      <w:bodyDiv w:val="1"/>
      <w:marLeft w:val="0"/>
      <w:marRight w:val="0"/>
      <w:marTop w:val="0"/>
      <w:marBottom w:val="0"/>
      <w:divBdr>
        <w:top w:val="none" w:sz="0" w:space="0" w:color="auto"/>
        <w:left w:val="none" w:sz="0" w:space="0" w:color="auto"/>
        <w:bottom w:val="none" w:sz="0" w:space="0" w:color="auto"/>
        <w:right w:val="none" w:sz="0" w:space="0" w:color="auto"/>
      </w:divBdr>
    </w:div>
    <w:div w:id="1309241021">
      <w:bodyDiv w:val="1"/>
      <w:marLeft w:val="0"/>
      <w:marRight w:val="0"/>
      <w:marTop w:val="0"/>
      <w:marBottom w:val="0"/>
      <w:divBdr>
        <w:top w:val="none" w:sz="0" w:space="0" w:color="auto"/>
        <w:left w:val="none" w:sz="0" w:space="0" w:color="auto"/>
        <w:bottom w:val="none" w:sz="0" w:space="0" w:color="auto"/>
        <w:right w:val="none" w:sz="0" w:space="0" w:color="auto"/>
      </w:divBdr>
    </w:div>
    <w:div w:id="1420327104">
      <w:bodyDiv w:val="1"/>
      <w:marLeft w:val="0"/>
      <w:marRight w:val="0"/>
      <w:marTop w:val="0"/>
      <w:marBottom w:val="0"/>
      <w:divBdr>
        <w:top w:val="none" w:sz="0" w:space="0" w:color="auto"/>
        <w:left w:val="none" w:sz="0" w:space="0" w:color="auto"/>
        <w:bottom w:val="none" w:sz="0" w:space="0" w:color="auto"/>
        <w:right w:val="none" w:sz="0" w:space="0" w:color="auto"/>
      </w:divBdr>
    </w:div>
    <w:div w:id="1585412370">
      <w:bodyDiv w:val="1"/>
      <w:marLeft w:val="0"/>
      <w:marRight w:val="0"/>
      <w:marTop w:val="0"/>
      <w:marBottom w:val="0"/>
      <w:divBdr>
        <w:top w:val="none" w:sz="0" w:space="0" w:color="auto"/>
        <w:left w:val="none" w:sz="0" w:space="0" w:color="auto"/>
        <w:bottom w:val="none" w:sz="0" w:space="0" w:color="auto"/>
        <w:right w:val="none" w:sz="0" w:space="0" w:color="auto"/>
      </w:divBdr>
    </w:div>
    <w:div w:id="1592003640">
      <w:bodyDiv w:val="1"/>
      <w:marLeft w:val="0"/>
      <w:marRight w:val="0"/>
      <w:marTop w:val="0"/>
      <w:marBottom w:val="0"/>
      <w:divBdr>
        <w:top w:val="none" w:sz="0" w:space="0" w:color="auto"/>
        <w:left w:val="none" w:sz="0" w:space="0" w:color="auto"/>
        <w:bottom w:val="none" w:sz="0" w:space="0" w:color="auto"/>
        <w:right w:val="none" w:sz="0" w:space="0" w:color="auto"/>
      </w:divBdr>
    </w:div>
    <w:div w:id="1654986311">
      <w:bodyDiv w:val="1"/>
      <w:marLeft w:val="0"/>
      <w:marRight w:val="0"/>
      <w:marTop w:val="0"/>
      <w:marBottom w:val="0"/>
      <w:divBdr>
        <w:top w:val="none" w:sz="0" w:space="0" w:color="auto"/>
        <w:left w:val="none" w:sz="0" w:space="0" w:color="auto"/>
        <w:bottom w:val="none" w:sz="0" w:space="0" w:color="auto"/>
        <w:right w:val="none" w:sz="0" w:space="0" w:color="auto"/>
      </w:divBdr>
    </w:div>
    <w:div w:id="1679235908">
      <w:bodyDiv w:val="1"/>
      <w:marLeft w:val="0"/>
      <w:marRight w:val="0"/>
      <w:marTop w:val="0"/>
      <w:marBottom w:val="0"/>
      <w:divBdr>
        <w:top w:val="none" w:sz="0" w:space="0" w:color="auto"/>
        <w:left w:val="none" w:sz="0" w:space="0" w:color="auto"/>
        <w:bottom w:val="none" w:sz="0" w:space="0" w:color="auto"/>
        <w:right w:val="none" w:sz="0" w:space="0" w:color="auto"/>
      </w:divBdr>
    </w:div>
    <w:div w:id="1687516596">
      <w:bodyDiv w:val="1"/>
      <w:marLeft w:val="0"/>
      <w:marRight w:val="0"/>
      <w:marTop w:val="0"/>
      <w:marBottom w:val="0"/>
      <w:divBdr>
        <w:top w:val="none" w:sz="0" w:space="0" w:color="auto"/>
        <w:left w:val="none" w:sz="0" w:space="0" w:color="auto"/>
        <w:bottom w:val="none" w:sz="0" w:space="0" w:color="auto"/>
        <w:right w:val="none" w:sz="0" w:space="0" w:color="auto"/>
      </w:divBdr>
    </w:div>
    <w:div w:id="1707752262">
      <w:bodyDiv w:val="1"/>
      <w:marLeft w:val="0"/>
      <w:marRight w:val="0"/>
      <w:marTop w:val="0"/>
      <w:marBottom w:val="0"/>
      <w:divBdr>
        <w:top w:val="none" w:sz="0" w:space="0" w:color="auto"/>
        <w:left w:val="none" w:sz="0" w:space="0" w:color="auto"/>
        <w:bottom w:val="none" w:sz="0" w:space="0" w:color="auto"/>
        <w:right w:val="none" w:sz="0" w:space="0" w:color="auto"/>
      </w:divBdr>
    </w:div>
    <w:div w:id="1713505228">
      <w:bodyDiv w:val="1"/>
      <w:marLeft w:val="0"/>
      <w:marRight w:val="0"/>
      <w:marTop w:val="0"/>
      <w:marBottom w:val="0"/>
      <w:divBdr>
        <w:top w:val="none" w:sz="0" w:space="0" w:color="auto"/>
        <w:left w:val="none" w:sz="0" w:space="0" w:color="auto"/>
        <w:bottom w:val="none" w:sz="0" w:space="0" w:color="auto"/>
        <w:right w:val="none" w:sz="0" w:space="0" w:color="auto"/>
      </w:divBdr>
    </w:div>
    <w:div w:id="1888758123">
      <w:bodyDiv w:val="1"/>
      <w:marLeft w:val="0"/>
      <w:marRight w:val="0"/>
      <w:marTop w:val="0"/>
      <w:marBottom w:val="0"/>
      <w:divBdr>
        <w:top w:val="none" w:sz="0" w:space="0" w:color="auto"/>
        <w:left w:val="none" w:sz="0" w:space="0" w:color="auto"/>
        <w:bottom w:val="none" w:sz="0" w:space="0" w:color="auto"/>
        <w:right w:val="none" w:sz="0" w:space="0" w:color="auto"/>
      </w:divBdr>
    </w:div>
    <w:div w:id="1967158773">
      <w:bodyDiv w:val="1"/>
      <w:marLeft w:val="0"/>
      <w:marRight w:val="0"/>
      <w:marTop w:val="0"/>
      <w:marBottom w:val="0"/>
      <w:divBdr>
        <w:top w:val="none" w:sz="0" w:space="0" w:color="auto"/>
        <w:left w:val="none" w:sz="0" w:space="0" w:color="auto"/>
        <w:bottom w:val="none" w:sz="0" w:space="0" w:color="auto"/>
        <w:right w:val="none" w:sz="0" w:space="0" w:color="auto"/>
      </w:divBdr>
    </w:div>
    <w:div w:id="2126075800">
      <w:bodyDiv w:val="1"/>
      <w:marLeft w:val="0"/>
      <w:marRight w:val="0"/>
      <w:marTop w:val="0"/>
      <w:marBottom w:val="0"/>
      <w:divBdr>
        <w:top w:val="none" w:sz="0" w:space="0" w:color="auto"/>
        <w:left w:val="none" w:sz="0" w:space="0" w:color="auto"/>
        <w:bottom w:val="none" w:sz="0" w:space="0" w:color="auto"/>
        <w:right w:val="none" w:sz="0" w:space="0" w:color="auto"/>
      </w:divBdr>
    </w:div>
    <w:div w:id="214061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ne.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gachala-cundinamar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CBB3C94C03C41C49C3BC78A0A59158D"/>
        <w:category>
          <w:name w:val="General"/>
          <w:gallery w:val="placeholder"/>
        </w:category>
        <w:types>
          <w:type w:val="bbPlcHdr"/>
        </w:types>
        <w:behaviors>
          <w:behavior w:val="content"/>
        </w:behaviors>
        <w:guid w:val="{7EB0B136-5DC6-4866-9911-FD8094BFDB6C}"/>
      </w:docPartPr>
      <w:docPartBody>
        <w:p w:rsidR="00B74C6D" w:rsidRDefault="00F94F94" w:rsidP="00F94F94">
          <w:pPr>
            <w:pStyle w:val="9CBB3C94C03C41C49C3BC78A0A59158D"/>
          </w:pPr>
          <w:r w:rsidRPr="00170018">
            <w:rPr>
              <w:rStyle w:val="Textodelmarcadordeposicin"/>
            </w:rPr>
            <w:t>Elija un elemento.</w:t>
          </w:r>
        </w:p>
      </w:docPartBody>
    </w:docPart>
    <w:docPart>
      <w:docPartPr>
        <w:name w:val="DefaultPlaceholder_-1854013437"/>
        <w:category>
          <w:name w:val="General"/>
          <w:gallery w:val="placeholder"/>
        </w:category>
        <w:types>
          <w:type w:val="bbPlcHdr"/>
        </w:types>
        <w:behaviors>
          <w:behavior w:val="content"/>
        </w:behaviors>
        <w:guid w:val="{F92E9FE6-2723-4D5C-A6FF-08479BBCCE6C}"/>
      </w:docPartPr>
      <w:docPartBody>
        <w:p w:rsidR="00B74C6D" w:rsidRDefault="00F94F94">
          <w:r w:rsidRPr="00170018">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F94"/>
    <w:rsid w:val="0005647D"/>
    <w:rsid w:val="00105437"/>
    <w:rsid w:val="004D4978"/>
    <w:rsid w:val="004F7A16"/>
    <w:rsid w:val="00556727"/>
    <w:rsid w:val="00757F89"/>
    <w:rsid w:val="00814D0F"/>
    <w:rsid w:val="009169DB"/>
    <w:rsid w:val="009D2243"/>
    <w:rsid w:val="00B46EF2"/>
    <w:rsid w:val="00B74C6D"/>
    <w:rsid w:val="00C04A2F"/>
    <w:rsid w:val="00C7248D"/>
    <w:rsid w:val="00CD032C"/>
    <w:rsid w:val="00D8227C"/>
    <w:rsid w:val="00DA04E5"/>
    <w:rsid w:val="00E45B17"/>
    <w:rsid w:val="00EC7A10"/>
    <w:rsid w:val="00F94F94"/>
    <w:rsid w:val="00FE57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94F94"/>
    <w:rPr>
      <w:color w:val="666666"/>
    </w:rPr>
  </w:style>
  <w:style w:type="paragraph" w:customStyle="1" w:styleId="9CBB3C94C03C41C49C3BC78A0A59158D">
    <w:name w:val="9CBB3C94C03C41C49C3BC78A0A59158D"/>
    <w:rsid w:val="00F94F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17</Pages>
  <Words>7196</Words>
  <Characters>39580</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Municipal Gachalá</dc:creator>
  <cp:keywords/>
  <dc:description/>
  <cp:lastModifiedBy>CONTRATACIÓN</cp:lastModifiedBy>
  <cp:revision>3</cp:revision>
  <dcterms:created xsi:type="dcterms:W3CDTF">2026-10-16T00:03:00Z</dcterms:created>
  <dcterms:modified xsi:type="dcterms:W3CDTF">2026-10-19T14:39:00Z</dcterms:modified>
</cp:coreProperties>
</file>