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4C8F9C">
      <w:pPr>
        <w:pStyle w:val="49"/>
        <w:jc w:val="both"/>
        <w:rPr>
          <w:rFonts w:ascii="Arial Narrow" w:hAnsi="Arial Narrow" w:cs="Arial"/>
          <w:b/>
          <w:sz w:val="22"/>
          <w:szCs w:val="22"/>
        </w:rPr>
      </w:pPr>
    </w:p>
    <w:p w14:paraId="292E25B8">
      <w:pPr>
        <w:pStyle w:val="49"/>
        <w:jc w:val="center"/>
        <w:rPr>
          <w:rFonts w:ascii="Arial Narrow" w:hAnsi="Arial Narrow" w:cs="Arial"/>
          <w:b/>
          <w:sz w:val="22"/>
          <w:szCs w:val="22"/>
        </w:rPr>
      </w:pPr>
      <w:r>
        <w:rPr>
          <w:rFonts w:ascii="Arial Narrow" w:hAnsi="Arial Narrow" w:cs="Arial"/>
          <w:b/>
          <w:sz w:val="22"/>
          <w:szCs w:val="22"/>
        </w:rPr>
        <w:t>REPÚBLICA DE COLOMBIA</w:t>
      </w:r>
    </w:p>
    <w:p w14:paraId="6A69D9B6">
      <w:pPr>
        <w:pStyle w:val="49"/>
        <w:jc w:val="center"/>
        <w:rPr>
          <w:rFonts w:ascii="Arial Narrow" w:hAnsi="Arial Narrow" w:cs="Arial"/>
          <w:b/>
          <w:sz w:val="22"/>
          <w:szCs w:val="22"/>
        </w:rPr>
      </w:pPr>
      <w:r>
        <w:rPr>
          <w:rFonts w:ascii="Arial Narrow" w:hAnsi="Arial Narrow" w:cs="Arial"/>
          <w:b/>
          <w:sz w:val="22"/>
          <w:szCs w:val="22"/>
        </w:rPr>
        <w:t>MINISTERIO DE TRANSPORTE</w:t>
      </w:r>
    </w:p>
    <w:p w14:paraId="79D1FB19">
      <w:pPr>
        <w:pStyle w:val="49"/>
        <w:jc w:val="center"/>
        <w:rPr>
          <w:rFonts w:ascii="Arial Narrow" w:hAnsi="Arial Narrow" w:cs="Arial"/>
          <w:b/>
          <w:sz w:val="22"/>
          <w:szCs w:val="22"/>
        </w:rPr>
      </w:pPr>
      <w:r>
        <w:rPr>
          <w:rFonts w:ascii="Arial Narrow" w:hAnsi="Arial Narrow" w:cs="Arial"/>
          <w:b/>
          <w:sz w:val="22"/>
          <w:szCs w:val="22"/>
        </w:rPr>
        <w:t>UNIDAD ADMINISTRATIVA ESPECIAL DE AERONÁUTICA CIVIL</w:t>
      </w:r>
    </w:p>
    <w:p w14:paraId="079AE213">
      <w:pPr>
        <w:pStyle w:val="49"/>
        <w:jc w:val="center"/>
        <w:rPr>
          <w:rFonts w:ascii="Arial Narrow" w:hAnsi="Arial Narrow" w:cs="Arial"/>
          <w:sz w:val="22"/>
          <w:szCs w:val="22"/>
        </w:rPr>
      </w:pPr>
    </w:p>
    <w:p w14:paraId="5BDFAD45">
      <w:pPr>
        <w:pStyle w:val="49"/>
        <w:jc w:val="center"/>
        <w:rPr>
          <w:rFonts w:ascii="Arial Narrow" w:hAnsi="Arial Narrow" w:cs="Arial"/>
          <w:sz w:val="22"/>
          <w:szCs w:val="22"/>
        </w:rPr>
      </w:pPr>
    </w:p>
    <w:p w14:paraId="2F071D03">
      <w:pPr>
        <w:pStyle w:val="49"/>
        <w:jc w:val="center"/>
        <w:rPr>
          <w:rFonts w:ascii="Arial Narrow" w:hAnsi="Arial Narrow" w:cs="Arial"/>
          <w:sz w:val="22"/>
          <w:szCs w:val="22"/>
        </w:rPr>
      </w:pPr>
    </w:p>
    <w:p w14:paraId="3EF0D9FA">
      <w:pPr>
        <w:pStyle w:val="49"/>
        <w:jc w:val="center"/>
        <w:rPr>
          <w:rFonts w:ascii="Arial Narrow" w:hAnsi="Arial Narrow" w:cs="Arial"/>
          <w:sz w:val="22"/>
          <w:szCs w:val="22"/>
        </w:rPr>
      </w:pPr>
    </w:p>
    <w:p w14:paraId="38E71626">
      <w:pPr>
        <w:pStyle w:val="49"/>
        <w:jc w:val="center"/>
        <w:rPr>
          <w:rFonts w:ascii="Arial Narrow" w:hAnsi="Arial Narrow" w:cs="Arial"/>
          <w:sz w:val="22"/>
          <w:szCs w:val="22"/>
        </w:rPr>
      </w:pPr>
      <w:r>
        <w:rPr>
          <w:rFonts w:ascii="Arial Narrow" w:hAnsi="Arial Narrow" w:cs="Arial"/>
          <w:sz w:val="22"/>
          <w:szCs w:val="22"/>
          <w:lang w:eastAsia="es-CO"/>
        </w:rPr>
        <w:drawing>
          <wp:inline distT="0" distB="0" distL="0" distR="0">
            <wp:extent cx="1790700" cy="107950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790700" cy="1079500"/>
                    </a:xfrm>
                    <a:prstGeom prst="rect">
                      <a:avLst/>
                    </a:prstGeom>
                    <a:noFill/>
                    <a:ln>
                      <a:noFill/>
                    </a:ln>
                  </pic:spPr>
                </pic:pic>
              </a:graphicData>
            </a:graphic>
          </wp:inline>
        </w:drawing>
      </w:r>
    </w:p>
    <w:p w14:paraId="144990D7">
      <w:pPr>
        <w:pStyle w:val="49"/>
        <w:jc w:val="center"/>
        <w:rPr>
          <w:rFonts w:ascii="Arial Narrow" w:hAnsi="Arial Narrow" w:cs="Arial"/>
          <w:sz w:val="22"/>
          <w:szCs w:val="22"/>
        </w:rPr>
      </w:pPr>
    </w:p>
    <w:p w14:paraId="65464432">
      <w:pPr>
        <w:pStyle w:val="49"/>
        <w:tabs>
          <w:tab w:val="left" w:pos="5955"/>
        </w:tabs>
        <w:jc w:val="center"/>
        <w:rPr>
          <w:rFonts w:ascii="Arial Narrow" w:hAnsi="Arial Narrow" w:cs="Arial"/>
          <w:sz w:val="22"/>
          <w:szCs w:val="22"/>
        </w:rPr>
      </w:pPr>
    </w:p>
    <w:p w14:paraId="53B325ED">
      <w:pPr>
        <w:pStyle w:val="49"/>
        <w:jc w:val="center"/>
        <w:rPr>
          <w:rFonts w:ascii="Arial Narrow" w:hAnsi="Arial Narrow" w:cs="Arial"/>
          <w:sz w:val="22"/>
          <w:szCs w:val="22"/>
        </w:rPr>
      </w:pPr>
    </w:p>
    <w:p w14:paraId="1AC2E74A">
      <w:pPr>
        <w:pStyle w:val="49"/>
        <w:jc w:val="center"/>
        <w:rPr>
          <w:rFonts w:ascii="Arial Narrow" w:hAnsi="Arial Narrow" w:cs="Arial"/>
          <w:sz w:val="22"/>
          <w:szCs w:val="22"/>
        </w:rPr>
      </w:pPr>
    </w:p>
    <w:p w14:paraId="2309DEF8">
      <w:pPr>
        <w:pStyle w:val="49"/>
        <w:jc w:val="center"/>
        <w:rPr>
          <w:rFonts w:hint="default" w:ascii="Arial Narrow" w:hAnsi="Arial Narrow" w:cs="Arial"/>
          <w:b/>
          <w:sz w:val="22"/>
          <w:szCs w:val="22"/>
          <w:lang w:val="es-CO"/>
        </w:rPr>
      </w:pPr>
      <w:r>
        <w:rPr>
          <w:rFonts w:ascii="Arial Narrow" w:hAnsi="Arial Narrow" w:cs="Arial"/>
          <w:b/>
          <w:sz w:val="22"/>
          <w:szCs w:val="22"/>
        </w:rPr>
        <w:t xml:space="preserve">COMPLEMENTARIO AL PLIEGO DE CONDICIONES </w:t>
      </w:r>
      <w:r>
        <w:rPr>
          <w:rFonts w:hint="default" w:ascii="Arial Narrow" w:hAnsi="Arial Narrow" w:cs="Arial"/>
          <w:b/>
          <w:sz w:val="22"/>
          <w:szCs w:val="22"/>
          <w:lang w:val="es-CO"/>
        </w:rPr>
        <w:t xml:space="preserve">DEFINITIVO </w:t>
      </w:r>
    </w:p>
    <w:p w14:paraId="4004A5C7">
      <w:pPr>
        <w:pStyle w:val="49"/>
        <w:jc w:val="center"/>
        <w:rPr>
          <w:rFonts w:ascii="Arial Narrow" w:hAnsi="Arial Narrow" w:cs="Arial"/>
          <w:b/>
          <w:sz w:val="22"/>
          <w:szCs w:val="22"/>
        </w:rPr>
      </w:pPr>
      <w:bookmarkStart w:id="112" w:name="_GoBack"/>
      <w:bookmarkEnd w:id="112"/>
      <w:r>
        <w:rPr>
          <w:rFonts w:ascii="Arial Narrow" w:hAnsi="Arial Narrow" w:cs="Arial"/>
          <w:b/>
          <w:sz w:val="22"/>
          <w:szCs w:val="22"/>
        </w:rPr>
        <w:t>SELECCIÓN ABREVIADA DE MENOR CUANTÍA No. 26001434 H1 DE 2026</w:t>
      </w:r>
    </w:p>
    <w:p w14:paraId="0D589831">
      <w:pPr>
        <w:pStyle w:val="49"/>
        <w:jc w:val="center"/>
        <w:rPr>
          <w:rFonts w:ascii="Arial Narrow" w:hAnsi="Arial Narrow" w:cs="Arial"/>
          <w:sz w:val="22"/>
          <w:szCs w:val="22"/>
        </w:rPr>
      </w:pPr>
    </w:p>
    <w:p w14:paraId="1AD33B90">
      <w:pPr>
        <w:pStyle w:val="49"/>
        <w:jc w:val="center"/>
        <w:rPr>
          <w:rFonts w:ascii="Arial Narrow" w:hAnsi="Arial Narrow" w:cs="Arial"/>
          <w:sz w:val="22"/>
          <w:szCs w:val="22"/>
        </w:rPr>
      </w:pPr>
    </w:p>
    <w:p w14:paraId="34A0B9C9">
      <w:pPr>
        <w:pStyle w:val="49"/>
        <w:jc w:val="center"/>
        <w:rPr>
          <w:rFonts w:ascii="Arial Narrow" w:hAnsi="Arial Narrow" w:cs="Arial"/>
          <w:sz w:val="22"/>
          <w:szCs w:val="22"/>
        </w:rPr>
      </w:pPr>
    </w:p>
    <w:p w14:paraId="15042FE2">
      <w:pPr>
        <w:pStyle w:val="49"/>
        <w:jc w:val="center"/>
        <w:rPr>
          <w:rFonts w:ascii="Arial Narrow" w:hAnsi="Arial Narrow" w:cs="Arial"/>
          <w:sz w:val="22"/>
          <w:szCs w:val="22"/>
        </w:rPr>
      </w:pPr>
    </w:p>
    <w:p w14:paraId="5CADBF1A">
      <w:pPr>
        <w:pStyle w:val="49"/>
        <w:jc w:val="center"/>
        <w:rPr>
          <w:rFonts w:ascii="Arial Narrow" w:hAnsi="Arial Narrow" w:cs="Arial"/>
          <w:sz w:val="22"/>
          <w:szCs w:val="22"/>
        </w:rPr>
      </w:pPr>
    </w:p>
    <w:p w14:paraId="108925A9">
      <w:pPr>
        <w:pStyle w:val="49"/>
        <w:jc w:val="center"/>
        <w:rPr>
          <w:rFonts w:ascii="Arial Narrow" w:hAnsi="Arial Narrow" w:cs="Arial"/>
          <w:sz w:val="22"/>
          <w:szCs w:val="22"/>
        </w:rPr>
      </w:pPr>
    </w:p>
    <w:p w14:paraId="12DF229D">
      <w:pPr>
        <w:pStyle w:val="41"/>
        <w:contextualSpacing/>
        <w:rPr>
          <w:rFonts w:ascii="Arial Narrow" w:hAnsi="Arial Narrow" w:cs="Arial"/>
          <w:sz w:val="22"/>
          <w:szCs w:val="22"/>
        </w:rPr>
      </w:pPr>
      <w:r>
        <w:rPr>
          <w:rFonts w:ascii="Arial Narrow" w:hAnsi="Arial Narrow" w:cs="Arial"/>
          <w:sz w:val="22"/>
          <w:szCs w:val="22"/>
        </w:rPr>
        <w:t>OBJETO: 63500C1386 REALIZAR LA ADQUISICIÓN  DE LUMINARIA TIPO LED Y REPUESTOS PARA LA PISTA DE LOS AEROPUERTOS CÚCUTA, BUCARAMANGA Y BARRANCABERMEJA.</w:t>
      </w:r>
    </w:p>
    <w:p w14:paraId="153FA167">
      <w:pPr>
        <w:spacing w:after="0" w:line="240" w:lineRule="auto"/>
        <w:contextualSpacing/>
        <w:rPr>
          <w:rFonts w:ascii="Arial Narrow" w:hAnsi="Arial Narrow" w:cs="Arial"/>
          <w:color w:val="FF0000"/>
        </w:rPr>
      </w:pPr>
    </w:p>
    <w:p w14:paraId="7876765E">
      <w:pPr>
        <w:pStyle w:val="41"/>
        <w:rPr>
          <w:rFonts w:ascii="Arial Narrow" w:hAnsi="Arial Narrow" w:cs="Arial"/>
          <w:sz w:val="22"/>
          <w:szCs w:val="22"/>
        </w:rPr>
      </w:pPr>
    </w:p>
    <w:p w14:paraId="73A7FA44">
      <w:pPr>
        <w:spacing w:after="0" w:line="240" w:lineRule="auto"/>
        <w:rPr>
          <w:rFonts w:ascii="Arial Narrow" w:hAnsi="Arial Narrow" w:cs="Arial"/>
          <w:color w:val="FF0000"/>
          <w:lang/>
        </w:rPr>
      </w:pPr>
    </w:p>
    <w:p w14:paraId="0E39084E">
      <w:pPr>
        <w:pStyle w:val="49"/>
        <w:jc w:val="center"/>
        <w:rPr>
          <w:rFonts w:ascii="Arial Narrow" w:hAnsi="Arial Narrow" w:cs="Arial"/>
          <w:b/>
          <w:bCs/>
          <w:sz w:val="22"/>
          <w:szCs w:val="22"/>
        </w:rPr>
      </w:pPr>
    </w:p>
    <w:p w14:paraId="3D0046B8">
      <w:pPr>
        <w:pStyle w:val="49"/>
        <w:jc w:val="center"/>
        <w:rPr>
          <w:rFonts w:ascii="Arial Narrow" w:hAnsi="Arial Narrow" w:cs="Arial"/>
          <w:b/>
          <w:bCs/>
          <w:sz w:val="22"/>
          <w:szCs w:val="22"/>
        </w:rPr>
      </w:pPr>
    </w:p>
    <w:p w14:paraId="4EA5C507">
      <w:pPr>
        <w:pStyle w:val="49"/>
        <w:jc w:val="center"/>
        <w:rPr>
          <w:rFonts w:ascii="Arial Narrow" w:hAnsi="Arial Narrow" w:cs="Arial"/>
          <w:b/>
          <w:bCs/>
          <w:sz w:val="22"/>
          <w:szCs w:val="22"/>
        </w:rPr>
      </w:pPr>
    </w:p>
    <w:p w14:paraId="4884829F">
      <w:pPr>
        <w:pStyle w:val="49"/>
        <w:jc w:val="center"/>
        <w:rPr>
          <w:rFonts w:ascii="Arial Narrow" w:hAnsi="Arial Narrow" w:cs="Arial"/>
          <w:b/>
          <w:bCs/>
          <w:sz w:val="22"/>
          <w:szCs w:val="22"/>
        </w:rPr>
      </w:pPr>
    </w:p>
    <w:p w14:paraId="1E93E8E0">
      <w:pPr>
        <w:pStyle w:val="49"/>
        <w:jc w:val="center"/>
        <w:rPr>
          <w:rFonts w:ascii="Arial Narrow" w:hAnsi="Arial Narrow" w:cs="Arial"/>
          <w:b/>
          <w:bCs/>
          <w:sz w:val="22"/>
          <w:szCs w:val="22"/>
        </w:rPr>
      </w:pPr>
    </w:p>
    <w:p w14:paraId="2B59AE6C">
      <w:pPr>
        <w:pStyle w:val="49"/>
        <w:jc w:val="center"/>
        <w:rPr>
          <w:rFonts w:ascii="Arial Narrow" w:hAnsi="Arial Narrow" w:cs="Arial"/>
          <w:b/>
          <w:bCs/>
          <w:sz w:val="22"/>
          <w:szCs w:val="22"/>
        </w:rPr>
      </w:pPr>
    </w:p>
    <w:p w14:paraId="2A851EEE">
      <w:pPr>
        <w:pStyle w:val="49"/>
        <w:jc w:val="center"/>
        <w:rPr>
          <w:rFonts w:ascii="Arial Narrow" w:hAnsi="Arial Narrow" w:cs="Arial"/>
          <w:b/>
          <w:bCs/>
          <w:sz w:val="22"/>
          <w:szCs w:val="22"/>
        </w:rPr>
      </w:pPr>
    </w:p>
    <w:p w14:paraId="5000650E">
      <w:pPr>
        <w:spacing w:after="0" w:line="240" w:lineRule="auto"/>
        <w:jc w:val="center"/>
        <w:rPr>
          <w:rFonts w:ascii="Arial Narrow" w:hAnsi="Arial Narrow" w:cs="Arial"/>
          <w:lang/>
        </w:rPr>
      </w:pPr>
    </w:p>
    <w:p w14:paraId="3A31A6B3">
      <w:pPr>
        <w:spacing w:after="0" w:line="240" w:lineRule="auto"/>
        <w:jc w:val="center"/>
        <w:rPr>
          <w:rFonts w:ascii="Arial Narrow" w:hAnsi="Arial Narrow" w:cs="Arial"/>
          <w:lang/>
        </w:rPr>
      </w:pPr>
    </w:p>
    <w:p w14:paraId="7D3BDA77">
      <w:pPr>
        <w:pStyle w:val="41"/>
        <w:contextualSpacing/>
        <w:rPr>
          <w:rFonts w:ascii="Arial Narrow" w:hAnsi="Arial Narrow" w:cs="Arial"/>
          <w:sz w:val="22"/>
          <w:szCs w:val="22"/>
        </w:rPr>
      </w:pPr>
      <w:r>
        <w:rPr>
          <w:rFonts w:ascii="Arial Narrow" w:hAnsi="Arial Narrow" w:cs="Arial"/>
          <w:sz w:val="22"/>
          <w:szCs w:val="22"/>
        </w:rPr>
        <w:t>CÚCUTA  2026</w:t>
      </w:r>
    </w:p>
    <w:p w14:paraId="0BD488EA">
      <w:pPr>
        <w:spacing w:after="0" w:line="240" w:lineRule="auto"/>
        <w:jc w:val="both"/>
        <w:rPr>
          <w:rFonts w:ascii="Arial Narrow" w:hAnsi="Arial Narrow" w:cs="Arial"/>
          <w:lang/>
        </w:rPr>
      </w:pPr>
    </w:p>
    <w:p w14:paraId="65563A5B">
      <w:pPr>
        <w:spacing w:after="0" w:line="240" w:lineRule="auto"/>
        <w:jc w:val="both"/>
        <w:rPr>
          <w:rFonts w:ascii="Arial Narrow" w:hAnsi="Arial Narrow" w:cs="Arial"/>
          <w:lang/>
        </w:rPr>
      </w:pPr>
    </w:p>
    <w:p w14:paraId="642023AE">
      <w:pPr>
        <w:spacing w:after="0" w:line="240" w:lineRule="auto"/>
        <w:jc w:val="both"/>
        <w:rPr>
          <w:rFonts w:ascii="Arial Narrow" w:hAnsi="Arial Narrow" w:cs="Arial"/>
          <w:lang/>
        </w:rPr>
      </w:pPr>
    </w:p>
    <w:p w14:paraId="34117148">
      <w:pPr>
        <w:spacing w:after="0" w:line="240" w:lineRule="auto"/>
        <w:jc w:val="both"/>
        <w:rPr>
          <w:rFonts w:ascii="Arial Narrow" w:hAnsi="Arial Narrow" w:cs="Arial"/>
          <w:lang/>
        </w:rPr>
      </w:pPr>
    </w:p>
    <w:p w14:paraId="56EDB080">
      <w:pPr>
        <w:spacing w:after="0" w:line="240" w:lineRule="auto"/>
        <w:jc w:val="both"/>
        <w:rPr>
          <w:rFonts w:ascii="Arial Narrow" w:hAnsi="Arial Narrow" w:cs="Arial"/>
          <w:lang/>
        </w:rPr>
      </w:pPr>
    </w:p>
    <w:p w14:paraId="73952EBB">
      <w:pPr>
        <w:pStyle w:val="3"/>
        <w:spacing w:before="0" w:line="240" w:lineRule="auto"/>
        <w:jc w:val="center"/>
        <w:rPr>
          <w:rFonts w:ascii="Arial Narrow" w:hAnsi="Arial Narrow" w:cs="Arial"/>
          <w:color w:val="auto"/>
          <w:sz w:val="22"/>
          <w:szCs w:val="22"/>
          <w:lang/>
        </w:rPr>
      </w:pPr>
      <w:bookmarkStart w:id="0" w:name="_Toc379219070"/>
      <w:r>
        <w:rPr>
          <w:rFonts w:ascii="Arial Narrow" w:hAnsi="Arial Narrow" w:cs="Arial"/>
          <w:color w:val="auto"/>
          <w:sz w:val="22"/>
          <w:szCs w:val="22"/>
          <w:lang/>
        </w:rPr>
        <w:t>CAPITULO I</w:t>
      </w:r>
    </w:p>
    <w:p w14:paraId="3D2E9ED7">
      <w:pPr>
        <w:pStyle w:val="3"/>
        <w:spacing w:before="0" w:line="240" w:lineRule="auto"/>
        <w:rPr>
          <w:rFonts w:ascii="Arial Narrow" w:hAnsi="Arial Narrow" w:cs="Arial"/>
          <w:color w:val="auto"/>
          <w:sz w:val="22"/>
          <w:szCs w:val="22"/>
          <w:lang/>
        </w:rPr>
      </w:pPr>
    </w:p>
    <w:p w14:paraId="40906EF4">
      <w:pPr>
        <w:pStyle w:val="52"/>
        <w:numPr>
          <w:ilvl w:val="1"/>
          <w:numId w:val="6"/>
        </w:numPr>
        <w:spacing w:after="0" w:line="240" w:lineRule="auto"/>
        <w:rPr>
          <w:rFonts w:ascii="Arial Narrow" w:hAnsi="Arial Narrow" w:cs="Arial"/>
          <w:lang/>
        </w:rPr>
      </w:pPr>
      <w:r>
        <w:rPr>
          <w:rFonts w:ascii="Arial Narrow" w:hAnsi="Arial Narrow" w:cs="Arial"/>
          <w:b/>
          <w:lang/>
        </w:rPr>
        <w:t>INTRODUCCIÓN</w:t>
      </w:r>
      <w:bookmarkEnd w:id="0"/>
    </w:p>
    <w:p w14:paraId="7FFD601A">
      <w:pPr>
        <w:pStyle w:val="49"/>
        <w:jc w:val="both"/>
        <w:rPr>
          <w:rFonts w:ascii="Arial Narrow" w:hAnsi="Arial Narrow" w:cs="Arial"/>
          <w:sz w:val="22"/>
          <w:szCs w:val="22"/>
        </w:rPr>
      </w:pPr>
    </w:p>
    <w:p w14:paraId="365CC101">
      <w:pPr>
        <w:spacing w:after="0" w:line="240" w:lineRule="auto"/>
        <w:jc w:val="both"/>
        <w:rPr>
          <w:rFonts w:ascii="Arial Narrow" w:hAnsi="Arial Narrow" w:cs="Arial"/>
          <w:lang/>
        </w:rPr>
      </w:pPr>
      <w:r>
        <w:rPr>
          <w:rFonts w:ascii="Arial Narrow" w:hAnsi="Arial Narrow" w:cs="Arial"/>
          <w:lang/>
        </w:rPr>
        <w:t>La Unidad Administrativa Especial de Aeronautica Civil – AEROCIVIL - en adelante la “AEROCIVIL”, pone a disposición de los interesados el Pliego de Condiciones para la selección del Contratista encargado de ejecutar el Contrato de menor cuantía para REALIZAR LA ADQUISICIÓN  DE LUMINARIA TIPO LED Y REPUESTOS PARA LA PISTA DE LOS AEROPUERTOS CÚCUTA, BUCARAMANGA Y BARRANCABERMEJA</w:t>
      </w:r>
      <w:r>
        <w:rPr>
          <w:rFonts w:ascii="Arial Narrow" w:hAnsi="Arial Narrow" w:cs="Arial"/>
          <w:highlight w:val="lightGray"/>
          <w:lang/>
        </w:rPr>
        <w:t>,</w:t>
      </w:r>
      <w:r>
        <w:rPr>
          <w:rFonts w:ascii="Arial Narrow" w:hAnsi="Arial Narrow" w:cs="Arial"/>
          <w:lang/>
        </w:rPr>
        <w:t xml:space="preserve"> en adelante el “Contrato”. </w:t>
      </w:r>
    </w:p>
    <w:p w14:paraId="1F650B12">
      <w:pPr>
        <w:spacing w:after="0" w:line="240" w:lineRule="auto"/>
        <w:jc w:val="both"/>
        <w:rPr>
          <w:rFonts w:ascii="Arial Narrow" w:hAnsi="Arial Narrow" w:cs="Arial"/>
          <w:lang/>
        </w:rPr>
      </w:pPr>
    </w:p>
    <w:p w14:paraId="026684DD">
      <w:pPr>
        <w:spacing w:after="0" w:line="240" w:lineRule="auto"/>
        <w:jc w:val="both"/>
        <w:rPr>
          <w:rFonts w:ascii="Arial Narrow" w:hAnsi="Arial Narrow" w:cs="Arial"/>
          <w:lang/>
        </w:rPr>
      </w:pPr>
      <w:r>
        <w:rPr>
          <w:rFonts w:ascii="Arial Narrow" w:hAnsi="Arial Narrow" w:cs="Arial"/>
          <w:lang/>
        </w:rPr>
        <w:t xml:space="preserve">Los documentos del proceso, que incluyen los estudios y documentos previos, el estudio de sector, así como cualquiera de sus formatos y anexos, están a disposición del público en el Sistema Electrónico de Contratación Pública –SECOP II. </w:t>
      </w:r>
    </w:p>
    <w:p w14:paraId="3203C52A">
      <w:pPr>
        <w:spacing w:after="0" w:line="240" w:lineRule="auto"/>
        <w:jc w:val="both"/>
        <w:rPr>
          <w:rFonts w:ascii="Arial Narrow" w:hAnsi="Arial Narrow" w:cs="Arial"/>
          <w:lang/>
        </w:rPr>
      </w:pPr>
    </w:p>
    <w:p w14:paraId="55AF9C8C">
      <w:pPr>
        <w:pStyle w:val="49"/>
        <w:jc w:val="both"/>
        <w:rPr>
          <w:rFonts w:ascii="Arial Narrow" w:hAnsi="Arial Narrow" w:cs="Arial"/>
          <w:bCs/>
          <w:sz w:val="22"/>
          <w:szCs w:val="22"/>
        </w:rPr>
      </w:pPr>
      <w:r>
        <w:rPr>
          <w:rFonts w:ascii="Arial Narrow" w:hAnsi="Arial Narrow" w:cs="Arial"/>
          <w:sz w:val="22"/>
          <w:szCs w:val="22"/>
        </w:rPr>
        <w:t xml:space="preserve">La selección del contratista se realiza a través del proceso de </w:t>
      </w:r>
      <w:r>
        <w:rPr>
          <w:rFonts w:ascii="Arial Narrow" w:hAnsi="Arial Narrow" w:cs="Arial"/>
          <w:b/>
          <w:bCs/>
          <w:sz w:val="22"/>
          <w:szCs w:val="22"/>
        </w:rPr>
        <w:t>Selección Abreviada de Menor Cuantía</w:t>
      </w:r>
      <w:r>
        <w:rPr>
          <w:rFonts w:ascii="Arial Narrow" w:hAnsi="Arial Narrow" w:cs="Arial"/>
          <w:sz w:val="22"/>
          <w:szCs w:val="22"/>
        </w:rPr>
        <w:t xml:space="preserve">, regulada por las leyes 80 de 1993,  1150 de 2007, 1474 de 2011 y 1882 de 2018, el Decreto 1082 de 2015 y el  manual de contratación de la Unidad, </w:t>
      </w:r>
      <w:r>
        <w:rPr>
          <w:rFonts w:ascii="Arial Narrow" w:hAnsi="Arial Narrow" w:cs="Arial"/>
          <w:bCs/>
          <w:sz w:val="22"/>
          <w:szCs w:val="22"/>
        </w:rPr>
        <w:t xml:space="preserve">Resoluciones 04337 de diciembre 27 de 2019 “Por la cual se adopta el Manual de Contratación de la Entidad”, modificado mediante Resolución 01942 del 08 de septiembre de 2021 </w:t>
      </w:r>
      <w:r>
        <w:rPr>
          <w:rFonts w:ascii="Arial Narrow" w:hAnsi="Arial Narrow" w:cs="Arial"/>
          <w:bCs/>
          <w:sz w:val="22"/>
          <w:szCs w:val="22"/>
          <w:lang w:val="es-CO"/>
        </w:rPr>
        <w:t>y demás disposiciones que lo modifique, adicione o aclare</w:t>
      </w:r>
      <w:r>
        <w:rPr>
          <w:rFonts w:ascii="Arial Narrow" w:hAnsi="Arial Narrow" w:cs="Arial"/>
          <w:bCs/>
          <w:sz w:val="22"/>
          <w:szCs w:val="22"/>
        </w:rPr>
        <w:t>.</w:t>
      </w:r>
    </w:p>
    <w:p w14:paraId="4D1591DB">
      <w:pPr>
        <w:spacing w:after="0" w:line="240" w:lineRule="auto"/>
        <w:jc w:val="both"/>
        <w:rPr>
          <w:rFonts w:ascii="Arial Narrow" w:hAnsi="Arial Narrow" w:cs="Arial"/>
          <w:lang/>
        </w:rPr>
      </w:pPr>
    </w:p>
    <w:p w14:paraId="4F896715">
      <w:pPr>
        <w:spacing w:after="0" w:line="240" w:lineRule="auto"/>
        <w:jc w:val="both"/>
        <w:rPr>
          <w:rFonts w:ascii="Arial Narrow" w:hAnsi="Arial Narrow" w:cs="Arial"/>
          <w:lang/>
        </w:rPr>
      </w:pPr>
      <w:r>
        <w:rPr>
          <w:rFonts w:ascii="Arial Narrow" w:hAnsi="Arial Narrow" w:cs="Arial"/>
          <w:lang/>
        </w:rPr>
        <w:t>La Entidad evaluará las ofertas conforme con las reglas establecidas en el Pliego de Condiciones y la normativa aplicable.</w:t>
      </w:r>
    </w:p>
    <w:p w14:paraId="65447960">
      <w:pPr>
        <w:spacing w:after="0" w:line="240" w:lineRule="auto"/>
        <w:jc w:val="both"/>
        <w:rPr>
          <w:rFonts w:ascii="Arial Narrow" w:hAnsi="Arial Narrow" w:cs="Arial"/>
          <w:lang/>
        </w:rPr>
      </w:pPr>
    </w:p>
    <w:p w14:paraId="0EF15588">
      <w:pPr>
        <w:spacing w:after="0" w:line="240" w:lineRule="auto"/>
        <w:jc w:val="both"/>
        <w:rPr>
          <w:rFonts w:ascii="Arial Narrow" w:hAnsi="Arial Narrow" w:cs="Arial"/>
          <w:lang/>
        </w:rPr>
      </w:pPr>
      <w:r>
        <w:rPr>
          <w:rFonts w:ascii="Arial Narrow" w:hAnsi="Arial Narrow" w:cs="Arial"/>
          <w:lang/>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del inciso 3 del artículo 66 de la Ley 80 de 1993 y el artículo 2.2.1.1.1.2.1 del Decreto 1082 de 2015. </w:t>
      </w:r>
    </w:p>
    <w:p w14:paraId="5B6B0D55">
      <w:pPr>
        <w:spacing w:after="0" w:line="240" w:lineRule="auto"/>
        <w:jc w:val="both"/>
        <w:rPr>
          <w:rFonts w:ascii="Arial Narrow" w:hAnsi="Arial Narrow" w:cs="Arial"/>
          <w:lang/>
        </w:rPr>
      </w:pPr>
    </w:p>
    <w:p w14:paraId="34EB684C">
      <w:pPr>
        <w:pStyle w:val="52"/>
        <w:numPr>
          <w:ilvl w:val="1"/>
          <w:numId w:val="6"/>
        </w:numPr>
        <w:spacing w:after="0" w:line="240" w:lineRule="auto"/>
        <w:rPr>
          <w:rFonts w:ascii="Arial Narrow" w:hAnsi="Arial Narrow" w:cs="Arial"/>
          <w:b/>
          <w:lang/>
        </w:rPr>
      </w:pPr>
      <w:r>
        <w:rPr>
          <w:rFonts w:ascii="Arial Narrow" w:hAnsi="Arial Narrow" w:cs="Arial"/>
          <w:b/>
          <w:lang/>
        </w:rPr>
        <w:t>INVITACIÓN A LAS VEEDURÍAS CIUDADANAS</w:t>
      </w:r>
    </w:p>
    <w:p w14:paraId="460CED19">
      <w:pPr>
        <w:pStyle w:val="49"/>
        <w:jc w:val="both"/>
        <w:rPr>
          <w:rFonts w:ascii="Arial Narrow" w:hAnsi="Arial Narrow" w:cs="Arial"/>
          <w:sz w:val="22"/>
          <w:szCs w:val="22"/>
        </w:rPr>
      </w:pPr>
    </w:p>
    <w:p w14:paraId="78F0A87A">
      <w:pPr>
        <w:pStyle w:val="49"/>
        <w:jc w:val="both"/>
        <w:rPr>
          <w:rFonts w:ascii="Arial Narrow" w:hAnsi="Arial Narrow" w:cs="Arial"/>
          <w:sz w:val="22"/>
          <w:szCs w:val="22"/>
        </w:rPr>
      </w:pPr>
      <w:r>
        <w:rPr>
          <w:rFonts w:ascii="Arial Narrow" w:hAnsi="Arial Narrow" w:cs="Arial"/>
          <w:sz w:val="22"/>
          <w:szCs w:val="22"/>
        </w:rPr>
        <w:t xml:space="preserve">En cumplimiento de lo dispuesto en el inciso 3 del artículo 66 de la Ley 80 de 1993, la </w:t>
      </w:r>
      <w:r>
        <w:rPr>
          <w:rFonts w:ascii="Arial Narrow" w:hAnsi="Arial Narrow" w:cs="Arial"/>
          <w:b/>
          <w:sz w:val="22"/>
          <w:szCs w:val="22"/>
        </w:rPr>
        <w:t>UNIDAD ADMINISTRATIVA ESPECIAL DE AERONÁUTICA CIVIL</w:t>
      </w:r>
      <w:r>
        <w:rPr>
          <w:rFonts w:ascii="Arial Narrow" w:hAnsi="Arial Narrow" w:cs="Arial"/>
          <w:sz w:val="22"/>
          <w:szCs w:val="22"/>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p>
    <w:p w14:paraId="437C4CB4">
      <w:pPr>
        <w:spacing w:after="0" w:line="240" w:lineRule="auto"/>
        <w:jc w:val="both"/>
        <w:rPr>
          <w:rFonts w:ascii="Arial Narrow" w:hAnsi="Arial Narrow" w:cs="Arial"/>
          <w:lang/>
        </w:rPr>
      </w:pPr>
    </w:p>
    <w:p w14:paraId="12975CF3">
      <w:pPr>
        <w:pStyle w:val="52"/>
        <w:numPr>
          <w:ilvl w:val="1"/>
          <w:numId w:val="6"/>
        </w:numPr>
        <w:spacing w:after="0" w:line="240" w:lineRule="auto"/>
        <w:jc w:val="both"/>
        <w:rPr>
          <w:rFonts w:ascii="Arial Narrow" w:hAnsi="Arial Narrow" w:cs="Arial"/>
          <w:b/>
          <w:bCs/>
          <w:lang/>
        </w:rPr>
      </w:pPr>
      <w:r>
        <w:rPr>
          <w:rFonts w:ascii="Arial Narrow" w:hAnsi="Arial Narrow" w:cs="Arial"/>
          <w:b/>
          <w:lang/>
        </w:rPr>
        <w:t>GLOSARIO</w:t>
      </w:r>
    </w:p>
    <w:p w14:paraId="53D59BA9">
      <w:pPr>
        <w:pStyle w:val="49"/>
        <w:jc w:val="both"/>
        <w:rPr>
          <w:rFonts w:ascii="Arial Narrow" w:hAnsi="Arial Narrow" w:cs="Arial"/>
          <w:sz w:val="22"/>
          <w:szCs w:val="22"/>
        </w:rPr>
      </w:pPr>
    </w:p>
    <w:p w14:paraId="44C183E0">
      <w:pPr>
        <w:widowControl w:val="0"/>
        <w:overflowPunct w:val="0"/>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4EED0E47">
      <w:pPr>
        <w:widowControl w:val="0"/>
        <w:overflowPunct w:val="0"/>
        <w:autoSpaceDE w:val="0"/>
        <w:autoSpaceDN w:val="0"/>
        <w:adjustRightInd w:val="0"/>
        <w:spacing w:after="0" w:line="240" w:lineRule="auto"/>
        <w:jc w:val="both"/>
        <w:rPr>
          <w:rFonts w:ascii="Arial Narrow" w:hAnsi="Arial Narrow" w:eastAsia="Times New Roman" w:cs="Arial"/>
          <w:lang w:eastAsia="es-ES"/>
        </w:rPr>
      </w:pPr>
    </w:p>
    <w:p w14:paraId="774994D4">
      <w:pPr>
        <w:widowControl w:val="0"/>
        <w:overflowPunct w:val="0"/>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 xml:space="preserve">Los títulos de los numerales y Capítulos se incluyen con fines de referencia, pero de ninguna manera limitan, definen o describen el alcance y la intención de los Pliegos. </w:t>
      </w:r>
    </w:p>
    <w:p w14:paraId="5CDF7D74">
      <w:pPr>
        <w:widowControl w:val="0"/>
        <w:overflowPunct w:val="0"/>
        <w:autoSpaceDE w:val="0"/>
        <w:autoSpaceDN w:val="0"/>
        <w:adjustRightInd w:val="0"/>
        <w:spacing w:after="0" w:line="240" w:lineRule="auto"/>
        <w:jc w:val="both"/>
        <w:rPr>
          <w:rFonts w:ascii="Arial Narrow" w:hAnsi="Arial Narrow" w:eastAsia="Times New Roman" w:cs="Arial"/>
          <w:lang w:eastAsia="es-ES"/>
        </w:rPr>
      </w:pPr>
    </w:p>
    <w:p w14:paraId="04DCAF79">
      <w:pPr>
        <w:widowControl w:val="0"/>
        <w:overflowPunct w:val="0"/>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 xml:space="preserve">Las palabras técnicas que no se encuentren definidas expresamente en el </w:t>
      </w:r>
      <w:r>
        <w:rPr>
          <w:rFonts w:ascii="Arial Narrow" w:hAnsi="Arial Narrow" w:cs="Arial"/>
          <w:lang/>
        </w:rPr>
        <w:t>pliego de condiciones y su complementario</w:t>
      </w:r>
      <w:r>
        <w:rPr>
          <w:rFonts w:ascii="Arial Narrow" w:hAnsi="Arial Narrow" w:eastAsia="Times New Roman" w:cs="Arial"/>
          <w:lang w:eastAsia="es-ES"/>
        </w:rPr>
        <w:t xml:space="preserve"> tendrán los significados que les correspondan según la técnica o ciencia respectiva y las demás palabras se entenderán en su sentido natural y obvio, según el uso general de las mismas. Para efectos del pliego de condiciones y su complementario, se establecen las siguientes definiciones, las cuales podrán ser usadas tanto en singular como en plural: a continuación de manera enunciativa, se relacionan algunas definiciones útiles para el proceso de selección:</w:t>
      </w:r>
    </w:p>
    <w:p w14:paraId="214470C1">
      <w:pPr>
        <w:widowControl w:val="0"/>
        <w:overflowPunct w:val="0"/>
        <w:autoSpaceDE w:val="0"/>
        <w:autoSpaceDN w:val="0"/>
        <w:adjustRightInd w:val="0"/>
        <w:spacing w:after="0" w:line="240" w:lineRule="auto"/>
        <w:jc w:val="both"/>
        <w:rPr>
          <w:rFonts w:ascii="Arial Narrow" w:hAnsi="Arial Narrow" w:eastAsia="Times New Roman" w:cs="Arial"/>
          <w:b/>
          <w:bCs/>
          <w:lang w:eastAsia="es-ES"/>
        </w:rPr>
      </w:pPr>
      <w:bookmarkStart w:id="1" w:name="_Toc451843550"/>
      <w:bookmarkStart w:id="2" w:name="_Toc424219445"/>
    </w:p>
    <w:bookmarkEnd w:id="1"/>
    <w:bookmarkEnd w:id="2"/>
    <w:p w14:paraId="59A64DA4">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Adenda(s):</w:t>
      </w:r>
      <w:r>
        <w:rPr>
          <w:rFonts w:ascii="Arial Narrow" w:hAnsi="Arial Narrow" w:eastAsia="Times New Roman" w:cs="Arial"/>
          <w:lang w:eastAsia="es-ES"/>
        </w:rPr>
        <w:t xml:space="preserve"> Es el documento por medio del cual la AEROCIVIL modifica el </w:t>
      </w:r>
      <w:r>
        <w:rPr>
          <w:rFonts w:ascii="Arial Narrow" w:hAnsi="Arial Narrow" w:cs="Arial"/>
          <w:lang/>
        </w:rPr>
        <w:t>pliego de condiciones y/o su complementario</w:t>
      </w:r>
      <w:r>
        <w:rPr>
          <w:rFonts w:ascii="Arial Narrow" w:hAnsi="Arial Narrow" w:eastAsia="Times New Roman" w:cs="Arial"/>
          <w:lang w:eastAsia="es-ES"/>
        </w:rPr>
        <w:t>, de acuerdo con el artículo 2.2.1.1.1.3.1 del Decreto 1082 de 2015.</w:t>
      </w:r>
    </w:p>
    <w:p w14:paraId="5BFD68E3">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Adjudicación</w:t>
      </w:r>
      <w:r>
        <w:rPr>
          <w:rFonts w:ascii="Arial Narrow" w:hAnsi="Arial Narrow" w:eastAsia="Times New Roman" w:cs="Arial"/>
          <w:lang w:eastAsia="es-ES"/>
        </w:rPr>
        <w:t>: Decisión emanada de la Aerocivil por medio de un acto administrativo, que determina el Adjudicatario del presente proceso.</w:t>
      </w:r>
    </w:p>
    <w:p w14:paraId="23ADC447">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Adjudicatario(a):</w:t>
      </w:r>
      <w:r>
        <w:rPr>
          <w:rFonts w:ascii="Arial Narrow" w:hAnsi="Arial Narrow" w:eastAsia="Times New Roman" w:cs="Arial"/>
          <w:lang w:eastAsia="es-ES"/>
        </w:rPr>
        <w:t xml:space="preserve"> Proponente a quien se le adjudica el proceso, por haber presentado una propuesta que cumple con lo requerido en el pliego de condiciones y su complementario y se considera en relación con las demás, la propuesta más favorable en el proceso de selección.</w:t>
      </w:r>
    </w:p>
    <w:p w14:paraId="5C4F9C47">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AEROCIVIL</w:t>
      </w:r>
      <w:r>
        <w:rPr>
          <w:rFonts w:ascii="Arial Narrow" w:hAnsi="Arial Narrow" w:eastAsia="Times New Roman" w:cs="Arial"/>
          <w:lang w:eastAsia="es-ES"/>
        </w:rPr>
        <w:t xml:space="preserve">: Sigla de la Unidad Administrativa Especial de Aeronáutica Civil, es una entidad especializada, de carácter técnico, dotado de personería jurídica, autonomía administrativa y patrimonio independiente, adscrito al Ministerio de Transporte. La AEROCIVIL es la entidad encargada de iniciar, tramitar y llevar hasta su culminación el proceso de selección, por lo cual, se adelantará bajo su responsabilidad la evaluación de las Propuestas que se presenten y adjudicará el Contratos. </w:t>
      </w:r>
    </w:p>
    <w:p w14:paraId="752B2A61">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Anexo:</w:t>
      </w:r>
      <w:r>
        <w:rPr>
          <w:rFonts w:ascii="Arial Narrow" w:hAnsi="Arial Narrow" w:eastAsia="Times New Roman" w:cs="Arial"/>
          <w:lang w:eastAsia="es-ES"/>
        </w:rPr>
        <w:t xml:space="preserve"> Es el conjunto de formatos y documentos que se adjuntan en el pliego de condiciones y su complementario, los cuales hacen  parte integral del mismo.</w:t>
      </w:r>
    </w:p>
    <w:p w14:paraId="1405BC3C">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Análisis del Sector:</w:t>
      </w:r>
      <w:r>
        <w:rPr>
          <w:rFonts w:ascii="Arial Narrow" w:hAnsi="Arial Narrow" w:eastAsia="Times New Roman" w:cs="Arial"/>
          <w:lang w:eastAsia="es-ES"/>
        </w:rPr>
        <w:t xml:space="preserve"> Estudios puestos a disposición de los Interesados por parte de la AEROCIVIL,  relacionados con el mercado relativo al objeto del proceso de contratación, desde la perspectiva legal, comercial, financiera, organizacional, técnica y de análisis de Riesgo.</w:t>
      </w:r>
    </w:p>
    <w:p w14:paraId="3B12F9FA">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Aportes Legales:</w:t>
      </w:r>
      <w:r>
        <w:rPr>
          <w:rFonts w:ascii="Arial Narrow" w:hAnsi="Arial Narrow" w:eastAsia="Times New Roman" w:cs="Arial"/>
          <w:lang w:eastAsia="es-ES"/>
        </w:rPr>
        <w:t xml:space="preserve"> 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620CBDCA">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b/>
          <w:iCs/>
          <w:lang w:eastAsia="es-ES"/>
        </w:rPr>
      </w:pPr>
      <w:r>
        <w:rPr>
          <w:rFonts w:ascii="Arial Narrow" w:hAnsi="Arial Narrow" w:eastAsia="Times New Roman" w:cs="Arial"/>
          <w:b/>
          <w:bCs/>
          <w:lang w:eastAsia="es-ES"/>
        </w:rPr>
        <w:t xml:space="preserve">Capacidad Organizacional: </w:t>
      </w:r>
      <w:r>
        <w:rPr>
          <w:rFonts w:ascii="Arial Narrow" w:hAnsi="Arial Narrow" w:eastAsia="Times New Roman" w:cs="Arial"/>
          <w:lang w:eastAsia="es-ES"/>
        </w:rPr>
        <w:t>La capacidad organizacional es la aptitud de un proponente para cumplir oportuna y cabalmente el objeto del contrato en función de su organización interna. Dado que la ley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14:paraId="1DD9E3A6">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iCs/>
          <w:lang w:eastAsia="es-ES"/>
        </w:rPr>
        <w:t>Clasificador de Bienes y Servicios</w:t>
      </w:r>
      <w:r>
        <w:rPr>
          <w:rFonts w:ascii="Arial Narrow" w:hAnsi="Arial Narrow" w:eastAsia="Times New Roman" w:cs="Arial"/>
          <w:iCs/>
          <w:lang w:eastAsia="es-ES"/>
        </w:rPr>
        <w:t xml:space="preserve">: </w:t>
      </w:r>
      <w:r>
        <w:rPr>
          <w:rFonts w:ascii="Arial Narrow" w:hAnsi="Arial Narrow" w:eastAsia="Times New Roman" w:cs="Arial"/>
          <w:lang w:eastAsia="es-ES"/>
        </w:rPr>
        <w:t>Es el sistema de codificación de las Naciones Unidas para estandarizar productos y servicios, conocido por las siglas UNSPSC.</w:t>
      </w:r>
    </w:p>
    <w:p w14:paraId="4AFF150C">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b/>
          <w:lang w:eastAsia="es-ES"/>
        </w:rPr>
      </w:pPr>
      <w:r>
        <w:rPr>
          <w:rFonts w:ascii="Arial Narrow" w:hAnsi="Arial Narrow" w:eastAsia="Times New Roman" w:cs="Arial"/>
          <w:b/>
          <w:iCs/>
          <w:lang w:eastAsia="es-ES"/>
        </w:rPr>
        <w:t>Colombia Compra Eficiente</w:t>
      </w:r>
      <w:r>
        <w:rPr>
          <w:rFonts w:ascii="Arial Narrow" w:hAnsi="Arial Narrow" w:eastAsia="Times New Roman" w:cs="Arial"/>
          <w:iCs/>
          <w:lang w:eastAsia="es-ES"/>
        </w:rPr>
        <w:t xml:space="preserve">: </w:t>
      </w:r>
      <w:r>
        <w:rPr>
          <w:rFonts w:ascii="Arial Narrow" w:hAnsi="Arial Narrow" w:eastAsia="Times New Roman" w:cs="Arial"/>
          <w:lang w:eastAsia="es-ES"/>
        </w:rPr>
        <w:t>Es la Agencia Nacional de Contratación Pública creada por medio del Decreto-Ley 4170 de 2011.</w:t>
      </w:r>
    </w:p>
    <w:p w14:paraId="36D73A9D">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Certificado de Disponibilidad presupuestal:</w:t>
      </w:r>
      <w:r>
        <w:rPr>
          <w:rFonts w:ascii="Arial Narrow" w:hAnsi="Arial Narrow" w:eastAsia="Times New Roman" w:cs="Arial"/>
          <w:lang w:eastAsia="es-ES"/>
        </w:rPr>
        <w:t xml:space="preserve"> Documento que acredita la disponibilidad de presupuesto para el presente proceso de selección.</w:t>
      </w:r>
    </w:p>
    <w:p w14:paraId="79F056EC">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Consorcio</w:t>
      </w:r>
      <w:r>
        <w:rPr>
          <w:rFonts w:ascii="Arial Narrow" w:hAnsi="Arial Narrow" w:eastAsia="Times New Roman" w:cs="Arial"/>
          <w:lang w:eastAsia="es-ES"/>
        </w:rPr>
        <w:t>: Modalidad de asociación que permite que dos o más personas naturales o jurídicas, en forma conjunta, presenten una misma Propuesta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14439D4A">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Contratista</w:t>
      </w:r>
      <w:r>
        <w:rPr>
          <w:rFonts w:ascii="Arial Narrow" w:hAnsi="Arial Narrow" w:eastAsia="Times New Roman" w:cs="Arial"/>
          <w:lang w:eastAsia="es-ES"/>
        </w:rPr>
        <w:t>: Adjudicatario que suscribe el Contrato derivado del presente proceso.</w:t>
      </w:r>
    </w:p>
    <w:p w14:paraId="00F5D59C">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Contrato</w:t>
      </w:r>
      <w:r>
        <w:rPr>
          <w:rFonts w:ascii="Arial Narrow" w:hAnsi="Arial Narrow" w:eastAsia="Times New Roman" w:cs="Arial"/>
          <w:lang w:eastAsia="es-ES"/>
        </w:rPr>
        <w:t>: Es el instrumento legal convenido y aceptado tanto por la Aerocivil como por el contratista, para ejecutar el objeto del presente proceso de selección y cuyas obligaciones y particularidades serán ley para las partes.</w:t>
      </w:r>
    </w:p>
    <w:p w14:paraId="72107E36">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Día(s) Calendario:</w:t>
      </w:r>
      <w:r>
        <w:rPr>
          <w:rFonts w:ascii="Arial Narrow" w:hAnsi="Arial Narrow" w:eastAsia="Times New Roman" w:cs="Arial"/>
          <w:lang w:eastAsia="es-ES"/>
        </w:rPr>
        <w:t xml:space="preserve"> Es cualquier día del calendario, entendido como el espacio de tiempo de 24 horas, sin tener en cuenta si se trata de un día hábil o inhábil. En el evento en que la fecha en que finalice un plazo establecido en el </w:t>
      </w:r>
      <w:r>
        <w:rPr>
          <w:rFonts w:ascii="Arial Narrow" w:hAnsi="Arial Narrow" w:cs="Arial"/>
          <w:lang/>
        </w:rPr>
        <w:t xml:space="preserve">pliego de condiciones y su complementario, </w:t>
      </w:r>
      <w:r>
        <w:rPr>
          <w:rFonts w:ascii="Arial Narrow" w:hAnsi="Arial Narrow" w:eastAsia="Times New Roman" w:cs="Arial"/>
          <w:lang w:eastAsia="es-ES"/>
        </w:rPr>
        <w:t>resulte ser un sábado o domingo u otro día inhábil, el último día de tal período o la fecha correspondiente, se trasladará al día hábil siguiente, esto sin perjuicio de la obligación que tiene el contratista de ejecutar el objeto del contrato en días horarios o días no hábiles.</w:t>
      </w:r>
    </w:p>
    <w:p w14:paraId="7DC6D4D3">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Día(s) Hábil(es):</w:t>
      </w:r>
      <w:r>
        <w:rPr>
          <w:rFonts w:ascii="Arial Narrow" w:hAnsi="Arial Narrow" w:eastAsia="Times New Roman" w:cs="Arial"/>
          <w:lang w:eastAsia="es-ES"/>
        </w:rPr>
        <w:t xml:space="preserve"> Es cualquier día comprendido entre el lunes y el viernes de cada semana entre las 8:00 a.m. y las 5:00 p.m., excluyendo los días festivos determinados por Ley, esto sin perjuicio de la obligación que tiene el contratista de ejecutar el objeto del contrato en horarios y/o días no hábiles, según se requiera en el presente documento. Se incluirán también aquellos días que sin ser hábiles la Aerocivil mediante acto administrativo motivado determine como tales para este proceso.</w:t>
      </w:r>
    </w:p>
    <w:p w14:paraId="4FDFAE18">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Dólares de los Estados Unidos de América, o Dólares, o US$:</w:t>
      </w:r>
      <w:r>
        <w:rPr>
          <w:rFonts w:ascii="Arial Narrow" w:hAnsi="Arial Narrow" w:eastAsia="Times New Roman" w:cs="Arial"/>
          <w:lang w:eastAsia="es-ES"/>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5326A9E8">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Especificaciones</w:t>
      </w:r>
      <w:r>
        <w:rPr>
          <w:rFonts w:ascii="Arial Narrow" w:hAnsi="Arial Narrow" w:eastAsia="Times New Roman" w:cs="Arial"/>
          <w:lang w:eastAsia="es-ES"/>
        </w:rPr>
        <w:t>: Procesos y procedimientos técnicos generales o particulares, según el caso a los que se debe ceñir el Contratista durante la ejecución del contrato, para obtener los resultados definidos en el mismo.</w:t>
      </w:r>
    </w:p>
    <w:p w14:paraId="0D51054C">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Estimación del riesgo</w:t>
      </w:r>
      <w:r>
        <w:rPr>
          <w:rFonts w:ascii="Arial Narrow" w:hAnsi="Arial Narrow" w:eastAsia="Times New Roman" w:cs="Arial"/>
          <w:lang w:eastAsia="es-ES"/>
        </w:rPr>
        <w:t>: Es la valoración del riesgo en términos monetarios o porcentuales.</w:t>
      </w:r>
    </w:p>
    <w:p w14:paraId="7844EA2E">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Estudios Previos:</w:t>
      </w:r>
      <w:r>
        <w:rPr>
          <w:rFonts w:ascii="Arial Narrow" w:hAnsi="Arial Narrow" w:eastAsia="Times New Roman" w:cs="Arial"/>
          <w:lang w:eastAsia="es-ES"/>
        </w:rPr>
        <w:t xml:space="preserve"> Es la justificación jurídica, técnica, económica y financiera del proyecto que realiza la AEROCIVIL de acuerdo con la ley 80 de 1993, ley 1150 de 2007 y decreto 1082 de 2015.</w:t>
      </w:r>
    </w:p>
    <w:p w14:paraId="06D8E20C">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bCs/>
          <w:lang w:eastAsia="es-ES"/>
        </w:rPr>
        <w:t>Fecha de iniciación de la ejecución del contrato:</w:t>
      </w:r>
      <w:r>
        <w:rPr>
          <w:rFonts w:ascii="Arial Narrow" w:hAnsi="Arial Narrow" w:eastAsia="Times New Roman" w:cs="Arial"/>
          <w:lang w:eastAsia="es-ES"/>
        </w:rPr>
        <w:t xml:space="preserve"> Fecha cierta en la cual se inicia el plazo de ejecución del contrato.</w:t>
      </w:r>
    </w:p>
    <w:p w14:paraId="4964993C">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bCs/>
          <w:lang w:eastAsia="es-ES"/>
        </w:rPr>
        <w:t>Fecha de terminación de la ejecución del contrato:</w:t>
      </w:r>
      <w:r>
        <w:rPr>
          <w:rFonts w:ascii="Arial Narrow" w:hAnsi="Arial Narrow" w:eastAsia="Times New Roman" w:cs="Arial"/>
          <w:lang w:eastAsia="es-ES"/>
        </w:rPr>
        <w:t xml:space="preserve"> Fecha cierta en que finaliza el plazo de ejecución del contrato.</w:t>
      </w:r>
    </w:p>
    <w:p w14:paraId="33577973">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Garantía de Seriedad de la oferta:</w:t>
      </w:r>
      <w:r>
        <w:rPr>
          <w:rFonts w:ascii="Arial Narrow" w:hAnsi="Arial Narrow" w:eastAsia="Times New Roman" w:cs="Arial"/>
          <w:lang w:eastAsia="es-ES"/>
        </w:rPr>
        <w:t xml:space="preserve"> Mecanismo de cobertura del riesgo a favor de la AEROCIVIL con ocasión de la presentación de la propuesta, de conformidad con la ley 80 de 1993, el decreto 1082 de 2015, el presente pliego de condiciones y su complementario. Podrá consistir en cualquiera de las clases de garantías a que se refiere el, artículo 2.2.1.2.3.1.1 del Decreto 1082 de 2015.</w:t>
      </w:r>
    </w:p>
    <w:p w14:paraId="3DDB04C6">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Hábil:</w:t>
      </w:r>
      <w:r>
        <w:rPr>
          <w:rFonts w:ascii="Arial Narrow" w:hAnsi="Arial Narrow" w:eastAsia="Times New Roman" w:cs="Arial"/>
          <w:lang w:eastAsia="es-ES"/>
        </w:rPr>
        <w:t xml:space="preserve"> Cuando el proponente cumple con todos los requisitos técnicos, legales y financieros exigidos en el </w:t>
      </w:r>
      <w:r>
        <w:rPr>
          <w:rFonts w:ascii="Arial Narrow" w:hAnsi="Arial Narrow" w:cs="Arial"/>
          <w:lang/>
        </w:rPr>
        <w:t>pliego de condiciones y su complementario.</w:t>
      </w:r>
    </w:p>
    <w:p w14:paraId="1652EB29">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Inconsistencia:</w:t>
      </w:r>
      <w:r>
        <w:rPr>
          <w:rFonts w:ascii="Arial Narrow" w:hAnsi="Arial Narrow" w:eastAsia="Times New Roman" w:cs="Arial"/>
          <w:b/>
          <w:bCs/>
          <w:lang w:eastAsia="es-ES"/>
        </w:rPr>
        <w:t xml:space="preserve"> </w:t>
      </w:r>
      <w:r>
        <w:rPr>
          <w:rFonts w:ascii="Arial Narrow" w:hAnsi="Arial Narrow" w:eastAsia="Times New Roman" w:cs="Arial"/>
          <w:lang w:eastAsia="es-ES"/>
        </w:rPr>
        <w:t>Falta de consistencia entre la información, manifestación o documentos presentados en la propuesta, frente a la verificación que realice directamente la AEROCIVIL de la información, manifestación o documentos aportados con la propuesta.</w:t>
      </w:r>
    </w:p>
    <w:p w14:paraId="06144576">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Inexactitud:</w:t>
      </w:r>
      <w:r>
        <w:rPr>
          <w:rFonts w:ascii="Arial Narrow" w:hAnsi="Arial Narrow" w:eastAsia="Times New Roman" w:cs="Arial"/>
          <w:lang w:eastAsia="es-ES"/>
        </w:rPr>
        <w:t xml:space="preserve"> Falta de exactitud en algún dato contenido en un documento o información aportada por el proponente.</w:t>
      </w:r>
    </w:p>
    <w:p w14:paraId="52B970DF">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Interesado(s):</w:t>
      </w:r>
      <w:r>
        <w:rPr>
          <w:rFonts w:ascii="Arial Narrow" w:hAnsi="Arial Narrow" w:eastAsia="Times New Roman" w:cs="Arial"/>
          <w:lang w:eastAsia="es-ES"/>
        </w:rPr>
        <w:t xml:space="preserve"> Personas naturales o jurídicas nacionales o las extranjeras domiciliadas o con sucursal en Colombia o el grupo de personas jurídicas y/o naturales asociadas entre sí mediante las figuras de Consorcio, Unión Temporal o cualquier otro tipo de asociación que actuaran en el proceso previamente a la presentación de las propuestas.</w:t>
      </w:r>
    </w:p>
    <w:p w14:paraId="432C6E93">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Objeto:</w:t>
      </w:r>
      <w:r>
        <w:rPr>
          <w:rFonts w:ascii="Arial Narrow" w:hAnsi="Arial Narrow" w:eastAsia="Times New Roman" w:cs="Arial"/>
          <w:lang w:eastAsia="es-ES"/>
        </w:rPr>
        <w:t xml:space="preserve"> Actividades a ejecutar como consecuencia de la adjudicación del presente proceso de selección.</w:t>
      </w:r>
    </w:p>
    <w:p w14:paraId="1A9AE5A1">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Pesos Colombianos, Pesos o $:</w:t>
      </w:r>
      <w:r>
        <w:rPr>
          <w:rFonts w:ascii="Arial Narrow" w:hAnsi="Arial Narrow" w:eastAsia="Times New Roman" w:cs="Arial"/>
          <w:lang w:eastAsia="es-ES"/>
        </w:rPr>
        <w:t xml:space="preserve"> Es la moneda de curso legal en la República de Colombia.</w:t>
      </w:r>
    </w:p>
    <w:p w14:paraId="43681E5D">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 xml:space="preserve">Pliego de Condiciones y su complementario: </w:t>
      </w:r>
      <w:r>
        <w:rPr>
          <w:rFonts w:ascii="Arial Narrow" w:hAnsi="Arial Narrow" w:eastAsia="Times New Roman" w:cs="Arial"/>
          <w:lang w:eastAsia="es-ES"/>
        </w:rPr>
        <w:t>Acto Administrativo de carácter general expedido por la Aerocivil en desarrollo del presente proceso de selección; contiene las disposiciones de obligatorio cumplimiento para los proponentes, el contratista y la Aerocivil; vencida la oportunidad para su modificación o aclaración, este será aplicable tal y como fue expedido con sus Adendas.</w:t>
      </w:r>
    </w:p>
    <w:p w14:paraId="0C61BD90">
      <w:pPr>
        <w:widowControl w:val="0"/>
        <w:overflowPunct w:val="0"/>
        <w:autoSpaceDE w:val="0"/>
        <w:autoSpaceDN w:val="0"/>
        <w:adjustRightInd w:val="0"/>
        <w:spacing w:after="0" w:line="240" w:lineRule="auto"/>
        <w:ind w:left="284"/>
        <w:jc w:val="both"/>
        <w:rPr>
          <w:rFonts w:ascii="Arial Narrow" w:hAnsi="Arial Narrow" w:eastAsia="Times New Roman" w:cs="Arial"/>
          <w:lang w:eastAsia="es-ES"/>
        </w:rPr>
      </w:pPr>
      <w:r>
        <w:rPr>
          <w:rFonts w:ascii="Arial Narrow" w:hAnsi="Arial Narrow" w:eastAsia="Times New Roman" w:cs="Arial"/>
          <w:lang w:eastAsia="es-ES"/>
        </w:rPr>
        <w:t>Para el presente proceso se entiende por pliego de condiciones, denominado también Pliego Definitivo, el conjunto de normas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w:t>
      </w:r>
    </w:p>
    <w:p w14:paraId="1CB206BF">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Ponderación:</w:t>
      </w:r>
      <w:r>
        <w:rPr>
          <w:rFonts w:ascii="Arial Narrow" w:hAnsi="Arial Narrow" w:eastAsia="Times New Roman" w:cs="Arial"/>
          <w:lang w:eastAsia="es-ES"/>
        </w:rPr>
        <w:t xml:space="preserve"> Para efectos del presente proceso de selección se realizará la ponderación de los factores de evaluación de las ofertas habilitadas en los aspectos jurídico, financiero y técnico, según sea el caso, de conformidad con lo señalado en los capítulos correspondientes.</w:t>
      </w:r>
    </w:p>
    <w:p w14:paraId="74B98129">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Primer orden de elegibilidad:</w:t>
      </w:r>
      <w:r>
        <w:rPr>
          <w:rFonts w:ascii="Arial Narrow" w:hAnsi="Arial Narrow" w:eastAsia="Times New Roman" w:cs="Arial"/>
          <w:lang w:eastAsia="es-ES"/>
        </w:rPr>
        <w:t xml:space="preserve"> Es la posición que ocupa el proponente que habiendo obtenido calificación definitiva de “HABIL” en todos los criterios obtiene el puntaje más alto luego de efectuarse la calificación de los criterios de ponderación previstos en el </w:t>
      </w:r>
      <w:r>
        <w:rPr>
          <w:rFonts w:ascii="Arial Narrow" w:hAnsi="Arial Narrow" w:cs="Arial"/>
          <w:lang/>
        </w:rPr>
        <w:t>pliego de condiciones y su complementario.</w:t>
      </w:r>
    </w:p>
    <w:p w14:paraId="0B9CEF71">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Proponente Plural:</w:t>
      </w:r>
      <w:r>
        <w:rPr>
          <w:rFonts w:ascii="Arial Narrow" w:hAnsi="Arial Narrow" w:eastAsia="Times New Roman" w:cs="Arial"/>
          <w:lang w:eastAsia="es-ES"/>
        </w:rPr>
        <w:t xml:space="preserve"> Formas de asociación previstas en la Ley y regladas en el </w:t>
      </w:r>
      <w:r>
        <w:rPr>
          <w:rFonts w:ascii="Arial Narrow" w:hAnsi="Arial Narrow" w:cs="Arial"/>
          <w:lang/>
        </w:rPr>
        <w:t>pliego de condiciones y su complementario</w:t>
      </w:r>
      <w:r>
        <w:rPr>
          <w:rFonts w:ascii="Arial Narrow" w:hAnsi="Arial Narrow" w:eastAsia="Times New Roman" w:cs="Arial"/>
          <w:lang w:eastAsia="es-ES"/>
        </w:rPr>
        <w:t xml:space="preserve"> (Consorcio, Unión Temporal o cualquier otra forma de asociación permitida por la ley).</w:t>
      </w:r>
    </w:p>
    <w:p w14:paraId="1E9A8B1C">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Proponente:</w:t>
      </w:r>
      <w:r>
        <w:rPr>
          <w:rFonts w:ascii="Arial Narrow" w:hAnsi="Arial Narrow" w:eastAsia="Times New Roman" w:cs="Arial"/>
          <w:lang w:eastAsia="es-ES"/>
        </w:rPr>
        <w:t xml:space="preserve"> Es la persona jurídica o natural, consorcio o unión temporal, que presenta una Propuesta para participar en el proceso de selección.</w:t>
      </w:r>
    </w:p>
    <w:p w14:paraId="29D76878">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Propuesta</w:t>
      </w:r>
      <w:r>
        <w:rPr>
          <w:rFonts w:ascii="Arial Narrow" w:hAnsi="Arial Narrow" w:eastAsia="Times New Roman" w:cs="Arial"/>
          <w:lang w:eastAsia="es-ES"/>
        </w:rPr>
        <w:t>: Se entiende por tal, aquella oferta con carácter irrevocable presentada conforme a los requisitos establecidos</w:t>
      </w:r>
      <w:r>
        <w:rPr>
          <w:rFonts w:ascii="Arial Narrow" w:hAnsi="Arial Narrow" w:cs="Arial"/>
          <w:lang/>
        </w:rPr>
        <w:t xml:space="preserve"> en el Pliego de Condiciones y su complementario</w:t>
      </w:r>
      <w:r>
        <w:rPr>
          <w:rFonts w:ascii="Arial Narrow" w:hAnsi="Arial Narrow" w:eastAsia="Times New Roman" w:cs="Arial"/>
          <w:lang w:eastAsia="es-ES"/>
        </w:rPr>
        <w:t>; debidamente suscrita por quien goza de la representación del Proponente y acompañada de una Garantía de Seriedad de la oferta.</w:t>
      </w:r>
    </w:p>
    <w:p w14:paraId="47CF9F61">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Propuesta Hábil</w:t>
      </w:r>
      <w:r>
        <w:rPr>
          <w:rFonts w:ascii="Arial Narrow" w:hAnsi="Arial Narrow" w:eastAsia="Times New Roman" w:cs="Arial"/>
          <w:lang w:eastAsia="es-ES"/>
        </w:rPr>
        <w:t xml:space="preserve">: Es aquella propuesta presentada por un proponente que además de cumplir con los requisitos legales, técnicos y financieros señalados en el </w:t>
      </w:r>
      <w:r>
        <w:rPr>
          <w:rFonts w:ascii="Arial Narrow" w:hAnsi="Arial Narrow" w:cs="Arial"/>
          <w:lang/>
        </w:rPr>
        <w:t>pliego de condiciones y su complementario</w:t>
      </w:r>
      <w:r>
        <w:rPr>
          <w:rFonts w:ascii="Arial Narrow" w:hAnsi="Arial Narrow" w:eastAsia="Times New Roman" w:cs="Arial"/>
          <w:lang w:eastAsia="es-ES"/>
        </w:rPr>
        <w:t>, cumple con los criterios de evaluación señalados en los mismos.</w:t>
      </w:r>
    </w:p>
    <w:p w14:paraId="032239A3">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Propuesta rechazada</w:t>
      </w:r>
      <w:r>
        <w:rPr>
          <w:rFonts w:ascii="Arial Narrow" w:hAnsi="Arial Narrow" w:eastAsia="Times New Roman" w:cs="Arial"/>
          <w:lang w:eastAsia="es-ES"/>
        </w:rPr>
        <w:t xml:space="preserve">: Es aquella propuesta presentada por un proponente que incurra en alguna de las causales de rechazo establecidas en el </w:t>
      </w:r>
      <w:r>
        <w:rPr>
          <w:rFonts w:ascii="Arial Narrow" w:hAnsi="Arial Narrow" w:cs="Arial"/>
          <w:lang/>
        </w:rPr>
        <w:t>pliego de condiciones y su complementario.</w:t>
      </w:r>
    </w:p>
    <w:p w14:paraId="5309DD2F">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Proyecto de Pliego de Condiciones y su complementario</w:t>
      </w:r>
      <w:r>
        <w:rPr>
          <w:rFonts w:ascii="Arial Narrow" w:hAnsi="Arial Narrow" w:eastAsia="Times New Roman" w:cs="Arial"/>
          <w:lang w:eastAsia="es-ES"/>
        </w:rPr>
        <w:t>: Para el presente proceso se entiende por proyecto de pliego de condiciones, denominado también Prepliego,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proyecto de pliego de condiciones podría llegar a ser diferente al Pliego Definitivo y su complementario, teniendo en cuenta que durante esta etapa de prepliego, se pueden presentar observaciones por parte de los interesados y/o de las unidades ejecutoras de la entidad, que requieran tramitarse, para modificar, incorporar, incluir, complementar o aclarar el pliego de condiciones definitivo y su complementario.</w:t>
      </w:r>
    </w:p>
    <w:p w14:paraId="3C772C0B">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b/>
          <w:lang w:eastAsia="es-ES"/>
        </w:rPr>
      </w:pPr>
      <w:r>
        <w:rPr>
          <w:rFonts w:ascii="Arial Narrow" w:hAnsi="Arial Narrow" w:eastAsia="Times New Roman" w:cs="Arial"/>
          <w:b/>
          <w:lang w:eastAsia="es-ES"/>
        </w:rPr>
        <w:t xml:space="preserve">Razón de Cobertura de Intereses: </w:t>
      </w:r>
      <w:r>
        <w:rPr>
          <w:rFonts w:ascii="Arial Narrow" w:hAnsi="Arial Narrow" w:eastAsia="Times New Roman" w:cs="Arial"/>
          <w:lang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2E175EA">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Rentabilidad sobre patrimonio</w:t>
      </w:r>
      <w:r>
        <w:rPr>
          <w:rFonts w:ascii="Arial Narrow" w:hAnsi="Arial Narrow" w:eastAsia="Times New Roman" w:cs="Arial"/>
          <w:lang w:eastAsia="es-ES"/>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5E757CA1">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b/>
          <w:lang w:eastAsia="es-ES"/>
        </w:rPr>
      </w:pPr>
      <w:r>
        <w:rPr>
          <w:rFonts w:ascii="Arial Narrow" w:hAnsi="Arial Narrow" w:eastAsia="Times New Roman" w:cs="Arial"/>
          <w:b/>
          <w:lang w:eastAsia="es-ES"/>
        </w:rPr>
        <w:t>Rentabilidad sobre activos:</w:t>
      </w:r>
      <w:r>
        <w:rPr>
          <w:rFonts w:ascii="Arial Narrow" w:hAnsi="Arial Narrow" w:eastAsia="Times New Roman" w:cs="Arial"/>
          <w:lang w:eastAsia="es-ES"/>
        </w:rPr>
        <w:t xml:space="preserve">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5C3B1889">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Requisitos Habilitantes:</w:t>
      </w:r>
      <w:r>
        <w:rPr>
          <w:rFonts w:ascii="Arial Narrow" w:hAnsi="Arial Narrow" w:eastAsia="Times New Roman" w:cs="Arial"/>
          <w:lang w:eastAsia="es-ES"/>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w:t>
      </w:r>
    </w:p>
    <w:p w14:paraId="622916C2">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Riesgo:</w:t>
      </w:r>
      <w:r>
        <w:rPr>
          <w:rFonts w:ascii="Arial Narrow" w:hAnsi="Arial Narrow" w:eastAsia="Times New Roman" w:cs="Arial"/>
          <w:lang w:eastAsia="es-ES"/>
        </w:rPr>
        <w:t xml:space="preserve"> De conformidad con el artículo 2.2.1.1.1.3.1 del Decreto 1082 de 2015, Riesgo es un evento que puede generar efectos adversos y de distinta magnitud en el logro de los objetivos del Proceso de Contratación o en la ejecución de un contrato. La Aerocivil evaluó los eventos que se pueden presentar durante la ejecución del contrato y que puedan afectar el cumplimiento de sus metas y objetivos, de acuerdo con los manuales y guías que para el efecto expidió Colombia Compra Eficiente. El resultado de este ejercicio es la matriz de riesgos que se publicara de manera simultánea con el presente pliego de condiciones y hace parte integral de este.</w:t>
      </w:r>
    </w:p>
    <w:p w14:paraId="5D5B0C42">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RUP:</w:t>
      </w:r>
      <w:r>
        <w:rPr>
          <w:rFonts w:ascii="Arial Narrow" w:hAnsi="Arial Narrow" w:eastAsia="Times New Roman" w:cs="Arial"/>
          <w:lang w:eastAsia="es-ES"/>
        </w:rPr>
        <w:t xml:space="preserve"> Es el registro único de proponentes que llevan las cámaras de comercio y en el cual los interesados en participar en Procesos de Contratación deben estar inscritos.</w:t>
      </w:r>
    </w:p>
    <w:p w14:paraId="08F21C84">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b/>
          <w:lang w:eastAsia="es-ES"/>
        </w:rPr>
      </w:pPr>
      <w:r>
        <w:rPr>
          <w:rFonts w:ascii="Arial Narrow" w:hAnsi="Arial Narrow" w:eastAsia="Times New Roman" w:cs="Arial"/>
          <w:b/>
          <w:lang w:eastAsia="es-ES"/>
        </w:rPr>
        <w:t xml:space="preserve">Razón de Cobertura de Intereses: </w:t>
      </w:r>
      <w:r>
        <w:rPr>
          <w:rFonts w:ascii="Arial Narrow" w:hAnsi="Arial Narrow" w:eastAsia="Times New Roman" w:cs="Arial"/>
          <w:lang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B3CB3F1">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SECOP II</w:t>
      </w:r>
      <w:r>
        <w:rPr>
          <w:rFonts w:ascii="Arial Narrow" w:hAnsi="Arial Narrow" w:eastAsia="Times New Roman" w:cs="Arial"/>
          <w:lang w:eastAsia="es-ES"/>
        </w:rPr>
        <w:t xml:space="preserve">: Sistema Electrónico para la Contratación Pública </w:t>
      </w:r>
      <w:r>
        <w:fldChar w:fldCharType="begin"/>
      </w:r>
      <w:r>
        <w:instrText xml:space="preserve"> HYPERLINK "http://www.colombiacompra.gov.co" </w:instrText>
      </w:r>
      <w:r>
        <w:fldChar w:fldCharType="separate"/>
      </w:r>
      <w:r>
        <w:rPr>
          <w:rStyle w:val="17"/>
          <w:rFonts w:ascii="Arial Narrow" w:hAnsi="Arial Narrow" w:cs="Arial"/>
          <w:lang/>
        </w:rPr>
        <w:t>www.colombiacompra.gov.co</w:t>
      </w:r>
      <w:r>
        <w:rPr>
          <w:rStyle w:val="17"/>
          <w:rFonts w:ascii="Arial Narrow" w:hAnsi="Arial Narrow" w:cs="Arial"/>
          <w:lang/>
        </w:rPr>
        <w:fldChar w:fldCharType="end"/>
      </w:r>
      <w:r>
        <w:rPr>
          <w:rFonts w:ascii="Arial Narrow" w:hAnsi="Arial Narrow" w:eastAsia="Times New Roman" w:cs="Arial"/>
          <w:lang w:eastAsia="es-ES"/>
        </w:rPr>
        <w:t xml:space="preserve"> </w:t>
      </w:r>
    </w:p>
    <w:p w14:paraId="72D00308">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SMMLV</w:t>
      </w:r>
      <w:r>
        <w:rPr>
          <w:rFonts w:ascii="Arial Narrow" w:hAnsi="Arial Narrow" w:eastAsia="Times New Roman" w:cs="Arial"/>
          <w:lang w:eastAsia="es-ES"/>
        </w:rPr>
        <w:t>: Se entenderá como salarios mínimos mensuales legales vigentes.</w:t>
      </w:r>
    </w:p>
    <w:p w14:paraId="31114BFC">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Subcontratante</w:t>
      </w:r>
      <w:r>
        <w:rPr>
          <w:rFonts w:ascii="Arial Narrow" w:hAnsi="Arial Narrow" w:eastAsia="Times New Roman" w:cs="Arial"/>
          <w:lang w:eastAsia="es-ES"/>
        </w:rPr>
        <w:t>: Persona natural o jurídica quien subcontrata una actividad previamente contratada por una entidad estatal u otra persona natural o jurídica, por ser el contratista principal.</w:t>
      </w:r>
    </w:p>
    <w:p w14:paraId="7F9CC29B">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Subcontratista</w:t>
      </w:r>
      <w:r>
        <w:rPr>
          <w:rFonts w:ascii="Arial Narrow" w:hAnsi="Arial Narrow" w:eastAsia="Times New Roman" w:cs="Arial"/>
          <w:lang w:eastAsia="es-ES"/>
        </w:rPr>
        <w:t>: Persona natural o jurídica a quien subcontrata el contratista principal, para ejecutar una actividad previamente contratada por una entidad estatal u otra persona natural o jurídica.</w:t>
      </w:r>
    </w:p>
    <w:p w14:paraId="3BE2C020">
      <w:pPr>
        <w:widowControl w:val="0"/>
        <w:numPr>
          <w:ilvl w:val="0"/>
          <w:numId w:val="7"/>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Unión temporal:</w:t>
      </w:r>
      <w:r>
        <w:rPr>
          <w:rFonts w:ascii="Arial Narrow" w:hAnsi="Arial Narrow" w:eastAsia="Times New Roman" w:cs="Arial"/>
          <w:lang w:eastAsia="es-ES"/>
        </w:rPr>
        <w:t xml:space="preserve"> Modalidad de asociación, que permite que dos o más personas naturales o jurídicas, en forma conjunta, presenten una misma Propuesta para la Adjudicación, celebración y ejecución del Contrato, respondiendo solidariamente por todas y cada una de las obligaciones derivadas del Contrato, pero no por las sanciones por el incumplimiento de las obligaciones derivadas del Contrato, por las cuales responde cada uno de los miembros de la Unión Temporal de acuerdo con su participación en la ejecución.</w:t>
      </w:r>
    </w:p>
    <w:p w14:paraId="04F1635F">
      <w:pPr>
        <w:pStyle w:val="49"/>
        <w:numPr>
          <w:ilvl w:val="0"/>
          <w:numId w:val="7"/>
        </w:numPr>
        <w:ind w:left="284" w:hanging="284"/>
        <w:jc w:val="both"/>
        <w:rPr>
          <w:rFonts w:ascii="Arial Narrow" w:hAnsi="Arial Narrow" w:cs="Arial"/>
          <w:sz w:val="22"/>
          <w:szCs w:val="22"/>
        </w:rPr>
      </w:pPr>
      <w:r>
        <w:rPr>
          <w:rFonts w:ascii="Arial Narrow" w:hAnsi="Arial Narrow" w:cs="Arial"/>
          <w:b/>
          <w:sz w:val="22"/>
          <w:szCs w:val="22"/>
        </w:rPr>
        <w:t>V</w:t>
      </w:r>
      <w:r>
        <w:rPr>
          <w:rFonts w:ascii="Arial Narrow" w:hAnsi="Arial Narrow" w:cs="Arial"/>
          <w:b/>
          <w:bCs/>
          <w:sz w:val="22"/>
          <w:szCs w:val="22"/>
        </w:rPr>
        <w:t xml:space="preserve">alor del Contrato: </w:t>
      </w:r>
      <w:r>
        <w:rPr>
          <w:rFonts w:ascii="Arial Narrow" w:hAnsi="Arial Narrow" w:cs="Arial"/>
          <w:sz w:val="22"/>
          <w:szCs w:val="22"/>
        </w:rPr>
        <w:t xml:space="preserve">Es la sumatoria del valor económico total incluyendo sus adiciones mayores valores e IVA o impuestos que haga sus veces, que se le haya pagado al contratista por la ejecución de un contrato. </w:t>
      </w:r>
      <w:r>
        <w:rPr>
          <w:rFonts w:ascii="Arial Narrow" w:hAnsi="Arial Narrow" w:cs="Arial"/>
          <w:b/>
          <w:sz w:val="22"/>
          <w:szCs w:val="22"/>
        </w:rPr>
        <w:t>Para los obligados a estar inscritos en el RUP es el valor registrado en el mismo</w:t>
      </w:r>
      <w:r>
        <w:rPr>
          <w:rFonts w:ascii="Arial Narrow" w:hAnsi="Arial Narrow" w:cs="Arial"/>
          <w:sz w:val="22"/>
          <w:szCs w:val="22"/>
        </w:rPr>
        <w:t>         </w:t>
      </w:r>
    </w:p>
    <w:p w14:paraId="3B7DDB86">
      <w:pPr>
        <w:spacing w:after="0" w:line="240" w:lineRule="auto"/>
        <w:rPr>
          <w:rFonts w:ascii="Arial Narrow" w:hAnsi="Arial Narrow" w:cs="Arial"/>
          <w:lang/>
        </w:rPr>
      </w:pPr>
    </w:p>
    <w:p w14:paraId="22037785">
      <w:pPr>
        <w:keepNext/>
        <w:spacing w:after="0" w:line="240" w:lineRule="auto"/>
        <w:jc w:val="both"/>
        <w:outlineLvl w:val="1"/>
        <w:rPr>
          <w:rFonts w:ascii="Arial Narrow" w:hAnsi="Arial Narrow" w:cs="Arial"/>
          <w:b/>
          <w:lang w:eastAsia="es-CO"/>
        </w:rPr>
      </w:pPr>
      <w:r>
        <w:rPr>
          <w:rFonts w:ascii="Arial Narrow" w:hAnsi="Arial Narrow" w:cs="Arial"/>
          <w:b/>
          <w:lang w:eastAsia="es-CO"/>
        </w:rPr>
        <w:t>GLOSARIO ESPECÍFICO. (NO APLICA).</w:t>
      </w:r>
    </w:p>
    <w:p w14:paraId="47EBA484">
      <w:pPr>
        <w:keepNext/>
        <w:spacing w:after="0" w:line="240" w:lineRule="auto"/>
        <w:jc w:val="both"/>
        <w:outlineLvl w:val="1"/>
        <w:rPr>
          <w:rFonts w:ascii="Arial Narrow" w:hAnsi="Arial Narrow" w:cs="Arial"/>
          <w:b/>
          <w:lang w:eastAsia="es-CO"/>
        </w:rPr>
      </w:pPr>
    </w:p>
    <w:p w14:paraId="1AE3B455">
      <w:pPr>
        <w:keepNext/>
        <w:spacing w:after="0" w:line="240" w:lineRule="auto"/>
        <w:jc w:val="both"/>
        <w:outlineLvl w:val="1"/>
        <w:rPr>
          <w:rFonts w:ascii="Arial Narrow" w:hAnsi="Arial Narrow" w:cs="Arial"/>
          <w:b/>
          <w:lang w:eastAsia="es-CO"/>
        </w:rPr>
      </w:pPr>
    </w:p>
    <w:p w14:paraId="42255062">
      <w:pPr>
        <w:keepNext/>
        <w:spacing w:after="0" w:line="240" w:lineRule="auto"/>
        <w:jc w:val="both"/>
        <w:outlineLvl w:val="1"/>
        <w:rPr>
          <w:rFonts w:ascii="Arial Narrow" w:hAnsi="Arial Narrow" w:cs="Arial"/>
          <w:b/>
          <w:lang w:eastAsia="es-CO"/>
        </w:rPr>
      </w:pPr>
    </w:p>
    <w:p w14:paraId="32C838A4">
      <w:pPr>
        <w:keepNext/>
        <w:spacing w:after="0" w:line="240" w:lineRule="auto"/>
        <w:jc w:val="both"/>
        <w:outlineLvl w:val="1"/>
        <w:rPr>
          <w:rFonts w:ascii="Arial Narrow" w:hAnsi="Arial Narrow" w:cs="Arial"/>
          <w:b/>
          <w:lang w:eastAsia="es-CO"/>
        </w:rPr>
      </w:pPr>
    </w:p>
    <w:p w14:paraId="7E63EC0F">
      <w:pPr>
        <w:keepNext/>
        <w:spacing w:after="0" w:line="240" w:lineRule="auto"/>
        <w:jc w:val="both"/>
        <w:outlineLvl w:val="1"/>
        <w:rPr>
          <w:rFonts w:ascii="Arial Narrow" w:hAnsi="Arial Narrow" w:cs="Arial"/>
          <w:lang w:eastAsia="es-CO"/>
        </w:rPr>
      </w:pPr>
    </w:p>
    <w:p w14:paraId="7A0CF6CA">
      <w:pPr>
        <w:spacing w:after="0" w:line="240" w:lineRule="auto"/>
        <w:jc w:val="both"/>
        <w:rPr>
          <w:rFonts w:ascii="Arial Narrow" w:hAnsi="Arial Narrow" w:cs="Arial"/>
          <w:lang/>
        </w:rPr>
      </w:pPr>
    </w:p>
    <w:p w14:paraId="5E649C8A">
      <w:pPr>
        <w:spacing w:after="0" w:line="240" w:lineRule="auto"/>
        <w:jc w:val="both"/>
        <w:rPr>
          <w:rFonts w:ascii="Arial Narrow" w:hAnsi="Arial Narrow" w:cs="Arial"/>
          <w:lang/>
        </w:rPr>
      </w:pPr>
    </w:p>
    <w:p w14:paraId="54D64F65">
      <w:pPr>
        <w:spacing w:after="0" w:line="240" w:lineRule="auto"/>
        <w:jc w:val="both"/>
        <w:rPr>
          <w:rFonts w:ascii="Arial Narrow" w:hAnsi="Arial Narrow" w:cs="Arial"/>
          <w:lang/>
        </w:rPr>
      </w:pPr>
    </w:p>
    <w:p w14:paraId="3CB0B9CC">
      <w:pPr>
        <w:spacing w:after="0" w:line="240" w:lineRule="auto"/>
        <w:jc w:val="both"/>
        <w:rPr>
          <w:rFonts w:ascii="Arial Narrow" w:hAnsi="Arial Narrow" w:cs="Arial"/>
          <w:lang/>
        </w:rPr>
      </w:pPr>
    </w:p>
    <w:p w14:paraId="44469648">
      <w:pPr>
        <w:pStyle w:val="3"/>
        <w:spacing w:before="0" w:line="240" w:lineRule="auto"/>
        <w:jc w:val="center"/>
        <w:rPr>
          <w:rFonts w:ascii="Arial Narrow" w:hAnsi="Arial Narrow" w:cs="Arial"/>
          <w:color w:val="auto"/>
          <w:sz w:val="22"/>
          <w:szCs w:val="22"/>
          <w:lang/>
        </w:rPr>
      </w:pPr>
      <w:r>
        <w:rPr>
          <w:rFonts w:ascii="Arial Narrow" w:hAnsi="Arial Narrow" w:cs="Arial"/>
          <w:color w:val="auto"/>
          <w:sz w:val="22"/>
          <w:szCs w:val="22"/>
          <w:lang/>
        </w:rPr>
        <w:t>CAPITULO II</w:t>
      </w:r>
    </w:p>
    <w:p w14:paraId="63002417">
      <w:pPr>
        <w:pStyle w:val="3"/>
        <w:spacing w:before="0" w:line="240" w:lineRule="auto"/>
        <w:jc w:val="center"/>
        <w:rPr>
          <w:rFonts w:ascii="Arial Narrow" w:hAnsi="Arial Narrow" w:cs="Arial"/>
          <w:color w:val="auto"/>
          <w:sz w:val="22"/>
          <w:szCs w:val="22"/>
          <w:lang/>
        </w:rPr>
      </w:pPr>
      <w:r>
        <w:rPr>
          <w:rFonts w:ascii="Arial Narrow" w:hAnsi="Arial Narrow" w:cs="Arial"/>
          <w:color w:val="auto"/>
          <w:sz w:val="22"/>
          <w:szCs w:val="22"/>
          <w:lang/>
        </w:rPr>
        <w:t>CONDICIONES GENERALES</w:t>
      </w:r>
    </w:p>
    <w:p w14:paraId="177581B1">
      <w:pPr>
        <w:spacing w:after="0" w:line="240" w:lineRule="auto"/>
        <w:jc w:val="both"/>
        <w:rPr>
          <w:rFonts w:ascii="Arial Narrow" w:hAnsi="Arial Narrow" w:cs="Arial"/>
          <w:lang/>
        </w:rPr>
      </w:pPr>
    </w:p>
    <w:p w14:paraId="11FD1608">
      <w:pPr>
        <w:pStyle w:val="52"/>
        <w:numPr>
          <w:ilvl w:val="1"/>
          <w:numId w:val="8"/>
        </w:numPr>
        <w:spacing w:after="0" w:line="240" w:lineRule="auto"/>
        <w:jc w:val="both"/>
        <w:rPr>
          <w:rFonts w:ascii="Arial Narrow" w:hAnsi="Arial Narrow" w:cs="Arial"/>
          <w:b/>
          <w:lang/>
        </w:rPr>
      </w:pPr>
      <w:bookmarkStart w:id="3" w:name="_Toc398128657"/>
      <w:r>
        <w:rPr>
          <w:rFonts w:ascii="Arial Narrow" w:hAnsi="Arial Narrow" w:cs="Arial"/>
          <w:b/>
          <w:lang/>
        </w:rPr>
        <w:t>OBJETO</w:t>
      </w:r>
    </w:p>
    <w:p w14:paraId="3542E342">
      <w:pPr>
        <w:pStyle w:val="52"/>
        <w:spacing w:after="0" w:line="240" w:lineRule="auto"/>
        <w:ind w:left="0"/>
        <w:jc w:val="both"/>
        <w:rPr>
          <w:rFonts w:ascii="Arial Narrow" w:hAnsi="Arial Narrow" w:cs="Arial"/>
          <w:b/>
          <w:lang/>
        </w:rPr>
      </w:pPr>
    </w:p>
    <w:p w14:paraId="62F40375">
      <w:pPr>
        <w:spacing w:after="0" w:line="240" w:lineRule="auto"/>
        <w:jc w:val="both"/>
        <w:rPr>
          <w:rFonts w:ascii="Arial Narrow" w:hAnsi="Arial Narrow" w:cs="Arial"/>
          <w:lang/>
        </w:rPr>
      </w:pPr>
      <w:r>
        <w:rPr>
          <w:rFonts w:ascii="Arial Narrow" w:hAnsi="Arial Narrow" w:cs="Arial"/>
          <w:lang/>
        </w:rPr>
        <w:t>REALIZAR LA ADQUISICIÓN  DE LUMINARIA TIPO LED Y REPUESTOS PARA LA PISTA DE LOS AEROPUERTOS CÚCUTA, BUCARAMANGA Y BARRANCABERMEJA.</w:t>
      </w:r>
    </w:p>
    <w:p w14:paraId="48FBD0A7">
      <w:pPr>
        <w:spacing w:after="0" w:line="240" w:lineRule="auto"/>
        <w:jc w:val="both"/>
        <w:rPr>
          <w:rFonts w:ascii="Arial Narrow" w:hAnsi="Arial Narrow" w:cs="Arial"/>
          <w:snapToGrid w:val="0"/>
          <w:lang/>
        </w:rPr>
      </w:pPr>
    </w:p>
    <w:p w14:paraId="46358E79">
      <w:pPr>
        <w:pStyle w:val="52"/>
        <w:numPr>
          <w:ilvl w:val="1"/>
          <w:numId w:val="8"/>
        </w:numPr>
        <w:spacing w:after="0" w:line="240" w:lineRule="auto"/>
        <w:ind w:left="426" w:hanging="426"/>
        <w:jc w:val="both"/>
        <w:rPr>
          <w:rFonts w:ascii="Arial Narrow" w:hAnsi="Arial Narrow" w:cs="Arial"/>
          <w:b/>
          <w:lang/>
        </w:rPr>
      </w:pPr>
      <w:bookmarkStart w:id="4" w:name="_Toc398128666"/>
      <w:r>
        <w:rPr>
          <w:rFonts w:ascii="Arial Narrow" w:hAnsi="Arial Narrow" w:cs="Arial"/>
          <w:b/>
          <w:lang/>
        </w:rPr>
        <w:t>PRESUPUESTO OFICIAL</w:t>
      </w:r>
    </w:p>
    <w:p w14:paraId="0FA7922D">
      <w:pPr>
        <w:spacing w:after="0" w:line="240" w:lineRule="auto"/>
        <w:jc w:val="both"/>
        <w:rPr>
          <w:rFonts w:ascii="Arial Narrow" w:hAnsi="Arial Narrow" w:cs="Arial"/>
          <w:snapToGrid w:val="0"/>
          <w:lang/>
        </w:rPr>
      </w:pPr>
    </w:p>
    <w:p w14:paraId="2A9F7023">
      <w:pPr>
        <w:pStyle w:val="49"/>
        <w:jc w:val="both"/>
        <w:rPr>
          <w:rFonts w:ascii="Arial Narrow" w:hAnsi="Arial Narrow" w:cs="Arial"/>
          <w:sz w:val="22"/>
          <w:szCs w:val="22"/>
        </w:rPr>
      </w:pPr>
      <w:r>
        <w:rPr>
          <w:rFonts w:ascii="Arial Narrow" w:hAnsi="Arial Narrow" w:cs="Arial"/>
          <w:sz w:val="22"/>
          <w:szCs w:val="22"/>
        </w:rPr>
        <w:t xml:space="preserve">Que el presupuesto oficial estimado para el presente proceso de selección es por la suma de QUINIENTOS DIEZ MILLONES DE PESOS M/CTE $ 510.000.000,00 Incluido IVA. </w:t>
      </w:r>
    </w:p>
    <w:p w14:paraId="419DB380">
      <w:pPr>
        <w:pStyle w:val="49"/>
        <w:jc w:val="both"/>
        <w:rPr>
          <w:rFonts w:ascii="Arial Narrow" w:hAnsi="Arial Narrow" w:cs="Arial"/>
          <w:b/>
          <w:sz w:val="22"/>
          <w:szCs w:val="22"/>
        </w:rPr>
      </w:pPr>
    </w:p>
    <w:p w14:paraId="59FC0599">
      <w:pPr>
        <w:pStyle w:val="49"/>
        <w:jc w:val="both"/>
        <w:rPr>
          <w:rFonts w:ascii="Arial Narrow" w:hAnsi="Arial Narrow" w:cs="Arial"/>
          <w:b/>
          <w:sz w:val="22"/>
          <w:szCs w:val="22"/>
        </w:rPr>
      </w:pPr>
      <w:r>
        <w:rPr>
          <w:rFonts w:ascii="Arial Narrow" w:hAnsi="Arial Narrow" w:cs="Arial"/>
          <w:bCs/>
          <w:sz w:val="22"/>
          <w:szCs w:val="22"/>
        </w:rPr>
        <w:t>Que l</w:t>
      </w:r>
      <w:r>
        <w:rPr>
          <w:rFonts w:ascii="Arial Narrow" w:hAnsi="Arial Narrow" w:cs="Arial"/>
          <w:bCs/>
          <w:color w:val="000000"/>
          <w:sz w:val="22"/>
          <w:szCs w:val="22"/>
        </w:rPr>
        <w:t>os recursos para atender el objeto de la presente contratación provienen del presupuesto de la Aeronáutica Civil, correspondiente a la presente vigencia fiscal de 2026, de conformidad con el certificado de disponibilidad presupuestal SIIF Nación 17026 del 1 de Junio de 2026.</w:t>
      </w:r>
    </w:p>
    <w:p w14:paraId="346F9F17">
      <w:pPr>
        <w:pStyle w:val="49"/>
        <w:rPr>
          <w:rFonts w:ascii="Arial Narrow" w:hAnsi="Arial Narrow" w:eastAsia="Arial Unicode MS"/>
          <w:sz w:val="22"/>
          <w:szCs w:val="22"/>
        </w:rPr>
      </w:pPr>
    </w:p>
    <w:p w14:paraId="39370D66">
      <w:pPr>
        <w:spacing w:after="0" w:line="240" w:lineRule="auto"/>
        <w:rPr>
          <w:rFonts w:ascii="Arial Narrow" w:hAnsi="Arial Narrow" w:eastAsia="Arial Unicode MS" w:cs="Arial"/>
          <w:lang/>
        </w:rPr>
      </w:pPr>
      <w:r>
        <w:rPr>
          <w:rFonts w:ascii="Arial Narrow" w:hAnsi="Arial Narrow" w:eastAsia="Arial Unicode MS" w:cs="Arial"/>
          <w:b/>
          <w:bCs/>
          <w:lang/>
        </w:rPr>
        <w:t>Notas:</w:t>
      </w:r>
    </w:p>
    <w:p w14:paraId="1009C5F1">
      <w:pPr>
        <w:pStyle w:val="49"/>
        <w:jc w:val="both"/>
        <w:rPr>
          <w:rFonts w:ascii="Arial Narrow" w:hAnsi="Arial Narrow" w:cs="Arial"/>
          <w:sz w:val="22"/>
          <w:szCs w:val="22"/>
        </w:rPr>
      </w:pPr>
    </w:p>
    <w:p w14:paraId="61FB77C1">
      <w:pPr>
        <w:pStyle w:val="49"/>
        <w:numPr>
          <w:ilvl w:val="0"/>
          <w:numId w:val="9"/>
        </w:numPr>
        <w:ind w:left="426" w:hanging="284"/>
        <w:jc w:val="both"/>
        <w:rPr>
          <w:rFonts w:ascii="Arial Narrow" w:hAnsi="Arial Narrow" w:cs="Arial"/>
          <w:sz w:val="22"/>
          <w:szCs w:val="22"/>
        </w:rPr>
      </w:pPr>
      <w:r>
        <w:rPr>
          <w:rFonts w:ascii="Arial Narrow" w:hAnsi="Arial Narrow" w:cs="Arial"/>
          <w:sz w:val="22"/>
          <w:szCs w:val="22"/>
        </w:rPr>
        <w:t>Se considerará como causal de rechazo las propuestas que superen el valor estimado del proyecto, al igual que el valor estimado por Aeropuerto o lote (CUANDO APLIQUE), descrito en el presupuesto oficial.</w:t>
      </w:r>
    </w:p>
    <w:p w14:paraId="0D90A3AA">
      <w:pPr>
        <w:pStyle w:val="49"/>
        <w:numPr>
          <w:ilvl w:val="0"/>
          <w:numId w:val="9"/>
        </w:numPr>
        <w:ind w:left="426" w:hanging="284"/>
        <w:jc w:val="both"/>
        <w:rPr>
          <w:rFonts w:ascii="Arial Narrow" w:hAnsi="Arial Narrow" w:cs="Arial"/>
          <w:sz w:val="22"/>
          <w:szCs w:val="22"/>
        </w:rPr>
      </w:pPr>
      <w:r>
        <w:rPr>
          <w:rFonts w:ascii="Arial Narrow" w:hAnsi="Arial Narrow" w:cs="Arial"/>
          <w:sz w:val="22"/>
          <w:szCs w:val="22"/>
        </w:rPr>
        <w:t>Es importante tener en cuenta si los bienes o servicios están exentos o excluidos del IVA, de conformidad con el Régimen Tributario. Ejemplo: Islas de San Andrés, Providencia y Santa Catalina y los contratos de transporte.</w:t>
      </w:r>
    </w:p>
    <w:p w14:paraId="3194206C">
      <w:pPr>
        <w:pStyle w:val="49"/>
        <w:numPr>
          <w:ilvl w:val="0"/>
          <w:numId w:val="9"/>
        </w:numPr>
        <w:ind w:left="426" w:hanging="284"/>
        <w:jc w:val="both"/>
        <w:rPr>
          <w:rFonts w:ascii="Arial Narrow" w:hAnsi="Arial Narrow" w:cs="Arial"/>
          <w:sz w:val="22"/>
          <w:szCs w:val="22"/>
        </w:rPr>
      </w:pPr>
      <w:r>
        <w:rPr>
          <w:rFonts w:ascii="Arial Narrow" w:hAnsi="Arial Narrow" w:cs="Arial"/>
          <w:sz w:val="22"/>
          <w:szCs w:val="22"/>
        </w:rPr>
        <w:t>En los proyectos de obra pública y demás contratos que incluyan obras civiles, aplica la contribución o Impuesto de Guerra.</w:t>
      </w:r>
    </w:p>
    <w:p w14:paraId="2C51802B">
      <w:pPr>
        <w:pStyle w:val="49"/>
        <w:numPr>
          <w:ilvl w:val="0"/>
          <w:numId w:val="9"/>
        </w:numPr>
        <w:ind w:left="357" w:right="142" w:hanging="357"/>
        <w:jc w:val="both"/>
        <w:rPr>
          <w:rFonts w:ascii="Arial Narrow" w:hAnsi="Arial Narrow" w:cs="Arial"/>
          <w:sz w:val="22"/>
          <w:szCs w:val="22"/>
        </w:rPr>
      </w:pPr>
      <w:r>
        <w:rPr>
          <w:rFonts w:ascii="Arial Narrow" w:hAnsi="Arial Narrow" w:cs="Arial"/>
          <w:sz w:val="22"/>
          <w:szCs w:val="22"/>
        </w:rPr>
        <w:t>El contratista debe tener en cuenta que, la Entidad descontará directamente el 2% del valor de cada cuenta que se cancele por concepto de la Estampilla Prodesarrollo Académico de la Universidad Pública de Norte de Santander, según lo establecido en la Ordenanza No. 26 del 10 de diciembre del 2007 de la Gorbernación de Norte de Santander y demas gravamenes aplicables por ley.</w:t>
      </w:r>
    </w:p>
    <w:p w14:paraId="6E0E6498">
      <w:pPr>
        <w:pStyle w:val="49"/>
        <w:numPr>
          <w:ilvl w:val="0"/>
          <w:numId w:val="9"/>
        </w:numPr>
        <w:ind w:left="426" w:right="142" w:hanging="284"/>
        <w:jc w:val="both"/>
        <w:rPr>
          <w:rFonts w:ascii="Arial Narrow" w:hAnsi="Arial Narrow" w:cs="Arial"/>
          <w:sz w:val="22"/>
          <w:szCs w:val="22"/>
          <w:u w:val="single"/>
        </w:rPr>
      </w:pPr>
      <w:r>
        <w:rPr>
          <w:rFonts w:ascii="Arial Narrow" w:hAnsi="Arial Narrow" w:cs="Arial"/>
          <w:sz w:val="22"/>
          <w:szCs w:val="22"/>
        </w:rPr>
        <w:t>El valor del contrato será por el total del presupuesto oficial.</w:t>
      </w:r>
    </w:p>
    <w:p w14:paraId="43E25D70">
      <w:pPr>
        <w:pStyle w:val="49"/>
        <w:ind w:left="426" w:right="142"/>
        <w:jc w:val="both"/>
        <w:rPr>
          <w:rFonts w:ascii="Arial Narrow" w:hAnsi="Arial Narrow" w:cs="Arial"/>
          <w:sz w:val="22"/>
          <w:szCs w:val="22"/>
          <w:u w:val="single"/>
        </w:rPr>
      </w:pPr>
    </w:p>
    <w:p w14:paraId="6563C64B">
      <w:pPr>
        <w:rPr>
          <w:rFonts w:ascii="Arial Narrow" w:hAnsi="Arial Narrow" w:cs="Arial"/>
          <w:snapToGrid w:val="0"/>
        </w:rPr>
      </w:pPr>
      <w:r>
        <w:rPr>
          <w:rFonts w:ascii="Arial Narrow" w:hAnsi="Arial Narrow" w:cs="Arial"/>
          <w:snapToGrid w:val="0"/>
        </w:rPr>
        <w:t>NOTA: La entidad se reserva el derecho de adquirir mas elementos relacionados en el formato 7 hasta agotar el presupuesto oficial.</w:t>
      </w:r>
    </w:p>
    <w:p w14:paraId="078E6ED8">
      <w:pPr>
        <w:pStyle w:val="49"/>
        <w:jc w:val="both"/>
        <w:rPr>
          <w:rFonts w:ascii="Arial Narrow" w:hAnsi="Arial Narrow" w:cs="Arial"/>
          <w:sz w:val="22"/>
          <w:szCs w:val="22"/>
        </w:rPr>
      </w:pPr>
    </w:p>
    <w:p w14:paraId="4DBD2273">
      <w:pPr>
        <w:pStyle w:val="52"/>
        <w:numPr>
          <w:ilvl w:val="1"/>
          <w:numId w:val="8"/>
        </w:numPr>
        <w:spacing w:after="0" w:line="240" w:lineRule="auto"/>
        <w:ind w:left="426" w:hanging="426"/>
        <w:jc w:val="both"/>
        <w:rPr>
          <w:rFonts w:ascii="Arial Narrow" w:hAnsi="Arial Narrow" w:cs="Arial"/>
          <w:b/>
          <w:lang/>
        </w:rPr>
      </w:pPr>
      <w:r>
        <w:rPr>
          <w:rFonts w:ascii="Arial Narrow" w:hAnsi="Arial Narrow" w:cs="Arial"/>
          <w:b/>
          <w:lang/>
        </w:rPr>
        <w:t xml:space="preserve">LUGAR DE EJECUCIÓN DEL CONTRATO </w:t>
      </w:r>
    </w:p>
    <w:p w14:paraId="6BDF8305">
      <w:pPr>
        <w:pStyle w:val="54"/>
        <w:jc w:val="both"/>
        <w:rPr>
          <w:rFonts w:ascii="Arial Narrow" w:hAnsi="Arial Narrow"/>
          <w:b/>
          <w:bCs/>
          <w:color w:val="auto"/>
          <w:sz w:val="22"/>
          <w:szCs w:val="22"/>
          <w:lang/>
        </w:rPr>
      </w:pPr>
    </w:p>
    <w:bookmarkEnd w:id="4"/>
    <w:p w14:paraId="78B25092">
      <w:pPr>
        <w:pStyle w:val="49"/>
        <w:jc w:val="both"/>
        <w:rPr>
          <w:rFonts w:ascii="Arial Narrow" w:hAnsi="Arial Narrow" w:cs="Arial"/>
          <w:b/>
          <w:bCs/>
          <w:sz w:val="22"/>
          <w:szCs w:val="22"/>
        </w:rPr>
      </w:pPr>
      <w:r>
        <w:rPr>
          <w:rFonts w:ascii="Arial Narrow" w:hAnsi="Arial Narrow" w:cs="Arial"/>
          <w:sz w:val="22"/>
          <w:szCs w:val="22"/>
        </w:rPr>
        <w:t>El lugar de ejecución del contrato es en el almacen Regional del aeropuerto Camilo Daza de Cúcuta.</w:t>
      </w:r>
    </w:p>
    <w:p w14:paraId="6BC9F7AF">
      <w:pPr>
        <w:overflowPunct w:val="0"/>
        <w:autoSpaceDE w:val="0"/>
        <w:autoSpaceDN w:val="0"/>
        <w:spacing w:after="0" w:line="240" w:lineRule="auto"/>
        <w:jc w:val="both"/>
        <w:rPr>
          <w:rFonts w:ascii="Arial Narrow" w:hAnsi="Arial Narrow" w:cs="Arial"/>
          <w:lang/>
        </w:rPr>
      </w:pPr>
    </w:p>
    <w:p w14:paraId="3E2FDE26">
      <w:pPr>
        <w:pStyle w:val="52"/>
        <w:numPr>
          <w:ilvl w:val="1"/>
          <w:numId w:val="8"/>
        </w:numPr>
        <w:spacing w:after="0" w:line="240" w:lineRule="auto"/>
        <w:ind w:left="426" w:hanging="426"/>
        <w:jc w:val="both"/>
        <w:rPr>
          <w:rFonts w:ascii="Arial Narrow" w:hAnsi="Arial Narrow" w:cs="Arial"/>
          <w:b/>
          <w:bCs/>
          <w:lang/>
        </w:rPr>
      </w:pPr>
      <w:r>
        <w:rPr>
          <w:rFonts w:ascii="Arial Narrow" w:hAnsi="Arial Narrow" w:cs="Arial"/>
          <w:b/>
          <w:lang/>
        </w:rPr>
        <w:t>PLAZO</w:t>
      </w:r>
      <w:r>
        <w:rPr>
          <w:rFonts w:ascii="Arial Narrow" w:hAnsi="Arial Narrow" w:cs="Arial"/>
          <w:b/>
          <w:bCs/>
          <w:lang/>
        </w:rPr>
        <w:t xml:space="preserve"> DE EJECUCIÓN</w:t>
      </w:r>
    </w:p>
    <w:p w14:paraId="4D6A2F18">
      <w:pPr>
        <w:overflowPunct w:val="0"/>
        <w:autoSpaceDE w:val="0"/>
        <w:autoSpaceDN w:val="0"/>
        <w:spacing w:after="0" w:line="240" w:lineRule="auto"/>
        <w:jc w:val="both"/>
        <w:rPr>
          <w:rFonts w:ascii="Arial Narrow" w:hAnsi="Arial Narrow" w:cs="Arial"/>
          <w:lang/>
        </w:rPr>
      </w:pPr>
    </w:p>
    <w:p w14:paraId="2D7578F5">
      <w:pPr>
        <w:overflowPunct w:val="0"/>
        <w:autoSpaceDE w:val="0"/>
        <w:autoSpaceDN w:val="0"/>
        <w:spacing w:after="0" w:line="240" w:lineRule="auto"/>
        <w:ind w:right="142"/>
        <w:jc w:val="both"/>
        <w:rPr>
          <w:rFonts w:ascii="Arial Narrow" w:hAnsi="Arial Narrow" w:cs="Arial"/>
        </w:rPr>
      </w:pPr>
      <w:r>
        <w:rPr>
          <w:rFonts w:ascii="Arial Narrow" w:hAnsi="Arial Narrow" w:cs="Arial"/>
        </w:rPr>
        <w:t>El plazo de ejecución del contrato será de sesenta (60) días, contado a partir de la suscripción del acta de inicio.</w:t>
      </w:r>
    </w:p>
    <w:p w14:paraId="477659C4">
      <w:pPr>
        <w:overflowPunct w:val="0"/>
        <w:autoSpaceDE w:val="0"/>
        <w:autoSpaceDN w:val="0"/>
        <w:spacing w:after="0" w:line="240" w:lineRule="auto"/>
        <w:ind w:right="142"/>
        <w:jc w:val="both"/>
        <w:rPr>
          <w:rFonts w:ascii="Arial Narrow" w:hAnsi="Arial Narrow" w:cs="Arial"/>
        </w:rPr>
      </w:pPr>
    </w:p>
    <w:p w14:paraId="24562AB4">
      <w:pPr>
        <w:overflowPunct w:val="0"/>
        <w:autoSpaceDE w:val="0"/>
        <w:autoSpaceDN w:val="0"/>
        <w:spacing w:after="0" w:line="240" w:lineRule="auto"/>
        <w:ind w:right="142"/>
        <w:jc w:val="both"/>
        <w:rPr>
          <w:rFonts w:ascii="Arial Narrow" w:hAnsi="Arial Narrow" w:cs="Arial"/>
        </w:rPr>
      </w:pPr>
      <w:r>
        <w:rPr>
          <w:rFonts w:ascii="Arial Narrow" w:hAnsi="Arial Narrow" w:cs="Arial"/>
        </w:rPr>
        <w:t xml:space="preserve"> </w:t>
      </w:r>
    </w:p>
    <w:p w14:paraId="2BC67EBB">
      <w:pPr>
        <w:overflowPunct w:val="0"/>
        <w:autoSpaceDE w:val="0"/>
        <w:autoSpaceDN w:val="0"/>
        <w:spacing w:after="0" w:line="240" w:lineRule="auto"/>
        <w:jc w:val="both"/>
        <w:rPr>
          <w:rFonts w:ascii="Arial Narrow" w:hAnsi="Arial Narrow" w:cs="Arial"/>
          <w:lang/>
        </w:rPr>
      </w:pPr>
    </w:p>
    <w:p w14:paraId="78F89DD4">
      <w:pPr>
        <w:pStyle w:val="52"/>
        <w:numPr>
          <w:ilvl w:val="1"/>
          <w:numId w:val="8"/>
        </w:numPr>
        <w:spacing w:after="0" w:line="240" w:lineRule="auto"/>
        <w:ind w:left="426" w:hanging="426"/>
        <w:jc w:val="both"/>
        <w:rPr>
          <w:rFonts w:ascii="Arial Narrow" w:hAnsi="Arial Narrow" w:cs="Arial"/>
          <w:b/>
          <w:bCs/>
          <w:lang/>
        </w:rPr>
      </w:pPr>
      <w:r>
        <w:rPr>
          <w:rFonts w:ascii="Arial Narrow" w:hAnsi="Arial Narrow" w:cs="Arial"/>
          <w:b/>
          <w:lang/>
        </w:rPr>
        <w:t>FORMA</w:t>
      </w:r>
      <w:r>
        <w:rPr>
          <w:rFonts w:ascii="Arial Narrow" w:hAnsi="Arial Narrow" w:cs="Arial"/>
          <w:b/>
          <w:bCs/>
          <w:lang/>
        </w:rPr>
        <w:t xml:space="preserve"> DE PAGO</w:t>
      </w:r>
    </w:p>
    <w:p w14:paraId="74CBBC4F">
      <w:pPr>
        <w:spacing w:after="0" w:line="240" w:lineRule="auto"/>
        <w:jc w:val="both"/>
        <w:rPr>
          <w:rFonts w:ascii="Arial Narrow" w:hAnsi="Arial Narrow" w:cs="Arial"/>
          <w:lang/>
        </w:rPr>
      </w:pPr>
    </w:p>
    <w:p w14:paraId="47040AED">
      <w:pPr>
        <w:tabs>
          <w:tab w:val="left" w:pos="-720"/>
        </w:tabs>
        <w:suppressAutoHyphens/>
        <w:spacing w:after="0" w:line="240" w:lineRule="auto"/>
        <w:jc w:val="both"/>
        <w:rPr>
          <w:rFonts w:ascii="Arial Narrow" w:hAnsi="Arial Narrow" w:eastAsia="Arial Unicode MS" w:cs="Arial"/>
          <w:spacing w:val="-3"/>
          <w:lang/>
        </w:rPr>
      </w:pPr>
      <w:r>
        <w:rPr>
          <w:rFonts w:ascii="Arial Narrow" w:hAnsi="Arial Narrow" w:eastAsia="Arial Unicode MS" w:cs="Arial"/>
          <w:spacing w:val="-3"/>
          <w:lang/>
        </w:rPr>
        <w:t xml:space="preserve">La Unidad pagará al contratista el cien por cierto (100%) del valor del contrato de la siguiente manera: </w:t>
      </w:r>
    </w:p>
    <w:p w14:paraId="747C311E">
      <w:pPr>
        <w:tabs>
          <w:tab w:val="left" w:pos="-720"/>
        </w:tabs>
        <w:suppressAutoHyphens/>
        <w:spacing w:after="0" w:line="240" w:lineRule="auto"/>
        <w:jc w:val="both"/>
        <w:rPr>
          <w:rFonts w:ascii="Arial Narrow" w:hAnsi="Arial Narrow" w:eastAsia="Arial Unicode MS" w:cs="Arial"/>
          <w:spacing w:val="-3"/>
          <w:lang/>
        </w:rPr>
      </w:pPr>
    </w:p>
    <w:tbl>
      <w:tblPr>
        <w:tblStyle w:val="137"/>
        <w:tblW w:w="4388" w:type="dxa"/>
        <w:tblInd w:w="3089" w:type="dxa"/>
        <w:tblLayout w:type="autofit"/>
        <w:tblCellMar>
          <w:top w:w="47" w:type="dxa"/>
          <w:left w:w="4" w:type="dxa"/>
          <w:bottom w:w="0" w:type="dxa"/>
          <w:right w:w="0" w:type="dxa"/>
        </w:tblCellMar>
      </w:tblPr>
      <w:tblGrid>
        <w:gridCol w:w="2788"/>
        <w:gridCol w:w="1600"/>
      </w:tblGrid>
      <w:tr w14:paraId="5014FEAB">
        <w:tblPrEx>
          <w:tblCellMar>
            <w:top w:w="47" w:type="dxa"/>
            <w:left w:w="4" w:type="dxa"/>
            <w:bottom w:w="0" w:type="dxa"/>
            <w:right w:w="0" w:type="dxa"/>
          </w:tblCellMar>
        </w:tblPrEx>
        <w:trPr>
          <w:trHeight w:val="259" w:hRule="atLeast"/>
        </w:trPr>
        <w:tc>
          <w:tcPr>
            <w:tcW w:w="2788" w:type="dxa"/>
            <w:tcBorders>
              <w:top w:val="single" w:color="000000" w:sz="4" w:space="0"/>
              <w:left w:val="single" w:color="000000" w:sz="4" w:space="0"/>
              <w:bottom w:val="single" w:color="000000" w:sz="4" w:space="0"/>
              <w:right w:val="single" w:color="000000" w:sz="4" w:space="0"/>
            </w:tcBorders>
            <w:shd w:val="clear" w:color="auto" w:fill="D9D9D9"/>
          </w:tcPr>
          <w:p w14:paraId="4C32F70A">
            <w:pPr>
              <w:spacing w:after="0" w:line="259" w:lineRule="auto"/>
              <w:ind w:right="7"/>
              <w:jc w:val="center"/>
              <w:rPr>
                <w:rFonts w:ascii="Calibri" w:hAnsi="Calibri" w:cs="Calibri" w:eastAsiaTheme="minorEastAsia"/>
                <w:kern w:val="2"/>
                <w:sz w:val="22"/>
                <w:szCs w:val="22"/>
                <w:lang w:eastAsia="es-CO"/>
                <w14:ligatures w14:val="standardContextual"/>
              </w:rPr>
            </w:pPr>
            <w:r>
              <w:rPr>
                <w:rFonts w:ascii="Calibri" w:hAnsi="Calibri" w:cs="Calibri" w:eastAsiaTheme="minorEastAsia"/>
                <w:b/>
                <w:kern w:val="2"/>
                <w:sz w:val="22"/>
                <w:szCs w:val="22"/>
                <w:lang w:eastAsia="es-CO"/>
                <w14:ligatures w14:val="standardContextual"/>
              </w:rPr>
              <w:t xml:space="preserve">Tipo </w:t>
            </w:r>
          </w:p>
        </w:tc>
        <w:tc>
          <w:tcPr>
            <w:tcW w:w="1600" w:type="dxa"/>
            <w:tcBorders>
              <w:top w:val="single" w:color="000000" w:sz="4" w:space="0"/>
              <w:left w:val="single" w:color="000000" w:sz="4" w:space="0"/>
              <w:bottom w:val="single" w:color="000000" w:sz="4" w:space="0"/>
              <w:right w:val="single" w:color="000000" w:sz="4" w:space="0"/>
            </w:tcBorders>
            <w:shd w:val="clear" w:color="auto" w:fill="D9D9D9"/>
          </w:tcPr>
          <w:p w14:paraId="5A3C22EF">
            <w:pPr>
              <w:spacing w:after="0" w:line="259" w:lineRule="auto"/>
              <w:ind w:left="44"/>
              <w:rPr>
                <w:rFonts w:ascii="Calibri" w:hAnsi="Calibri" w:cs="Calibri" w:eastAsiaTheme="minorEastAsia"/>
                <w:kern w:val="2"/>
                <w:sz w:val="22"/>
                <w:szCs w:val="22"/>
                <w:lang w:eastAsia="es-CO"/>
                <w14:ligatures w14:val="standardContextual"/>
              </w:rPr>
            </w:pPr>
            <w:r>
              <w:rPr>
                <w:rFonts w:ascii="Calibri" w:hAnsi="Calibri" w:cs="Calibri" w:eastAsiaTheme="minorEastAsia"/>
                <w:b/>
                <w:kern w:val="2"/>
                <w:sz w:val="22"/>
                <w:szCs w:val="22"/>
                <w:lang w:eastAsia="es-CO"/>
                <w14:ligatures w14:val="standardContextual"/>
              </w:rPr>
              <w:t xml:space="preserve">Marcar con una X </w:t>
            </w:r>
          </w:p>
        </w:tc>
      </w:tr>
      <w:tr w14:paraId="1A8012B4">
        <w:tblPrEx>
          <w:tblCellMar>
            <w:top w:w="47" w:type="dxa"/>
            <w:left w:w="4" w:type="dxa"/>
            <w:bottom w:w="0" w:type="dxa"/>
            <w:right w:w="0" w:type="dxa"/>
          </w:tblCellMar>
        </w:tblPrEx>
        <w:trPr>
          <w:trHeight w:val="263" w:hRule="atLeast"/>
        </w:trPr>
        <w:tc>
          <w:tcPr>
            <w:tcW w:w="2788" w:type="dxa"/>
            <w:tcBorders>
              <w:top w:val="single" w:color="000000" w:sz="4" w:space="0"/>
              <w:left w:val="single" w:color="000000" w:sz="4" w:space="0"/>
              <w:bottom w:val="single" w:color="000000" w:sz="4" w:space="0"/>
              <w:right w:val="single" w:color="000000" w:sz="4" w:space="0"/>
            </w:tcBorders>
          </w:tcPr>
          <w:p w14:paraId="507AC9C6">
            <w:pPr>
              <w:spacing w:after="0" w:line="259" w:lineRule="auto"/>
              <w:rPr>
                <w:rFonts w:ascii="Calibri" w:hAnsi="Calibri" w:cs="Calibri" w:eastAsiaTheme="minorEastAsia"/>
                <w:kern w:val="2"/>
                <w:sz w:val="22"/>
                <w:szCs w:val="22"/>
                <w:lang w:eastAsia="es-CO"/>
                <w14:ligatures w14:val="standardContextual"/>
              </w:rPr>
            </w:pPr>
            <w:r>
              <w:rPr>
                <w:rFonts w:ascii="Calibri" w:hAnsi="Calibri" w:cs="Calibri" w:eastAsiaTheme="minorEastAsia"/>
                <w:kern w:val="2"/>
                <w:sz w:val="22"/>
                <w:szCs w:val="22"/>
                <w:lang w:eastAsia="es-CO"/>
                <w14:ligatures w14:val="standardContextual"/>
              </w:rPr>
              <w:t xml:space="preserve">Contra entrega </w:t>
            </w:r>
          </w:p>
        </w:tc>
        <w:tc>
          <w:tcPr>
            <w:tcW w:w="1600" w:type="dxa"/>
            <w:tcBorders>
              <w:top w:val="single" w:color="000000" w:sz="4" w:space="0"/>
              <w:left w:val="single" w:color="000000" w:sz="4" w:space="0"/>
              <w:bottom w:val="single" w:color="000000" w:sz="4" w:space="0"/>
              <w:right w:val="single" w:color="000000" w:sz="4" w:space="0"/>
            </w:tcBorders>
          </w:tcPr>
          <w:p w14:paraId="119BA11A">
            <w:pPr>
              <w:spacing w:after="0" w:line="259" w:lineRule="auto"/>
              <w:ind w:left="1"/>
              <w:rPr>
                <w:rFonts w:ascii="Calibri" w:hAnsi="Calibri" w:cs="Calibri" w:eastAsiaTheme="minorEastAsia"/>
                <w:kern w:val="2"/>
                <w:sz w:val="22"/>
                <w:szCs w:val="22"/>
                <w:lang w:eastAsia="es-CO"/>
                <w14:ligatures w14:val="standardContextual"/>
              </w:rPr>
            </w:pPr>
            <w:r>
              <w:rPr>
                <w:rFonts w:ascii="Calibri" w:hAnsi="Calibri" w:cs="Calibri" w:eastAsiaTheme="minorEastAsia"/>
                <w:kern w:val="2"/>
                <w:sz w:val="22"/>
                <w:szCs w:val="22"/>
                <w:lang w:eastAsia="es-CO"/>
                <w14:ligatures w14:val="standardContextual"/>
              </w:rPr>
              <w:t xml:space="preserve">           X     </w:t>
            </w:r>
          </w:p>
        </w:tc>
      </w:tr>
      <w:tr w14:paraId="7F80907D">
        <w:tblPrEx>
          <w:tblCellMar>
            <w:top w:w="47" w:type="dxa"/>
            <w:left w:w="4" w:type="dxa"/>
            <w:bottom w:w="0" w:type="dxa"/>
            <w:right w:w="0" w:type="dxa"/>
          </w:tblCellMar>
        </w:tblPrEx>
        <w:trPr>
          <w:trHeight w:val="264" w:hRule="atLeast"/>
        </w:trPr>
        <w:tc>
          <w:tcPr>
            <w:tcW w:w="2788" w:type="dxa"/>
            <w:tcBorders>
              <w:top w:val="single" w:color="000000" w:sz="4" w:space="0"/>
              <w:left w:val="single" w:color="000000" w:sz="4" w:space="0"/>
              <w:bottom w:val="single" w:color="000000" w:sz="4" w:space="0"/>
              <w:right w:val="single" w:color="000000" w:sz="4" w:space="0"/>
            </w:tcBorders>
          </w:tcPr>
          <w:p w14:paraId="3E5A35F8">
            <w:pPr>
              <w:spacing w:after="0" w:line="259" w:lineRule="auto"/>
              <w:rPr>
                <w:rFonts w:ascii="Calibri" w:hAnsi="Calibri" w:cs="Calibri" w:eastAsiaTheme="minorEastAsia"/>
                <w:kern w:val="2"/>
                <w:sz w:val="22"/>
                <w:szCs w:val="22"/>
                <w:lang w:eastAsia="es-CO"/>
                <w14:ligatures w14:val="standardContextual"/>
              </w:rPr>
            </w:pPr>
            <w:r>
              <w:rPr>
                <w:rFonts w:ascii="Calibri" w:hAnsi="Calibri" w:cs="Calibri" w:eastAsiaTheme="minorEastAsia"/>
                <w:kern w:val="2"/>
                <w:sz w:val="22"/>
                <w:szCs w:val="22"/>
                <w:lang w:eastAsia="es-CO"/>
                <w14:ligatures w14:val="standardContextual"/>
              </w:rPr>
              <w:t xml:space="preserve">Mensualidades Vencidas </w:t>
            </w:r>
          </w:p>
        </w:tc>
        <w:tc>
          <w:tcPr>
            <w:tcW w:w="1600" w:type="dxa"/>
            <w:tcBorders>
              <w:top w:val="single" w:color="000000" w:sz="4" w:space="0"/>
              <w:left w:val="single" w:color="000000" w:sz="4" w:space="0"/>
              <w:bottom w:val="single" w:color="000000" w:sz="4" w:space="0"/>
              <w:right w:val="single" w:color="000000" w:sz="4" w:space="0"/>
            </w:tcBorders>
          </w:tcPr>
          <w:p w14:paraId="25D535E0">
            <w:pPr>
              <w:spacing w:after="0" w:line="259" w:lineRule="auto"/>
              <w:ind w:left="1"/>
              <w:rPr>
                <w:rFonts w:ascii="Calibri" w:hAnsi="Calibri" w:cs="Calibri" w:eastAsiaTheme="minorEastAsia"/>
                <w:kern w:val="2"/>
                <w:sz w:val="22"/>
                <w:szCs w:val="22"/>
                <w:lang w:eastAsia="es-CO"/>
                <w14:ligatures w14:val="standardContextual"/>
              </w:rPr>
            </w:pPr>
            <w:r>
              <w:rPr>
                <w:rFonts w:ascii="Calibri" w:hAnsi="Calibri" w:cs="Calibri" w:eastAsiaTheme="minorEastAsia"/>
                <w:kern w:val="2"/>
                <w:sz w:val="22"/>
                <w:szCs w:val="22"/>
                <w:lang w:eastAsia="es-CO"/>
                <w14:ligatures w14:val="standardContextual"/>
              </w:rPr>
              <w:t xml:space="preserve"> </w:t>
            </w:r>
          </w:p>
        </w:tc>
      </w:tr>
      <w:tr w14:paraId="1B44A5A8">
        <w:tblPrEx>
          <w:tblCellMar>
            <w:top w:w="47" w:type="dxa"/>
            <w:left w:w="4" w:type="dxa"/>
            <w:bottom w:w="0" w:type="dxa"/>
            <w:right w:w="0" w:type="dxa"/>
          </w:tblCellMar>
        </w:tblPrEx>
        <w:trPr>
          <w:trHeight w:val="264" w:hRule="atLeast"/>
        </w:trPr>
        <w:tc>
          <w:tcPr>
            <w:tcW w:w="2788" w:type="dxa"/>
            <w:tcBorders>
              <w:top w:val="single" w:color="000000" w:sz="4" w:space="0"/>
              <w:left w:val="single" w:color="000000" w:sz="4" w:space="0"/>
              <w:bottom w:val="single" w:color="000000" w:sz="4" w:space="0"/>
              <w:right w:val="single" w:color="000000" w:sz="4" w:space="0"/>
            </w:tcBorders>
          </w:tcPr>
          <w:p w14:paraId="0233FB82">
            <w:pPr>
              <w:spacing w:after="0" w:line="259" w:lineRule="auto"/>
              <w:rPr>
                <w:rFonts w:ascii="Calibri" w:hAnsi="Calibri" w:cs="Calibri" w:eastAsiaTheme="minorEastAsia"/>
                <w:kern w:val="2"/>
                <w:sz w:val="22"/>
                <w:szCs w:val="22"/>
                <w:lang w:eastAsia="es-CO"/>
                <w14:ligatures w14:val="standardContextual"/>
              </w:rPr>
            </w:pPr>
            <w:r>
              <w:rPr>
                <w:rFonts w:ascii="Calibri" w:hAnsi="Calibri" w:cs="Calibri" w:eastAsiaTheme="minorEastAsia"/>
                <w:kern w:val="2"/>
                <w:sz w:val="22"/>
                <w:szCs w:val="22"/>
                <w:lang w:eastAsia="es-CO"/>
                <w14:ligatures w14:val="standardContextual"/>
              </w:rPr>
              <w:t xml:space="preserve">Actas Parciales </w:t>
            </w:r>
          </w:p>
        </w:tc>
        <w:tc>
          <w:tcPr>
            <w:tcW w:w="1600" w:type="dxa"/>
            <w:tcBorders>
              <w:top w:val="single" w:color="000000" w:sz="4" w:space="0"/>
              <w:left w:val="single" w:color="000000" w:sz="4" w:space="0"/>
              <w:bottom w:val="single" w:color="000000" w:sz="4" w:space="0"/>
              <w:right w:val="single" w:color="000000" w:sz="4" w:space="0"/>
            </w:tcBorders>
          </w:tcPr>
          <w:p w14:paraId="1F445384">
            <w:pPr>
              <w:spacing w:after="0" w:line="259" w:lineRule="auto"/>
              <w:ind w:right="4"/>
              <w:jc w:val="center"/>
              <w:rPr>
                <w:rFonts w:ascii="Calibri" w:hAnsi="Calibri" w:cs="Calibri" w:eastAsiaTheme="minorEastAsia"/>
                <w:kern w:val="2"/>
                <w:sz w:val="22"/>
                <w:szCs w:val="22"/>
                <w:lang w:eastAsia="es-CO"/>
                <w14:ligatures w14:val="standardContextual"/>
              </w:rPr>
            </w:pPr>
          </w:p>
        </w:tc>
      </w:tr>
      <w:tr w14:paraId="5256CCE6">
        <w:tblPrEx>
          <w:tblCellMar>
            <w:top w:w="47" w:type="dxa"/>
            <w:left w:w="4" w:type="dxa"/>
            <w:bottom w:w="0" w:type="dxa"/>
            <w:right w:w="0" w:type="dxa"/>
          </w:tblCellMar>
        </w:tblPrEx>
        <w:trPr>
          <w:trHeight w:val="262" w:hRule="atLeast"/>
        </w:trPr>
        <w:tc>
          <w:tcPr>
            <w:tcW w:w="2788" w:type="dxa"/>
            <w:tcBorders>
              <w:top w:val="single" w:color="000000" w:sz="4" w:space="0"/>
              <w:left w:val="single" w:color="000000" w:sz="4" w:space="0"/>
              <w:bottom w:val="single" w:color="000000" w:sz="4" w:space="0"/>
              <w:right w:val="single" w:color="000000" w:sz="4" w:space="0"/>
            </w:tcBorders>
          </w:tcPr>
          <w:p w14:paraId="3393D913">
            <w:pPr>
              <w:spacing w:after="0" w:line="259" w:lineRule="auto"/>
              <w:rPr>
                <w:rFonts w:ascii="Calibri" w:hAnsi="Calibri" w:cs="Calibri" w:eastAsiaTheme="minorEastAsia"/>
                <w:kern w:val="2"/>
                <w:sz w:val="22"/>
                <w:szCs w:val="22"/>
                <w:lang w:eastAsia="es-CO"/>
                <w14:ligatures w14:val="standardContextual"/>
              </w:rPr>
            </w:pPr>
            <w:r>
              <w:rPr>
                <w:rFonts w:ascii="Calibri" w:hAnsi="Calibri" w:cs="Calibri" w:eastAsiaTheme="minorEastAsia"/>
                <w:kern w:val="2"/>
                <w:sz w:val="22"/>
                <w:szCs w:val="22"/>
                <w:lang w:eastAsia="es-CO"/>
                <w14:ligatures w14:val="standardContextual"/>
              </w:rPr>
              <w:t xml:space="preserve">La establecida en el A.M.P </w:t>
            </w:r>
          </w:p>
        </w:tc>
        <w:tc>
          <w:tcPr>
            <w:tcW w:w="1600" w:type="dxa"/>
            <w:tcBorders>
              <w:top w:val="single" w:color="000000" w:sz="4" w:space="0"/>
              <w:left w:val="single" w:color="000000" w:sz="4" w:space="0"/>
              <w:bottom w:val="single" w:color="000000" w:sz="4" w:space="0"/>
              <w:right w:val="single" w:color="000000" w:sz="4" w:space="0"/>
            </w:tcBorders>
          </w:tcPr>
          <w:p w14:paraId="49FB8CD6">
            <w:pPr>
              <w:spacing w:after="0" w:line="259" w:lineRule="auto"/>
              <w:ind w:left="1"/>
              <w:rPr>
                <w:rFonts w:ascii="Calibri" w:hAnsi="Calibri" w:cs="Calibri" w:eastAsiaTheme="minorEastAsia"/>
                <w:kern w:val="2"/>
                <w:sz w:val="22"/>
                <w:szCs w:val="22"/>
                <w:lang w:eastAsia="es-CO"/>
                <w14:ligatures w14:val="standardContextual"/>
              </w:rPr>
            </w:pPr>
            <w:r>
              <w:rPr>
                <w:rFonts w:ascii="Calibri" w:hAnsi="Calibri" w:cs="Calibri" w:eastAsiaTheme="minorEastAsia"/>
                <w:kern w:val="2"/>
                <w:sz w:val="22"/>
                <w:szCs w:val="22"/>
                <w:lang w:eastAsia="es-CO"/>
                <w14:ligatures w14:val="standardContextual"/>
              </w:rPr>
              <w:t xml:space="preserve"> </w:t>
            </w:r>
          </w:p>
        </w:tc>
      </w:tr>
      <w:tr w14:paraId="23C4C7E9">
        <w:tblPrEx>
          <w:tblCellMar>
            <w:top w:w="47" w:type="dxa"/>
            <w:left w:w="4" w:type="dxa"/>
            <w:bottom w:w="0" w:type="dxa"/>
            <w:right w:w="0" w:type="dxa"/>
          </w:tblCellMar>
        </w:tblPrEx>
        <w:trPr>
          <w:trHeight w:val="264" w:hRule="atLeast"/>
        </w:trPr>
        <w:tc>
          <w:tcPr>
            <w:tcW w:w="2788" w:type="dxa"/>
            <w:tcBorders>
              <w:top w:val="single" w:color="000000" w:sz="4" w:space="0"/>
              <w:left w:val="single" w:color="000000" w:sz="4" w:space="0"/>
              <w:bottom w:val="single" w:color="000000" w:sz="4" w:space="0"/>
              <w:right w:val="single" w:color="000000" w:sz="4" w:space="0"/>
            </w:tcBorders>
          </w:tcPr>
          <w:p w14:paraId="66FF879E">
            <w:pPr>
              <w:spacing w:after="0" w:line="259" w:lineRule="auto"/>
              <w:rPr>
                <w:rFonts w:ascii="Calibri" w:hAnsi="Calibri" w:cs="Calibri" w:eastAsiaTheme="minorEastAsia"/>
                <w:kern w:val="2"/>
                <w:sz w:val="22"/>
                <w:szCs w:val="22"/>
                <w:lang w:eastAsia="es-CO"/>
                <w14:ligatures w14:val="standardContextual"/>
              </w:rPr>
            </w:pPr>
            <w:r>
              <w:rPr>
                <w:rFonts w:ascii="Calibri" w:hAnsi="Calibri" w:cs="Calibri" w:eastAsiaTheme="minorEastAsia"/>
                <w:kern w:val="2"/>
                <w:sz w:val="22"/>
                <w:szCs w:val="22"/>
                <w:lang w:eastAsia="es-CO"/>
                <w14:ligatures w14:val="standardContextual"/>
              </w:rPr>
              <w:t xml:space="preserve">Otra (Indicar) </w:t>
            </w:r>
          </w:p>
        </w:tc>
        <w:tc>
          <w:tcPr>
            <w:tcW w:w="1600" w:type="dxa"/>
            <w:tcBorders>
              <w:top w:val="single" w:color="000000" w:sz="4" w:space="0"/>
              <w:left w:val="single" w:color="000000" w:sz="4" w:space="0"/>
              <w:bottom w:val="single" w:color="000000" w:sz="4" w:space="0"/>
              <w:right w:val="single" w:color="000000" w:sz="4" w:space="0"/>
            </w:tcBorders>
          </w:tcPr>
          <w:p w14:paraId="7402A019">
            <w:pPr>
              <w:spacing w:after="0" w:line="259" w:lineRule="auto"/>
              <w:ind w:left="1"/>
              <w:rPr>
                <w:rFonts w:ascii="Calibri" w:hAnsi="Calibri" w:cs="Calibri" w:eastAsiaTheme="minorEastAsia"/>
                <w:kern w:val="2"/>
                <w:sz w:val="22"/>
                <w:szCs w:val="22"/>
                <w:lang w:eastAsia="es-CO"/>
                <w14:ligatures w14:val="standardContextual"/>
              </w:rPr>
            </w:pPr>
            <w:r>
              <w:rPr>
                <w:rFonts w:ascii="Calibri" w:hAnsi="Calibri" w:cs="Calibri" w:eastAsiaTheme="minorEastAsia"/>
                <w:kern w:val="2"/>
                <w:sz w:val="22"/>
                <w:szCs w:val="22"/>
                <w:lang w:eastAsia="es-CO"/>
                <w14:ligatures w14:val="standardContextual"/>
              </w:rPr>
              <w:t xml:space="preserve"> </w:t>
            </w:r>
          </w:p>
        </w:tc>
      </w:tr>
    </w:tbl>
    <w:p w14:paraId="3D76D8E2">
      <w:pPr>
        <w:tabs>
          <w:tab w:val="left" w:pos="-720"/>
        </w:tabs>
        <w:suppressAutoHyphens/>
        <w:spacing w:after="0" w:line="240" w:lineRule="auto"/>
        <w:jc w:val="both"/>
        <w:rPr>
          <w:rFonts w:ascii="Arial Narrow" w:hAnsi="Arial Narrow" w:eastAsia="Arial Unicode MS" w:cs="Arial"/>
          <w:spacing w:val="-3"/>
          <w:lang/>
        </w:rPr>
      </w:pPr>
    </w:p>
    <w:p w14:paraId="539EE1AA">
      <w:pPr>
        <w:spacing w:after="2" w:line="259" w:lineRule="auto"/>
        <w:ind w:left="10" w:hanging="10"/>
        <w:rPr>
          <w:rFonts w:ascii="Calibri" w:hAnsi="Calibri" w:eastAsia="Arial" w:cs="Calibri"/>
          <w:b/>
          <w:color w:val="000000"/>
          <w:kern w:val="2"/>
          <w:lang w:eastAsia="es-CO"/>
          <w14:ligatures w14:val="standardContextual"/>
        </w:rPr>
      </w:pPr>
      <w:r>
        <w:rPr>
          <w:rFonts w:ascii="Calibri" w:hAnsi="Calibri" w:eastAsia="Arial" w:cs="Calibri"/>
          <w:b/>
          <w:color w:val="000000"/>
          <w:kern w:val="2"/>
          <w:lang w:eastAsia="es-CO"/>
          <w14:ligatures w14:val="standardContextual"/>
        </w:rPr>
        <w:t xml:space="preserve">EXPLIQUE: </w:t>
      </w:r>
    </w:p>
    <w:p w14:paraId="5E5B61DB">
      <w:pPr>
        <w:spacing w:after="2" w:line="259" w:lineRule="auto"/>
        <w:ind w:left="10" w:hanging="10"/>
        <w:rPr>
          <w:rFonts w:ascii="Calibri" w:hAnsi="Calibri" w:eastAsia="Arial" w:cs="Calibri"/>
          <w:color w:val="000000"/>
          <w:kern w:val="2"/>
          <w:lang w:eastAsia="es-CO"/>
          <w14:ligatures w14:val="standardContextual"/>
        </w:rPr>
      </w:pPr>
    </w:p>
    <w:p w14:paraId="114426D1">
      <w:pPr>
        <w:spacing w:after="0" w:line="259" w:lineRule="auto"/>
        <w:rPr>
          <w:rFonts w:ascii="Calibri" w:hAnsi="Calibri" w:eastAsia="Arial" w:cs="Calibri"/>
          <w:color w:val="000000"/>
          <w:kern w:val="2"/>
          <w:lang w:eastAsia="es-CO"/>
          <w14:ligatures w14:val="standardContextual"/>
        </w:rPr>
      </w:pPr>
      <w:r>
        <w:rPr>
          <w:rFonts w:ascii="Calibri" w:hAnsi="Calibri" w:eastAsia="Arial" w:cs="Calibri"/>
          <w:b/>
          <w:color w:val="000000"/>
          <w:kern w:val="2"/>
          <w:lang w:eastAsia="es-CO"/>
          <w14:ligatures w14:val="standardContextual"/>
        </w:rPr>
        <w:t xml:space="preserve"> </w:t>
      </w:r>
      <w:r>
        <w:rPr>
          <w:rFonts w:ascii="Calibri" w:hAnsi="Calibri" w:eastAsia="Arial" w:cs="Calibri"/>
          <w:color w:val="000000"/>
          <w:kern w:val="2"/>
          <w:lang w:eastAsia="es-CO"/>
          <w14:ligatures w14:val="standardContextual"/>
        </w:rPr>
        <w:t xml:space="preserve">La Unidad pagará al contratista el cien por cierto (100%) del valor del contrato de la siguiente manera: </w:t>
      </w:r>
    </w:p>
    <w:p w14:paraId="7E91D8DE">
      <w:pPr>
        <w:spacing w:after="0" w:line="259" w:lineRule="auto"/>
        <w:ind w:left="142"/>
        <w:rPr>
          <w:rFonts w:ascii="Calibri" w:hAnsi="Calibri" w:eastAsia="Arial" w:cs="Calibri"/>
          <w:color w:val="000000"/>
          <w:kern w:val="2"/>
          <w:lang w:eastAsia="es-CO"/>
          <w14:ligatures w14:val="standardContextual"/>
        </w:rPr>
      </w:pPr>
      <w:r>
        <w:rPr>
          <w:rFonts w:ascii="Calibri" w:hAnsi="Calibri" w:eastAsia="Arial" w:cs="Calibri"/>
          <w:color w:val="000000"/>
          <w:kern w:val="2"/>
          <w:lang w:eastAsia="es-CO"/>
          <w14:ligatures w14:val="standardContextual"/>
        </w:rPr>
        <w:t xml:space="preserve"> </w:t>
      </w:r>
    </w:p>
    <w:p w14:paraId="3C39BEA6">
      <w:pPr>
        <w:spacing w:after="4" w:line="249" w:lineRule="auto"/>
        <w:ind w:left="137" w:right="184" w:hanging="10"/>
        <w:jc w:val="both"/>
        <w:rPr>
          <w:rFonts w:ascii="Calibri" w:hAnsi="Calibri" w:eastAsia="Arial" w:cs="Calibri"/>
          <w:color w:val="000000"/>
          <w:kern w:val="2"/>
          <w:lang w:eastAsia="es-CO"/>
          <w14:ligatures w14:val="standardContextual"/>
        </w:rPr>
      </w:pPr>
      <w:r>
        <w:rPr>
          <w:rFonts w:ascii="Calibri" w:hAnsi="Calibri" w:eastAsia="Arial" w:cs="Calibri"/>
          <w:color w:val="000000"/>
          <w:kern w:val="2"/>
          <w:lang w:eastAsia="es-CO"/>
          <w14:ligatures w14:val="standardContextual"/>
        </w:rPr>
        <w:t xml:space="preserve">La Unidad pagara el valor adjudicado mediante actas de recibo final, de acuerdo a las actividades realizadas durante la ejecución del contrato, previa presentación de la factura comercial, acompañada del informe con el cumplimiento de las obligaciones derivadas del mismo, suscrita por el supervisor del contrato. Acompañada de la copia de ingreso al almacén de la entidad, copia de la respectiva declaración de Importación con la autorización de levante (si aplica), a fin de verificar el cumplimiento de las obligaciones fiscales y aduaneras del proceso de importación de los bienes. </w:t>
      </w:r>
    </w:p>
    <w:p w14:paraId="0E53C5D7">
      <w:pPr>
        <w:spacing w:after="0" w:line="259" w:lineRule="auto"/>
        <w:rPr>
          <w:rFonts w:ascii="Calibri" w:hAnsi="Calibri" w:eastAsia="Arial" w:cs="Calibri"/>
          <w:color w:val="000000"/>
          <w:kern w:val="2"/>
          <w:lang w:eastAsia="es-CO"/>
          <w14:ligatures w14:val="standardContextual"/>
        </w:rPr>
      </w:pPr>
      <w:r>
        <w:rPr>
          <w:rFonts w:ascii="Calibri" w:hAnsi="Calibri" w:eastAsia="Arial" w:cs="Calibri"/>
          <w:color w:val="000000"/>
          <w:kern w:val="2"/>
          <w:lang w:eastAsia="es-CO"/>
          <w14:ligatures w14:val="standardContextual"/>
        </w:rPr>
        <w:t xml:space="preserve"> </w:t>
      </w:r>
    </w:p>
    <w:p w14:paraId="3ED99349">
      <w:pPr>
        <w:spacing w:after="4" w:line="249" w:lineRule="auto"/>
        <w:ind w:left="137" w:right="3" w:hanging="10"/>
        <w:jc w:val="both"/>
        <w:rPr>
          <w:rFonts w:ascii="Calibri" w:hAnsi="Calibri" w:eastAsia="Arial" w:cs="Calibri"/>
          <w:color w:val="000000"/>
          <w:kern w:val="2"/>
          <w:lang w:eastAsia="es-CO"/>
          <w14:ligatures w14:val="standardContextual"/>
        </w:rPr>
      </w:pPr>
      <w:r>
        <w:rPr>
          <w:rFonts w:ascii="Calibri" w:hAnsi="Calibri" w:eastAsia="Arial" w:cs="Calibri"/>
          <w:color w:val="000000"/>
          <w:kern w:val="2"/>
          <w:lang w:eastAsia="es-CO"/>
          <w14:ligatures w14:val="standardContextual"/>
        </w:rPr>
        <w:t xml:space="preserve">Para el pago se deben cumplir las condiciones anteriormente señaladas y presentar el acta de recibo final, acompañada de la prórroga de la garantía única debidamente aprobada por la Entidad (si aplica). </w:t>
      </w:r>
    </w:p>
    <w:p w14:paraId="3BF42A9E">
      <w:pPr>
        <w:spacing w:after="0" w:line="259" w:lineRule="auto"/>
        <w:ind w:left="142"/>
        <w:rPr>
          <w:rFonts w:ascii="Calibri" w:hAnsi="Calibri" w:eastAsia="Arial" w:cs="Calibri"/>
          <w:color w:val="000000"/>
          <w:kern w:val="2"/>
          <w:lang w:eastAsia="es-CO"/>
          <w14:ligatures w14:val="standardContextual"/>
        </w:rPr>
      </w:pPr>
      <w:r>
        <w:rPr>
          <w:rFonts w:ascii="Calibri" w:hAnsi="Calibri" w:eastAsia="Arial" w:cs="Calibri"/>
          <w:color w:val="000000"/>
          <w:kern w:val="2"/>
          <w:lang w:eastAsia="es-CO"/>
          <w14:ligatures w14:val="standardContextual"/>
        </w:rPr>
        <w:t xml:space="preserve"> </w:t>
      </w:r>
    </w:p>
    <w:p w14:paraId="2113B3BC">
      <w:pPr>
        <w:spacing w:after="4" w:line="249" w:lineRule="auto"/>
        <w:ind w:left="137" w:right="184" w:hanging="10"/>
        <w:jc w:val="both"/>
        <w:rPr>
          <w:rFonts w:ascii="Calibri" w:hAnsi="Calibri" w:eastAsia="Arial" w:cs="Calibri"/>
          <w:color w:val="000000"/>
          <w:kern w:val="2"/>
          <w:lang w:eastAsia="es-CO"/>
          <w14:ligatures w14:val="standardContextual"/>
        </w:rPr>
      </w:pPr>
      <w:r>
        <w:rPr>
          <w:rFonts w:ascii="Calibri" w:hAnsi="Calibri" w:eastAsia="Arial" w:cs="Calibri"/>
          <w:color w:val="000000"/>
          <w:kern w:val="2"/>
          <w:lang w:eastAsia="es-CO"/>
          <w14:ligatures w14:val="standardContextual"/>
        </w:rPr>
        <w:t xml:space="preserve">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 </w:t>
      </w:r>
    </w:p>
    <w:p w14:paraId="0BE2FFF4">
      <w:pPr>
        <w:spacing w:after="0" w:line="259" w:lineRule="auto"/>
        <w:ind w:left="142"/>
        <w:rPr>
          <w:rFonts w:ascii="Calibri" w:hAnsi="Calibri" w:eastAsia="Arial" w:cs="Calibri"/>
          <w:color w:val="000000"/>
          <w:kern w:val="2"/>
          <w:lang w:eastAsia="es-CO"/>
          <w14:ligatures w14:val="standardContextual"/>
        </w:rPr>
      </w:pPr>
      <w:r>
        <w:rPr>
          <w:rFonts w:ascii="Calibri" w:hAnsi="Calibri" w:eastAsia="Arial" w:cs="Calibri"/>
          <w:color w:val="000000"/>
          <w:kern w:val="2"/>
          <w:lang w:eastAsia="es-CO"/>
          <w14:ligatures w14:val="standardContextual"/>
        </w:rPr>
        <w:t xml:space="preserve"> </w:t>
      </w:r>
    </w:p>
    <w:p w14:paraId="0C499573">
      <w:pPr>
        <w:tabs>
          <w:tab w:val="left" w:pos="-720"/>
        </w:tabs>
        <w:suppressAutoHyphens/>
        <w:spacing w:after="0" w:line="240" w:lineRule="auto"/>
        <w:jc w:val="both"/>
        <w:rPr>
          <w:rFonts w:ascii="Arial Narrow" w:hAnsi="Arial Narrow" w:eastAsia="Arial Unicode MS" w:cs="Arial"/>
          <w:spacing w:val="-3"/>
          <w:lang/>
        </w:rPr>
      </w:pPr>
      <w:r>
        <w:rPr>
          <w:rFonts w:ascii="Calibri" w:hAnsi="Calibri" w:eastAsia="Arial" w:cs="Calibri"/>
          <w:color w:val="000000"/>
          <w:kern w:val="2"/>
          <w:lang w:eastAsia="es-CO"/>
          <w14:ligatures w14:val="standardContextual"/>
        </w:rPr>
        <w:t>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w:t>
      </w:r>
    </w:p>
    <w:p w14:paraId="0123F30E">
      <w:pPr>
        <w:tabs>
          <w:tab w:val="left" w:pos="-720"/>
        </w:tabs>
        <w:suppressAutoHyphens/>
        <w:spacing w:after="0" w:line="240" w:lineRule="auto"/>
        <w:jc w:val="both"/>
        <w:rPr>
          <w:rFonts w:ascii="Arial Narrow" w:hAnsi="Arial Narrow" w:eastAsia="Arial Unicode MS" w:cs="Arial"/>
          <w:spacing w:val="-3"/>
          <w:lang/>
        </w:rPr>
      </w:pPr>
    </w:p>
    <w:p w14:paraId="775EE3DF">
      <w:pPr>
        <w:pStyle w:val="52"/>
        <w:numPr>
          <w:ilvl w:val="2"/>
          <w:numId w:val="8"/>
        </w:numPr>
        <w:spacing w:after="0" w:line="240" w:lineRule="auto"/>
        <w:jc w:val="both"/>
        <w:rPr>
          <w:rFonts w:ascii="Arial Narrow" w:hAnsi="Arial Narrow" w:cs="Arial"/>
          <w:b/>
          <w:bCs/>
          <w:lang/>
        </w:rPr>
      </w:pPr>
      <w:r>
        <w:rPr>
          <w:rFonts w:ascii="Arial Narrow" w:hAnsi="Arial Narrow" w:cs="Arial"/>
          <w:b/>
          <w:lang/>
        </w:rPr>
        <w:t>ANTICIPO</w:t>
      </w:r>
      <w:r>
        <w:rPr>
          <w:rFonts w:ascii="Arial Narrow" w:hAnsi="Arial Narrow" w:cs="Arial"/>
          <w:b/>
          <w:bCs/>
          <w:lang/>
        </w:rPr>
        <w:t xml:space="preserve">  (NO APLICA)</w:t>
      </w:r>
    </w:p>
    <w:p w14:paraId="0E58EA62">
      <w:pPr>
        <w:tabs>
          <w:tab w:val="left" w:pos="-720"/>
        </w:tabs>
        <w:suppressAutoHyphens/>
        <w:spacing w:after="0" w:line="240" w:lineRule="auto"/>
        <w:jc w:val="both"/>
        <w:rPr>
          <w:rFonts w:ascii="Arial Narrow" w:hAnsi="Arial Narrow" w:cs="Arial"/>
          <w:lang/>
        </w:rPr>
      </w:pPr>
    </w:p>
    <w:p w14:paraId="22AF85E4">
      <w:pPr>
        <w:pStyle w:val="49"/>
        <w:jc w:val="both"/>
        <w:rPr>
          <w:rFonts w:ascii="Arial Narrow" w:hAnsi="Arial Narrow" w:cs="Arial"/>
          <w:sz w:val="22"/>
          <w:szCs w:val="22"/>
        </w:rPr>
      </w:pPr>
    </w:p>
    <w:p w14:paraId="42B0366C">
      <w:pPr>
        <w:pStyle w:val="52"/>
        <w:numPr>
          <w:ilvl w:val="1"/>
          <w:numId w:val="8"/>
        </w:numPr>
        <w:spacing w:after="0" w:line="240" w:lineRule="auto"/>
        <w:ind w:left="426" w:hanging="426"/>
        <w:jc w:val="both"/>
        <w:rPr>
          <w:rFonts w:ascii="Arial Narrow" w:hAnsi="Arial Narrow" w:cs="Arial"/>
          <w:b/>
          <w:lang/>
        </w:rPr>
      </w:pPr>
      <w:r>
        <w:rPr>
          <w:rFonts w:ascii="Arial Narrow" w:hAnsi="Arial Narrow" w:cs="Arial"/>
          <w:b/>
          <w:lang/>
        </w:rPr>
        <w:t xml:space="preserve">QUIENES PUEDEN PARTICIPAR </w:t>
      </w:r>
    </w:p>
    <w:p w14:paraId="7D24A8B8">
      <w:pPr>
        <w:spacing w:after="0" w:line="240" w:lineRule="auto"/>
        <w:jc w:val="both"/>
        <w:rPr>
          <w:rFonts w:ascii="Arial Narrow" w:hAnsi="Arial Narrow" w:cs="Arial"/>
          <w:lang/>
        </w:rPr>
      </w:pPr>
    </w:p>
    <w:p w14:paraId="026992BC">
      <w:pPr>
        <w:pStyle w:val="49"/>
        <w:numPr>
          <w:ilvl w:val="0"/>
          <w:numId w:val="10"/>
        </w:numPr>
        <w:ind w:left="426" w:hanging="284"/>
        <w:jc w:val="both"/>
        <w:rPr>
          <w:rFonts w:ascii="Arial Narrow" w:hAnsi="Arial Narrow" w:cs="Arial"/>
          <w:sz w:val="22"/>
          <w:szCs w:val="22"/>
        </w:rPr>
      </w:pPr>
      <w:r>
        <w:rPr>
          <w:rFonts w:ascii="Arial Narrow" w:hAnsi="Arial Narrow" w:cs="Arial"/>
          <w:sz w:val="22"/>
          <w:szCs w:val="22"/>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14:paraId="4BA33B6F">
      <w:pPr>
        <w:pStyle w:val="49"/>
        <w:numPr>
          <w:ilvl w:val="0"/>
          <w:numId w:val="10"/>
        </w:numPr>
        <w:ind w:left="426" w:hanging="284"/>
        <w:jc w:val="both"/>
        <w:rPr>
          <w:rFonts w:ascii="Arial Narrow" w:hAnsi="Arial Narrow" w:cs="Arial"/>
          <w:sz w:val="22"/>
          <w:szCs w:val="22"/>
        </w:rPr>
      </w:pPr>
      <w:r>
        <w:rPr>
          <w:rFonts w:ascii="Arial Narrow" w:hAnsi="Arial Narrow" w:cs="Arial"/>
          <w:sz w:val="22"/>
          <w:szCs w:val="22"/>
        </w:rPr>
        <w:t>Los interesados en participar en el presente proceso deberán estar inscritos en el RUP al momento de la presentación de su oferta. Para las empresas extranjeras sin sucursal en Colombia, deberán presentar los documentos en la forma que se indica en cada uno de los apartes de este pliego de condiciones.</w:t>
      </w:r>
    </w:p>
    <w:p w14:paraId="502BF354">
      <w:pPr>
        <w:pStyle w:val="49"/>
        <w:ind w:left="426" w:hanging="284"/>
        <w:jc w:val="both"/>
        <w:rPr>
          <w:rFonts w:ascii="Arial Narrow" w:hAnsi="Arial Narrow" w:cs="Arial"/>
          <w:sz w:val="22"/>
          <w:szCs w:val="22"/>
        </w:rPr>
      </w:pPr>
    </w:p>
    <w:p w14:paraId="4122CDD5">
      <w:pPr>
        <w:pStyle w:val="49"/>
        <w:numPr>
          <w:ilvl w:val="0"/>
          <w:numId w:val="10"/>
        </w:numPr>
        <w:ind w:left="426" w:hanging="284"/>
        <w:jc w:val="both"/>
        <w:rPr>
          <w:rFonts w:ascii="Arial Narrow" w:hAnsi="Arial Narrow" w:cs="Arial"/>
          <w:snapToGrid w:val="0"/>
          <w:sz w:val="22"/>
          <w:szCs w:val="22"/>
        </w:rPr>
      </w:pPr>
      <w:r>
        <w:rPr>
          <w:rFonts w:ascii="Arial Narrow" w:hAnsi="Arial Narrow" w:cs="Arial"/>
          <w:sz w:val="22"/>
          <w:szCs w:val="22"/>
        </w:rPr>
        <w:t>No pueden participar</w:t>
      </w:r>
      <w:r>
        <w:rPr>
          <w:rFonts w:ascii="Arial Narrow" w:hAnsi="Arial Narrow" w:cs="Arial"/>
          <w:snapToGrid w:val="0"/>
          <w:sz w:val="22"/>
          <w:szCs w:val="22"/>
        </w:rPr>
        <w:t xml:space="preserve"> quienes se encuentren incursos en inhabilidades, o incompatibilidades señaladas en las normas especiales de derecho público que las regulan.</w:t>
      </w:r>
    </w:p>
    <w:p w14:paraId="6F3F48EE">
      <w:pPr>
        <w:spacing w:after="0" w:line="240" w:lineRule="auto"/>
        <w:jc w:val="both"/>
        <w:rPr>
          <w:rFonts w:ascii="Arial Narrow" w:hAnsi="Arial Narrow" w:cs="Arial"/>
          <w:snapToGrid w:val="0"/>
          <w:lang/>
        </w:rPr>
      </w:pPr>
    </w:p>
    <w:bookmarkEnd w:id="3"/>
    <w:p w14:paraId="69DDC985">
      <w:pPr>
        <w:pStyle w:val="52"/>
        <w:numPr>
          <w:ilvl w:val="1"/>
          <w:numId w:val="8"/>
        </w:numPr>
        <w:spacing w:after="0" w:line="240" w:lineRule="auto"/>
        <w:ind w:left="426" w:hanging="426"/>
        <w:jc w:val="both"/>
        <w:rPr>
          <w:rFonts w:ascii="Arial Narrow" w:hAnsi="Arial Narrow" w:cs="Arial"/>
          <w:b/>
          <w:bCs/>
          <w:lang/>
        </w:rPr>
      </w:pPr>
      <w:bookmarkStart w:id="5" w:name="_Toc398128659"/>
      <w:r>
        <w:rPr>
          <w:rFonts w:ascii="Arial Narrow" w:hAnsi="Arial Narrow" w:cs="Arial"/>
          <w:b/>
          <w:lang/>
        </w:rPr>
        <w:t>COSTOS</w:t>
      </w:r>
      <w:r>
        <w:rPr>
          <w:rFonts w:ascii="Arial Narrow" w:hAnsi="Arial Narrow" w:cs="Arial"/>
          <w:b/>
          <w:bCs/>
          <w:lang/>
        </w:rPr>
        <w:t xml:space="preserve"> </w:t>
      </w:r>
      <w:r>
        <w:rPr>
          <w:rFonts w:ascii="Arial Narrow" w:hAnsi="Arial Narrow" w:cs="Arial"/>
          <w:b/>
          <w:lang/>
        </w:rPr>
        <w:t>DERIVADOS</w:t>
      </w:r>
      <w:r>
        <w:rPr>
          <w:rFonts w:ascii="Arial Narrow" w:hAnsi="Arial Narrow" w:cs="Arial"/>
          <w:b/>
          <w:bCs/>
          <w:lang/>
        </w:rPr>
        <w:t xml:space="preserve"> DE PARTICIPAR EN EL PROCESO DE CONTRATACIÓN</w:t>
      </w:r>
      <w:bookmarkEnd w:id="5"/>
      <w:r>
        <w:rPr>
          <w:rFonts w:ascii="Arial Narrow" w:hAnsi="Arial Narrow" w:cs="Arial"/>
          <w:b/>
          <w:bCs/>
          <w:lang/>
        </w:rPr>
        <w:t xml:space="preserve"> </w:t>
      </w:r>
    </w:p>
    <w:p w14:paraId="7C88E547">
      <w:pPr>
        <w:pStyle w:val="49"/>
        <w:jc w:val="both"/>
        <w:rPr>
          <w:rFonts w:ascii="Arial Narrow" w:hAnsi="Arial Narrow" w:cs="Arial"/>
          <w:sz w:val="22"/>
          <w:szCs w:val="22"/>
        </w:rPr>
      </w:pPr>
    </w:p>
    <w:p w14:paraId="2AD0DF90">
      <w:pPr>
        <w:pStyle w:val="49"/>
        <w:jc w:val="both"/>
        <w:rPr>
          <w:rFonts w:ascii="Arial Narrow" w:hAnsi="Arial Narrow" w:cs="Arial"/>
          <w:sz w:val="22"/>
          <w:szCs w:val="22"/>
        </w:rPr>
      </w:pPr>
      <w:r>
        <w:rPr>
          <w:rFonts w:ascii="Arial Narrow" w:hAnsi="Arial Narrow"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interesados, proponentes y del contratista.</w:t>
      </w:r>
    </w:p>
    <w:p w14:paraId="2A1D5A13">
      <w:pPr>
        <w:pStyle w:val="49"/>
        <w:jc w:val="both"/>
        <w:rPr>
          <w:rFonts w:ascii="Arial Narrow" w:hAnsi="Arial Narrow" w:cs="Arial"/>
          <w:sz w:val="22"/>
          <w:szCs w:val="22"/>
        </w:rPr>
      </w:pPr>
    </w:p>
    <w:p w14:paraId="43155EAC">
      <w:pPr>
        <w:pStyle w:val="52"/>
        <w:numPr>
          <w:ilvl w:val="1"/>
          <w:numId w:val="8"/>
        </w:numPr>
        <w:spacing w:after="0" w:line="240" w:lineRule="auto"/>
        <w:ind w:left="426" w:hanging="426"/>
        <w:jc w:val="both"/>
        <w:rPr>
          <w:rFonts w:ascii="Arial Narrow" w:hAnsi="Arial Narrow" w:cs="Arial"/>
          <w:b/>
          <w:bCs/>
          <w:lang/>
        </w:rPr>
      </w:pPr>
      <w:r>
        <w:rPr>
          <w:rFonts w:ascii="Arial Narrow" w:hAnsi="Arial Narrow" w:cs="Arial"/>
          <w:b/>
          <w:lang/>
        </w:rPr>
        <w:t>CONDICIONES</w:t>
      </w:r>
      <w:r>
        <w:rPr>
          <w:rFonts w:ascii="Arial Narrow" w:hAnsi="Arial Narrow" w:cs="Arial"/>
          <w:b/>
          <w:bCs/>
          <w:lang/>
        </w:rPr>
        <w:t xml:space="preserve">  LOCALES</w:t>
      </w:r>
    </w:p>
    <w:p w14:paraId="25DDC92C">
      <w:pPr>
        <w:spacing w:after="0" w:line="240" w:lineRule="auto"/>
        <w:jc w:val="both"/>
        <w:rPr>
          <w:rFonts w:ascii="Arial Narrow" w:hAnsi="Arial Narrow" w:cs="Arial"/>
          <w:lang/>
        </w:rPr>
      </w:pPr>
    </w:p>
    <w:p w14:paraId="487B6AE9">
      <w:pPr>
        <w:pStyle w:val="4"/>
        <w:spacing w:before="0" w:line="240" w:lineRule="auto"/>
        <w:jc w:val="both"/>
        <w:rPr>
          <w:rFonts w:ascii="Arial Narrow" w:hAnsi="Arial Narrow" w:cs="Arial"/>
          <w:b w:val="0"/>
          <w:color w:val="auto"/>
          <w:lang/>
        </w:rPr>
      </w:pPr>
      <w:r>
        <w:rPr>
          <w:rFonts w:ascii="Arial Narrow" w:hAnsi="Arial Narrow" w:cs="Arial"/>
          <w:b w:val="0"/>
          <w:color w:val="auto"/>
          <w:lang/>
        </w:rPr>
        <w:t xml:space="preserve">Los proponentes deberán informarse de las condiciones locales que puedan afectarlos en el desarrollo del contrato, pues no se aceptará como razón válida para una prórroga del mismo, para cualquier otra reclamación o para la justificación de un incumplimiento, la existencia de condiciones que pudieron conocerse y preverse con la información acerca de las circunstancias de tiempo, modo y lugar en que se ejecutará el contrato. </w:t>
      </w:r>
    </w:p>
    <w:p w14:paraId="41C142E3">
      <w:pPr>
        <w:pStyle w:val="49"/>
        <w:jc w:val="both"/>
        <w:rPr>
          <w:rFonts w:ascii="Arial Narrow" w:hAnsi="Arial Narrow" w:cs="Arial"/>
          <w:sz w:val="22"/>
          <w:szCs w:val="22"/>
        </w:rPr>
      </w:pPr>
    </w:p>
    <w:p w14:paraId="25F589C5">
      <w:pPr>
        <w:pStyle w:val="49"/>
        <w:jc w:val="both"/>
        <w:rPr>
          <w:rFonts w:ascii="Arial Narrow" w:hAnsi="Arial Narrow" w:cs="Arial"/>
          <w:sz w:val="22"/>
          <w:szCs w:val="22"/>
        </w:rPr>
      </w:pPr>
    </w:p>
    <w:p w14:paraId="01D25C39">
      <w:pPr>
        <w:pStyle w:val="52"/>
        <w:numPr>
          <w:ilvl w:val="1"/>
          <w:numId w:val="8"/>
        </w:numPr>
        <w:spacing w:after="0" w:line="240" w:lineRule="auto"/>
        <w:ind w:left="426" w:hanging="426"/>
        <w:jc w:val="both"/>
        <w:rPr>
          <w:rFonts w:ascii="Arial Narrow" w:hAnsi="Arial Narrow" w:cs="Arial"/>
          <w:b/>
          <w:bCs/>
          <w:lang/>
        </w:rPr>
      </w:pPr>
      <w:bookmarkStart w:id="6" w:name="_Toc398128661"/>
      <w:r>
        <w:rPr>
          <w:rFonts w:ascii="Arial Narrow" w:hAnsi="Arial Narrow" w:cs="Arial"/>
          <w:b/>
          <w:lang/>
        </w:rPr>
        <w:t>IDIOMA</w:t>
      </w:r>
      <w:bookmarkEnd w:id="6"/>
      <w:r>
        <w:rPr>
          <w:rFonts w:ascii="Arial Narrow" w:hAnsi="Arial Narrow" w:cs="Arial"/>
          <w:b/>
          <w:bCs/>
          <w:lang/>
        </w:rPr>
        <w:t xml:space="preserve"> </w:t>
      </w:r>
    </w:p>
    <w:p w14:paraId="7E28BA4A">
      <w:pPr>
        <w:pStyle w:val="49"/>
        <w:jc w:val="both"/>
        <w:rPr>
          <w:rFonts w:ascii="Arial Narrow" w:hAnsi="Arial Narrow" w:cs="Arial"/>
          <w:sz w:val="22"/>
          <w:szCs w:val="22"/>
        </w:rPr>
      </w:pPr>
    </w:p>
    <w:p w14:paraId="7B7FA2F1">
      <w:pPr>
        <w:spacing w:after="0" w:line="240" w:lineRule="auto"/>
        <w:jc w:val="both"/>
        <w:rPr>
          <w:rFonts w:ascii="Arial Narrow" w:hAnsi="Arial Narrow" w:cs="Arial"/>
          <w:lang/>
        </w:rPr>
      </w:pPr>
      <w:r>
        <w:rPr>
          <w:rFonts w:ascii="Arial Narrow" w:hAnsi="Arial Narrow" w:cs="Arial"/>
          <w:lang/>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14:paraId="6A9AE445">
      <w:pPr>
        <w:spacing w:after="0" w:line="240" w:lineRule="auto"/>
        <w:jc w:val="both"/>
        <w:rPr>
          <w:rFonts w:ascii="Arial Narrow" w:hAnsi="Arial Narrow" w:cs="Arial"/>
          <w:lang/>
        </w:rPr>
      </w:pPr>
      <w:r>
        <w:rPr>
          <w:rFonts w:ascii="Arial Narrow" w:hAnsi="Arial Narrow" w:cs="Arial"/>
          <w:lang/>
        </w:rPr>
        <w:t> </w:t>
      </w:r>
    </w:p>
    <w:p w14:paraId="53341A7C">
      <w:pPr>
        <w:spacing w:after="0" w:line="240" w:lineRule="auto"/>
        <w:jc w:val="both"/>
        <w:rPr>
          <w:rFonts w:ascii="Arial Narrow" w:hAnsi="Arial Narrow" w:cs="Arial"/>
          <w:lang/>
        </w:rPr>
      </w:pPr>
      <w:r>
        <w:rPr>
          <w:rFonts w:ascii="Arial Narrow" w:hAnsi="Arial Narrow" w:cs="Arial"/>
          <w:lang/>
        </w:rPr>
        <w:t>Los documentos, públicos o privados, con los cuales los proponentes acrediten los requisitos habilitantes que esten en un idioma distinto al castellano, deberá hacerse traducción simple al castellano y presentarse junto con su original otorgado en lengua extranjera; no requerirán traducción oficial de los mismos. En el caso de un documento público que demanda apostilla o legalización, y que se realizará ante las autoridades colombianas, requerirá de autenticación ante notario público de la firma del traductor del documento.</w:t>
      </w:r>
    </w:p>
    <w:p w14:paraId="09CE3913">
      <w:pPr>
        <w:pStyle w:val="49"/>
        <w:jc w:val="both"/>
        <w:rPr>
          <w:rFonts w:ascii="Arial Narrow" w:hAnsi="Arial Narrow" w:cs="Arial"/>
          <w:sz w:val="22"/>
          <w:szCs w:val="22"/>
        </w:rPr>
      </w:pPr>
    </w:p>
    <w:p w14:paraId="519ACF8A">
      <w:pPr>
        <w:pStyle w:val="52"/>
        <w:numPr>
          <w:ilvl w:val="1"/>
          <w:numId w:val="8"/>
        </w:numPr>
        <w:spacing w:after="0" w:line="240" w:lineRule="auto"/>
        <w:ind w:left="426" w:hanging="426"/>
        <w:jc w:val="both"/>
        <w:rPr>
          <w:rFonts w:ascii="Arial Narrow" w:hAnsi="Arial Narrow" w:cs="Arial"/>
          <w:b/>
          <w:bCs/>
          <w:lang/>
        </w:rPr>
      </w:pPr>
      <w:bookmarkStart w:id="7" w:name="_Toc398128662"/>
      <w:r>
        <w:rPr>
          <w:rFonts w:ascii="Arial Narrow" w:hAnsi="Arial Narrow" w:cs="Arial"/>
          <w:b/>
          <w:lang/>
        </w:rPr>
        <w:t>DOCUMENTOS</w:t>
      </w:r>
      <w:r>
        <w:rPr>
          <w:rFonts w:ascii="Arial Narrow" w:hAnsi="Arial Narrow" w:cs="Arial"/>
          <w:b/>
          <w:bCs/>
          <w:lang/>
        </w:rPr>
        <w:t xml:space="preserve"> </w:t>
      </w:r>
      <w:bookmarkEnd w:id="7"/>
      <w:r>
        <w:rPr>
          <w:rFonts w:ascii="Arial Narrow" w:hAnsi="Arial Narrow" w:cs="Arial"/>
          <w:b/>
          <w:bCs/>
          <w:lang/>
        </w:rPr>
        <w:t>OTORGADOS  EN EL EXTERIOR</w:t>
      </w:r>
    </w:p>
    <w:p w14:paraId="3B18CE87">
      <w:pPr>
        <w:autoSpaceDE w:val="0"/>
        <w:autoSpaceDN w:val="0"/>
        <w:adjustRightInd w:val="0"/>
        <w:spacing w:after="0" w:line="240" w:lineRule="auto"/>
        <w:jc w:val="both"/>
        <w:rPr>
          <w:rFonts w:ascii="Arial Narrow" w:hAnsi="Arial Narrow" w:eastAsia="Times New Roman" w:cs="Arial"/>
          <w:lang w:eastAsia="es-ES"/>
        </w:rPr>
      </w:pPr>
    </w:p>
    <w:p w14:paraId="76E0EF47">
      <w:pPr>
        <w:pStyle w:val="34"/>
        <w:shd w:val="clear" w:color="auto" w:fill="FFFFFF"/>
        <w:spacing w:before="0" w:beforeAutospacing="0" w:after="0" w:afterAutospacing="0"/>
        <w:ind w:right="142"/>
        <w:jc w:val="both"/>
        <w:rPr>
          <w:rFonts w:ascii="Calibri" w:hAnsi="Calibri" w:cs="Calibri"/>
          <w:szCs w:val="22"/>
        </w:rPr>
      </w:pPr>
      <w:bookmarkStart w:id="8" w:name="_Hlk104228336"/>
      <w:r>
        <w:rPr>
          <w:rFonts w:ascii="Arial Narrow" w:hAnsi="Arial Narrow" w:cs="Calibri"/>
          <w:color w:val="000000"/>
          <w:szCs w:val="22"/>
        </w:rPr>
        <w:t>Los documentos públicos expedidos en el exterior, que se pretendan hacer valer en el presente proceso, deben cumplir con el requisito de apostilla o legalización (consularización), dependiendo si el país de origen es signatario del Convenio de La Haya de 1961, o es un país signatario de la Convención de Viena de 1963.  </w:t>
      </w:r>
      <w:r>
        <w:rPr>
          <w:rFonts w:ascii="Arial Narrow" w:hAnsi="Arial Narrow" w:cs="Calibri"/>
          <w:b/>
          <w:bCs/>
          <w:color w:val="000000"/>
          <w:szCs w:val="22"/>
          <w:u w:val="single"/>
        </w:rPr>
        <w:t xml:space="preserve">Los documentos privados otorgados en el extranjero </w:t>
      </w:r>
      <w:r>
        <w:rPr>
          <w:rFonts w:ascii="Arial Narrow" w:hAnsi="Arial Narrow" w:cs="Calibri"/>
          <w:b/>
          <w:bCs/>
          <w:szCs w:val="22"/>
          <w:u w:val="single"/>
        </w:rPr>
        <w:t>requieren reconocimiento de firma de la persona que expide o firma el documento ante un Notario o autoridad competente y la posterior apostille o legalización, según corresponda, de la firma de ese Notario o funcionario público que realiza dicho reconocimiento.</w:t>
      </w:r>
      <w:r>
        <w:rPr>
          <w:rFonts w:ascii="Arial Narrow" w:hAnsi="Arial Narrow" w:cs="Calibri"/>
          <w:szCs w:val="22"/>
        </w:rPr>
        <w:t> Es decir, se debe apostillar o legalizar el acto notarial o de reconocimiento de firma.</w:t>
      </w:r>
    </w:p>
    <w:p w14:paraId="2E4867F0">
      <w:pPr>
        <w:pStyle w:val="34"/>
        <w:shd w:val="clear" w:color="auto" w:fill="FFFFFF"/>
        <w:spacing w:before="0" w:beforeAutospacing="0" w:after="0" w:afterAutospacing="0"/>
        <w:ind w:right="142"/>
        <w:jc w:val="both"/>
        <w:rPr>
          <w:rFonts w:ascii="Calibri" w:hAnsi="Calibri" w:cs="Calibri"/>
          <w:szCs w:val="22"/>
        </w:rPr>
      </w:pPr>
      <w:r>
        <w:rPr>
          <w:rFonts w:ascii="Arial Narrow" w:hAnsi="Arial Narrow" w:cs="Calibri"/>
          <w:szCs w:val="22"/>
        </w:rPr>
        <w:t> </w:t>
      </w:r>
    </w:p>
    <w:p w14:paraId="2AC82074">
      <w:pPr>
        <w:pStyle w:val="34"/>
        <w:shd w:val="clear" w:color="auto" w:fill="FFFFFF"/>
        <w:spacing w:before="0" w:beforeAutospacing="0" w:after="0" w:afterAutospacing="0"/>
        <w:ind w:right="142"/>
        <w:jc w:val="both"/>
        <w:rPr>
          <w:rFonts w:ascii="Arial Narrow" w:hAnsi="Arial Narrow" w:cs="Calibri"/>
          <w:szCs w:val="22"/>
        </w:rPr>
      </w:pPr>
      <w:r>
        <w:rPr>
          <w:rFonts w:ascii="Arial Narrow" w:hAnsi="Arial Narrow" w:cs="Calibri"/>
          <w:szCs w:val="22"/>
        </w:rPr>
        <w:t>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Ministerio de Relaciones Exteriores, o la norma que la modifique, sustituya o complemente y la Circular Única emitida por Colombia Compra Eficiente. </w:t>
      </w:r>
    </w:p>
    <w:p w14:paraId="5A91D9CE">
      <w:pPr>
        <w:pStyle w:val="34"/>
        <w:shd w:val="clear" w:color="auto" w:fill="FFFFFF"/>
        <w:spacing w:before="0" w:beforeAutospacing="0" w:after="0" w:afterAutospacing="0"/>
        <w:ind w:right="142"/>
        <w:jc w:val="both"/>
        <w:rPr>
          <w:rFonts w:ascii="Arial Narrow" w:hAnsi="Arial Narrow" w:cs="Calibri"/>
          <w:szCs w:val="22"/>
        </w:rPr>
      </w:pPr>
      <w:r>
        <w:rPr>
          <w:rFonts w:ascii="Arial Narrow" w:hAnsi="Arial Narrow" w:cs="Calibri"/>
          <w:szCs w:val="22"/>
        </w:rPr>
        <w:t> </w:t>
      </w:r>
    </w:p>
    <w:p w14:paraId="285DA19C">
      <w:pPr>
        <w:pStyle w:val="34"/>
        <w:shd w:val="clear" w:color="auto" w:fill="FFFFFF"/>
        <w:spacing w:before="0" w:beforeAutospacing="0" w:after="0" w:afterAutospacing="0"/>
        <w:ind w:right="142"/>
        <w:jc w:val="both"/>
        <w:rPr>
          <w:rFonts w:ascii="Arial Narrow" w:hAnsi="Arial Narrow" w:cs="Calibri"/>
          <w:szCs w:val="22"/>
        </w:rPr>
      </w:pPr>
      <w:r>
        <w:rPr>
          <w:rFonts w:ascii="Arial Narrow" w:hAnsi="Arial Narrow" w:cs="Calibri"/>
          <w:szCs w:val="22"/>
        </w:rPr>
        <w:t>Los Manuales, fichas técnicas, catálogos, Data sheets, no serán objeto de apostilla o legalización, ni de traducción oficial, salvo las certificaciones, aclaraciones, o demás documentos expedidos  en el exterior.  </w:t>
      </w:r>
    </w:p>
    <w:p w14:paraId="2B0D951F">
      <w:pPr>
        <w:pStyle w:val="34"/>
        <w:shd w:val="clear" w:color="auto" w:fill="FFFFFF"/>
        <w:spacing w:before="0" w:beforeAutospacing="0" w:after="0" w:afterAutospacing="0"/>
        <w:ind w:right="142"/>
        <w:jc w:val="both"/>
        <w:rPr>
          <w:rFonts w:ascii="Calibri" w:hAnsi="Calibri" w:cs="Calibri"/>
          <w:szCs w:val="22"/>
        </w:rPr>
      </w:pPr>
      <w:r>
        <w:rPr>
          <w:rFonts w:ascii="Calibri" w:hAnsi="Calibri" w:cs="Calibri"/>
          <w:szCs w:val="22"/>
        </w:rPr>
        <w:t> </w:t>
      </w:r>
    </w:p>
    <w:p w14:paraId="431E899F">
      <w:pPr>
        <w:pStyle w:val="34"/>
        <w:shd w:val="clear" w:color="auto" w:fill="FFFFFF"/>
        <w:spacing w:before="0" w:beforeAutospacing="0" w:after="0" w:afterAutospacing="0"/>
        <w:ind w:right="142"/>
        <w:jc w:val="both"/>
        <w:rPr>
          <w:rFonts w:ascii="Calibri" w:hAnsi="Calibri" w:cs="Calibri"/>
          <w:szCs w:val="22"/>
        </w:rPr>
      </w:pPr>
      <w:bookmarkStart w:id="9" w:name="_Hlk104228487"/>
      <w:r>
        <w:rPr>
          <w:rFonts w:ascii="Arial Narrow" w:hAnsi="Arial Narrow" w:cs="Calibri"/>
          <w:b/>
          <w:bCs/>
          <w:szCs w:val="22"/>
          <w:u w:val="single"/>
        </w:rPr>
        <w:t>Nota: </w:t>
      </w:r>
      <w:r>
        <w:rPr>
          <w:rFonts w:ascii="Arial Narrow" w:hAnsi="Arial Narrow" w:cs="Calibri"/>
          <w:b/>
          <w:bCs/>
          <w:szCs w:val="22"/>
        </w:rPr>
        <w:t>El proponente tendrá la oportunidad de acreditar </w:t>
      </w:r>
      <w:r>
        <w:rPr>
          <w:rFonts w:ascii="Arial Narrow" w:hAnsi="Arial Narrow" w:cs="Calibri"/>
          <w:b/>
          <w:bCs/>
          <w:color w:val="000000"/>
          <w:szCs w:val="22"/>
          <w:lang/>
        </w:rPr>
        <w:t>hasta el día anterior a la fecha de expedición del acto de adjudicación o declaratoria de desierta</w:t>
      </w:r>
      <w:r>
        <w:rPr>
          <w:rFonts w:ascii="Arial Narrow" w:hAnsi="Arial Narrow" w:cs="Calibri"/>
          <w:b/>
          <w:bCs/>
          <w:szCs w:val="22"/>
        </w:rPr>
        <w:t> prevista en el cronograma vigente a la fecha de publicación del informe de evaluación preliminar, únicamente, el requisito de Apostilla o Consularización, sobre  el (los) documento(s) objeto de apostilla o consularización aportado(s) con la oferta o durante el término de traslado del informe de evaluación, de lo contrario su calificación será de RECHAZO.</w:t>
      </w:r>
    </w:p>
    <w:bookmarkEnd w:id="8"/>
    <w:bookmarkEnd w:id="9"/>
    <w:p w14:paraId="14AC82E1">
      <w:pPr>
        <w:pStyle w:val="34"/>
        <w:shd w:val="clear" w:color="auto" w:fill="FFFFFF"/>
        <w:spacing w:before="0" w:beforeAutospacing="0" w:after="0" w:afterAutospacing="0"/>
        <w:jc w:val="both"/>
        <w:rPr>
          <w:rFonts w:ascii="Calibri" w:hAnsi="Calibri" w:cs="Calibri"/>
          <w:color w:val="000000"/>
          <w:szCs w:val="22"/>
          <w:lang/>
        </w:rPr>
      </w:pPr>
      <w:r>
        <w:rPr>
          <w:rFonts w:ascii="Calibri" w:hAnsi="Calibri" w:cs="Calibri"/>
          <w:color w:val="000000"/>
          <w:szCs w:val="22"/>
          <w:lang/>
        </w:rPr>
        <w:t> </w:t>
      </w:r>
    </w:p>
    <w:p w14:paraId="7BBFF056">
      <w:pPr>
        <w:pStyle w:val="52"/>
        <w:numPr>
          <w:ilvl w:val="1"/>
          <w:numId w:val="8"/>
        </w:numPr>
        <w:spacing w:after="0" w:line="240" w:lineRule="auto"/>
        <w:ind w:left="426" w:hanging="426"/>
        <w:jc w:val="both"/>
        <w:rPr>
          <w:rFonts w:ascii="Arial Narrow" w:hAnsi="Arial Narrow" w:eastAsia="Arial Unicode MS" w:cs="Arial"/>
          <w:b/>
          <w:bCs/>
          <w:spacing w:val="-3"/>
          <w:lang/>
        </w:rPr>
      </w:pPr>
      <w:bookmarkStart w:id="10" w:name="_Toc379219955"/>
      <w:r>
        <w:rPr>
          <w:rFonts w:ascii="Arial Narrow" w:hAnsi="Arial Narrow" w:eastAsia="Arial Unicode MS" w:cs="Arial"/>
          <w:b/>
          <w:bCs/>
          <w:spacing w:val="-3"/>
          <w:lang/>
        </w:rPr>
        <w:t xml:space="preserve">TÍTULOS OBTENIDOS EN EL EXTERIOR </w:t>
      </w:r>
    </w:p>
    <w:p w14:paraId="0D7414A6">
      <w:pPr>
        <w:tabs>
          <w:tab w:val="left" w:pos="-720"/>
        </w:tabs>
        <w:suppressAutoHyphens/>
        <w:spacing w:after="0" w:line="240" w:lineRule="auto"/>
        <w:jc w:val="both"/>
        <w:rPr>
          <w:rFonts w:ascii="Arial Narrow" w:hAnsi="Arial Narrow" w:eastAsia="Arial Unicode MS" w:cs="Arial"/>
          <w:spacing w:val="-3"/>
          <w:lang/>
        </w:rPr>
      </w:pPr>
    </w:p>
    <w:p w14:paraId="3948CC18">
      <w:pPr>
        <w:tabs>
          <w:tab w:val="left" w:pos="-720"/>
        </w:tabs>
        <w:suppressAutoHyphens/>
        <w:spacing w:after="0" w:line="240" w:lineRule="auto"/>
        <w:jc w:val="both"/>
        <w:rPr>
          <w:rFonts w:ascii="Arial Narrow" w:hAnsi="Arial Narrow" w:eastAsia="Arial Unicode MS" w:cs="Arial"/>
          <w:spacing w:val="-3"/>
          <w:lang/>
        </w:rPr>
      </w:pPr>
      <w:r>
        <w:rPr>
          <w:rFonts w:ascii="Arial Narrow" w:hAnsi="Arial Narrow" w:eastAsia="Arial Unicode MS" w:cs="Arial"/>
          <w:spacing w:val="-3"/>
          <w:lang/>
        </w:rPr>
        <w:t>El proponente que ofrezca personal con títulos académicos otorgados en el exterior deberá presentar dentro de su oferta los títulos debidamente convalidados ante el Ministerio de Educación Nacional, de conformidad con la normatividad vigente y atendiendo los trámites y requisitos señalados por dicho Ministerio.</w:t>
      </w:r>
    </w:p>
    <w:p w14:paraId="48CF9346">
      <w:pPr>
        <w:tabs>
          <w:tab w:val="left" w:pos="-720"/>
        </w:tabs>
        <w:suppressAutoHyphens/>
        <w:spacing w:after="0" w:line="240" w:lineRule="auto"/>
        <w:jc w:val="both"/>
        <w:rPr>
          <w:rFonts w:ascii="Arial Narrow" w:hAnsi="Arial Narrow" w:eastAsia="Arial Unicode MS" w:cs="Arial"/>
          <w:spacing w:val="-3"/>
          <w:lang/>
        </w:rPr>
      </w:pPr>
    </w:p>
    <w:p w14:paraId="38CA7981">
      <w:pPr>
        <w:tabs>
          <w:tab w:val="left" w:pos="-720"/>
        </w:tabs>
        <w:suppressAutoHyphens/>
        <w:spacing w:after="0" w:line="240" w:lineRule="auto"/>
        <w:jc w:val="both"/>
        <w:rPr>
          <w:rFonts w:ascii="Arial Narrow" w:hAnsi="Arial Narrow" w:eastAsia="Arial Unicode MS" w:cs="Arial"/>
          <w:spacing w:val="-3"/>
          <w:lang/>
        </w:rPr>
      </w:pPr>
      <w:r>
        <w:rPr>
          <w:rFonts w:ascii="Arial Narrow" w:hAnsi="Arial Narrow" w:eastAsia="Arial Unicode MS" w:cs="Arial"/>
          <w:spacing w:val="-3"/>
          <w:lang/>
        </w:rPr>
        <w:t xml:space="preserve">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 </w:t>
      </w:r>
    </w:p>
    <w:p w14:paraId="4AA419F6">
      <w:pPr>
        <w:tabs>
          <w:tab w:val="left" w:pos="-720"/>
        </w:tabs>
        <w:suppressAutoHyphens/>
        <w:spacing w:after="0" w:line="240" w:lineRule="auto"/>
        <w:jc w:val="both"/>
        <w:rPr>
          <w:rFonts w:ascii="Arial Narrow" w:hAnsi="Arial Narrow" w:eastAsia="Arial Unicode MS" w:cs="Arial"/>
          <w:spacing w:val="-3"/>
          <w:lang/>
        </w:rPr>
      </w:pPr>
    </w:p>
    <w:p w14:paraId="1484D2E1">
      <w:pPr>
        <w:tabs>
          <w:tab w:val="left" w:pos="-720"/>
        </w:tabs>
        <w:suppressAutoHyphens/>
        <w:spacing w:after="0" w:line="240" w:lineRule="auto"/>
        <w:jc w:val="both"/>
        <w:rPr>
          <w:rFonts w:ascii="Arial Narrow" w:hAnsi="Arial Narrow" w:eastAsia="Arial Unicode MS" w:cs="Arial"/>
          <w:spacing w:val="-3"/>
          <w:lang/>
        </w:rPr>
      </w:pPr>
      <w:r>
        <w:rPr>
          <w:rFonts w:ascii="Arial Narrow" w:hAnsi="Arial Narrow" w:eastAsia="Arial Unicode MS" w:cs="Arial"/>
          <w:spacing w:val="-3"/>
          <w:lang/>
        </w:rPr>
        <w:t>En el evento que el adjudicatario del presente proceso de selección hubiere ofrecido personal titulado y domiciliado en el exterior, deberá presentar la autorización para el ejercicio temporal de la profesión en Colombia, expedida por el Ministerio de Educación Nacional.</w:t>
      </w:r>
    </w:p>
    <w:p w14:paraId="469AB36A">
      <w:pPr>
        <w:spacing w:after="0" w:line="240" w:lineRule="auto"/>
        <w:jc w:val="both"/>
        <w:rPr>
          <w:rFonts w:ascii="Arial Narrow" w:hAnsi="Arial Narrow" w:cs="Arial"/>
          <w:spacing w:val="-3"/>
          <w:lang/>
        </w:rPr>
      </w:pPr>
    </w:p>
    <w:p w14:paraId="37E1D3C2">
      <w:pPr>
        <w:pStyle w:val="52"/>
        <w:numPr>
          <w:ilvl w:val="1"/>
          <w:numId w:val="8"/>
        </w:numPr>
        <w:spacing w:after="0" w:line="240" w:lineRule="auto"/>
        <w:ind w:left="426" w:hanging="426"/>
        <w:jc w:val="both"/>
        <w:rPr>
          <w:rFonts w:ascii="Arial Narrow" w:hAnsi="Arial Narrow" w:cs="Arial"/>
          <w:b/>
          <w:lang/>
        </w:rPr>
      </w:pPr>
      <w:bookmarkStart w:id="11" w:name="_Toc99029278"/>
      <w:r>
        <w:rPr>
          <w:rFonts w:ascii="Arial Narrow" w:hAnsi="Arial Narrow" w:cs="Arial"/>
          <w:b/>
          <w:lang/>
        </w:rPr>
        <w:t>CIERRE DEL PROCESO Y APERTURA DE OFERTAS</w:t>
      </w:r>
      <w:bookmarkEnd w:id="11"/>
      <w:bookmarkStart w:id="12" w:name="_Toc35616207"/>
      <w:bookmarkEnd w:id="12"/>
      <w:bookmarkStart w:id="13" w:name="_Toc35616210"/>
      <w:bookmarkEnd w:id="13"/>
      <w:bookmarkStart w:id="14" w:name="_Toc35616543"/>
      <w:bookmarkEnd w:id="14"/>
      <w:bookmarkStart w:id="15" w:name="_Toc35616212"/>
      <w:bookmarkEnd w:id="15"/>
      <w:bookmarkStart w:id="16" w:name="_Toc35616221"/>
      <w:bookmarkEnd w:id="16"/>
      <w:bookmarkStart w:id="17" w:name="_Toc35616206"/>
      <w:bookmarkEnd w:id="17"/>
      <w:bookmarkStart w:id="18" w:name="_Toc35616209"/>
      <w:bookmarkEnd w:id="18"/>
      <w:bookmarkStart w:id="19" w:name="_Toc35616545"/>
      <w:bookmarkEnd w:id="19"/>
      <w:bookmarkStart w:id="20" w:name="_Toc35616222"/>
      <w:bookmarkEnd w:id="20"/>
      <w:bookmarkStart w:id="21" w:name="_Toc35616546"/>
      <w:bookmarkEnd w:id="21"/>
      <w:bookmarkStart w:id="22" w:name="_Toc471839115"/>
      <w:bookmarkEnd w:id="22"/>
      <w:bookmarkStart w:id="23" w:name="_Toc35616223"/>
      <w:bookmarkEnd w:id="23"/>
      <w:bookmarkStart w:id="24" w:name="_Toc35616541"/>
      <w:bookmarkEnd w:id="24"/>
      <w:bookmarkStart w:id="25" w:name="_Toc520226874"/>
      <w:bookmarkEnd w:id="25"/>
      <w:bookmarkStart w:id="26" w:name="_Toc35616535"/>
      <w:bookmarkEnd w:id="26"/>
      <w:bookmarkStart w:id="27" w:name="_Toc35616538"/>
      <w:bookmarkEnd w:id="27"/>
      <w:bookmarkStart w:id="28" w:name="_Toc35616217"/>
      <w:bookmarkEnd w:id="28"/>
      <w:bookmarkStart w:id="29" w:name="_Toc35616215"/>
      <w:bookmarkEnd w:id="29"/>
      <w:bookmarkStart w:id="30" w:name="_Toc35616534"/>
      <w:bookmarkEnd w:id="30"/>
      <w:bookmarkStart w:id="31" w:name="_Toc35616208"/>
      <w:bookmarkEnd w:id="31"/>
      <w:bookmarkStart w:id="32" w:name="_Toc35616537"/>
      <w:bookmarkEnd w:id="32"/>
      <w:bookmarkStart w:id="33" w:name="_Toc35616211"/>
      <w:bookmarkEnd w:id="33"/>
      <w:bookmarkStart w:id="34" w:name="_Toc35616533"/>
      <w:bookmarkEnd w:id="34"/>
      <w:bookmarkStart w:id="35" w:name="_Toc35616536"/>
      <w:bookmarkEnd w:id="35"/>
      <w:bookmarkStart w:id="36" w:name="_Toc35616216"/>
      <w:bookmarkEnd w:id="36"/>
      <w:bookmarkStart w:id="37" w:name="_Toc35616214"/>
      <w:bookmarkEnd w:id="37"/>
      <w:bookmarkStart w:id="38" w:name="_Toc35616542"/>
      <w:bookmarkEnd w:id="38"/>
      <w:bookmarkStart w:id="39" w:name="_Toc35616213"/>
      <w:bookmarkEnd w:id="39"/>
      <w:bookmarkStart w:id="40" w:name="_Toc35616219"/>
      <w:bookmarkEnd w:id="40"/>
      <w:bookmarkStart w:id="41" w:name="_Toc35616547"/>
      <w:bookmarkEnd w:id="41"/>
      <w:bookmarkStart w:id="42" w:name="_Toc35616548"/>
      <w:bookmarkEnd w:id="42"/>
      <w:bookmarkStart w:id="43" w:name="_Toc35616549"/>
      <w:bookmarkEnd w:id="43"/>
      <w:bookmarkStart w:id="44" w:name="_Toc35616544"/>
      <w:bookmarkEnd w:id="44"/>
      <w:bookmarkStart w:id="45" w:name="_Toc35616220"/>
      <w:bookmarkEnd w:id="45"/>
      <w:bookmarkStart w:id="46" w:name="_Toc35616224"/>
      <w:bookmarkEnd w:id="46"/>
      <w:bookmarkStart w:id="47" w:name="_Toc35616551"/>
      <w:bookmarkEnd w:id="47"/>
      <w:bookmarkStart w:id="48" w:name="_Toc508984046"/>
      <w:bookmarkEnd w:id="48"/>
      <w:bookmarkStart w:id="49" w:name="_Toc533083710"/>
      <w:bookmarkEnd w:id="49"/>
      <w:bookmarkStart w:id="50" w:name="_Toc35616218"/>
      <w:bookmarkEnd w:id="50"/>
      <w:bookmarkStart w:id="51" w:name="_Toc504124513"/>
      <w:bookmarkEnd w:id="51"/>
      <w:bookmarkStart w:id="52" w:name="_Toc40113333"/>
      <w:bookmarkEnd w:id="52"/>
      <w:bookmarkStart w:id="53" w:name="_Toc508648262"/>
      <w:bookmarkEnd w:id="53"/>
      <w:bookmarkStart w:id="54" w:name="_Toc35616539"/>
      <w:bookmarkEnd w:id="54"/>
      <w:bookmarkStart w:id="55" w:name="_Toc509843877"/>
      <w:bookmarkEnd w:id="55"/>
      <w:bookmarkStart w:id="56" w:name="_Toc511924785"/>
      <w:bookmarkEnd w:id="56"/>
      <w:bookmarkStart w:id="57" w:name="_Toc35616225"/>
      <w:bookmarkEnd w:id="57"/>
      <w:bookmarkStart w:id="58" w:name="_Toc35616550"/>
      <w:bookmarkEnd w:id="58"/>
      <w:bookmarkStart w:id="59" w:name="_Toc520317109"/>
      <w:bookmarkEnd w:id="59"/>
      <w:bookmarkStart w:id="60" w:name="_Toc35616540"/>
      <w:bookmarkEnd w:id="60"/>
      <w:bookmarkStart w:id="61" w:name="_Toc520297844"/>
      <w:bookmarkEnd w:id="61"/>
    </w:p>
    <w:p w14:paraId="6D8582AE">
      <w:pPr>
        <w:tabs>
          <w:tab w:val="left" w:pos="-720"/>
        </w:tabs>
        <w:suppressAutoHyphens/>
        <w:spacing w:after="0" w:line="240" w:lineRule="auto"/>
        <w:jc w:val="both"/>
        <w:rPr>
          <w:rFonts w:ascii="Arial Narrow" w:hAnsi="Arial Narrow" w:eastAsia="Arial Unicode MS" w:cs="Arial"/>
          <w:spacing w:val="-3"/>
          <w:lang/>
        </w:rPr>
      </w:pPr>
    </w:p>
    <w:p w14:paraId="35F338CF">
      <w:pPr>
        <w:tabs>
          <w:tab w:val="left" w:pos="-720"/>
        </w:tabs>
        <w:suppressAutoHyphens/>
        <w:spacing w:after="0" w:line="240" w:lineRule="auto"/>
        <w:jc w:val="both"/>
        <w:rPr>
          <w:rFonts w:ascii="Arial Narrow" w:hAnsi="Arial Narrow" w:eastAsia="Arial Unicode MS" w:cs="Arial"/>
          <w:spacing w:val="-3"/>
          <w:lang/>
        </w:rPr>
      </w:pPr>
      <w:r>
        <w:rPr>
          <w:rFonts w:ascii="Arial Narrow" w:hAnsi="Arial Narrow" w:eastAsia="Arial Unicode MS" w:cs="Arial"/>
          <w:spacing w:val="-3"/>
          <w:lang/>
        </w:rPr>
        <w:t>Se entienden recibidas por la AEROCIVIL las ofertas que se encuentren en la plataforma del SECOP II a la fecha y hora indicada en el Cronograma del proceso, después de este momento el SECOP II no permitirá recibir más propuestas por excederse del tiempo señalado en el Cronograma.</w:t>
      </w:r>
    </w:p>
    <w:p w14:paraId="4ED730BE">
      <w:pPr>
        <w:tabs>
          <w:tab w:val="left" w:pos="-720"/>
        </w:tabs>
        <w:suppressAutoHyphens/>
        <w:spacing w:after="0" w:line="240" w:lineRule="auto"/>
        <w:jc w:val="both"/>
        <w:rPr>
          <w:rFonts w:ascii="Arial Narrow" w:hAnsi="Arial Narrow" w:eastAsia="Arial Unicode MS" w:cs="Arial"/>
          <w:spacing w:val="-3"/>
          <w:lang/>
        </w:rPr>
      </w:pPr>
    </w:p>
    <w:p w14:paraId="3075D72B">
      <w:pPr>
        <w:tabs>
          <w:tab w:val="left" w:pos="-720"/>
        </w:tabs>
        <w:suppressAutoHyphens/>
        <w:spacing w:after="0" w:line="240" w:lineRule="auto"/>
        <w:jc w:val="both"/>
        <w:rPr>
          <w:rFonts w:ascii="Arial Narrow" w:hAnsi="Arial Narrow" w:eastAsia="Arial Unicode MS" w:cs="Arial"/>
          <w:spacing w:val="-3"/>
          <w:lang/>
        </w:rPr>
      </w:pPr>
      <w:r>
        <w:rPr>
          <w:rFonts w:ascii="Arial Narrow" w:hAnsi="Arial Narrow" w:eastAsia="Arial Unicode MS" w:cs="Arial"/>
          <w:spacing w:val="-3"/>
          <w:lang/>
        </w:rPr>
        <w:t>Vencido el término para presentar ofertas, la AEROCIVIL realizará su apertura y publicará la lista de oferentes. Luego de la apertura, las propuestas son públicas y cualquier persona puede consultarlas. La AEROCIVIL dará a conocer las ofertas presentadas en el Proceso de Contratación haciendo clic en la opción “publicar ofertas”, para que sean visibles a todos los Proponentes y los interesados en el proceso.</w:t>
      </w:r>
    </w:p>
    <w:p w14:paraId="33CC66E9">
      <w:pPr>
        <w:tabs>
          <w:tab w:val="left" w:pos="-720"/>
        </w:tabs>
        <w:suppressAutoHyphens/>
        <w:spacing w:after="0" w:line="240" w:lineRule="auto"/>
        <w:jc w:val="both"/>
        <w:rPr>
          <w:rFonts w:ascii="Arial Narrow" w:hAnsi="Arial Narrow" w:eastAsia="Arial Unicode MS" w:cs="Arial"/>
          <w:spacing w:val="-3"/>
          <w:lang/>
        </w:rPr>
      </w:pPr>
    </w:p>
    <w:p w14:paraId="4394CDC3">
      <w:pPr>
        <w:tabs>
          <w:tab w:val="left" w:pos="-720"/>
        </w:tabs>
        <w:suppressAutoHyphens/>
        <w:spacing w:after="0" w:line="240" w:lineRule="auto"/>
        <w:jc w:val="both"/>
        <w:rPr>
          <w:rFonts w:ascii="Arial Narrow" w:hAnsi="Arial Narrow" w:eastAsia="Arial Unicode MS" w:cs="Arial"/>
          <w:spacing w:val="-3"/>
          <w:lang/>
        </w:rPr>
      </w:pPr>
      <w:r>
        <w:rPr>
          <w:rFonts w:ascii="Arial Narrow" w:hAnsi="Arial Narrow" w:eastAsia="Arial Unicode MS" w:cs="Arial"/>
          <w:spacing w:val="-3"/>
          <w:lang/>
        </w:rPr>
        <w:t>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del uso del SECOP II.</w:t>
      </w:r>
    </w:p>
    <w:p w14:paraId="3EA698DE">
      <w:pPr>
        <w:tabs>
          <w:tab w:val="left" w:pos="-720"/>
        </w:tabs>
        <w:suppressAutoHyphens/>
        <w:spacing w:after="0" w:line="240" w:lineRule="auto"/>
        <w:jc w:val="both"/>
        <w:rPr>
          <w:rFonts w:ascii="Arial Narrow" w:hAnsi="Arial Narrow" w:eastAsia="Arial Unicode MS" w:cs="Arial"/>
          <w:spacing w:val="-3"/>
          <w:lang/>
        </w:rPr>
      </w:pPr>
    </w:p>
    <w:p w14:paraId="18434D20">
      <w:pPr>
        <w:tabs>
          <w:tab w:val="left" w:pos="-720"/>
        </w:tabs>
        <w:suppressAutoHyphens/>
        <w:spacing w:after="0" w:line="240" w:lineRule="auto"/>
        <w:jc w:val="both"/>
        <w:rPr>
          <w:rFonts w:ascii="Arial" w:hAnsi="Arial" w:eastAsia="Arial" w:cs="Arial"/>
          <w:sz w:val="20"/>
          <w:szCs w:val="20"/>
          <w:lang/>
        </w:rPr>
      </w:pPr>
      <w:r>
        <w:rPr>
          <w:rFonts w:ascii="Arial Narrow" w:hAnsi="Arial Narrow" w:eastAsia="Arial Unicode MS" w:cs="Arial"/>
          <w:spacing w:val="-3"/>
          <w:lang/>
        </w:rPr>
        <w:t>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el cual puede ser consultado en el siguiente enlace:</w:t>
      </w:r>
      <w:r>
        <w:rPr>
          <w:rFonts w:ascii="Arial Narrow" w:hAnsi="Arial Narrow" w:eastAsia="Arial" w:cs="Arial"/>
          <w:lang/>
        </w:rPr>
        <w:t xml:space="preserve"> </w:t>
      </w:r>
      <w:r>
        <w:fldChar w:fldCharType="begin"/>
      </w:r>
      <w:r>
        <w:instrText xml:space="preserve"> HYPERLINK "https://www.colombiacompra.gov.co/secop-ii/indisponibilidad-en-el-secop-ii" </w:instrText>
      </w:r>
      <w:r>
        <w:fldChar w:fldCharType="separate"/>
      </w:r>
      <w:r>
        <w:rPr>
          <w:rStyle w:val="17"/>
          <w:rFonts w:ascii="Arial Narrow" w:hAnsi="Arial Narrow" w:eastAsia="Arial" w:cs="Arial"/>
          <w:lang/>
        </w:rPr>
        <w:t>https://www.colombiacompra.gov.co/secop-ii/indisponibilidad-en-el-secop-ii</w:t>
      </w:r>
      <w:r>
        <w:rPr>
          <w:rStyle w:val="17"/>
          <w:rFonts w:ascii="Arial Narrow" w:hAnsi="Arial Narrow" w:eastAsia="Arial" w:cs="Arial"/>
          <w:lang/>
        </w:rPr>
        <w:fldChar w:fldCharType="end"/>
      </w:r>
    </w:p>
    <w:p w14:paraId="68F27B3F">
      <w:pPr>
        <w:pStyle w:val="72"/>
        <w:spacing w:before="0" w:after="0"/>
        <w:rPr>
          <w:rFonts w:ascii="Arial" w:hAnsi="Arial" w:eastAsia="Arial" w:cs="Arial"/>
          <w:sz w:val="20"/>
          <w:szCs w:val="20"/>
          <w:lang/>
        </w:rPr>
      </w:pPr>
    </w:p>
    <w:p w14:paraId="396F09B0">
      <w:pPr>
        <w:tabs>
          <w:tab w:val="left" w:pos="-720"/>
        </w:tabs>
        <w:suppressAutoHyphens/>
        <w:spacing w:after="0" w:line="240" w:lineRule="auto"/>
        <w:jc w:val="both"/>
        <w:rPr>
          <w:rFonts w:ascii="Arial Narrow" w:hAnsi="Arial Narrow" w:eastAsia="Arial Unicode MS" w:cs="Arial"/>
          <w:spacing w:val="-3"/>
          <w:lang/>
        </w:rPr>
      </w:pPr>
      <w:r>
        <w:rPr>
          <w:rFonts w:ascii="Arial Narrow" w:hAnsi="Arial Narrow" w:eastAsia="Arial Unicode MS" w:cs="Arial"/>
          <w:spacing w:val="-3"/>
          <w:lang/>
        </w:rPr>
        <w:t>La AEROCIVIL no será responsable por abrir el Sobre incorrectamente dirigido o sin la identificación adecuada.</w:t>
      </w:r>
    </w:p>
    <w:p w14:paraId="73D36AB1">
      <w:pPr>
        <w:spacing w:after="0" w:line="240" w:lineRule="auto"/>
        <w:jc w:val="both"/>
        <w:rPr>
          <w:rFonts w:ascii="Arial Narrow" w:hAnsi="Arial Narrow" w:cs="Arial"/>
          <w:spacing w:val="-3"/>
          <w:lang/>
        </w:rPr>
      </w:pPr>
    </w:p>
    <w:p w14:paraId="10B10CA1">
      <w:pPr>
        <w:pStyle w:val="52"/>
        <w:numPr>
          <w:ilvl w:val="1"/>
          <w:numId w:val="8"/>
        </w:numPr>
        <w:spacing w:after="0" w:line="240" w:lineRule="auto"/>
        <w:ind w:left="426" w:hanging="426"/>
        <w:jc w:val="both"/>
        <w:rPr>
          <w:rFonts w:ascii="Arial Narrow" w:hAnsi="Arial Narrow" w:cs="Arial"/>
          <w:b/>
          <w:bCs/>
          <w:lang/>
        </w:rPr>
      </w:pPr>
      <w:r>
        <w:rPr>
          <w:rFonts w:ascii="Arial Narrow" w:hAnsi="Arial Narrow" w:cs="Arial"/>
          <w:b/>
          <w:lang/>
        </w:rPr>
        <w:t>PROPUESTAS</w:t>
      </w:r>
      <w:r>
        <w:rPr>
          <w:rFonts w:ascii="Arial Narrow" w:hAnsi="Arial Narrow" w:cs="Arial"/>
          <w:b/>
          <w:bCs/>
          <w:lang/>
        </w:rPr>
        <w:t xml:space="preserve"> PARCIALES  (NO APLICA).</w:t>
      </w:r>
    </w:p>
    <w:p w14:paraId="733E2792">
      <w:pPr>
        <w:spacing w:after="0" w:line="240" w:lineRule="auto"/>
        <w:jc w:val="both"/>
        <w:rPr>
          <w:rFonts w:ascii="Arial Narrow" w:hAnsi="Arial Narrow" w:cs="Arial"/>
          <w:lang/>
        </w:rPr>
      </w:pPr>
    </w:p>
    <w:p w14:paraId="3280F6E3">
      <w:pPr>
        <w:spacing w:after="0" w:line="240" w:lineRule="auto"/>
        <w:jc w:val="both"/>
        <w:rPr>
          <w:rFonts w:ascii="Arial Narrow" w:hAnsi="Arial Narrow" w:cs="Arial"/>
          <w:lang/>
        </w:rPr>
      </w:pPr>
      <w:r>
        <w:rPr>
          <w:rFonts w:ascii="Arial Narrow" w:hAnsi="Arial Narrow" w:cs="Arial"/>
          <w:lang/>
        </w:rPr>
        <w:t>La Aerocivil NO aceptará la presentación de propuestas parciales para el presente proceso de contratación.</w:t>
      </w:r>
    </w:p>
    <w:p w14:paraId="188C3D35">
      <w:pPr>
        <w:spacing w:after="0" w:line="240" w:lineRule="auto"/>
        <w:jc w:val="both"/>
        <w:rPr>
          <w:rFonts w:ascii="Arial Narrow" w:hAnsi="Arial Narrow" w:cs="Arial"/>
          <w:lang/>
        </w:rPr>
      </w:pPr>
    </w:p>
    <w:p w14:paraId="5714CC74">
      <w:pPr>
        <w:pStyle w:val="52"/>
        <w:numPr>
          <w:ilvl w:val="1"/>
          <w:numId w:val="8"/>
        </w:numPr>
        <w:spacing w:after="0" w:line="240" w:lineRule="auto"/>
        <w:ind w:left="426" w:hanging="426"/>
        <w:jc w:val="both"/>
        <w:rPr>
          <w:rFonts w:ascii="Arial Narrow" w:hAnsi="Arial Narrow" w:cs="Arial"/>
          <w:b/>
          <w:bCs/>
          <w:lang/>
        </w:rPr>
      </w:pPr>
      <w:r>
        <w:rPr>
          <w:rFonts w:ascii="Arial Narrow" w:hAnsi="Arial Narrow" w:cs="Arial"/>
          <w:b/>
          <w:lang/>
        </w:rPr>
        <w:t>PROPUESTAS</w:t>
      </w:r>
      <w:r>
        <w:rPr>
          <w:rFonts w:ascii="Arial Narrow" w:hAnsi="Arial Narrow" w:cs="Arial"/>
          <w:b/>
          <w:bCs/>
          <w:lang/>
        </w:rPr>
        <w:t xml:space="preserve"> ALTERNATIVAS</w:t>
      </w:r>
    </w:p>
    <w:p w14:paraId="53F472CE">
      <w:pPr>
        <w:pStyle w:val="49"/>
        <w:jc w:val="both"/>
        <w:rPr>
          <w:rFonts w:ascii="Arial Narrow" w:hAnsi="Arial Narrow" w:cs="Arial"/>
          <w:b/>
          <w:sz w:val="22"/>
          <w:szCs w:val="22"/>
        </w:rPr>
      </w:pPr>
    </w:p>
    <w:p w14:paraId="63E51B8E">
      <w:pPr>
        <w:pStyle w:val="49"/>
        <w:jc w:val="both"/>
        <w:rPr>
          <w:rFonts w:ascii="Arial Narrow" w:hAnsi="Arial Narrow" w:cs="Arial"/>
          <w:sz w:val="22"/>
          <w:szCs w:val="22"/>
        </w:rPr>
      </w:pPr>
      <w:r>
        <w:rPr>
          <w:rFonts w:ascii="Arial Narrow" w:hAnsi="Arial Narrow" w:cs="Arial"/>
          <w:sz w:val="22"/>
          <w:szCs w:val="22"/>
        </w:rPr>
        <w:t>Los Proponentes pueden presentar propuestas alternativas técnicas y económicas de acuerdo con lo establecido en el numeral 6° del artículo 30 de la Ley 80 de 1993 siempre y cuando ellas no signifiquen condicionamientos para la adjudicación del contrato y cumplan con los siguientes requisitos:</w:t>
      </w:r>
    </w:p>
    <w:p w14:paraId="675F04CE">
      <w:pPr>
        <w:pStyle w:val="49"/>
        <w:rPr>
          <w:rFonts w:ascii="Arial Narrow" w:hAnsi="Arial Narrow"/>
          <w:sz w:val="22"/>
          <w:szCs w:val="22"/>
        </w:rPr>
      </w:pPr>
    </w:p>
    <w:p w14:paraId="43483418">
      <w:pPr>
        <w:pStyle w:val="52"/>
        <w:numPr>
          <w:ilvl w:val="0"/>
          <w:numId w:val="11"/>
        </w:numPr>
        <w:spacing w:after="0" w:line="240" w:lineRule="auto"/>
        <w:ind w:left="567" w:hanging="567"/>
        <w:jc w:val="both"/>
        <w:rPr>
          <w:rFonts w:ascii="Arial Narrow" w:hAnsi="Arial Narrow" w:cs="Arial"/>
          <w:lang/>
        </w:rPr>
      </w:pPr>
      <w:r>
        <w:rPr>
          <w:rFonts w:ascii="Arial Narrow" w:hAnsi="Arial Narrow" w:cs="Arial"/>
          <w:lang/>
        </w:rPr>
        <w:t>Que el Proponente presente una propuesta básica que se adecúe a las exigencias fijadas en el pliego de forma que pueda ser evaluada la oferta inicial con base en las reglas de Selección Objetiva allí contenidas.</w:t>
      </w:r>
    </w:p>
    <w:p w14:paraId="44034DB7">
      <w:pPr>
        <w:pStyle w:val="52"/>
        <w:spacing w:after="0" w:line="240" w:lineRule="auto"/>
        <w:ind w:left="567" w:hanging="567"/>
        <w:jc w:val="both"/>
        <w:rPr>
          <w:rFonts w:ascii="Arial Narrow" w:hAnsi="Arial Narrow" w:cs="Arial"/>
          <w:lang/>
        </w:rPr>
      </w:pPr>
    </w:p>
    <w:p w14:paraId="4DC94CE2">
      <w:pPr>
        <w:pStyle w:val="52"/>
        <w:numPr>
          <w:ilvl w:val="0"/>
          <w:numId w:val="11"/>
        </w:numPr>
        <w:spacing w:after="0" w:line="240" w:lineRule="auto"/>
        <w:ind w:left="567" w:hanging="567"/>
        <w:jc w:val="both"/>
        <w:rPr>
          <w:rFonts w:ascii="Arial Narrow" w:hAnsi="Arial Narrow" w:cs="Arial"/>
          <w:lang/>
        </w:rPr>
      </w:pPr>
      <w:r>
        <w:rPr>
          <w:rFonts w:ascii="Arial Narrow" w:hAnsi="Arial Narrow" w:cs="Arial"/>
          <w:lang/>
        </w:rPr>
        <w:t>Que la oferta alternativa, o las excepciones técnicas y económicas, se enmarquen en el principio de Selección Objetiva, de tal manera que la alternativa a la propuesta básica pueda también evaluarse conforme a las reglas de selección establecidas en el Pliego de Condiciones, sin que se afecten los parámetros neutrales de escogencia del contratista y no se desconozca el principio de igualdad.</w:t>
      </w:r>
    </w:p>
    <w:p w14:paraId="3E97470E">
      <w:pPr>
        <w:pStyle w:val="49"/>
        <w:rPr>
          <w:rFonts w:ascii="Arial Narrow" w:hAnsi="Arial Narrow"/>
          <w:sz w:val="22"/>
          <w:szCs w:val="22"/>
        </w:rPr>
      </w:pPr>
    </w:p>
    <w:p w14:paraId="4C8DAC77">
      <w:pPr>
        <w:pStyle w:val="49"/>
        <w:ind w:left="567"/>
        <w:jc w:val="both"/>
        <w:rPr>
          <w:rFonts w:ascii="Arial Narrow" w:hAnsi="Arial Narrow" w:cs="Arial"/>
          <w:sz w:val="22"/>
          <w:szCs w:val="22"/>
        </w:rPr>
      </w:pPr>
      <w:r>
        <w:rPr>
          <w:rFonts w:ascii="Arial Narrow" w:hAnsi="Arial Narrow" w:cs="Arial"/>
          <w:sz w:val="22"/>
          <w:szCs w:val="22"/>
        </w:rPr>
        <w:t>Cuando un Proponente presente una propuesta alternativa deberá adjuntar la información indispensable para su análisis y una descripción detallada del proceso de consultoría de estudios de ingeniería de infraestructura de transporte. Todos los costos necesarios para desarrollar la propuesta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721E3CE6">
      <w:pPr>
        <w:pStyle w:val="49"/>
        <w:ind w:left="567"/>
        <w:rPr>
          <w:rFonts w:ascii="Arial Narrow" w:hAnsi="Arial Narrow"/>
          <w:sz w:val="22"/>
          <w:szCs w:val="22"/>
        </w:rPr>
      </w:pPr>
    </w:p>
    <w:p w14:paraId="0D13446F">
      <w:pPr>
        <w:spacing w:after="0" w:line="240" w:lineRule="auto"/>
        <w:ind w:left="567"/>
        <w:jc w:val="both"/>
        <w:rPr>
          <w:rFonts w:ascii="Arial Narrow" w:hAnsi="Arial Narrow" w:cs="Arial"/>
          <w:lang/>
        </w:rPr>
      </w:pPr>
      <w:r>
        <w:rPr>
          <w:rFonts w:ascii="Arial Narrow" w:hAnsi="Arial Narrow" w:cs="Arial"/>
          <w:lang/>
        </w:rPr>
        <w:t>Las propuestas alternativas en SECOP II se deben allegar como “otros anexos” en su oferta, donde el Proponente debe hacer la claridad de su intención de presentar una propuesta alternativa.</w:t>
      </w:r>
    </w:p>
    <w:p w14:paraId="7E87AB0F">
      <w:pPr>
        <w:pStyle w:val="49"/>
        <w:jc w:val="both"/>
        <w:rPr>
          <w:rFonts w:ascii="Arial Narrow" w:hAnsi="Arial Narrow" w:cs="Arial"/>
          <w:sz w:val="22"/>
          <w:szCs w:val="22"/>
        </w:rPr>
      </w:pPr>
    </w:p>
    <w:p w14:paraId="0B32B337">
      <w:pPr>
        <w:pStyle w:val="52"/>
        <w:numPr>
          <w:ilvl w:val="1"/>
          <w:numId w:val="8"/>
        </w:numPr>
        <w:spacing w:after="0" w:line="240" w:lineRule="auto"/>
        <w:ind w:left="426" w:hanging="426"/>
        <w:jc w:val="both"/>
        <w:rPr>
          <w:rFonts w:ascii="Arial Narrow" w:hAnsi="Arial Narrow" w:cs="Arial"/>
          <w:b/>
          <w:bCs/>
          <w:lang/>
        </w:rPr>
      </w:pPr>
      <w:bookmarkStart w:id="62" w:name="_Toc84416974"/>
      <w:r>
        <w:rPr>
          <w:rFonts w:ascii="Arial Narrow" w:hAnsi="Arial Narrow" w:cs="Arial"/>
          <w:b/>
          <w:lang/>
        </w:rPr>
        <w:t>INFORMACIÓN</w:t>
      </w:r>
      <w:r>
        <w:rPr>
          <w:rFonts w:ascii="Arial Narrow" w:hAnsi="Arial Narrow" w:cs="Arial"/>
          <w:b/>
          <w:bCs/>
          <w:lang/>
        </w:rPr>
        <w:t xml:space="preserve"> INEXACTA</w:t>
      </w:r>
      <w:bookmarkEnd w:id="62"/>
    </w:p>
    <w:p w14:paraId="3311F037">
      <w:pPr>
        <w:spacing w:after="0" w:line="240" w:lineRule="auto"/>
        <w:jc w:val="both"/>
        <w:rPr>
          <w:rFonts w:ascii="Arial Narrow" w:hAnsi="Arial Narrow" w:cs="Arial"/>
          <w:lang/>
        </w:rPr>
      </w:pPr>
    </w:p>
    <w:p w14:paraId="52394067">
      <w:pPr>
        <w:spacing w:after="0" w:line="240" w:lineRule="auto"/>
        <w:jc w:val="both"/>
        <w:rPr>
          <w:rFonts w:ascii="Arial Narrow" w:hAnsi="Arial Narrow" w:cs="Arial"/>
          <w:lang/>
        </w:rPr>
      </w:pPr>
      <w:r>
        <w:rPr>
          <w:rFonts w:ascii="Arial Narrow" w:hAnsi="Arial Narrow" w:cs="Arial"/>
          <w:lang/>
        </w:rPr>
        <w:t xml:space="preserve">La Entidad se reserva el derecho de verificar integralmente la información aportada por el Proponente. Para esto, se puede acudir a las autoridades, personas, empresas o instituciones respectivas. </w:t>
      </w:r>
    </w:p>
    <w:p w14:paraId="796881C3">
      <w:pPr>
        <w:spacing w:after="0" w:line="240" w:lineRule="auto"/>
        <w:jc w:val="both"/>
        <w:rPr>
          <w:rFonts w:ascii="Arial Narrow" w:hAnsi="Arial Narrow" w:cs="Arial"/>
          <w:lang/>
        </w:rPr>
      </w:pPr>
    </w:p>
    <w:p w14:paraId="39470795">
      <w:pPr>
        <w:spacing w:after="0" w:line="240" w:lineRule="auto"/>
        <w:jc w:val="both"/>
        <w:rPr>
          <w:rFonts w:ascii="Arial Narrow" w:hAnsi="Arial Narrow" w:cs="Arial"/>
          <w:lang/>
        </w:rPr>
      </w:pPr>
      <w:r>
        <w:rPr>
          <w:rFonts w:ascii="Arial Narrow" w:hAnsi="Arial Narrow" w:cs="Arial"/>
          <w:lang/>
        </w:rPr>
        <w:t xml:space="preserve">Cuando exista inconsistencia entre la información suministrada por el Proponente y la verificada por la Entidad, la información que se pretende demostrar se entenderá como no acreditada. </w:t>
      </w:r>
    </w:p>
    <w:p w14:paraId="50AD3A30">
      <w:pPr>
        <w:spacing w:after="0" w:line="240" w:lineRule="auto"/>
        <w:jc w:val="both"/>
        <w:rPr>
          <w:rFonts w:ascii="Arial Narrow" w:hAnsi="Arial Narrow" w:cs="Arial"/>
          <w:lang/>
        </w:rPr>
      </w:pPr>
    </w:p>
    <w:p w14:paraId="62F39BFF">
      <w:pPr>
        <w:spacing w:after="0" w:line="240" w:lineRule="auto"/>
        <w:jc w:val="both"/>
        <w:rPr>
          <w:rFonts w:ascii="Arial Narrow" w:hAnsi="Arial Narrow" w:cs="Arial"/>
          <w:lang/>
        </w:rPr>
      </w:pPr>
    </w:p>
    <w:p w14:paraId="74FAAEC6">
      <w:pPr>
        <w:spacing w:after="0" w:line="240" w:lineRule="auto"/>
        <w:jc w:val="both"/>
        <w:rPr>
          <w:rFonts w:ascii="Arial Narrow" w:hAnsi="Arial Narrow" w:cs="Arial"/>
          <w:lang/>
        </w:rPr>
      </w:pPr>
    </w:p>
    <w:p w14:paraId="5377BC9C">
      <w:pPr>
        <w:pStyle w:val="52"/>
        <w:numPr>
          <w:ilvl w:val="1"/>
          <w:numId w:val="8"/>
        </w:numPr>
        <w:spacing w:after="0" w:line="240" w:lineRule="auto"/>
        <w:ind w:left="426" w:hanging="426"/>
        <w:jc w:val="both"/>
        <w:rPr>
          <w:rFonts w:ascii="Arial Narrow" w:hAnsi="Arial Narrow" w:cs="Arial"/>
          <w:b/>
          <w:bCs/>
          <w:lang/>
        </w:rPr>
      </w:pPr>
      <w:bookmarkStart w:id="63" w:name="_Toc84416975"/>
      <w:r>
        <w:rPr>
          <w:rFonts w:ascii="Arial Narrow" w:hAnsi="Arial Narrow" w:cs="Arial"/>
          <w:b/>
          <w:lang/>
        </w:rPr>
        <w:t>INFORMACIÓN</w:t>
      </w:r>
      <w:r>
        <w:rPr>
          <w:rFonts w:ascii="Arial Narrow" w:hAnsi="Arial Narrow" w:cs="Arial"/>
          <w:b/>
          <w:bCs/>
          <w:lang/>
        </w:rPr>
        <w:t xml:space="preserve"> RESERVADA</w:t>
      </w:r>
      <w:bookmarkEnd w:id="63"/>
    </w:p>
    <w:p w14:paraId="338B82C4">
      <w:pPr>
        <w:spacing w:after="0" w:line="240" w:lineRule="auto"/>
        <w:jc w:val="both"/>
        <w:rPr>
          <w:rFonts w:ascii="Arial Narrow" w:hAnsi="Arial Narrow" w:cs="Arial"/>
          <w:lang/>
        </w:rPr>
      </w:pPr>
    </w:p>
    <w:p w14:paraId="0A2467BB">
      <w:pPr>
        <w:spacing w:after="0" w:line="240" w:lineRule="auto"/>
        <w:jc w:val="both"/>
        <w:rPr>
          <w:rFonts w:ascii="Arial Narrow" w:hAnsi="Arial Narrow" w:cs="Arial"/>
          <w:lang/>
        </w:rPr>
      </w:pPr>
      <w:r>
        <w:rPr>
          <w:rFonts w:ascii="Arial Narrow" w:hAnsi="Arial Narrow" w:cs="Arial"/>
          <w:lang/>
        </w:rPr>
        <w:t>Si la propuesta incluye información que, conforme con la ley colombiana, tiene carácter de reservada, el Proponente debe manifestar esta circunstancia con absoluta claridad y precisión en el “Formato 14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31AC3233">
      <w:pPr>
        <w:spacing w:after="0" w:line="240" w:lineRule="auto"/>
        <w:jc w:val="both"/>
        <w:rPr>
          <w:rFonts w:ascii="Arial Narrow" w:hAnsi="Arial Narrow" w:cs="Arial"/>
          <w:lang/>
        </w:rPr>
      </w:pPr>
    </w:p>
    <w:p w14:paraId="360E8A05">
      <w:pPr>
        <w:spacing w:after="0" w:line="240" w:lineRule="auto"/>
        <w:jc w:val="both"/>
        <w:rPr>
          <w:rFonts w:ascii="Arial Narrow" w:hAnsi="Arial Narrow" w:cs="Arial"/>
          <w:lang/>
        </w:rPr>
      </w:pPr>
      <w:r>
        <w:rPr>
          <w:rFonts w:ascii="Arial Narrow" w:hAnsi="Arial Narrow" w:cs="Arial"/>
          <w:lang/>
        </w:rPr>
        <w:t xml:space="preserve">En todo caso, la Entidad, sus funcionarios, sus empleados, contratistas, agentes y asesores están obligados a mantener la reserva de la información que, por disposición legal, tenga dicha calidad y que haya sido identificada por el Proponente. </w:t>
      </w:r>
    </w:p>
    <w:p w14:paraId="47023EB1">
      <w:pPr>
        <w:spacing w:after="0" w:line="240" w:lineRule="auto"/>
        <w:jc w:val="both"/>
        <w:rPr>
          <w:rFonts w:ascii="Arial Narrow" w:hAnsi="Arial Narrow" w:cs="Arial"/>
          <w:lang/>
        </w:rPr>
      </w:pPr>
    </w:p>
    <w:p w14:paraId="66D1C432">
      <w:pPr>
        <w:pStyle w:val="52"/>
        <w:numPr>
          <w:ilvl w:val="1"/>
          <w:numId w:val="8"/>
        </w:numPr>
        <w:spacing w:after="0" w:line="240" w:lineRule="auto"/>
        <w:ind w:left="426" w:hanging="426"/>
        <w:jc w:val="both"/>
        <w:rPr>
          <w:rFonts w:ascii="Arial Narrow" w:hAnsi="Arial Narrow" w:cs="Arial"/>
          <w:b/>
          <w:bCs/>
          <w:lang/>
        </w:rPr>
      </w:pPr>
      <w:bookmarkStart w:id="64" w:name="_Toc84416976"/>
      <w:r>
        <w:rPr>
          <w:rFonts w:ascii="Arial Narrow" w:hAnsi="Arial Narrow" w:cs="Arial"/>
          <w:b/>
          <w:lang/>
        </w:rPr>
        <w:t>MONEDA</w:t>
      </w:r>
      <w:bookmarkEnd w:id="64"/>
    </w:p>
    <w:p w14:paraId="18609EF6">
      <w:pPr>
        <w:spacing w:after="0" w:line="240" w:lineRule="auto"/>
        <w:jc w:val="both"/>
        <w:rPr>
          <w:rFonts w:ascii="Arial Narrow" w:hAnsi="Arial Narrow" w:cs="Arial"/>
          <w:lang/>
        </w:rPr>
      </w:pPr>
    </w:p>
    <w:p w14:paraId="4DBF1351">
      <w:pPr>
        <w:numPr>
          <w:ilvl w:val="0"/>
          <w:numId w:val="12"/>
        </w:numPr>
        <w:spacing w:after="0" w:line="240" w:lineRule="auto"/>
        <w:ind w:left="426"/>
        <w:jc w:val="both"/>
        <w:rPr>
          <w:rFonts w:ascii="Arial Narrow" w:hAnsi="Arial Narrow" w:cs="Arial"/>
          <w:b/>
          <w:bCs/>
          <w:lang/>
        </w:rPr>
      </w:pPr>
      <w:r>
        <w:rPr>
          <w:rFonts w:ascii="Arial Narrow" w:hAnsi="Arial Narrow" w:cs="Arial"/>
          <w:b/>
          <w:bCs/>
          <w:lang/>
        </w:rPr>
        <w:t>Monedas Extranjeras</w:t>
      </w:r>
    </w:p>
    <w:p w14:paraId="3654DCFF">
      <w:pPr>
        <w:spacing w:after="0" w:line="240" w:lineRule="auto"/>
        <w:jc w:val="both"/>
        <w:rPr>
          <w:rFonts w:ascii="Arial Narrow" w:hAnsi="Arial Narrow" w:cs="Arial"/>
          <w:lang/>
        </w:rPr>
      </w:pPr>
    </w:p>
    <w:p w14:paraId="70AF02EB">
      <w:pPr>
        <w:spacing w:after="0" w:line="240" w:lineRule="auto"/>
        <w:jc w:val="both"/>
        <w:rPr>
          <w:rFonts w:ascii="Arial Narrow" w:hAnsi="Arial Narrow" w:cs="Arial"/>
          <w:lang/>
        </w:rPr>
      </w:pPr>
      <w:r>
        <w:rPr>
          <w:rFonts w:ascii="Arial Narrow" w:hAnsi="Arial Narrow" w:cs="Arial"/>
          <w:lang/>
        </w:rPr>
        <w:t>Los valores de los documentos aportados en la propuesta deben presentarse en Pesos Colombianos. Cuando un valor se exprese en moneda extranjera debe convertirse a Pesos Colombianos, teniendo en cuenta lo siguiente:</w:t>
      </w:r>
    </w:p>
    <w:p w14:paraId="050FDAE0">
      <w:pPr>
        <w:spacing w:after="0" w:line="240" w:lineRule="auto"/>
        <w:jc w:val="both"/>
        <w:rPr>
          <w:rFonts w:ascii="Arial Narrow" w:hAnsi="Arial Narrow" w:cs="Arial"/>
          <w:lang/>
        </w:rPr>
      </w:pPr>
    </w:p>
    <w:p w14:paraId="36B46EC3">
      <w:pPr>
        <w:numPr>
          <w:ilvl w:val="0"/>
          <w:numId w:val="13"/>
        </w:numPr>
        <w:spacing w:after="0" w:line="240" w:lineRule="auto"/>
        <w:ind w:left="426" w:right="142" w:hanging="426"/>
        <w:contextualSpacing/>
        <w:jc w:val="both"/>
        <w:rPr>
          <w:rFonts w:ascii="Arial Narrow" w:hAnsi="Arial Narrow" w:cs="Arial"/>
        </w:rPr>
      </w:pPr>
      <w:r>
        <w:rPr>
          <w:rFonts w:ascii="Arial Narrow" w:hAnsi="Arial Narrow" w:cs="Arial"/>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conversión de cada Contrato en el </w:t>
      </w:r>
      <w:bookmarkStart w:id="65" w:name="_Hlk104229013"/>
      <w:r>
        <w:rPr>
          <w:rFonts w:ascii="Arial Narrow" w:hAnsi="Arial Narrow" w:cs="Arial"/>
        </w:rPr>
        <w:t>“Formato 19 A– Experiencia General o Formato 19 B Experiencia Específica” o “Formato 19 C Experiencia Ponderable” (cuando sean exigidos)</w:t>
      </w:r>
      <w:bookmarkEnd w:id="65"/>
      <w:r>
        <w:rPr>
          <w:rFonts w:ascii="Arial Narrow" w:hAnsi="Arial Narrow" w:cs="Arial"/>
        </w:rPr>
        <w:t xml:space="preserve">. La TRM utilizada será la certificada por la Superintendencia Financiera de Colombia. </w:t>
      </w:r>
    </w:p>
    <w:p w14:paraId="2B086B6C">
      <w:pPr>
        <w:spacing w:after="0" w:line="240" w:lineRule="auto"/>
        <w:ind w:left="426"/>
        <w:jc w:val="both"/>
        <w:rPr>
          <w:rFonts w:ascii="Arial Narrow" w:hAnsi="Arial Narrow" w:cs="Arial"/>
          <w:lang/>
        </w:rPr>
      </w:pPr>
    </w:p>
    <w:p w14:paraId="7D0DDE08">
      <w:pPr>
        <w:numPr>
          <w:ilvl w:val="0"/>
          <w:numId w:val="13"/>
        </w:numPr>
        <w:spacing w:after="0" w:line="240" w:lineRule="auto"/>
        <w:ind w:left="426" w:hanging="426"/>
        <w:contextualSpacing/>
        <w:jc w:val="both"/>
        <w:rPr>
          <w:rFonts w:ascii="Arial Narrow" w:hAnsi="Arial Narrow" w:cs="Arial"/>
          <w:lang/>
        </w:rPr>
      </w:pPr>
      <w:r>
        <w:rPr>
          <w:rFonts w:ascii="Arial Narrow" w:hAnsi="Arial Narrow" w:cs="Arial"/>
          <w:lang/>
        </w:rPr>
        <w:t xml:space="preserve">Si los valores del Contrato están expresados originalmente en una moneda diferente a Dólares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 [Para el cálculo se recomienda acudir al siguiente link: https://www.oanda.com/lang/es/currency/converter/] Hecho esto, se procederá en la forma señalada en el numeral anterior. </w:t>
      </w:r>
    </w:p>
    <w:p w14:paraId="16675D72">
      <w:pPr>
        <w:numPr>
          <w:ilvl w:val="0"/>
          <w:numId w:val="13"/>
        </w:numPr>
        <w:spacing w:after="0" w:line="240" w:lineRule="auto"/>
        <w:ind w:left="426" w:hanging="426"/>
        <w:contextualSpacing/>
        <w:jc w:val="both"/>
        <w:rPr>
          <w:rFonts w:ascii="Arial Narrow" w:hAnsi="Arial Narrow" w:cs="Arial"/>
          <w:lang/>
        </w:rPr>
      </w:pPr>
      <w:r>
        <w:rPr>
          <w:rFonts w:ascii="Arial Narrow" w:hAnsi="Arial Narrow" w:cs="Arial"/>
          <w:lang/>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1678A0CE">
      <w:pPr>
        <w:spacing w:after="0" w:line="240" w:lineRule="auto"/>
        <w:ind w:left="426"/>
        <w:jc w:val="both"/>
        <w:rPr>
          <w:rFonts w:ascii="Arial Narrow" w:hAnsi="Arial Narrow" w:cs="Arial"/>
          <w:lang/>
        </w:rPr>
      </w:pPr>
    </w:p>
    <w:p w14:paraId="2CBDAFC4">
      <w:pPr>
        <w:numPr>
          <w:ilvl w:val="0"/>
          <w:numId w:val="13"/>
        </w:numPr>
        <w:spacing w:after="0" w:line="240" w:lineRule="auto"/>
        <w:ind w:left="426" w:hanging="426"/>
        <w:contextualSpacing/>
        <w:jc w:val="both"/>
        <w:rPr>
          <w:rFonts w:ascii="Arial Narrow" w:hAnsi="Arial Narrow" w:cs="Arial"/>
          <w:lang/>
        </w:rPr>
      </w:pPr>
      <w:r>
        <w:rPr>
          <w:rFonts w:ascii="Arial Narrow" w:hAnsi="Arial Narrow" w:cs="Arial"/>
          <w:lang/>
        </w:rPr>
        <w:t xml:space="preserve">Si los valores de los estados financieros están expresados originalmente en una moneda diferente a Dólares de los Estados Unidos de América, éstos deberán convertirse inicialmente a Dólares de los Estados Unidos de América utilizando para ello el valor correspondiente a la fecha de expedición de los estados financieros. Para verificar la tasa de cambio entre la moneda y el Dólar de los Estados Unidos de América, el Proponente podrá utilizar la página web https://www.oanda.com/lang/es/currency/converter/. Hecho esto se procederá en la forma señalada en el numeral III. </w:t>
      </w:r>
    </w:p>
    <w:p w14:paraId="0AB167B0">
      <w:pPr>
        <w:spacing w:after="0" w:line="240" w:lineRule="auto"/>
        <w:ind w:left="426"/>
        <w:contextualSpacing/>
        <w:jc w:val="both"/>
        <w:rPr>
          <w:rFonts w:ascii="Arial Narrow" w:hAnsi="Arial Narrow" w:cs="Arial"/>
          <w:lang/>
        </w:rPr>
      </w:pPr>
    </w:p>
    <w:p w14:paraId="77C08D67">
      <w:pPr>
        <w:numPr>
          <w:ilvl w:val="0"/>
          <w:numId w:val="12"/>
        </w:numPr>
        <w:spacing w:after="0" w:line="240" w:lineRule="auto"/>
        <w:ind w:left="426"/>
        <w:jc w:val="both"/>
        <w:rPr>
          <w:rFonts w:ascii="Arial Narrow" w:hAnsi="Arial Narrow" w:cs="Arial"/>
          <w:b/>
          <w:bCs/>
          <w:lang/>
        </w:rPr>
      </w:pPr>
      <w:r>
        <w:rPr>
          <w:rFonts w:ascii="Arial Narrow" w:hAnsi="Arial Narrow" w:cs="Arial"/>
          <w:b/>
          <w:bCs/>
          <w:lang/>
        </w:rPr>
        <w:t>Conversión a Salarios Mínimos Mensuales Legales Vigentes (SMMLV):</w:t>
      </w:r>
    </w:p>
    <w:p w14:paraId="30FD9045">
      <w:pPr>
        <w:spacing w:after="0" w:line="240" w:lineRule="auto"/>
        <w:jc w:val="both"/>
        <w:rPr>
          <w:rFonts w:ascii="Arial Narrow" w:hAnsi="Arial Narrow" w:cs="Arial"/>
          <w:lang/>
        </w:rPr>
      </w:pPr>
    </w:p>
    <w:p w14:paraId="0A94779E">
      <w:pPr>
        <w:spacing w:after="0" w:line="240" w:lineRule="auto"/>
        <w:jc w:val="both"/>
        <w:rPr>
          <w:rFonts w:ascii="Arial Narrow" w:hAnsi="Arial Narrow" w:cs="Arial"/>
          <w:lang/>
        </w:rPr>
      </w:pPr>
      <w:r>
        <w:rPr>
          <w:rFonts w:ascii="Arial Narrow" w:hAnsi="Arial Narrow" w:cs="Arial"/>
          <w:lang/>
        </w:rPr>
        <w:t xml:space="preserve">Cuando los documentos del Proceso de Contratación señalen que un valor debe expresarse en Salarios Mínimos Mensuales Legales Vigentes (SMMLV) se seguirá el siguiente proceso: </w:t>
      </w:r>
    </w:p>
    <w:p w14:paraId="7CBDA5FC">
      <w:pPr>
        <w:spacing w:after="0" w:line="240" w:lineRule="auto"/>
        <w:jc w:val="both"/>
        <w:rPr>
          <w:rFonts w:ascii="Arial Narrow" w:hAnsi="Arial Narrow" w:cs="Arial"/>
          <w:lang/>
        </w:rPr>
      </w:pPr>
    </w:p>
    <w:p w14:paraId="1295C097">
      <w:pPr>
        <w:numPr>
          <w:ilvl w:val="0"/>
          <w:numId w:val="14"/>
        </w:numPr>
        <w:spacing w:after="0" w:line="240" w:lineRule="auto"/>
        <w:ind w:left="426" w:hanging="426"/>
        <w:contextualSpacing/>
        <w:jc w:val="both"/>
        <w:rPr>
          <w:rFonts w:ascii="Arial Narrow" w:hAnsi="Arial Narrow" w:cs="Arial"/>
          <w:lang/>
        </w:rPr>
      </w:pPr>
      <w:r>
        <w:rPr>
          <w:rFonts w:ascii="Arial Narrow" w:hAnsi="Arial Narrow" w:cs="Arial"/>
          <w:lang/>
        </w:rPr>
        <w:t>Los valores convertidos a Pesos Colombianos, aplicando el procedimiento descrito en el literal anterior, o cuya moneda de origen sea el Peso Colombiano deben convertirse a SMMLV, para lo cual emplearán los valores históricos del SMMLV señalados por el Banco de la República (http://www.banrep.gov.co/es/mercado-laboral/salarios), del año correspondiente a la fecha de terminación del Contrato.</w:t>
      </w:r>
    </w:p>
    <w:p w14:paraId="160A2711">
      <w:pPr>
        <w:spacing w:after="0" w:line="240" w:lineRule="auto"/>
        <w:ind w:left="426" w:hanging="426"/>
        <w:jc w:val="both"/>
        <w:rPr>
          <w:rFonts w:ascii="Arial Narrow" w:hAnsi="Arial Narrow" w:cs="Arial"/>
          <w:lang/>
        </w:rPr>
      </w:pPr>
    </w:p>
    <w:p w14:paraId="1E897239">
      <w:pPr>
        <w:numPr>
          <w:ilvl w:val="0"/>
          <w:numId w:val="14"/>
        </w:numPr>
        <w:spacing w:after="0" w:line="240" w:lineRule="auto"/>
        <w:ind w:left="426" w:hanging="426"/>
        <w:contextualSpacing/>
        <w:jc w:val="both"/>
        <w:rPr>
          <w:rFonts w:ascii="Arial Narrow" w:hAnsi="Arial Narrow" w:cs="Arial"/>
          <w:lang/>
        </w:rPr>
      </w:pPr>
      <w:r>
        <w:rPr>
          <w:rFonts w:ascii="Arial Narrow" w:hAnsi="Arial Narrow" w:cs="Arial"/>
          <w:lang/>
        </w:rPr>
        <w:t>Los valores convertidos a SMMLV deben ajustarse a la unidad más próxima de la siguiente forma: hacia arriba para valores mayores o iguales a cero punto cinco (0.5) y hacia abajo para valores menores a cero punto cinco (0.5).</w:t>
      </w:r>
    </w:p>
    <w:p w14:paraId="19EFAD48">
      <w:pPr>
        <w:spacing w:after="0" w:line="240" w:lineRule="auto"/>
        <w:ind w:left="426" w:hanging="426"/>
        <w:jc w:val="both"/>
        <w:rPr>
          <w:rFonts w:ascii="Arial Narrow" w:hAnsi="Arial Narrow" w:cs="Arial"/>
          <w:lang/>
        </w:rPr>
      </w:pPr>
    </w:p>
    <w:p w14:paraId="1AD75BF4">
      <w:pPr>
        <w:spacing w:after="0" w:line="240" w:lineRule="auto"/>
        <w:ind w:left="426"/>
        <w:jc w:val="both"/>
        <w:rPr>
          <w:rFonts w:ascii="Arial Narrow" w:hAnsi="Arial Narrow" w:cs="Arial"/>
          <w:lang/>
        </w:rPr>
      </w:pPr>
      <w:r>
        <w:rPr>
          <w:rFonts w:ascii="Arial Narrow" w:hAnsi="Arial Narrow" w:cs="Arial"/>
          <w:lang/>
        </w:rPr>
        <w:t xml:space="preserve">Si el Proponente aporta certificaciones que no indican el día, sino solamente el mes y el año se procederá así: </w:t>
      </w:r>
    </w:p>
    <w:p w14:paraId="52EF6D57">
      <w:pPr>
        <w:spacing w:after="0" w:line="240" w:lineRule="auto"/>
        <w:ind w:left="426" w:hanging="426"/>
        <w:jc w:val="both"/>
        <w:rPr>
          <w:rFonts w:ascii="Arial Narrow" w:hAnsi="Arial Narrow" w:cs="Arial"/>
          <w:lang/>
        </w:rPr>
      </w:pPr>
    </w:p>
    <w:p w14:paraId="46428A4E">
      <w:pPr>
        <w:spacing w:after="0" w:line="240" w:lineRule="auto"/>
        <w:ind w:left="426"/>
        <w:jc w:val="both"/>
        <w:rPr>
          <w:rFonts w:ascii="Arial Narrow" w:hAnsi="Arial Narrow" w:cs="Arial"/>
          <w:lang/>
        </w:rPr>
      </w:pPr>
      <w:r>
        <w:rPr>
          <w:rFonts w:ascii="Arial Narrow" w:hAnsi="Arial Narrow" w:cs="Arial"/>
          <w:lang/>
        </w:rPr>
        <w:t xml:space="preserve">Fecha (mes, año) de suscripción y/o inicio del Contrato: se tendrá en cuenta el último día del mes señalado en la certificación. </w:t>
      </w:r>
    </w:p>
    <w:p w14:paraId="01C0BB2A">
      <w:pPr>
        <w:spacing w:after="0" w:line="240" w:lineRule="auto"/>
        <w:ind w:left="426" w:hanging="426"/>
        <w:jc w:val="both"/>
        <w:rPr>
          <w:rFonts w:ascii="Arial Narrow" w:hAnsi="Arial Narrow" w:cs="Arial"/>
          <w:lang/>
        </w:rPr>
      </w:pPr>
    </w:p>
    <w:p w14:paraId="59D8F227">
      <w:pPr>
        <w:spacing w:after="0" w:line="240" w:lineRule="auto"/>
        <w:ind w:left="426"/>
        <w:jc w:val="both"/>
        <w:rPr>
          <w:rFonts w:ascii="Arial Narrow" w:hAnsi="Arial Narrow" w:cs="Arial"/>
          <w:lang/>
        </w:rPr>
      </w:pPr>
      <w:r>
        <w:rPr>
          <w:rFonts w:ascii="Arial Narrow" w:hAnsi="Arial Narrow" w:cs="Arial"/>
          <w:lang/>
        </w:rPr>
        <w:t>Fecha (mes, año) de terminación del Contrato: se tendrá en cuenta el primer día del mes señalado en la certificación.</w:t>
      </w:r>
      <w:bookmarkStart w:id="66" w:name="_Toc84416977"/>
    </w:p>
    <w:p w14:paraId="72CEAF57">
      <w:pPr>
        <w:keepNext/>
        <w:keepLines/>
        <w:spacing w:after="0" w:line="240" w:lineRule="auto"/>
        <w:jc w:val="both"/>
        <w:outlineLvl w:val="1"/>
        <w:rPr>
          <w:rFonts w:ascii="Arial Narrow" w:hAnsi="Arial Narrow" w:cs="Arial"/>
          <w:lang/>
        </w:rPr>
      </w:pPr>
    </w:p>
    <w:p w14:paraId="7E298008">
      <w:pPr>
        <w:pStyle w:val="52"/>
        <w:numPr>
          <w:ilvl w:val="1"/>
          <w:numId w:val="8"/>
        </w:numPr>
        <w:spacing w:after="0" w:line="240" w:lineRule="auto"/>
        <w:ind w:left="426" w:hanging="426"/>
        <w:jc w:val="both"/>
        <w:rPr>
          <w:rFonts w:ascii="Arial Narrow" w:hAnsi="Arial Narrow" w:cs="Arial"/>
          <w:b/>
          <w:bCs/>
          <w:lang/>
        </w:rPr>
      </w:pPr>
      <w:r>
        <w:rPr>
          <w:rFonts w:ascii="Arial Narrow" w:hAnsi="Arial Narrow" w:cs="Arial"/>
          <w:b/>
          <w:lang/>
        </w:rPr>
        <w:t>CONFLICTO</w:t>
      </w:r>
      <w:r>
        <w:rPr>
          <w:rFonts w:ascii="Arial Narrow" w:hAnsi="Arial Narrow" w:cs="Arial"/>
          <w:b/>
          <w:bCs/>
          <w:lang/>
        </w:rPr>
        <w:t xml:space="preserve"> DE INTERÉS DE ORIGEN CONSTITUCIONAL O LEGAL</w:t>
      </w:r>
      <w:bookmarkEnd w:id="66"/>
    </w:p>
    <w:p w14:paraId="1921B49C">
      <w:pPr>
        <w:spacing w:after="0" w:line="240" w:lineRule="auto"/>
        <w:jc w:val="both"/>
        <w:rPr>
          <w:rFonts w:ascii="Arial Narrow" w:hAnsi="Arial Narrow" w:cs="Arial"/>
          <w:lang/>
        </w:rPr>
      </w:pPr>
    </w:p>
    <w:p w14:paraId="3D1A8855">
      <w:pPr>
        <w:spacing w:after="0" w:line="240" w:lineRule="auto"/>
        <w:jc w:val="both"/>
        <w:rPr>
          <w:rFonts w:ascii="Arial Narrow" w:hAnsi="Arial Narrow" w:cs="Arial"/>
          <w:lang/>
        </w:rPr>
      </w:pPr>
      <w:r>
        <w:rPr>
          <w:rFonts w:ascii="Arial Narrow" w:hAnsi="Arial Narrow" w:cs="Arial"/>
          <w:lang/>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3DECFF8B">
      <w:pPr>
        <w:spacing w:after="0" w:line="240" w:lineRule="auto"/>
        <w:jc w:val="both"/>
        <w:rPr>
          <w:rFonts w:ascii="Arial Narrow" w:hAnsi="Arial Narrow" w:cs="Arial"/>
          <w:lang/>
        </w:rPr>
      </w:pPr>
    </w:p>
    <w:p w14:paraId="48144918">
      <w:pPr>
        <w:spacing w:after="0" w:line="240" w:lineRule="auto"/>
        <w:jc w:val="both"/>
        <w:rPr>
          <w:rFonts w:ascii="Arial Narrow" w:hAnsi="Arial Narrow" w:eastAsia="Times New Roman" w:cs="Arial"/>
          <w:lang w:eastAsia="es-CO"/>
        </w:rPr>
      </w:pPr>
      <w:r>
        <w:rPr>
          <w:rFonts w:ascii="Arial Narrow" w:hAnsi="Arial Narrow" w:cs="Arial"/>
          <w:lang/>
        </w:rPr>
        <w:t xml:space="preserve">Tampoco podrán participar quienes hayan </w:t>
      </w:r>
      <w:r>
        <w:rPr>
          <w:rFonts w:ascii="Arial Narrow" w:hAnsi="Arial Narrow" w:eastAsia="Times New Roman" w:cs="Arial"/>
          <w:lang w:eastAsia="es-CO"/>
        </w:rPr>
        <w:t>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Funcionarios Públicos o Contratistas.</w:t>
      </w:r>
    </w:p>
    <w:p w14:paraId="4D44F024">
      <w:pPr>
        <w:spacing w:after="0" w:line="240" w:lineRule="auto"/>
        <w:jc w:val="both"/>
        <w:rPr>
          <w:rFonts w:ascii="Arial Narrow" w:hAnsi="Arial Narrow" w:cs="Arial"/>
          <w:lang/>
        </w:rPr>
      </w:pPr>
    </w:p>
    <w:p w14:paraId="68BD676C">
      <w:pPr>
        <w:pStyle w:val="52"/>
        <w:numPr>
          <w:ilvl w:val="1"/>
          <w:numId w:val="8"/>
        </w:numPr>
        <w:spacing w:after="0" w:line="240" w:lineRule="auto"/>
        <w:ind w:left="426" w:hanging="426"/>
        <w:jc w:val="both"/>
        <w:rPr>
          <w:rFonts w:ascii="Arial Narrow" w:hAnsi="Arial Narrow" w:cs="Arial"/>
          <w:b/>
          <w:bCs/>
          <w:lang/>
        </w:rPr>
      </w:pPr>
      <w:bookmarkStart w:id="67" w:name="_Toc84416980"/>
      <w:r>
        <w:rPr>
          <w:rFonts w:ascii="Arial Narrow" w:hAnsi="Arial Narrow" w:cs="Arial"/>
          <w:b/>
          <w:lang/>
        </w:rPr>
        <w:t>NORMAS</w:t>
      </w:r>
      <w:r>
        <w:rPr>
          <w:rFonts w:ascii="Arial Narrow" w:hAnsi="Arial Narrow" w:cs="Arial"/>
          <w:b/>
          <w:bCs/>
          <w:lang/>
        </w:rPr>
        <w:t xml:space="preserve"> DE INTERPRETACIÓN DEL PLIEGO DE CONDICIONES</w:t>
      </w:r>
      <w:bookmarkEnd w:id="67"/>
      <w:r>
        <w:rPr>
          <w:rFonts w:ascii="Arial Narrow" w:hAnsi="Arial Narrow" w:cs="Arial"/>
          <w:b/>
          <w:bCs/>
          <w:lang/>
        </w:rPr>
        <w:t xml:space="preserve"> </w:t>
      </w:r>
    </w:p>
    <w:p w14:paraId="45358BFA">
      <w:pPr>
        <w:spacing w:after="0" w:line="240" w:lineRule="auto"/>
        <w:jc w:val="both"/>
        <w:rPr>
          <w:rFonts w:ascii="Arial Narrow" w:hAnsi="Arial Narrow" w:cs="Arial"/>
          <w:lang/>
        </w:rPr>
      </w:pPr>
    </w:p>
    <w:p w14:paraId="3247C552">
      <w:pPr>
        <w:pStyle w:val="49"/>
        <w:jc w:val="both"/>
        <w:rPr>
          <w:rFonts w:ascii="Arial Narrow" w:hAnsi="Arial Narrow" w:cs="Arial"/>
          <w:sz w:val="22"/>
          <w:szCs w:val="22"/>
        </w:rPr>
      </w:pPr>
      <w:r>
        <w:rPr>
          <w:rFonts w:ascii="Arial Narrow" w:hAnsi="Arial Narrow" w:cs="Arial"/>
          <w:sz w:val="22"/>
          <w:szCs w:val="22"/>
        </w:rPr>
        <w:t>La presentación de una oferta evidencia que el oferente ha examinado y acepta completamente el pliego de condiciones,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el pliego de condiciones. Al igual que los documentos antecedes, como son especificaciones técnicas, adendas, otros, todos publicados en el SECOP II.</w:t>
      </w:r>
    </w:p>
    <w:p w14:paraId="1EA848A8">
      <w:pPr>
        <w:pStyle w:val="49"/>
        <w:jc w:val="both"/>
        <w:rPr>
          <w:rFonts w:ascii="Arial Narrow" w:hAnsi="Arial Narrow" w:cs="Arial"/>
          <w:sz w:val="22"/>
          <w:szCs w:val="22"/>
        </w:rPr>
      </w:pPr>
      <w:r>
        <w:rPr>
          <w:rFonts w:ascii="Arial Narrow" w:hAnsi="Arial Narrow" w:cs="Arial"/>
          <w:sz w:val="22"/>
          <w:szCs w:val="22"/>
        </w:rPr>
        <w:t>En todo caso se entenderá que el oferente al presentar su oferta conoce el contenido y los alcances del Manual de Contratación de la AEROCIVIL y demás normas de carácter público y privado que regulen los procesos de contratación.</w:t>
      </w:r>
    </w:p>
    <w:p w14:paraId="38F815EB">
      <w:pPr>
        <w:spacing w:after="0" w:line="240" w:lineRule="auto"/>
        <w:jc w:val="both"/>
        <w:rPr>
          <w:rFonts w:ascii="Arial Narrow" w:hAnsi="Arial Narrow" w:cs="Arial"/>
          <w:lang/>
        </w:rPr>
      </w:pPr>
    </w:p>
    <w:p w14:paraId="206DBDC0">
      <w:pPr>
        <w:spacing w:after="0" w:line="240" w:lineRule="auto"/>
        <w:jc w:val="both"/>
        <w:rPr>
          <w:rFonts w:ascii="Arial Narrow" w:hAnsi="Arial Narrow" w:cs="Arial"/>
          <w:lang/>
        </w:rPr>
      </w:pPr>
      <w:r>
        <w:rPr>
          <w:rFonts w:ascii="Arial Narrow" w:hAnsi="Arial Narrow" w:cs="Arial"/>
          <w:lang/>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2D153F60">
      <w:pPr>
        <w:spacing w:after="0" w:line="240" w:lineRule="auto"/>
        <w:jc w:val="both"/>
        <w:rPr>
          <w:rFonts w:ascii="Arial Narrow" w:hAnsi="Arial Narrow" w:cs="Arial"/>
          <w:lang/>
        </w:rPr>
      </w:pPr>
    </w:p>
    <w:p w14:paraId="232D0A70">
      <w:pPr>
        <w:spacing w:after="0" w:line="240" w:lineRule="auto"/>
        <w:jc w:val="both"/>
        <w:rPr>
          <w:rFonts w:ascii="Arial Narrow" w:hAnsi="Arial Narrow" w:cs="Arial"/>
          <w:lang/>
        </w:rPr>
      </w:pPr>
      <w:r>
        <w:rPr>
          <w:rFonts w:ascii="Arial Narrow" w:hAnsi="Arial Narrow" w:cs="Arial"/>
          <w:lang/>
        </w:rPr>
        <w:t>Además, se seguirán los siguientes criterios para interpretar y entender el Pliego de Condiciones:</w:t>
      </w:r>
    </w:p>
    <w:p w14:paraId="11F625E2">
      <w:pPr>
        <w:spacing w:after="0" w:line="240" w:lineRule="auto"/>
        <w:jc w:val="both"/>
        <w:rPr>
          <w:rFonts w:ascii="Arial Narrow" w:hAnsi="Arial Narrow" w:cs="Arial"/>
          <w:lang/>
        </w:rPr>
      </w:pPr>
    </w:p>
    <w:p w14:paraId="2B18159C">
      <w:pPr>
        <w:numPr>
          <w:ilvl w:val="0"/>
          <w:numId w:val="15"/>
        </w:numPr>
        <w:tabs>
          <w:tab w:val="left" w:pos="426"/>
        </w:tabs>
        <w:spacing w:after="0" w:line="240" w:lineRule="auto"/>
        <w:ind w:left="426" w:hanging="426"/>
        <w:contextualSpacing/>
        <w:jc w:val="both"/>
        <w:rPr>
          <w:rFonts w:ascii="Arial Narrow" w:hAnsi="Arial Narrow" w:cs="Arial"/>
          <w:lang/>
        </w:rPr>
      </w:pPr>
      <w:r>
        <w:rPr>
          <w:rFonts w:ascii="Arial Narrow" w:hAnsi="Arial Narrow" w:cs="Arial"/>
          <w:lang/>
        </w:rPr>
        <w:t>El orden de los numerales, capítulos y cláusulas de este Pliego de Condiciones no deben interpretarse como un grado de prelación entre los mismos.</w:t>
      </w:r>
    </w:p>
    <w:p w14:paraId="5601D896">
      <w:pPr>
        <w:numPr>
          <w:ilvl w:val="0"/>
          <w:numId w:val="15"/>
        </w:numPr>
        <w:tabs>
          <w:tab w:val="left" w:pos="426"/>
        </w:tabs>
        <w:spacing w:after="0" w:line="240" w:lineRule="auto"/>
        <w:ind w:left="426" w:hanging="426"/>
        <w:contextualSpacing/>
        <w:jc w:val="both"/>
        <w:rPr>
          <w:rFonts w:ascii="Arial Narrow" w:hAnsi="Arial Narrow" w:cs="Arial"/>
          <w:lang/>
        </w:rPr>
      </w:pPr>
      <w:r>
        <w:rPr>
          <w:rFonts w:ascii="Arial Narrow" w:hAnsi="Arial Narrow" w:cs="Arial"/>
          <w:lang/>
        </w:rPr>
        <w:t>Los títulos de los numerales y capítulos utilizados en este pliego solo sirven como referencia y no afectan la interpretación de su contenido.</w:t>
      </w:r>
    </w:p>
    <w:p w14:paraId="1FDEE74F">
      <w:pPr>
        <w:numPr>
          <w:ilvl w:val="0"/>
          <w:numId w:val="15"/>
        </w:numPr>
        <w:tabs>
          <w:tab w:val="left" w:pos="426"/>
        </w:tabs>
        <w:spacing w:after="0" w:line="240" w:lineRule="auto"/>
        <w:ind w:left="426" w:hanging="426"/>
        <w:contextualSpacing/>
        <w:jc w:val="both"/>
        <w:rPr>
          <w:rFonts w:ascii="Arial Narrow" w:hAnsi="Arial Narrow" w:cs="Arial"/>
          <w:lang/>
        </w:rPr>
      </w:pPr>
      <w:r>
        <w:rPr>
          <w:rFonts w:ascii="Arial Narrow" w:hAnsi="Arial Narrow" w:cs="Arial"/>
          <w:lang/>
        </w:rPr>
        <w:t>Las palabras en singular se entenderán también en plural y viceversa, cuando lo exija el contexto; y las palabras en género femenino, se entenderán en género masculino y viceversa, cuando el contexto lo requiera.</w:t>
      </w:r>
    </w:p>
    <w:p w14:paraId="455C7BFE">
      <w:pPr>
        <w:numPr>
          <w:ilvl w:val="0"/>
          <w:numId w:val="15"/>
        </w:numPr>
        <w:tabs>
          <w:tab w:val="left" w:pos="426"/>
        </w:tabs>
        <w:spacing w:after="0" w:line="240" w:lineRule="auto"/>
        <w:ind w:left="426" w:hanging="426"/>
        <w:contextualSpacing/>
        <w:jc w:val="both"/>
        <w:rPr>
          <w:rFonts w:ascii="Arial Narrow" w:hAnsi="Arial Narrow" w:cs="Arial"/>
          <w:lang/>
        </w:rPr>
      </w:pPr>
      <w:r>
        <w:rPr>
          <w:rFonts w:ascii="Arial Narrow" w:hAnsi="Arial Narrow" w:cs="Arial"/>
          <w:lang/>
        </w:rPr>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080DA541">
      <w:pPr>
        <w:numPr>
          <w:ilvl w:val="0"/>
          <w:numId w:val="15"/>
        </w:numPr>
        <w:tabs>
          <w:tab w:val="left" w:pos="426"/>
        </w:tabs>
        <w:spacing w:after="0" w:line="240" w:lineRule="auto"/>
        <w:ind w:left="426" w:hanging="426"/>
        <w:contextualSpacing/>
        <w:jc w:val="both"/>
        <w:rPr>
          <w:rFonts w:ascii="Arial Narrow" w:hAnsi="Arial Narrow" w:cs="Arial"/>
          <w:lang/>
        </w:rPr>
      </w:pPr>
      <w:r>
        <w:rPr>
          <w:rFonts w:ascii="Arial Narrow" w:hAnsi="Arial Narrow" w:cs="Arial"/>
          <w:lang/>
        </w:rPr>
        <w:t>Las palabras definidas en este Pliego de Condiciones deben entenderse en dicho sentido.</w:t>
      </w:r>
    </w:p>
    <w:p w14:paraId="0E896A42">
      <w:pPr>
        <w:numPr>
          <w:ilvl w:val="0"/>
          <w:numId w:val="15"/>
        </w:numPr>
        <w:tabs>
          <w:tab w:val="left" w:pos="426"/>
        </w:tabs>
        <w:spacing w:after="0" w:line="240" w:lineRule="auto"/>
        <w:ind w:left="426" w:hanging="426"/>
        <w:contextualSpacing/>
        <w:jc w:val="both"/>
        <w:rPr>
          <w:rFonts w:ascii="Arial Narrow" w:hAnsi="Arial Narrow" w:cs="Arial"/>
          <w:lang/>
        </w:rPr>
      </w:pPr>
      <w:r>
        <w:rPr>
          <w:rFonts w:ascii="Arial Narrow" w:hAnsi="Arial Narrow" w:cs="Arial"/>
          <w:lang/>
        </w:rPr>
        <w:t>Las referencias a normas jurídicas incluyen las disposiciones que las modifiquen, adicionen, sustituyan o complementen.</w:t>
      </w:r>
    </w:p>
    <w:p w14:paraId="48BE2FEE">
      <w:pPr>
        <w:numPr>
          <w:ilvl w:val="0"/>
          <w:numId w:val="15"/>
        </w:numPr>
        <w:tabs>
          <w:tab w:val="left" w:pos="426"/>
        </w:tabs>
        <w:spacing w:after="0" w:line="240" w:lineRule="auto"/>
        <w:ind w:left="426" w:hanging="426"/>
        <w:contextualSpacing/>
        <w:jc w:val="both"/>
        <w:rPr>
          <w:rFonts w:ascii="Arial Narrow" w:hAnsi="Arial Narrow" w:cs="Arial"/>
          <w:lang/>
        </w:rPr>
      </w:pPr>
      <w:r>
        <w:rPr>
          <w:rFonts w:ascii="Arial Narrow" w:hAnsi="Arial Narrow" w:cs="Arial"/>
          <w:lang/>
        </w:rPr>
        <w:t>Este pliego se interpretará, además, en lo pertinente, de conformidad con las reglas del Código Civil definidas en los artículos 1618 a 1624.</w:t>
      </w:r>
    </w:p>
    <w:p w14:paraId="4341A204">
      <w:pPr>
        <w:spacing w:after="0" w:line="240" w:lineRule="auto"/>
        <w:jc w:val="both"/>
        <w:rPr>
          <w:rFonts w:ascii="Arial Narrow" w:hAnsi="Arial Narrow" w:cs="Arial"/>
          <w:lang/>
        </w:rPr>
      </w:pPr>
    </w:p>
    <w:p w14:paraId="47F14427">
      <w:pPr>
        <w:pStyle w:val="52"/>
        <w:numPr>
          <w:ilvl w:val="1"/>
          <w:numId w:val="8"/>
        </w:numPr>
        <w:spacing w:after="0" w:line="240" w:lineRule="auto"/>
        <w:ind w:left="426" w:hanging="426"/>
        <w:jc w:val="both"/>
        <w:rPr>
          <w:rFonts w:ascii="Arial Narrow" w:hAnsi="Arial Narrow" w:cs="Arial"/>
          <w:b/>
          <w:bCs/>
          <w:lang/>
        </w:rPr>
      </w:pPr>
      <w:bookmarkStart w:id="68" w:name="_Toc84416981"/>
      <w:r>
        <w:rPr>
          <w:rFonts w:ascii="Arial Narrow" w:hAnsi="Arial Narrow" w:cs="Arial"/>
          <w:b/>
          <w:lang/>
        </w:rPr>
        <w:t>RETIRO</w:t>
      </w:r>
      <w:r>
        <w:rPr>
          <w:rFonts w:ascii="Arial Narrow" w:hAnsi="Arial Narrow" w:cs="Arial"/>
          <w:b/>
          <w:bCs/>
          <w:lang/>
        </w:rPr>
        <w:t xml:space="preserve"> DE LA PROPUESTA</w:t>
      </w:r>
      <w:bookmarkEnd w:id="68"/>
    </w:p>
    <w:p w14:paraId="3FC1B4DA">
      <w:pPr>
        <w:spacing w:after="0" w:line="240" w:lineRule="auto"/>
        <w:jc w:val="both"/>
        <w:rPr>
          <w:rFonts w:ascii="Arial Narrow" w:hAnsi="Arial Narrow" w:cs="Arial"/>
          <w:lang/>
        </w:rPr>
      </w:pPr>
    </w:p>
    <w:p w14:paraId="0543F1BB">
      <w:pPr>
        <w:spacing w:after="0" w:line="240" w:lineRule="auto"/>
        <w:jc w:val="both"/>
        <w:rPr>
          <w:rFonts w:ascii="Arial Narrow" w:hAnsi="Arial Narrow" w:cs="Arial"/>
          <w:lang/>
        </w:rPr>
      </w:pPr>
      <w:r>
        <w:rPr>
          <w:rFonts w:ascii="Arial Narrow" w:hAnsi="Arial Narrow" w:cs="Arial"/>
          <w:lang/>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1A9D40F1">
      <w:pPr>
        <w:spacing w:after="0" w:line="240" w:lineRule="auto"/>
        <w:jc w:val="both"/>
        <w:rPr>
          <w:rFonts w:ascii="Arial Narrow" w:hAnsi="Arial Narrow" w:cs="Arial"/>
          <w:lang/>
        </w:rPr>
      </w:pPr>
    </w:p>
    <w:p w14:paraId="1DD12542">
      <w:pPr>
        <w:pStyle w:val="52"/>
        <w:numPr>
          <w:ilvl w:val="1"/>
          <w:numId w:val="8"/>
        </w:numPr>
        <w:spacing w:after="0" w:line="240" w:lineRule="auto"/>
        <w:ind w:left="426" w:hanging="426"/>
        <w:jc w:val="both"/>
        <w:rPr>
          <w:rFonts w:ascii="Arial Narrow" w:hAnsi="Arial Narrow" w:cs="Arial"/>
          <w:b/>
          <w:bCs/>
          <w:lang/>
        </w:rPr>
      </w:pPr>
      <w:bookmarkStart w:id="69" w:name="_Toc84416982"/>
      <w:r>
        <w:rPr>
          <w:rFonts w:ascii="Arial Narrow" w:hAnsi="Arial Narrow" w:cs="Arial"/>
          <w:b/>
          <w:lang/>
        </w:rPr>
        <w:t>CONFIDENCIALIDAD</w:t>
      </w:r>
      <w:r>
        <w:rPr>
          <w:rFonts w:ascii="Arial Narrow" w:hAnsi="Arial Narrow" w:cs="Arial"/>
          <w:b/>
          <w:bCs/>
          <w:lang/>
        </w:rPr>
        <w:t xml:space="preserve"> DE LA INFORMACIÓN RELACIONADA CON DATOS SENSIBLES</w:t>
      </w:r>
      <w:bookmarkEnd w:id="69"/>
    </w:p>
    <w:p w14:paraId="7B8F284B">
      <w:pPr>
        <w:spacing w:after="0" w:line="240" w:lineRule="auto"/>
        <w:jc w:val="both"/>
        <w:rPr>
          <w:rFonts w:ascii="Arial Narrow" w:hAnsi="Arial Narrow" w:cs="Arial"/>
          <w:lang/>
        </w:rPr>
      </w:pPr>
    </w:p>
    <w:p w14:paraId="3E09C4D9">
      <w:pPr>
        <w:spacing w:after="0" w:line="240" w:lineRule="auto"/>
        <w:jc w:val="both"/>
        <w:rPr>
          <w:rFonts w:ascii="Arial Narrow" w:hAnsi="Arial Narrow" w:cs="Arial"/>
          <w:lang/>
        </w:rPr>
      </w:pPr>
      <w:r>
        <w:rPr>
          <w:rFonts w:ascii="Arial Narrow" w:hAnsi="Arial Narrow" w:cs="Arial"/>
          <w:lang/>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seguridad y los secretos comerciales, industriales y profesionales. De acuerdo con lo anterior, la Entidad garantizará el derecho a la reserva legal de toda aquella información que acredita el cumplimiento de los factores de desempate de: i) mujeres víctima de violencia intrafamiliar, ii) personas en proceso de reincorporación y/o reintegración y iii) la población indígena, negra, afrocolombiana, raizal, palenquera, Rrom o gitanas. </w:t>
      </w:r>
    </w:p>
    <w:p w14:paraId="17D19F90">
      <w:pPr>
        <w:spacing w:after="0" w:line="240" w:lineRule="auto"/>
        <w:jc w:val="both"/>
        <w:rPr>
          <w:rFonts w:ascii="Arial Narrow" w:hAnsi="Arial Narrow" w:cs="Arial"/>
          <w:lang/>
        </w:rPr>
      </w:pPr>
    </w:p>
    <w:p w14:paraId="5FE30BE9">
      <w:pPr>
        <w:spacing w:after="0" w:line="240" w:lineRule="auto"/>
        <w:jc w:val="both"/>
        <w:rPr>
          <w:rFonts w:ascii="Arial Narrow" w:hAnsi="Arial Narrow" w:cs="Arial"/>
          <w:lang/>
        </w:rPr>
      </w:pPr>
      <w:r>
        <w:rPr>
          <w:rFonts w:ascii="Arial Narrow" w:hAnsi="Arial Narrow" w:cs="Arial"/>
          <w:lang/>
        </w:rPr>
        <w:t xml:space="preserve">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palenquera, Rrom o gitanas, puesto que su conocimiento público afecta el derecho a la intimidad de los oferentes o de sus trabajadores o socios o accionistas. </w:t>
      </w:r>
    </w:p>
    <w:p w14:paraId="244CD71E">
      <w:pPr>
        <w:spacing w:after="0" w:line="240" w:lineRule="auto"/>
        <w:jc w:val="both"/>
        <w:rPr>
          <w:rFonts w:ascii="Arial Narrow" w:hAnsi="Arial Narrow" w:cs="Arial"/>
          <w:lang/>
        </w:rPr>
      </w:pPr>
    </w:p>
    <w:p w14:paraId="32E55BD6">
      <w:pPr>
        <w:spacing w:after="0" w:line="240" w:lineRule="auto"/>
        <w:jc w:val="both"/>
        <w:rPr>
          <w:rFonts w:ascii="Arial Narrow" w:hAnsi="Arial Narrow" w:cs="Arial"/>
          <w:lang/>
        </w:rPr>
      </w:pPr>
      <w:r>
        <w:rPr>
          <w:rFonts w:ascii="Arial Narrow" w:hAnsi="Arial Narrow" w:cs="Arial"/>
          <w:lang/>
        </w:rPr>
        <w:t>Además, de acuerdo con el artículo 6 de Ley 1581 de 2012, o la norma que lo modifique, aclare, adicione o sustituya, se requiere que el titular de la información de estos datos sensibles, como es el caso de las mujeres víctima de violencia intrafamiliar, las personas en proceso de reincorporación o reintegración, o la población indígena, negra, afrocolombiana, raizal, palenquera, Rrom o gitanas, diligencie el “Formato 11- Autorización para el tratamiento de datos personales” como requisito para el otorgamiento del criterio de desempate.</w:t>
      </w:r>
      <w:bookmarkEnd w:id="10"/>
      <w:bookmarkStart w:id="70" w:name="_Toc398128669"/>
    </w:p>
    <w:p w14:paraId="2400F497">
      <w:pPr>
        <w:spacing w:after="0" w:line="240" w:lineRule="auto"/>
        <w:jc w:val="both"/>
        <w:rPr>
          <w:rFonts w:ascii="Arial Narrow" w:hAnsi="Arial Narrow" w:cs="Arial"/>
          <w:lang/>
        </w:rPr>
      </w:pPr>
    </w:p>
    <w:p w14:paraId="53B40225">
      <w:pPr>
        <w:pStyle w:val="52"/>
        <w:numPr>
          <w:ilvl w:val="1"/>
          <w:numId w:val="8"/>
        </w:numPr>
        <w:spacing w:after="0" w:line="240" w:lineRule="auto"/>
        <w:ind w:left="426" w:hanging="426"/>
        <w:jc w:val="both"/>
        <w:rPr>
          <w:rFonts w:ascii="Arial Narrow" w:hAnsi="Arial Narrow" w:cs="Arial"/>
          <w:b/>
          <w:bCs/>
          <w:lang/>
        </w:rPr>
      </w:pPr>
      <w:r>
        <w:rPr>
          <w:rFonts w:ascii="Arial Narrow" w:hAnsi="Arial Narrow" w:cs="Arial"/>
          <w:b/>
          <w:lang/>
        </w:rPr>
        <w:t>GUÍAS</w:t>
      </w:r>
      <w:r>
        <w:rPr>
          <w:rFonts w:ascii="Arial Narrow" w:hAnsi="Arial Narrow" w:cs="Arial"/>
          <w:b/>
          <w:bCs/>
          <w:lang/>
        </w:rPr>
        <w:t xml:space="preserve"> PRÁCTICAS, MANUALES DE USO Y FORMATOS DEL SECOP II </w:t>
      </w:r>
    </w:p>
    <w:p w14:paraId="3BC3359C">
      <w:pPr>
        <w:spacing w:after="0" w:line="240" w:lineRule="auto"/>
        <w:rPr>
          <w:rFonts w:ascii="Arial Narrow" w:hAnsi="Arial Narrow" w:cs="Arial"/>
          <w:b/>
          <w:bCs/>
          <w:color w:val="000000"/>
          <w:lang/>
        </w:rPr>
      </w:pPr>
    </w:p>
    <w:p w14:paraId="4AEC784A">
      <w:pPr>
        <w:spacing w:after="0" w:line="240" w:lineRule="auto"/>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La agencia para la contratación pública Colombia Compra Eficiente creada mediante Decreto Ley 4170 de noviembre 3 de 2011 ha dispuesto en su portal web (</w:t>
      </w:r>
      <w:r>
        <w:fldChar w:fldCharType="begin"/>
      </w:r>
      <w:r>
        <w:instrText xml:space="preserve"> HYPERLINK "http://www.colombiacompra.gov.co" </w:instrText>
      </w:r>
      <w:r>
        <w:fldChar w:fldCharType="separate"/>
      </w:r>
      <w:r>
        <w:rPr>
          <w:rFonts w:ascii="Arial Narrow" w:hAnsi="Arial Narrow" w:eastAsia="Times New Roman" w:cs="Arial"/>
          <w:color w:val="000000"/>
          <w:lang w:eastAsia="es-ES"/>
        </w:rPr>
        <w:t>www.colombiacompra.gov.co</w:t>
      </w:r>
      <w:r>
        <w:rPr>
          <w:rFonts w:ascii="Arial Narrow" w:hAnsi="Arial Narrow" w:eastAsia="Times New Roman" w:cs="Arial"/>
          <w:color w:val="000000"/>
          <w:lang w:eastAsia="es-ES"/>
        </w:rPr>
        <w:fldChar w:fldCharType="end"/>
      </w:r>
      <w:r>
        <w:rPr>
          <w:rFonts w:ascii="Arial Narrow" w:hAnsi="Arial Narrow" w:eastAsia="Times New Roman" w:cs="Arial"/>
          <w:color w:val="000000"/>
          <w:lang w:eastAsia="es-ES"/>
        </w:rPr>
        <w:t>), guías, manuales, formatos, videos y material de apoyo para las entidades compradoras y proveedores, con el fin de facilitar el uso y participación en los procesos de contratación a través de la plataforma SECOP II.</w:t>
      </w:r>
    </w:p>
    <w:p w14:paraId="6CCF87D2">
      <w:pPr>
        <w:spacing w:after="0" w:line="240" w:lineRule="auto"/>
        <w:jc w:val="both"/>
        <w:rPr>
          <w:rFonts w:ascii="Arial Narrow" w:hAnsi="Arial Narrow" w:eastAsia="Times New Roman" w:cs="Arial"/>
          <w:color w:val="000000"/>
          <w:lang w:eastAsia="es-ES"/>
        </w:rPr>
      </w:pPr>
    </w:p>
    <w:p w14:paraId="709A746E">
      <w:pPr>
        <w:spacing w:after="0" w:line="240" w:lineRule="auto"/>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 xml:space="preserve">De allí que se recomienda a los interesados y eventuales proponentes consultar dicha información en el siguiente link: </w:t>
      </w:r>
      <w:r>
        <w:fldChar w:fldCharType="begin"/>
      </w:r>
      <w:r>
        <w:instrText xml:space="preserve"> HYPERLINK "https://colombiacompra.gov.co/manuales-guias-y-pliegos-tipo/manuales-y-guias" </w:instrText>
      </w:r>
      <w:r>
        <w:fldChar w:fldCharType="separate"/>
      </w:r>
      <w:r>
        <w:rPr>
          <w:rStyle w:val="17"/>
          <w:rFonts w:ascii="Arial Narrow" w:hAnsi="Arial Narrow" w:cs="Arial"/>
          <w:lang/>
        </w:rPr>
        <w:t>https://colombiacompra.gov.co/manuales-guias-y-pliegos-tipo/manuales-y-guias</w:t>
      </w:r>
      <w:r>
        <w:rPr>
          <w:rStyle w:val="17"/>
          <w:rFonts w:ascii="Arial Narrow" w:hAnsi="Arial Narrow" w:cs="Arial"/>
          <w:lang/>
        </w:rPr>
        <w:fldChar w:fldCharType="end"/>
      </w:r>
      <w:r>
        <w:rPr>
          <w:rFonts w:ascii="Arial Narrow" w:hAnsi="Arial Narrow" w:eastAsia="Times New Roman" w:cs="Arial"/>
          <w:color w:val="000000"/>
          <w:lang w:eastAsia="es-ES"/>
        </w:rPr>
        <w:t>, en donde encontraran, entre otras, las relacionadas con el registro en el SECOP II, para configurar la cuenta del proveedor en el SECOP II, creación de proponente plural en el SECOP II, para presentar observaciones en el SECOP II, para presentar ofertas en el SECOP II, etc.</w:t>
      </w:r>
    </w:p>
    <w:p w14:paraId="70718496">
      <w:pPr>
        <w:spacing w:after="0" w:line="240" w:lineRule="auto"/>
        <w:contextualSpacing/>
        <w:jc w:val="both"/>
        <w:rPr>
          <w:rFonts w:ascii="Arial Narrow" w:hAnsi="Arial Narrow" w:eastAsia="Times New Roman" w:cs="Arial"/>
          <w:color w:val="000000"/>
          <w:lang w:eastAsia="es-ES"/>
        </w:rPr>
      </w:pPr>
    </w:p>
    <w:p w14:paraId="4DF86C99">
      <w:pPr>
        <w:spacing w:after="0" w:line="240" w:lineRule="auto"/>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 xml:space="preserve">Por lo anterior, es responsabilidad de los proponentes tener en cuenta esta información para efectos de estructurar y presentar sus propuestas.  </w:t>
      </w:r>
    </w:p>
    <w:p w14:paraId="4E6AF808">
      <w:pPr>
        <w:spacing w:after="0" w:line="240" w:lineRule="auto"/>
        <w:jc w:val="both"/>
        <w:rPr>
          <w:rFonts w:ascii="Arial Narrow" w:hAnsi="Arial Narrow" w:eastAsia="Times New Roman" w:cs="Arial"/>
          <w:color w:val="000000"/>
          <w:lang w:eastAsia="es-ES"/>
        </w:rPr>
      </w:pPr>
    </w:p>
    <w:p w14:paraId="78BA2B90">
      <w:pPr>
        <w:spacing w:after="0" w:line="240" w:lineRule="auto"/>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 xml:space="preserve">En caso de presentarse indisponibilidad del sistema, los proponentes e interesados en el proceso, deberán aplicar el “Protocolo de Indisponibilidad Secop II” que se utiliza en estos casos, la cual encuentra en el sitio de soporte de Colombia Compra Eficiente:  </w:t>
      </w:r>
    </w:p>
    <w:p w14:paraId="1926194B">
      <w:pPr>
        <w:spacing w:after="0" w:line="240" w:lineRule="auto"/>
        <w:jc w:val="both"/>
        <w:rPr>
          <w:rFonts w:ascii="Arial Narrow" w:hAnsi="Arial Narrow" w:eastAsia="Times New Roman" w:cs="Arial"/>
          <w:color w:val="000000"/>
          <w:lang w:eastAsia="es-ES"/>
        </w:rPr>
      </w:pPr>
    </w:p>
    <w:p w14:paraId="65A50DF6">
      <w:pPr>
        <w:spacing w:after="0" w:line="240" w:lineRule="auto"/>
        <w:jc w:val="both"/>
        <w:rPr>
          <w:rFonts w:ascii="Arial Narrow" w:hAnsi="Arial Narrow" w:eastAsia="Times New Roman" w:cs="Arial"/>
          <w:color w:val="000000"/>
          <w:sz w:val="20"/>
          <w:szCs w:val="20"/>
          <w:lang w:eastAsia="es-ES"/>
        </w:rPr>
      </w:pPr>
      <w:r>
        <w:fldChar w:fldCharType="begin"/>
      </w:r>
      <w:r>
        <w:instrText xml:space="preserve"> HYPERLINK "https://colombiacompra.gov.co/sites/cce_public/files/files_2020/cce-sec-gi-14_protocolo_de_indisponibilidad_secop_ii_25-11-2022_0.pdf" </w:instrText>
      </w:r>
      <w:r>
        <w:fldChar w:fldCharType="separate"/>
      </w:r>
      <w:r>
        <w:rPr>
          <w:rStyle w:val="17"/>
          <w:rFonts w:ascii="Arial Narrow" w:hAnsi="Arial Narrow" w:cs="Arial"/>
          <w:sz w:val="20"/>
          <w:lang/>
        </w:rPr>
        <w:t>https://colombiacompra.gov.co/sites/cce_public/files/files_2020/cce-sec-gi-14_protocolo_de_indisponibilidad_secop_ii_25-11-2022_0.pdf</w:t>
      </w:r>
      <w:r>
        <w:rPr>
          <w:rStyle w:val="17"/>
          <w:rFonts w:ascii="Arial Narrow" w:hAnsi="Arial Narrow" w:cs="Arial"/>
          <w:sz w:val="20"/>
          <w:lang/>
        </w:rPr>
        <w:fldChar w:fldCharType="end"/>
      </w:r>
      <w:r>
        <w:rPr>
          <w:rFonts w:ascii="Arial Narrow" w:hAnsi="Arial Narrow" w:eastAsia="Times New Roman" w:cs="Arial"/>
          <w:color w:val="000000"/>
          <w:sz w:val="20"/>
          <w:szCs w:val="20"/>
          <w:lang w:eastAsia="es-ES"/>
        </w:rPr>
        <w:t xml:space="preserve"> </w:t>
      </w:r>
    </w:p>
    <w:p w14:paraId="08158DA8">
      <w:pPr>
        <w:autoSpaceDE w:val="0"/>
        <w:autoSpaceDN w:val="0"/>
        <w:adjustRightInd w:val="0"/>
        <w:spacing w:after="0" w:line="240" w:lineRule="auto"/>
        <w:jc w:val="both"/>
        <w:rPr>
          <w:rFonts w:ascii="Arial Narrow" w:hAnsi="Arial Narrow" w:eastAsia="Times New Roman" w:cs="Arial"/>
          <w:color w:val="000000"/>
          <w:lang w:eastAsia="es-ES"/>
        </w:rPr>
      </w:pPr>
    </w:p>
    <w:p w14:paraId="3DE8201A">
      <w:pPr>
        <w:autoSpaceDE w:val="0"/>
        <w:autoSpaceDN w:val="0"/>
        <w:adjustRightInd w:val="0"/>
        <w:spacing w:after="0" w:line="240" w:lineRule="auto"/>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 xml:space="preserve">SOLO en caso de indisponibilidad del sistema SECOP II, debidamente certificada por Colombia Compra Eficiente, los proponentes o interesados podrán remitir sus constancias y documentos al correo </w:t>
      </w:r>
      <w:r>
        <w:rPr>
          <w:rFonts w:ascii="Arial Narrow" w:hAnsi="Arial Narrow" w:eastAsia="Times New Roman" w:cs="Arial"/>
          <w:b/>
          <w:color w:val="000000"/>
          <w:u w:val="single"/>
          <w:lang w:eastAsia="es-ES"/>
        </w:rPr>
        <w:t>contratacion@aerocivil.gov.co</w:t>
      </w:r>
      <w:r>
        <w:rPr>
          <w:rFonts w:ascii="Arial Narrow" w:hAnsi="Arial Narrow" w:eastAsia="Times New Roman" w:cs="Arial"/>
          <w:color w:val="000000"/>
          <w:lang w:eastAsia="es-ES"/>
        </w:rPr>
        <w:t>, acorde con las directrices del “Protocolo de Indisponibilidad Secop II” ya citado.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0D245685">
      <w:pPr>
        <w:spacing w:after="0" w:line="240" w:lineRule="auto"/>
        <w:jc w:val="both"/>
        <w:rPr>
          <w:rFonts w:ascii="Arial Narrow" w:hAnsi="Arial Narrow" w:eastAsia="Times New Roman" w:cs="Arial"/>
          <w:b/>
          <w:spacing w:val="-3"/>
          <w:lang w:eastAsia="es-ES"/>
        </w:rPr>
      </w:pPr>
    </w:p>
    <w:p w14:paraId="4617F453">
      <w:pPr>
        <w:widowControl w:val="0"/>
        <w:overflowPunct w:val="0"/>
        <w:autoSpaceDE w:val="0"/>
        <w:autoSpaceDN w:val="0"/>
        <w:adjustRightInd w:val="0"/>
        <w:spacing w:after="0" w:line="240" w:lineRule="auto"/>
        <w:jc w:val="both"/>
        <w:rPr>
          <w:rFonts w:ascii="Arial Narrow" w:hAnsi="Arial Narrow" w:eastAsia="Times New Roman" w:cs="Arial"/>
          <w:b/>
          <w:spacing w:val="-3"/>
          <w:lang w:eastAsia="es-ES"/>
        </w:rPr>
      </w:pPr>
    </w:p>
    <w:p w14:paraId="2004DCFC">
      <w:pPr>
        <w:widowControl w:val="0"/>
        <w:overflowPunct w:val="0"/>
        <w:autoSpaceDE w:val="0"/>
        <w:autoSpaceDN w:val="0"/>
        <w:adjustRightInd w:val="0"/>
        <w:spacing w:after="0" w:line="240" w:lineRule="auto"/>
        <w:jc w:val="both"/>
        <w:rPr>
          <w:rFonts w:ascii="Arial Narrow" w:hAnsi="Arial Narrow" w:eastAsia="Times New Roman" w:cs="Arial"/>
          <w:b/>
          <w:spacing w:val="-3"/>
          <w:lang w:eastAsia="es-ES"/>
        </w:rPr>
      </w:pPr>
    </w:p>
    <w:p w14:paraId="759E784D">
      <w:pPr>
        <w:pStyle w:val="3"/>
        <w:spacing w:before="0" w:line="240" w:lineRule="auto"/>
        <w:jc w:val="center"/>
        <w:rPr>
          <w:rFonts w:ascii="Arial Narrow" w:hAnsi="Arial Narrow" w:cs="Arial"/>
          <w:color w:val="auto"/>
          <w:sz w:val="22"/>
          <w:szCs w:val="22"/>
          <w:lang/>
        </w:rPr>
      </w:pPr>
      <w:r>
        <w:rPr>
          <w:rFonts w:ascii="Arial Narrow" w:hAnsi="Arial Narrow" w:cs="Arial"/>
          <w:color w:val="auto"/>
          <w:sz w:val="22"/>
          <w:szCs w:val="22"/>
          <w:lang/>
        </w:rPr>
        <w:br w:type="page"/>
      </w:r>
      <w:r>
        <w:rPr>
          <w:rFonts w:ascii="Arial Narrow" w:hAnsi="Arial Narrow" w:cs="Arial"/>
          <w:color w:val="auto"/>
          <w:sz w:val="22"/>
          <w:szCs w:val="22"/>
          <w:lang/>
        </w:rPr>
        <w:t>CAPITULO III</w:t>
      </w:r>
    </w:p>
    <w:p w14:paraId="5B7A0A1F">
      <w:pPr>
        <w:widowControl w:val="0"/>
        <w:overflowPunct w:val="0"/>
        <w:autoSpaceDE w:val="0"/>
        <w:autoSpaceDN w:val="0"/>
        <w:adjustRightInd w:val="0"/>
        <w:spacing w:after="0" w:line="240" w:lineRule="auto"/>
        <w:jc w:val="center"/>
        <w:rPr>
          <w:rFonts w:ascii="Arial Narrow" w:hAnsi="Arial Narrow" w:eastAsia="Times New Roman" w:cs="Arial"/>
          <w:b/>
          <w:bCs/>
          <w:lang w:eastAsia="es-ES"/>
        </w:rPr>
      </w:pPr>
      <w:r>
        <w:rPr>
          <w:rFonts w:ascii="Arial Narrow" w:hAnsi="Arial Narrow" w:eastAsia="Times New Roman" w:cs="Arial"/>
          <w:b/>
          <w:bCs/>
          <w:lang w:eastAsia="es-ES"/>
        </w:rPr>
        <w:t>CONDICIONES E INSTRUCCIONES</w:t>
      </w:r>
    </w:p>
    <w:p w14:paraId="73E333AE">
      <w:pPr>
        <w:widowControl w:val="0"/>
        <w:overflowPunct w:val="0"/>
        <w:autoSpaceDE w:val="0"/>
        <w:autoSpaceDN w:val="0"/>
        <w:adjustRightInd w:val="0"/>
        <w:spacing w:after="0" w:line="240" w:lineRule="auto"/>
        <w:jc w:val="both"/>
        <w:rPr>
          <w:rFonts w:ascii="Arial Narrow" w:hAnsi="Arial Narrow" w:eastAsia="Times New Roman" w:cs="Arial"/>
          <w:b/>
          <w:spacing w:val="-3"/>
          <w:lang w:eastAsia="es-ES"/>
        </w:rPr>
      </w:pPr>
    </w:p>
    <w:p w14:paraId="6E42940B">
      <w:pPr>
        <w:pStyle w:val="52"/>
        <w:widowControl w:val="0"/>
        <w:numPr>
          <w:ilvl w:val="1"/>
          <w:numId w:val="16"/>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 xml:space="preserve">CONVOCATORIA, PROYECTO DE PLIEGO DE CONDICIONES Y ESTUDIOS PREVIOS </w:t>
      </w:r>
    </w:p>
    <w:p w14:paraId="0B365153">
      <w:pPr>
        <w:widowControl w:val="0"/>
        <w:overflowPunct w:val="0"/>
        <w:autoSpaceDE w:val="0"/>
        <w:autoSpaceDN w:val="0"/>
        <w:adjustRightInd w:val="0"/>
        <w:spacing w:after="0" w:line="240" w:lineRule="auto"/>
        <w:jc w:val="both"/>
        <w:rPr>
          <w:rFonts w:ascii="Arial Narrow" w:hAnsi="Arial Narrow" w:eastAsia="Times New Roman" w:cs="Arial"/>
          <w:lang w:eastAsia="es-CO"/>
        </w:rPr>
      </w:pPr>
    </w:p>
    <w:p w14:paraId="3DDAA336">
      <w:pPr>
        <w:widowControl w:val="0"/>
        <w:overflowPunct w:val="0"/>
        <w:autoSpaceDE w:val="0"/>
        <w:autoSpaceDN w:val="0"/>
        <w:adjustRightInd w:val="0"/>
        <w:spacing w:after="0" w:line="240" w:lineRule="auto"/>
        <w:jc w:val="both"/>
        <w:rPr>
          <w:rFonts w:ascii="Arial Narrow" w:hAnsi="Arial Narrow" w:eastAsia="Times New Roman" w:cs="Arial"/>
          <w:lang w:eastAsia="es-CO"/>
        </w:rPr>
      </w:pPr>
      <w:r>
        <w:rPr>
          <w:rFonts w:ascii="Arial Narrow" w:hAnsi="Arial Narrow" w:eastAsia="Times New Roman" w:cs="Arial"/>
          <w:lang w:eastAsia="es-CO"/>
        </w:rPr>
        <w:t xml:space="preserve">A partir de la fecha señalada en el Cronograma y de acuerdo con el término de ley, el proyecto de pliego de condiciones y su complementario, el aviso de Convocatoria y los Estudios Previos podrán ser consultados en el SECOP II. De igual manera, a partir de dicha fecha, las personas interesadas en participar en el proceso, podrán formular las observaciones que consideren pertinentes a través del SECOP II opción </w:t>
      </w:r>
      <w:r>
        <w:rPr>
          <w:rFonts w:ascii="Arial Narrow" w:hAnsi="Arial Narrow" w:eastAsia="Times New Roman" w:cs="Arial"/>
          <w:b/>
          <w:lang w:eastAsia="es-CO"/>
        </w:rPr>
        <w:t>mensajes</w:t>
      </w:r>
      <w:r>
        <w:rPr>
          <w:rFonts w:ascii="Arial Narrow" w:hAnsi="Arial Narrow" w:eastAsia="Times New Roman" w:cs="Arial"/>
          <w:lang w:eastAsia="es-CO"/>
        </w:rPr>
        <w:t xml:space="preserve">. </w:t>
      </w:r>
    </w:p>
    <w:p w14:paraId="07B42217">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p>
    <w:p w14:paraId="248C8D2C">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Los Estudios Previos podrán ajustarse con posterioridad a la apertura del proceso de selección. En caso que la modificación de los elementos mínimos implique cambios fundamentales en los mismos, la AEROCIVIL con fundamento en el numeral 2° del artículo 93 del Código de Procedimiento Administrativo y de lo Contencioso Administrativo y en aras de proteger el interés público o  social, podrá revocar el acto administrativo de apertura.</w:t>
      </w:r>
    </w:p>
    <w:p w14:paraId="0E4D8180">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p>
    <w:p w14:paraId="67EA3E51">
      <w:pPr>
        <w:pStyle w:val="52"/>
        <w:widowControl w:val="0"/>
        <w:numPr>
          <w:ilvl w:val="1"/>
          <w:numId w:val="16"/>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CONVOCATORIA A MIPYMES</w:t>
      </w:r>
    </w:p>
    <w:p w14:paraId="0048B16F">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p>
    <w:p w14:paraId="6B45482C">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De conformidad con lo dispuesto en el parágrafo 1 del artículo 30 y el artículo 34 de la Ley 2069 de 2020, durante la etapa de publicación del proyecto de pliego de condiciones, se convoca a las Mipymes interesadas en participar en el presente proceso.</w:t>
      </w:r>
    </w:p>
    <w:p w14:paraId="5BEEABBB">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 xml:space="preserve"> </w:t>
      </w:r>
    </w:p>
    <w:p w14:paraId="6E3F0690">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Podrán participar las Mipymes, las uniones temporales o consorcios, los cuales deberán estar integrados únicamente por Mipymes y promesas de sociedad futura suscritas por Mipymes con mínimo un (1) año de existencia.</w:t>
      </w:r>
    </w:p>
    <w:p w14:paraId="02EBB628">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 xml:space="preserve"> </w:t>
      </w:r>
    </w:p>
    <w:p w14:paraId="27B7C91E">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Para efectos de la limitación de la convocatoria, cada consorcio o unión temporal se contará por sí mismo y no por el número de Mipymes que los integren.</w:t>
      </w:r>
    </w:p>
    <w:p w14:paraId="50AB3A4C">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 xml:space="preserve"> </w:t>
      </w:r>
    </w:p>
    <w:p w14:paraId="53E86181">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Para limitar la convocatoria o el proceso, es necesario que como mínimo dos (2) Mipymes acrediten dicha condición, mediante la presentación de los siguientes documentos:</w:t>
      </w:r>
    </w:p>
    <w:p w14:paraId="14F18149">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 xml:space="preserve"> </w:t>
      </w:r>
    </w:p>
    <w:p w14:paraId="0FF984D2">
      <w:pPr>
        <w:widowControl w:val="0"/>
        <w:overflowPunct w:val="0"/>
        <w:autoSpaceDE w:val="0"/>
        <w:autoSpaceDN w:val="0"/>
        <w:adjustRightInd w:val="0"/>
        <w:spacing w:after="0" w:line="240" w:lineRule="auto"/>
        <w:ind w:left="426" w:hanging="284"/>
        <w:jc w:val="both"/>
        <w:rPr>
          <w:rFonts w:ascii="Arial Narrow" w:hAnsi="Arial Narrow" w:eastAsia="Times New Roman" w:cs="Arial"/>
          <w:bCs/>
          <w:lang w:eastAsia="es-ES"/>
        </w:rPr>
      </w:pPr>
      <w:r>
        <w:rPr>
          <w:rFonts w:ascii="Arial Narrow" w:hAnsi="Arial Narrow" w:eastAsia="Times New Roman" w:cs="Arial"/>
          <w:bCs/>
          <w:lang w:eastAsia="es-ES"/>
        </w:rPr>
        <w:t>1.</w:t>
      </w:r>
      <w:r>
        <w:rPr>
          <w:rFonts w:ascii="Arial Narrow" w:hAnsi="Arial Narrow" w:eastAsia="Times New Roman" w:cs="Arial"/>
          <w:bCs/>
          <w:lang w:eastAsia="es-ES"/>
        </w:rPr>
        <w:tab/>
      </w:r>
      <w:r>
        <w:rPr>
          <w:rFonts w:ascii="Arial Narrow" w:hAnsi="Arial Narrow" w:eastAsia="Times New Roman" w:cs="Arial"/>
          <w:bCs/>
          <w:lang w:eastAsia="es-ES"/>
        </w:rPr>
        <w:t xml:space="preserve">Las personas naturales mediante certificación expedida por ellos y un contador público, adjuntando copia del registro mercantil. </w:t>
      </w:r>
    </w:p>
    <w:p w14:paraId="726921B6">
      <w:pPr>
        <w:widowControl w:val="0"/>
        <w:overflowPunct w:val="0"/>
        <w:autoSpaceDE w:val="0"/>
        <w:autoSpaceDN w:val="0"/>
        <w:adjustRightInd w:val="0"/>
        <w:spacing w:after="0" w:line="240" w:lineRule="auto"/>
        <w:ind w:left="426" w:hanging="284"/>
        <w:jc w:val="both"/>
        <w:rPr>
          <w:rFonts w:ascii="Arial Narrow" w:hAnsi="Arial Narrow" w:eastAsia="Times New Roman" w:cs="Arial"/>
          <w:bCs/>
          <w:lang w:eastAsia="es-ES"/>
        </w:rPr>
      </w:pPr>
      <w:r>
        <w:rPr>
          <w:rFonts w:ascii="Arial Narrow" w:hAnsi="Arial Narrow" w:eastAsia="Times New Roman" w:cs="Arial"/>
          <w:bCs/>
          <w:lang w:eastAsia="es-ES"/>
        </w:rPr>
        <w:t>2.</w:t>
      </w:r>
      <w:r>
        <w:rPr>
          <w:rFonts w:ascii="Arial Narrow" w:hAnsi="Arial Narrow" w:eastAsia="Times New Roman" w:cs="Arial"/>
          <w:bCs/>
          <w:lang w:eastAsia="es-ES"/>
        </w:rPr>
        <w:tab/>
      </w:r>
      <w:r>
        <w:rPr>
          <w:rFonts w:ascii="Arial Narrow" w:hAnsi="Arial Narrow" w:eastAsia="Times New Roman" w:cs="Arial"/>
          <w:bCs/>
          <w:lang w:eastAsia="es-ES"/>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63F3083">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 xml:space="preserve"> </w:t>
      </w:r>
    </w:p>
    <w:p w14:paraId="0134F2ED">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En todo caso, las Mipyme también podrán acreditar esta condición con la copia del certificado del Registro Único de Proponentes, el cual deberá encontrarse vigente y en firme al momento de su presentación</w:t>
      </w:r>
    </w:p>
    <w:p w14:paraId="67581FB3">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 xml:space="preserve"> </w:t>
      </w:r>
    </w:p>
    <w:p w14:paraId="3AC4F94F">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9FCE41E">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p>
    <w:p w14:paraId="748DB29D">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Solo se aceptarán las ofertas de Mipyme o de proponentes plurales integrados únicamente por Mipyme.</w:t>
      </w:r>
    </w:p>
    <w:p w14:paraId="7B0A1DC1">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p>
    <w:p w14:paraId="4E246488">
      <w:pPr>
        <w:widowControl w:val="0"/>
        <w:overflowPunct w:val="0"/>
        <w:autoSpaceDE w:val="0"/>
        <w:autoSpaceDN w:val="0"/>
        <w:adjustRightInd w:val="0"/>
        <w:spacing w:after="0" w:line="240" w:lineRule="auto"/>
        <w:jc w:val="both"/>
        <w:rPr>
          <w:rFonts w:ascii="Arial Narrow" w:hAnsi="Arial Narrow" w:eastAsia="Times New Roman" w:cs="Arial"/>
          <w:b/>
          <w:lang w:eastAsia="es-ES"/>
        </w:rPr>
      </w:pPr>
      <w:r>
        <w:rPr>
          <w:rFonts w:ascii="Arial Narrow" w:hAnsi="Arial Narrow" w:eastAsia="Times New Roman" w:cs="Arial"/>
          <w:b/>
          <w:lang w:eastAsia="es-ES"/>
        </w:rPr>
        <w:t>Inscripción:</w:t>
      </w:r>
    </w:p>
    <w:p w14:paraId="65319324">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 xml:space="preserve"> </w:t>
      </w:r>
    </w:p>
    <w:p w14:paraId="39E6AED6">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Para efecto de la inscripción, las Mipymes interesadas en participar en el proceso, deberán presentar los documentos antes relacionados, vía mensaje en la plataforma del Secop II.</w:t>
      </w:r>
    </w:p>
    <w:p w14:paraId="61CE0AA7">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p>
    <w:p w14:paraId="387B8A60">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Dichos documentos se recibirán desde la publicación de la presente invitación, hasta la fecha establecida en el cronograma del proceso.</w:t>
      </w:r>
    </w:p>
    <w:p w14:paraId="76785951">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p>
    <w:p w14:paraId="61BA8035">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Vencido el plazo para manifestar el interés y verificado el cumplimiento de los requisitos aportados en los documentos presentados por los interesados, la Aeronáutica Civil expedirá el acto administrativo de apertura, indicando que en el proceso en mención se limita o no la participación a quienes ostenten la calidad de Mipymes.</w:t>
      </w:r>
    </w:p>
    <w:p w14:paraId="3F108908">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p>
    <w:p w14:paraId="7865CCA6">
      <w:pPr>
        <w:pStyle w:val="52"/>
        <w:widowControl w:val="0"/>
        <w:numPr>
          <w:ilvl w:val="1"/>
          <w:numId w:val="16"/>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 xml:space="preserve">APERTURA Y PLAZO DEL PROCESO </w:t>
      </w:r>
    </w:p>
    <w:p w14:paraId="7468E6DA">
      <w:pPr>
        <w:widowControl w:val="0"/>
        <w:tabs>
          <w:tab w:val="left" w:pos="1751"/>
        </w:tabs>
        <w:overflowPunct w:val="0"/>
        <w:autoSpaceDE w:val="0"/>
        <w:autoSpaceDN w:val="0"/>
        <w:adjustRightInd w:val="0"/>
        <w:spacing w:after="0" w:line="240" w:lineRule="auto"/>
        <w:jc w:val="both"/>
        <w:rPr>
          <w:rFonts w:ascii="Arial Narrow" w:hAnsi="Arial Narrow" w:eastAsia="Times New Roman" w:cs="Arial"/>
          <w:lang w:eastAsia="es-ES"/>
        </w:rPr>
      </w:pPr>
    </w:p>
    <w:p w14:paraId="776D1E6C">
      <w:pPr>
        <w:widowControl w:val="0"/>
        <w:overflowPunct w:val="0"/>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bCs/>
          <w:lang w:eastAsia="es-ES"/>
        </w:rPr>
        <w:t xml:space="preserve">La apertura del proceso de selección se hará mediante acto administrativo motivado, el cual se publicará en el SECOP II, </w:t>
      </w:r>
      <w:r>
        <w:rPr>
          <w:rFonts w:ascii="Arial Narrow" w:hAnsi="Arial Narrow" w:eastAsia="Times New Roman" w:cs="Arial"/>
          <w:lang w:eastAsia="es-ES"/>
        </w:rPr>
        <w:t>señalando el cronograma y el plazo del proceso, período comprendido entre la Apertura y el Cierre.</w:t>
      </w:r>
    </w:p>
    <w:p w14:paraId="3034FE5C">
      <w:pPr>
        <w:widowControl w:val="0"/>
        <w:overflowPunct w:val="0"/>
        <w:autoSpaceDE w:val="0"/>
        <w:autoSpaceDN w:val="0"/>
        <w:adjustRightInd w:val="0"/>
        <w:spacing w:after="0" w:line="240" w:lineRule="auto"/>
        <w:jc w:val="both"/>
        <w:rPr>
          <w:rFonts w:ascii="Arial Narrow" w:hAnsi="Arial Narrow" w:eastAsia="Times New Roman" w:cs="Arial"/>
          <w:lang w:eastAsia="es-ES"/>
        </w:rPr>
      </w:pPr>
    </w:p>
    <w:p w14:paraId="7C0EE343">
      <w:pPr>
        <w:pStyle w:val="52"/>
        <w:widowControl w:val="0"/>
        <w:numPr>
          <w:ilvl w:val="1"/>
          <w:numId w:val="16"/>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REVOCATORIA DEL ACTO DE APERTURA</w:t>
      </w:r>
    </w:p>
    <w:p w14:paraId="62318B5B">
      <w:pPr>
        <w:spacing w:after="0" w:line="240" w:lineRule="auto"/>
        <w:jc w:val="both"/>
        <w:rPr>
          <w:rFonts w:ascii="Arial Narrow" w:hAnsi="Arial Narrow" w:eastAsia="Times New Roman" w:cs="Arial"/>
          <w:bCs/>
          <w:lang w:eastAsia="es-ES"/>
        </w:rPr>
      </w:pPr>
    </w:p>
    <w:p w14:paraId="21BC1261">
      <w:pPr>
        <w:spacing w:after="0" w:line="240" w:lineRule="auto"/>
        <w:jc w:val="both"/>
        <w:rPr>
          <w:rFonts w:ascii="Arial Narrow" w:hAnsi="Arial Narrow" w:cs="Arial"/>
          <w:lang/>
        </w:rPr>
      </w:pPr>
      <w:r>
        <w:rPr>
          <w:rFonts w:ascii="Arial Narrow" w:hAnsi="Arial Narrow" w:cs="Arial"/>
          <w:lang/>
        </w:rPr>
        <w:t>En el evento en que ocurra o se presente durante el desarrollo del proceso de selección alguna de las circunstancias contempladas en el artículo 93 del Nuevo Código de Procedimiento Administrativo y de lo Contencioso Administrativo, o normal legal que lo modifique, adicione o sustituya, la Entidad revocará el acto administrativo que ordenó la apertura del proceso de selección hasta antes de la fecha y hora prevista para la adjudicación del contrato.</w:t>
      </w:r>
    </w:p>
    <w:p w14:paraId="198B78DF">
      <w:pPr>
        <w:widowControl w:val="0"/>
        <w:overflowPunct w:val="0"/>
        <w:autoSpaceDE w:val="0"/>
        <w:autoSpaceDN w:val="0"/>
        <w:adjustRightInd w:val="0"/>
        <w:spacing w:after="0" w:line="240" w:lineRule="auto"/>
        <w:jc w:val="both"/>
        <w:rPr>
          <w:rFonts w:ascii="Arial Narrow" w:hAnsi="Arial Narrow" w:eastAsia="Times New Roman" w:cs="Arial"/>
          <w:lang w:eastAsia="es-ES"/>
        </w:rPr>
      </w:pPr>
    </w:p>
    <w:p w14:paraId="16A8B00C">
      <w:pPr>
        <w:pStyle w:val="52"/>
        <w:widowControl w:val="0"/>
        <w:numPr>
          <w:ilvl w:val="1"/>
          <w:numId w:val="16"/>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 xml:space="preserve">ACLARACIONES Y OBSERVACIONES AL PLIEGO DE CONDICIONES Y SUS DOCUMENTOS COMPLEMENTARIOS </w:t>
      </w:r>
    </w:p>
    <w:p w14:paraId="60767634">
      <w:pPr>
        <w:widowControl w:val="0"/>
        <w:overflowPunct w:val="0"/>
        <w:autoSpaceDE w:val="0"/>
        <w:autoSpaceDN w:val="0"/>
        <w:adjustRightInd w:val="0"/>
        <w:spacing w:after="0" w:line="240" w:lineRule="auto"/>
        <w:jc w:val="both"/>
        <w:rPr>
          <w:rFonts w:ascii="Arial Narrow" w:hAnsi="Arial Narrow" w:eastAsia="Times New Roman" w:cs="Arial"/>
          <w:lang w:eastAsia="es-ES"/>
        </w:rPr>
      </w:pPr>
    </w:p>
    <w:p w14:paraId="3BA18B6C">
      <w:pPr>
        <w:pStyle w:val="49"/>
        <w:jc w:val="both"/>
        <w:rPr>
          <w:rFonts w:ascii="Arial Narrow" w:hAnsi="Arial Narrow" w:cs="Arial"/>
          <w:sz w:val="22"/>
          <w:szCs w:val="22"/>
        </w:rPr>
      </w:pPr>
      <w:r>
        <w:rPr>
          <w:rFonts w:ascii="Arial Narrow" w:hAnsi="Arial Narrow" w:cs="Arial"/>
          <w:sz w:val="22"/>
          <w:szCs w:val="22"/>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Lo anterior, dentro de los términos establecidos en el cronograma del proceso.</w:t>
      </w:r>
    </w:p>
    <w:p w14:paraId="3F6E829B">
      <w:pPr>
        <w:pStyle w:val="49"/>
        <w:jc w:val="both"/>
        <w:rPr>
          <w:rFonts w:ascii="Arial Narrow" w:hAnsi="Arial Narrow" w:cs="Arial"/>
          <w:sz w:val="22"/>
          <w:szCs w:val="22"/>
        </w:rPr>
      </w:pPr>
    </w:p>
    <w:p w14:paraId="0D953C05">
      <w:pPr>
        <w:pStyle w:val="49"/>
        <w:jc w:val="both"/>
        <w:rPr>
          <w:rFonts w:ascii="Arial Narrow" w:hAnsi="Arial Narrow" w:cs="Arial"/>
          <w:sz w:val="22"/>
          <w:szCs w:val="22"/>
        </w:rPr>
      </w:pPr>
      <w:r>
        <w:rPr>
          <w:rFonts w:ascii="Arial Narrow" w:hAnsi="Arial Narrow" w:cs="Arial"/>
          <w:sz w:val="22"/>
          <w:szCs w:val="22"/>
        </w:rPr>
        <w:t>Las respuestas se comunicarán a través de la plataforma del SECOP II, de acuerdo con el Manual de Uso y Condiciones de la plataforma del SECOP II.</w:t>
      </w:r>
    </w:p>
    <w:p w14:paraId="312C38C6">
      <w:pPr>
        <w:pStyle w:val="49"/>
        <w:jc w:val="both"/>
        <w:rPr>
          <w:rFonts w:ascii="Arial Narrow" w:hAnsi="Arial Narrow" w:cs="Arial"/>
          <w:b/>
          <w:sz w:val="22"/>
          <w:szCs w:val="22"/>
        </w:rPr>
      </w:pPr>
    </w:p>
    <w:p w14:paraId="088ADD2C">
      <w:pPr>
        <w:pStyle w:val="49"/>
        <w:jc w:val="both"/>
        <w:rPr>
          <w:rFonts w:ascii="Arial Narrow" w:hAnsi="Arial Narrow" w:cs="Arial"/>
          <w:sz w:val="22"/>
          <w:szCs w:val="22"/>
        </w:rPr>
      </w:pPr>
      <w:r>
        <w:rPr>
          <w:rFonts w:ascii="Arial Narrow" w:hAnsi="Arial Narrow" w:cs="Arial"/>
          <w:sz w:val="22"/>
          <w:szCs w:val="22"/>
        </w:rPr>
        <w:t xml:space="preserve">Cuando el proponente registre el certificado de indisponibilidad de la plataforma, la entidad pone a disposición el siguiente correo: </w:t>
      </w:r>
      <w:r>
        <w:fldChar w:fldCharType="begin"/>
      </w:r>
      <w:r>
        <w:instrText xml:space="preserve"> HYPERLINK "mailto:contratacion@aerocivil.gov.co" </w:instrText>
      </w:r>
      <w:r>
        <w:fldChar w:fldCharType="separate"/>
      </w:r>
      <w:r>
        <w:rPr>
          <w:rStyle w:val="17"/>
          <w:rFonts w:ascii="Arial Narrow" w:hAnsi="Arial Narrow" w:cs="Arial"/>
          <w:sz w:val="22"/>
          <w:szCs w:val="22"/>
        </w:rPr>
        <w:t>contratacion@aerocivil.gov.co</w:t>
      </w:r>
      <w:r>
        <w:rPr>
          <w:rStyle w:val="17"/>
          <w:rFonts w:ascii="Arial Narrow" w:hAnsi="Arial Narrow" w:cs="Arial"/>
          <w:sz w:val="22"/>
          <w:szCs w:val="22"/>
        </w:rPr>
        <w:fldChar w:fldCharType="end"/>
      </w:r>
      <w:r>
        <w:rPr>
          <w:rFonts w:ascii="Arial Narrow" w:hAnsi="Arial Narrow" w:cs="Arial"/>
          <w:sz w:val="22"/>
          <w:szCs w:val="22"/>
        </w:rPr>
        <w:t xml:space="preserve"> </w:t>
      </w:r>
    </w:p>
    <w:p w14:paraId="5253A146">
      <w:pPr>
        <w:widowControl w:val="0"/>
        <w:overflowPunct w:val="0"/>
        <w:autoSpaceDE w:val="0"/>
        <w:autoSpaceDN w:val="0"/>
        <w:adjustRightInd w:val="0"/>
        <w:spacing w:after="0" w:line="240" w:lineRule="auto"/>
        <w:jc w:val="both"/>
        <w:rPr>
          <w:rFonts w:ascii="Arial Narrow" w:hAnsi="Arial Narrow" w:eastAsia="Times New Roman" w:cs="Arial"/>
          <w:b/>
          <w:lang w:eastAsia="es-ES"/>
        </w:rPr>
      </w:pPr>
    </w:p>
    <w:p w14:paraId="56B4D4A5">
      <w:pPr>
        <w:widowControl w:val="0"/>
        <w:overflowPunct w:val="0"/>
        <w:autoSpaceDE w:val="0"/>
        <w:autoSpaceDN w:val="0"/>
        <w:adjustRightInd w:val="0"/>
        <w:spacing w:after="0" w:line="240" w:lineRule="auto"/>
        <w:jc w:val="both"/>
        <w:rPr>
          <w:rFonts w:ascii="Arial Narrow" w:hAnsi="Arial Narrow" w:eastAsia="Times New Roman" w:cs="Arial"/>
          <w:b/>
          <w:lang w:eastAsia="es-ES"/>
        </w:rPr>
      </w:pPr>
    </w:p>
    <w:p w14:paraId="4BD9C890">
      <w:pPr>
        <w:widowControl w:val="0"/>
        <w:overflowPunct w:val="0"/>
        <w:autoSpaceDE w:val="0"/>
        <w:autoSpaceDN w:val="0"/>
        <w:adjustRightInd w:val="0"/>
        <w:spacing w:after="0" w:line="240" w:lineRule="auto"/>
        <w:jc w:val="both"/>
        <w:rPr>
          <w:rFonts w:ascii="Arial Narrow" w:hAnsi="Arial Narrow" w:eastAsia="Times New Roman" w:cs="Arial"/>
          <w:b/>
          <w:lang w:eastAsia="es-ES"/>
        </w:rPr>
      </w:pPr>
    </w:p>
    <w:p w14:paraId="6D5ECE6C">
      <w:pPr>
        <w:pStyle w:val="52"/>
        <w:widowControl w:val="0"/>
        <w:numPr>
          <w:ilvl w:val="1"/>
          <w:numId w:val="16"/>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 xml:space="preserve">ADENDAS </w:t>
      </w:r>
    </w:p>
    <w:p w14:paraId="6921F6D3">
      <w:pPr>
        <w:widowControl w:val="0"/>
        <w:overflowPunct w:val="0"/>
        <w:autoSpaceDE w:val="0"/>
        <w:autoSpaceDN w:val="0"/>
        <w:adjustRightInd w:val="0"/>
        <w:spacing w:after="0" w:line="240" w:lineRule="auto"/>
        <w:jc w:val="both"/>
        <w:rPr>
          <w:rFonts w:ascii="Arial Narrow" w:hAnsi="Arial Narrow" w:eastAsia="Times New Roman" w:cs="Arial"/>
          <w:lang w:eastAsia="es-ES"/>
        </w:rPr>
      </w:pPr>
    </w:p>
    <w:p w14:paraId="5706E494">
      <w:pPr>
        <w:widowControl w:val="0"/>
        <w:overflowPunct w:val="0"/>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De conformidad con el artículo 2.2.1.1.2.2.1 del Decreto 1082 de 2015, la AEROCIVIL sólo expedirá Adendas hasta el día hábil anterior a la fecha prevista para el cierre del presente proceso de selección. La AEROCIVIL mediante acto administrativo podrá, suprimir y modificar aspectos relacionados con el pliego de condiciones, su complementario y los documentos que hacen parte del mismo.</w:t>
      </w:r>
    </w:p>
    <w:p w14:paraId="3E7BD922">
      <w:pPr>
        <w:widowControl w:val="0"/>
        <w:overflowPunct w:val="0"/>
        <w:autoSpaceDE w:val="0"/>
        <w:autoSpaceDN w:val="0"/>
        <w:adjustRightInd w:val="0"/>
        <w:spacing w:after="0" w:line="240" w:lineRule="auto"/>
        <w:jc w:val="both"/>
        <w:rPr>
          <w:rFonts w:ascii="Arial Narrow" w:hAnsi="Arial Narrow" w:eastAsia="Times New Roman" w:cs="Arial"/>
          <w:lang w:eastAsia="es-ES"/>
        </w:rPr>
      </w:pPr>
    </w:p>
    <w:p w14:paraId="3045BF40">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lang w:eastAsia="es-ES"/>
        </w:rPr>
        <w:t xml:space="preserve">Las adendas serán publicadas en el SECOP II y se consideran parte integral del pliego de condiciones y su complementario.  </w:t>
      </w:r>
    </w:p>
    <w:p w14:paraId="7EC6C22D">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p>
    <w:p w14:paraId="2A1446F0">
      <w:pPr>
        <w:pStyle w:val="52"/>
        <w:widowControl w:val="0"/>
        <w:numPr>
          <w:ilvl w:val="1"/>
          <w:numId w:val="16"/>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 xml:space="preserve">PRÓRROGA DEL PROCESO </w:t>
      </w:r>
    </w:p>
    <w:p w14:paraId="66F23223">
      <w:pPr>
        <w:widowControl w:val="0"/>
        <w:overflowPunct w:val="0"/>
        <w:autoSpaceDE w:val="0"/>
        <w:autoSpaceDN w:val="0"/>
        <w:adjustRightInd w:val="0"/>
        <w:spacing w:after="0" w:line="240" w:lineRule="auto"/>
        <w:jc w:val="both"/>
        <w:rPr>
          <w:rFonts w:ascii="Arial Narrow" w:hAnsi="Arial Narrow" w:eastAsia="Times New Roman" w:cs="Arial"/>
          <w:lang w:eastAsia="es-ES"/>
        </w:rPr>
      </w:pPr>
    </w:p>
    <w:p w14:paraId="747A5775">
      <w:pPr>
        <w:widowControl w:val="0"/>
        <w:overflowPunct w:val="0"/>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Cuando lo estime conveniente la Aerocivil, de oficio o a solicitud de un número plural de posibles oferentes, po</w:t>
      </w:r>
      <w:r>
        <w:rPr>
          <w:rFonts w:ascii="Arial Narrow" w:hAnsi="Arial Narrow" w:eastAsia="Times New Roman" w:cs="Arial"/>
          <w:lang w:eastAsia="es-ES"/>
        </w:rPr>
        <w:softHyphen/>
      </w:r>
      <w:r>
        <w:rPr>
          <w:rFonts w:ascii="Arial Narrow" w:hAnsi="Arial Narrow" w:eastAsia="Times New Roman" w:cs="Arial"/>
          <w:lang w:eastAsia="es-ES"/>
        </w:rPr>
        <w:t>drá prorrogar el plazo hasta antes de su vencimiento.</w:t>
      </w:r>
      <w:r>
        <w:rPr>
          <w:rFonts w:ascii="Arial Narrow" w:hAnsi="Arial Narrow" w:eastAsia="Times New Roman" w:cs="Arial"/>
          <w:b/>
          <w:lang w:eastAsia="es-ES"/>
        </w:rPr>
        <w:t xml:space="preserve"> </w:t>
      </w:r>
      <w:r>
        <w:rPr>
          <w:rFonts w:ascii="Arial Narrow" w:hAnsi="Arial Narrow" w:eastAsia="Times New Roman" w:cs="Arial"/>
          <w:lang w:eastAsia="es-ES"/>
        </w:rPr>
        <w:t xml:space="preserve">Dicha prórroga se comunicará a través del </w:t>
      </w:r>
      <w:r>
        <w:rPr>
          <w:rFonts w:ascii="Arial Narrow" w:hAnsi="Arial Narrow" w:eastAsia="Times New Roman" w:cs="Arial"/>
          <w:bCs/>
          <w:lang w:eastAsia="es-ES"/>
        </w:rPr>
        <w:t>SECOP II</w:t>
      </w:r>
      <w:r>
        <w:rPr>
          <w:rFonts w:ascii="Arial Narrow" w:hAnsi="Arial Narrow" w:eastAsia="Times New Roman" w:cs="Arial"/>
          <w:lang w:eastAsia="es-ES"/>
        </w:rPr>
        <w:t>, informándose de la modificación mediante adenda.</w:t>
      </w:r>
    </w:p>
    <w:p w14:paraId="147A0F2E">
      <w:pPr>
        <w:widowControl w:val="0"/>
        <w:overflowPunct w:val="0"/>
        <w:autoSpaceDE w:val="0"/>
        <w:autoSpaceDN w:val="0"/>
        <w:adjustRightInd w:val="0"/>
        <w:spacing w:after="0" w:line="240" w:lineRule="auto"/>
        <w:jc w:val="both"/>
        <w:rPr>
          <w:rFonts w:ascii="Arial Narrow" w:hAnsi="Arial Narrow" w:eastAsia="Times New Roman" w:cs="Arial"/>
          <w:lang w:eastAsia="es-ES"/>
        </w:rPr>
      </w:pPr>
    </w:p>
    <w:p w14:paraId="29A50BF0">
      <w:pPr>
        <w:pStyle w:val="52"/>
        <w:widowControl w:val="0"/>
        <w:numPr>
          <w:ilvl w:val="1"/>
          <w:numId w:val="16"/>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DE LA PRESENTACIÓN Y ENTREGA DE LAS PROPUESTAS</w:t>
      </w:r>
    </w:p>
    <w:p w14:paraId="3BC7C0D1">
      <w:pPr>
        <w:widowControl w:val="0"/>
        <w:overflowPunct w:val="0"/>
        <w:autoSpaceDE w:val="0"/>
        <w:autoSpaceDN w:val="0"/>
        <w:adjustRightInd w:val="0"/>
        <w:spacing w:after="0" w:line="240" w:lineRule="auto"/>
        <w:jc w:val="both"/>
        <w:rPr>
          <w:rFonts w:ascii="Arial Narrow" w:hAnsi="Arial Narrow" w:eastAsia="Times New Roman" w:cs="Arial"/>
          <w:lang w:eastAsia="es-ES"/>
        </w:rPr>
      </w:pPr>
    </w:p>
    <w:p w14:paraId="793CE877">
      <w:pPr>
        <w:widowControl w:val="0"/>
        <w:overflowPunct w:val="0"/>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La AEROCIVIL solo recibirá una oferta por Proponente, salvo los procesos estructurados por lotes cuando la AEROCIVIL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w:t>
      </w:r>
      <w:bookmarkStart w:id="71" w:name="_Toc45547574"/>
      <w:bookmarkEnd w:id="71"/>
      <w:r>
        <w:rPr>
          <w:rFonts w:ascii="Arial Narrow" w:hAnsi="Arial Narrow" w:eastAsia="Times New Roman" w:cs="Arial"/>
          <w:lang w:eastAsia="es-ES"/>
        </w:rPr>
        <w:t xml:space="preserve"> SECOP II.</w:t>
      </w:r>
    </w:p>
    <w:p w14:paraId="30AF1591">
      <w:pPr>
        <w:widowControl w:val="0"/>
        <w:overflowPunct w:val="0"/>
        <w:autoSpaceDE w:val="0"/>
        <w:autoSpaceDN w:val="0"/>
        <w:adjustRightInd w:val="0"/>
        <w:spacing w:after="0" w:line="240" w:lineRule="auto"/>
        <w:jc w:val="both"/>
        <w:rPr>
          <w:rFonts w:ascii="Arial Narrow" w:hAnsi="Arial Narrow" w:eastAsia="Times New Roman" w:cs="Arial"/>
          <w:lang w:eastAsia="es-ES"/>
        </w:rPr>
      </w:pPr>
      <w:bookmarkStart w:id="72" w:name="_Toc45547575"/>
      <w:bookmarkEnd w:id="72"/>
    </w:p>
    <w:p w14:paraId="47DB2ABA">
      <w:pPr>
        <w:widowControl w:val="0"/>
        <w:overflowPunct w:val="0"/>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Estarán a cargo del Proponente todos los costos asociados a la elaboración y presentación de su oferta y en ningún caso la Entidad será responsable de estos.</w:t>
      </w:r>
      <w:bookmarkStart w:id="73" w:name="_Toc45547576"/>
      <w:bookmarkEnd w:id="73"/>
    </w:p>
    <w:p w14:paraId="3E02ED40">
      <w:pPr>
        <w:widowControl w:val="0"/>
        <w:overflowPunct w:val="0"/>
        <w:autoSpaceDE w:val="0"/>
        <w:autoSpaceDN w:val="0"/>
        <w:adjustRightInd w:val="0"/>
        <w:spacing w:after="0" w:line="240" w:lineRule="auto"/>
        <w:jc w:val="both"/>
        <w:rPr>
          <w:rFonts w:ascii="Arial Narrow" w:hAnsi="Arial Narrow" w:eastAsia="Times New Roman" w:cs="Arial"/>
          <w:lang w:eastAsia="es-ES"/>
        </w:rPr>
      </w:pPr>
      <w:bookmarkStart w:id="74" w:name="_Toc45547577"/>
      <w:bookmarkEnd w:id="74"/>
    </w:p>
    <w:p w14:paraId="11547543">
      <w:pPr>
        <w:widowControl w:val="0"/>
        <w:overflowPunct w:val="0"/>
        <w:autoSpaceDE w:val="0"/>
        <w:autoSpaceDN w:val="0"/>
        <w:adjustRightInd w:val="0"/>
        <w:spacing w:after="0" w:line="240" w:lineRule="auto"/>
        <w:jc w:val="both"/>
        <w:rPr>
          <w:rFonts w:ascii="Arial Narrow" w:hAnsi="Arial Narrow" w:eastAsia="Times New Roman" w:cs="Arial"/>
          <w:lang w:eastAsia="es-ES"/>
        </w:rPr>
      </w:pPr>
      <w:bookmarkStart w:id="75" w:name="_Toc45547578"/>
      <w:bookmarkEnd w:id="75"/>
      <w:r>
        <w:rPr>
          <w:rFonts w:ascii="Arial Narrow" w:hAnsi="Arial Narrow" w:eastAsia="Times New Roman" w:cs="Arial"/>
          <w:lang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 Adicionalmente, se deberá tener en cuenta:</w:t>
      </w:r>
    </w:p>
    <w:p w14:paraId="702349FA">
      <w:pPr>
        <w:widowControl w:val="0"/>
        <w:overflowPunct w:val="0"/>
        <w:autoSpaceDE w:val="0"/>
        <w:autoSpaceDN w:val="0"/>
        <w:adjustRightInd w:val="0"/>
        <w:spacing w:after="0" w:line="240" w:lineRule="auto"/>
        <w:ind w:left="426"/>
        <w:jc w:val="both"/>
        <w:rPr>
          <w:rFonts w:ascii="Arial Narrow" w:hAnsi="Arial Narrow" w:eastAsia="Times New Roman" w:cs="Arial"/>
          <w:lang w:eastAsia="es-ES"/>
        </w:rPr>
      </w:pPr>
    </w:p>
    <w:p w14:paraId="14D9F655">
      <w:pPr>
        <w:widowControl w:val="0"/>
        <w:numPr>
          <w:ilvl w:val="0"/>
          <w:numId w:val="17"/>
        </w:numPr>
        <w:overflowPunct w:val="0"/>
        <w:autoSpaceDE w:val="0"/>
        <w:autoSpaceDN w:val="0"/>
        <w:adjustRightInd w:val="0"/>
        <w:spacing w:after="0" w:line="240" w:lineRule="auto"/>
        <w:ind w:left="426"/>
        <w:jc w:val="both"/>
        <w:rPr>
          <w:rFonts w:ascii="Arial Narrow" w:hAnsi="Arial Narrow" w:eastAsia="Times New Roman" w:cs="Arial"/>
          <w:lang w:eastAsia="es-ES"/>
        </w:rPr>
      </w:pPr>
      <w:bookmarkStart w:id="76" w:name="_Hlk513128737"/>
      <w:r>
        <w:rPr>
          <w:rFonts w:ascii="Arial Narrow" w:hAnsi="Arial Narrow" w:eastAsia="Times New Roman" w:cs="Arial"/>
          <w:lang w:eastAsia="es-ES"/>
        </w:rPr>
        <w:t>Los proponentes tendrán en cuenta que sus ofrecimientos tendrán un término de validéz igual al de la vigencia de la póliza que garantiza la seriedad de la propuesta.</w:t>
      </w:r>
    </w:p>
    <w:p w14:paraId="08CBCDC2">
      <w:pPr>
        <w:numPr>
          <w:ilvl w:val="0"/>
          <w:numId w:val="17"/>
        </w:numPr>
        <w:tabs>
          <w:tab w:val="left" w:pos="-720"/>
        </w:tabs>
        <w:spacing w:after="0" w:line="240" w:lineRule="auto"/>
        <w:ind w:left="426"/>
        <w:jc w:val="both"/>
        <w:rPr>
          <w:rFonts w:ascii="Arial Narrow" w:hAnsi="Arial Narrow" w:cs="Arial"/>
          <w:b/>
          <w:spacing w:val="-3"/>
          <w:lang/>
        </w:rPr>
      </w:pPr>
      <w:r>
        <w:rPr>
          <w:rFonts w:ascii="Arial Narrow" w:hAnsi="Arial Narrow" w:cs="Arial"/>
          <w:spacing w:val="-3"/>
          <w:lang/>
        </w:rPr>
        <w:t xml:space="preserve">Las propuestas se presentarán a través de la plataforma del SECOP II, </w:t>
      </w:r>
      <w:r>
        <w:rPr>
          <w:rFonts w:ascii="Arial Narrow" w:hAnsi="Arial Narrow" w:cs="Arial"/>
          <w:bCs/>
          <w:spacing w:val="-3"/>
          <w:lang/>
        </w:rPr>
        <w:t>antes de la hora establecida para el  cierre.</w:t>
      </w:r>
    </w:p>
    <w:p w14:paraId="0DA14BC5">
      <w:pPr>
        <w:numPr>
          <w:ilvl w:val="0"/>
          <w:numId w:val="17"/>
        </w:numPr>
        <w:tabs>
          <w:tab w:val="left" w:pos="-720"/>
        </w:tabs>
        <w:spacing w:after="0" w:line="240" w:lineRule="auto"/>
        <w:ind w:left="426"/>
        <w:jc w:val="both"/>
        <w:rPr>
          <w:rFonts w:ascii="Arial Narrow" w:hAnsi="Arial Narrow" w:cs="Arial"/>
          <w:spacing w:val="-3"/>
          <w:lang/>
        </w:rPr>
      </w:pPr>
      <w:r>
        <w:rPr>
          <w:rFonts w:ascii="Arial Narrow" w:hAnsi="Arial Narrow" w:cs="Arial"/>
          <w:spacing w:val="-3"/>
          <w:lang/>
        </w:rPr>
        <w:t>En caso de presentarse como Consorcio, Unión Temporal o cualquier otra forma de asociación permitida por la ley, deberá registrarse como tal, con anterioridad en la plataforma del SECOP II, so pena de rechazo.</w:t>
      </w:r>
    </w:p>
    <w:p w14:paraId="7FE47232">
      <w:pPr>
        <w:numPr>
          <w:ilvl w:val="0"/>
          <w:numId w:val="17"/>
        </w:numPr>
        <w:spacing w:after="0" w:line="240" w:lineRule="auto"/>
        <w:ind w:left="426"/>
        <w:jc w:val="both"/>
        <w:rPr>
          <w:rFonts w:ascii="Arial Narrow" w:hAnsi="Arial Narrow" w:cs="Arial"/>
          <w:spacing w:val="-3"/>
          <w:lang/>
        </w:rPr>
      </w:pPr>
      <w:bookmarkStart w:id="77" w:name="_Hlk104917006"/>
      <w:r>
        <w:rPr>
          <w:rFonts w:ascii="Arial Narrow" w:hAnsi="Arial Narrow" w:cs="Arial"/>
          <w:spacing w:val="-3"/>
          <w:lang/>
        </w:rPr>
        <w:t xml:space="preserve">El proponente deberá adjuntar a la plataforma del SECOP II el formato No. 7 </w:t>
      </w:r>
      <w:r>
        <w:rPr>
          <w:rFonts w:ascii="Arial Narrow" w:hAnsi="Arial Narrow" w:cs="Arial"/>
          <w:spacing w:val="-3"/>
        </w:rPr>
        <w:t>y 7A (cuando aplique)</w:t>
      </w:r>
      <w:r>
        <w:rPr>
          <w:rFonts w:ascii="Arial Narrow" w:hAnsi="Arial Narrow" w:cs="Arial"/>
          <w:spacing w:val="-3"/>
          <w:lang/>
        </w:rPr>
        <w:t xml:space="preserve"> diligenciado en su totalidad, so pena de RECHAZO.</w:t>
      </w:r>
    </w:p>
    <w:p w14:paraId="25C1123F">
      <w:pPr>
        <w:numPr>
          <w:ilvl w:val="0"/>
          <w:numId w:val="17"/>
        </w:numPr>
        <w:tabs>
          <w:tab w:val="left" w:pos="-720"/>
        </w:tabs>
        <w:spacing w:after="0" w:line="240" w:lineRule="auto"/>
        <w:ind w:left="426" w:right="142"/>
        <w:jc w:val="both"/>
        <w:rPr>
          <w:rFonts w:ascii="Arial Narrow" w:hAnsi="Arial Narrow" w:cs="Arial"/>
          <w:spacing w:val="-3"/>
        </w:rPr>
      </w:pPr>
      <w:r>
        <w:rPr>
          <w:rFonts w:ascii="Arial Narrow" w:hAnsi="Arial Narrow" w:cs="Arial"/>
          <w:spacing w:val="-3"/>
        </w:rPr>
        <w:t xml:space="preserve">En caso de presentarse discrepancia entre el valor consignado en la plataforma del SECOP II y el formato No. 7 prevalecerá lo consignado en el formato No. 7. </w:t>
      </w:r>
      <w:r>
        <w:rPr>
          <w:rFonts w:ascii="Arial Narrow" w:hAnsi="Arial Narrow" w:eastAsia="Times New Roman" w:cs="Arial"/>
          <w:lang w:eastAsia="es-ES"/>
        </w:rPr>
        <w:t>Los proponentes tendrán en cuenta que sus ofrecimientos tendrán un término de validez igual al de la vigencia de la póliza que garantiza la seriedad de la propuesta</w:t>
      </w:r>
      <w:r>
        <w:rPr>
          <w:rFonts w:ascii="Arial Narrow" w:hAnsi="Arial Narrow" w:cs="Arial"/>
          <w:spacing w:val="-3"/>
        </w:rPr>
        <w:t>.</w:t>
      </w:r>
      <w:bookmarkEnd w:id="77"/>
    </w:p>
    <w:p w14:paraId="1A97A90B">
      <w:pPr>
        <w:numPr>
          <w:ilvl w:val="0"/>
          <w:numId w:val="17"/>
        </w:numPr>
        <w:spacing w:after="0" w:line="240" w:lineRule="auto"/>
        <w:ind w:left="426"/>
        <w:jc w:val="both"/>
        <w:rPr>
          <w:rFonts w:ascii="Arial Narrow" w:hAnsi="Arial Narrow" w:cs="Arial"/>
          <w:spacing w:val="-3"/>
          <w:lang/>
        </w:rPr>
      </w:pPr>
      <w:r>
        <w:rPr>
          <w:rFonts w:ascii="Arial Narrow" w:hAnsi="Arial Narrow" w:cs="Arial"/>
          <w:spacing w:val="-3"/>
          <w:lang/>
        </w:rPr>
        <w:t>Las propuestas se presentarán a través de la plataforma del SECOP II, antes de la hora establecida para el cierre y atendiendo a los requerimientos establecidos por la entidad en el presente proceso y a las disposiciones de Colombia Compra Eficiente en sus manuales y guías vigentes.</w:t>
      </w:r>
    </w:p>
    <w:p w14:paraId="473CBC13">
      <w:pPr>
        <w:spacing w:after="0" w:line="240" w:lineRule="auto"/>
        <w:jc w:val="both"/>
        <w:rPr>
          <w:rFonts w:ascii="Arial Narrow" w:hAnsi="Arial Narrow" w:cs="Arial"/>
          <w:spacing w:val="-3"/>
          <w:lang/>
        </w:rPr>
      </w:pPr>
      <w:r>
        <w:rPr>
          <w:rFonts w:ascii="Arial Narrow" w:hAnsi="Arial Narrow" w:cs="Arial"/>
          <w:spacing w:val="-3"/>
          <w:lang/>
        </w:rPr>
        <w:t xml:space="preserve"> </w:t>
      </w:r>
    </w:p>
    <w:p w14:paraId="0007FDC6">
      <w:pPr>
        <w:pStyle w:val="52"/>
        <w:widowControl w:val="0"/>
        <w:numPr>
          <w:ilvl w:val="1"/>
          <w:numId w:val="16"/>
        </w:numPr>
        <w:overflowPunct w:val="0"/>
        <w:autoSpaceDE w:val="0"/>
        <w:autoSpaceDN w:val="0"/>
        <w:adjustRightInd w:val="0"/>
        <w:spacing w:after="0" w:line="240" w:lineRule="auto"/>
        <w:ind w:left="567" w:hanging="567"/>
        <w:jc w:val="both"/>
        <w:rPr>
          <w:rFonts w:ascii="Arial Narrow" w:hAnsi="Arial Narrow" w:cs="Arial"/>
          <w:b/>
          <w:lang w:eastAsia="es-CO"/>
        </w:rPr>
      </w:pPr>
      <w:bookmarkStart w:id="78" w:name="_Toc99029268"/>
      <w:bookmarkStart w:id="79" w:name="_Toc35616203"/>
      <w:bookmarkStart w:id="80" w:name="_Toc40113330"/>
      <w:r>
        <w:rPr>
          <w:rFonts w:ascii="Arial Narrow" w:hAnsi="Arial Narrow" w:cs="Arial"/>
          <w:b/>
          <w:lang w:eastAsia="es-CO"/>
        </w:rPr>
        <w:t>APODERADO</w:t>
      </w:r>
      <w:bookmarkEnd w:id="78"/>
      <w:r>
        <w:rPr>
          <w:rFonts w:ascii="Arial Narrow" w:hAnsi="Arial Narrow" w:cs="Arial"/>
          <w:b/>
          <w:lang w:eastAsia="es-CO"/>
        </w:rPr>
        <w:t xml:space="preserve"> </w:t>
      </w:r>
      <w:bookmarkEnd w:id="79"/>
      <w:bookmarkEnd w:id="80"/>
    </w:p>
    <w:p w14:paraId="4D9F3260">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6F5C7579">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4913A050">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10F9F28F">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(ii) responder a los requerimientos y aclaraciones solicitados por la Entidad en el curso proceso; (iii) recibir las notificaciones a que haya lugar dentro del proceso (iv) suscribir el Contrato en nombre y representación del adjudicatario así como el acta de terminación y liquidación, si a ello hubiere lugar.</w:t>
      </w:r>
    </w:p>
    <w:p w14:paraId="5FDB1517">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72C4F595">
      <w:pPr>
        <w:widowControl w:val="0"/>
        <w:overflowPunct w:val="0"/>
        <w:autoSpaceDE w:val="0"/>
        <w:autoSpaceDN w:val="0"/>
        <w:adjustRightInd w:val="0"/>
        <w:spacing w:after="0" w:line="240" w:lineRule="auto"/>
        <w:jc w:val="both"/>
        <w:rPr>
          <w:rFonts w:ascii="Arial" w:hAnsi="Arial" w:eastAsia="Arial" w:cs="Arial"/>
          <w:sz w:val="20"/>
          <w:szCs w:val="20"/>
          <w:lang/>
        </w:rPr>
      </w:pPr>
      <w:r>
        <w:rPr>
          <w:rFonts w:ascii="Arial Narrow" w:hAnsi="Arial Narrow" w:eastAsia="Times New Roman" w:cs="Arial"/>
          <w:spacing w:val="-3"/>
          <w:lang w:eastAsia="es-ES"/>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r>
        <w:rPr>
          <w:rFonts w:ascii="Arial" w:hAnsi="Arial" w:eastAsia="Arial" w:cs="Arial"/>
          <w:sz w:val="20"/>
          <w:szCs w:val="20"/>
          <w:lang/>
        </w:rPr>
        <w:t xml:space="preserve">. </w:t>
      </w:r>
    </w:p>
    <w:p w14:paraId="090E5A5B">
      <w:pPr>
        <w:spacing w:after="0" w:line="240" w:lineRule="auto"/>
        <w:jc w:val="both"/>
        <w:rPr>
          <w:rFonts w:ascii="Arial Narrow" w:hAnsi="Arial Narrow" w:cs="Arial"/>
          <w:spacing w:val="-3"/>
          <w:lang/>
        </w:rPr>
      </w:pPr>
    </w:p>
    <w:bookmarkEnd w:id="76"/>
    <w:p w14:paraId="06AD070A">
      <w:pPr>
        <w:pStyle w:val="52"/>
        <w:widowControl w:val="0"/>
        <w:numPr>
          <w:ilvl w:val="1"/>
          <w:numId w:val="16"/>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 xml:space="preserve">PRESENTACIÓN PROPUESTA ECONÓMICA </w:t>
      </w:r>
    </w:p>
    <w:p w14:paraId="36F3C407">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40B41FA1">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 xml:space="preserve">La propuesta económica debe presentarse en pesos colombianos y en números enteros sin decimales. De presentar decimales se aproximará por defecto al número entero. </w:t>
      </w:r>
      <w:r>
        <w:rPr>
          <w:rFonts w:ascii="Arial" w:hAnsi="Arial" w:eastAsia="Arial" w:cs="Arial"/>
          <w:sz w:val="20"/>
          <w:szCs w:val="20"/>
          <w:lang w:eastAsia="es-ES"/>
        </w:rPr>
        <w:t xml:space="preserve"> </w:t>
      </w:r>
      <w:r>
        <w:rPr>
          <w:rFonts w:ascii="Arial Narrow" w:hAnsi="Arial Narrow" w:eastAsia="Times New Roman" w:cs="Arial"/>
          <w:spacing w:val="-3"/>
          <w:lang w:eastAsia="es-ES"/>
        </w:rPr>
        <w:t>La oferta económica será el valor total indicado en la propuesta económica o el obtenido de la corrección aritmética</w:t>
      </w:r>
    </w:p>
    <w:p w14:paraId="592E2A38">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5B16922A">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Para la presentación de la propuesta económica el proponente debe diligenciar en su totalidad los valores de la totalidad de los bienes, servicios, elementos o componentes relacionados formato No. 7 – Propuesta económica  y presentarlo en el sobre que corresponda en el SECOP II.</w:t>
      </w:r>
    </w:p>
    <w:p w14:paraId="0BF23DB6">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67362A89">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240AA52F">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476FC6A1">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El Proponente al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623DE10">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490AE1E8">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 xml:space="preserve">Además de lo anterior, la propuesta económica debe especificar el valor del Impuesto al valor agregado (IVA), si aplica, que en el país tenga vigencia a la fecha de presentación de la propuesta. </w:t>
      </w:r>
    </w:p>
    <w:p w14:paraId="41894FCE">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247FA750">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 xml:space="preserve">En caso de que la adjudicación sea por lote(s), el proponente deberá allegar la propuesta económica para el lote(s) que pretenda participar y cargarla en el sobre correspondiente en la plataforma SECOP II. </w:t>
      </w:r>
    </w:p>
    <w:p w14:paraId="4628C0F7">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573687FF">
      <w:pPr>
        <w:pStyle w:val="52"/>
        <w:widowControl w:val="0"/>
        <w:numPr>
          <w:ilvl w:val="2"/>
          <w:numId w:val="16"/>
        </w:numPr>
        <w:overflowPunct w:val="0"/>
        <w:autoSpaceDE w:val="0"/>
        <w:autoSpaceDN w:val="0"/>
        <w:adjustRightInd w:val="0"/>
        <w:spacing w:after="0" w:line="240" w:lineRule="auto"/>
        <w:jc w:val="both"/>
        <w:rPr>
          <w:rFonts w:ascii="Arial Narrow" w:hAnsi="Arial Narrow" w:cs="Arial"/>
          <w:b/>
        </w:rPr>
      </w:pPr>
      <w:r>
        <w:rPr>
          <w:rFonts w:ascii="Arial Narrow" w:hAnsi="Arial Narrow" w:cs="Arial"/>
          <w:b/>
          <w:lang w:eastAsia="es-CO"/>
        </w:rPr>
        <w:t>LISTA</w:t>
      </w:r>
      <w:r>
        <w:rPr>
          <w:rFonts w:ascii="Arial Narrow" w:hAnsi="Arial Narrow" w:cs="Arial"/>
          <w:b/>
        </w:rPr>
        <w:t xml:space="preserve"> DE PRECIOS DE REFERENCIA </w:t>
      </w:r>
    </w:p>
    <w:p w14:paraId="620C2511">
      <w:pPr>
        <w:tabs>
          <w:tab w:val="left" w:pos="-720"/>
        </w:tabs>
        <w:suppressAutoHyphens/>
        <w:spacing w:after="0" w:line="240" w:lineRule="auto"/>
        <w:contextualSpacing/>
        <w:jc w:val="both"/>
        <w:rPr>
          <w:rFonts w:ascii="Arial Narrow" w:hAnsi="Arial Narrow" w:cs="Arial"/>
          <w:b/>
        </w:rPr>
      </w:pPr>
    </w:p>
    <w:p w14:paraId="06F6D871">
      <w:pPr>
        <w:tabs>
          <w:tab w:val="left" w:pos="-720"/>
        </w:tabs>
        <w:suppressAutoHyphens/>
        <w:spacing w:after="0" w:line="240" w:lineRule="auto"/>
        <w:contextualSpacing/>
        <w:jc w:val="both"/>
        <w:rPr>
          <w:rFonts w:ascii="Arial Narrow" w:hAnsi="Arial Narrow" w:cs="Arial"/>
        </w:rPr>
      </w:pPr>
      <w:r>
        <w:rPr>
          <w:rFonts w:ascii="Arial Narrow" w:hAnsi="Arial Narrow" w:cs="Arial"/>
        </w:rPr>
        <w:t>Para el presente proceso NO se contará con lista de precios de referencia.</w:t>
      </w:r>
    </w:p>
    <w:p w14:paraId="46DA23AB">
      <w:pPr>
        <w:tabs>
          <w:tab w:val="left" w:pos="-720"/>
        </w:tabs>
        <w:suppressAutoHyphens/>
        <w:spacing w:after="0" w:line="240" w:lineRule="auto"/>
        <w:contextualSpacing/>
        <w:jc w:val="both"/>
        <w:rPr>
          <w:rFonts w:ascii="Arial Narrow" w:hAnsi="Arial Narrow" w:cs="Arial"/>
        </w:rPr>
      </w:pPr>
    </w:p>
    <w:tbl>
      <w:tblPr>
        <w:tblStyle w:val="12"/>
        <w:tblW w:w="8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743"/>
      </w:tblGrid>
      <w:tr w14:paraId="60CC7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2497" w:type="pct"/>
            <w:shd w:val="clear" w:color="auto" w:fill="D8D8D8" w:themeFill="background1" w:themeFillShade="D9"/>
            <w:vAlign w:val="center"/>
          </w:tcPr>
          <w:p w14:paraId="39972EF0">
            <w:pPr>
              <w:autoSpaceDE w:val="0"/>
              <w:autoSpaceDN w:val="0"/>
              <w:adjustRightInd w:val="0"/>
              <w:spacing w:after="0" w:line="240" w:lineRule="auto"/>
              <w:contextualSpacing/>
              <w:jc w:val="center"/>
              <w:rPr>
                <w:rFonts w:ascii="Arial Narrow" w:hAnsi="Arial Narrow" w:eastAsia="Calibri" w:cs="Arial"/>
                <w:b/>
                <w:color w:val="000000"/>
                <w:lang w:eastAsia="es-CO"/>
              </w:rPr>
            </w:pPr>
            <w:r>
              <w:rPr>
                <w:rFonts w:ascii="Arial Narrow" w:hAnsi="Arial Narrow" w:eastAsia="Calibri" w:cs="Arial"/>
                <w:b/>
                <w:color w:val="000000"/>
                <w:lang w:eastAsia="es-CO"/>
              </w:rPr>
              <w:t>SI</w:t>
            </w:r>
          </w:p>
        </w:tc>
        <w:tc>
          <w:tcPr>
            <w:tcW w:w="2503" w:type="pct"/>
            <w:vAlign w:val="center"/>
          </w:tcPr>
          <w:p w14:paraId="77F08287">
            <w:pPr>
              <w:autoSpaceDE w:val="0"/>
              <w:autoSpaceDN w:val="0"/>
              <w:adjustRightInd w:val="0"/>
              <w:spacing w:after="0" w:line="240" w:lineRule="auto"/>
              <w:contextualSpacing/>
              <w:jc w:val="center"/>
              <w:rPr>
                <w:rFonts w:ascii="Arial Narrow" w:hAnsi="Arial Narrow" w:eastAsia="Calibri" w:cs="Arial"/>
                <w:b/>
                <w:color w:val="000000"/>
                <w:lang w:eastAsia="es-CO"/>
              </w:rPr>
            </w:pPr>
          </w:p>
        </w:tc>
      </w:tr>
      <w:tr w14:paraId="2D40B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2497" w:type="pct"/>
            <w:shd w:val="clear" w:color="auto" w:fill="D8D8D8" w:themeFill="background1" w:themeFillShade="D9"/>
            <w:vAlign w:val="center"/>
          </w:tcPr>
          <w:p w14:paraId="1E16EB15">
            <w:pPr>
              <w:autoSpaceDE w:val="0"/>
              <w:autoSpaceDN w:val="0"/>
              <w:adjustRightInd w:val="0"/>
              <w:spacing w:after="0" w:line="240" w:lineRule="auto"/>
              <w:contextualSpacing/>
              <w:jc w:val="center"/>
              <w:rPr>
                <w:rFonts w:ascii="Arial Narrow" w:hAnsi="Arial Narrow" w:eastAsia="Calibri" w:cs="Arial"/>
                <w:b/>
                <w:color w:val="000000"/>
                <w:lang w:eastAsia="es-CO"/>
              </w:rPr>
            </w:pPr>
            <w:r>
              <w:rPr>
                <w:rFonts w:ascii="Arial Narrow" w:hAnsi="Arial Narrow" w:eastAsia="Calibri" w:cs="Arial"/>
                <w:b/>
                <w:color w:val="000000"/>
                <w:lang w:eastAsia="es-CO"/>
              </w:rPr>
              <w:t>NO</w:t>
            </w:r>
          </w:p>
        </w:tc>
        <w:tc>
          <w:tcPr>
            <w:tcW w:w="2503" w:type="pct"/>
            <w:vAlign w:val="center"/>
          </w:tcPr>
          <w:p w14:paraId="70454A4F">
            <w:pPr>
              <w:autoSpaceDE w:val="0"/>
              <w:autoSpaceDN w:val="0"/>
              <w:adjustRightInd w:val="0"/>
              <w:spacing w:after="0" w:line="240" w:lineRule="auto"/>
              <w:contextualSpacing/>
              <w:jc w:val="center"/>
              <w:rPr>
                <w:rFonts w:ascii="Arial Narrow" w:hAnsi="Arial Narrow" w:eastAsia="Calibri" w:cs="Arial"/>
                <w:b/>
                <w:color w:val="000000"/>
                <w:lang w:eastAsia="es-CO"/>
              </w:rPr>
            </w:pPr>
            <w:r>
              <w:rPr>
                <w:rFonts w:ascii="Arial Narrow" w:hAnsi="Arial Narrow" w:eastAsia="Calibri" w:cs="Arial"/>
                <w:b/>
                <w:color w:val="000000"/>
                <w:lang w:eastAsia="es-CO"/>
              </w:rPr>
              <w:t>X</w:t>
            </w:r>
          </w:p>
        </w:tc>
      </w:tr>
    </w:tbl>
    <w:p w14:paraId="26950C95">
      <w:pPr>
        <w:tabs>
          <w:tab w:val="left" w:pos="-720"/>
        </w:tabs>
        <w:suppressAutoHyphens/>
        <w:spacing w:after="0" w:line="240" w:lineRule="auto"/>
        <w:contextualSpacing/>
        <w:jc w:val="both"/>
        <w:rPr>
          <w:rFonts w:ascii="Arial Narrow" w:hAnsi="Arial Narrow" w:cs="Arial"/>
        </w:rPr>
      </w:pPr>
    </w:p>
    <w:p w14:paraId="26384186">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4BC77976">
      <w:pPr>
        <w:pStyle w:val="52"/>
        <w:widowControl w:val="0"/>
        <w:numPr>
          <w:ilvl w:val="1"/>
          <w:numId w:val="16"/>
        </w:numPr>
        <w:overflowPunct w:val="0"/>
        <w:autoSpaceDE w:val="0"/>
        <w:autoSpaceDN w:val="0"/>
        <w:adjustRightInd w:val="0"/>
        <w:spacing w:after="0" w:line="240" w:lineRule="auto"/>
        <w:ind w:left="567" w:hanging="567"/>
        <w:jc w:val="both"/>
        <w:rPr>
          <w:rFonts w:ascii="Arial Narrow" w:hAnsi="Arial Narrow" w:cs="Arial"/>
          <w:b/>
          <w:lang w:eastAsia="es-CO"/>
        </w:rPr>
      </w:pPr>
      <w:bookmarkStart w:id="81" w:name="_Toc32144842"/>
      <w:bookmarkStart w:id="82" w:name="_Toc99029319"/>
      <w:r>
        <w:rPr>
          <w:rFonts w:ascii="Arial Narrow" w:hAnsi="Arial Narrow" w:cs="Arial"/>
          <w:b/>
          <w:lang w:eastAsia="es-CO"/>
        </w:rPr>
        <w:t>CORRECCIONES ARITMÉTICAS</w:t>
      </w:r>
      <w:bookmarkEnd w:id="81"/>
      <w:bookmarkEnd w:id="82"/>
    </w:p>
    <w:p w14:paraId="3E8B85B9">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0995EC97">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La AEROCIVIL solo efectuará correcciones aritméticas originadas por:</w:t>
      </w:r>
    </w:p>
    <w:p w14:paraId="57A22349">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02309DD6">
      <w:pPr>
        <w:widowControl w:val="0"/>
        <w:numPr>
          <w:ilvl w:val="0"/>
          <w:numId w:val="18"/>
        </w:numPr>
        <w:overflowPunct w:val="0"/>
        <w:autoSpaceDE w:val="0"/>
        <w:autoSpaceDN w:val="0"/>
        <w:adjustRightInd w:val="0"/>
        <w:spacing w:after="0" w:line="240" w:lineRule="auto"/>
        <w:ind w:left="426"/>
        <w:jc w:val="both"/>
        <w:rPr>
          <w:rFonts w:ascii="Arial Narrow" w:hAnsi="Arial Narrow" w:eastAsia="Times New Roman" w:cs="Arial"/>
          <w:spacing w:val="-3"/>
          <w:lang w:eastAsia="es-ES"/>
        </w:rPr>
      </w:pPr>
      <w:r>
        <w:rPr>
          <w:rFonts w:ascii="Arial Narrow" w:hAnsi="Arial Narrow" w:eastAsia="Times New Roman" w:cs="Arial"/>
          <w:spacing w:val="-3"/>
          <w:lang w:eastAsia="es-ES"/>
        </w:rPr>
        <w:t>Las operaciones aritméticas a que haya lugar en la propuesta económica, cuando exista un error que surja de un cálculo meramente aritmético cuando la operación ha sido erróneamente realizada.</w:t>
      </w:r>
    </w:p>
    <w:p w14:paraId="1E23C6F4">
      <w:pPr>
        <w:widowControl w:val="0"/>
        <w:numPr>
          <w:ilvl w:val="0"/>
          <w:numId w:val="18"/>
        </w:numPr>
        <w:overflowPunct w:val="0"/>
        <w:autoSpaceDE w:val="0"/>
        <w:autoSpaceDN w:val="0"/>
        <w:adjustRightInd w:val="0"/>
        <w:spacing w:after="0" w:line="240" w:lineRule="auto"/>
        <w:ind w:left="426"/>
        <w:jc w:val="both"/>
        <w:rPr>
          <w:rFonts w:ascii="Arial Narrow" w:hAnsi="Arial Narrow" w:eastAsia="Times New Roman" w:cs="Arial"/>
          <w:spacing w:val="-3"/>
          <w:lang w:eastAsia="es-ES"/>
        </w:rPr>
      </w:pPr>
      <w:r>
        <w:rPr>
          <w:rFonts w:ascii="Arial Narrow" w:hAnsi="Arial Narrow" w:eastAsia="Times New Roman" w:cs="Arial"/>
          <w:spacing w:val="-3"/>
          <w:lang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5D943890">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1A4AC674">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La AEROCIVIL a partir del valor total corregido de las propuestas valorará la oferta económica según la normativa vigente aplicable</w:t>
      </w:r>
    </w:p>
    <w:p w14:paraId="41AC1753">
      <w:pPr>
        <w:widowControl w:val="0"/>
        <w:overflowPunct w:val="0"/>
        <w:autoSpaceDE w:val="0"/>
        <w:autoSpaceDN w:val="0"/>
        <w:adjustRightInd w:val="0"/>
        <w:spacing w:after="0" w:line="240" w:lineRule="auto"/>
        <w:jc w:val="both"/>
        <w:rPr>
          <w:rFonts w:ascii="Arial Narrow" w:hAnsi="Arial Narrow" w:eastAsia="Times New Roman" w:cs="Arial"/>
          <w:b/>
          <w:spacing w:val="-3"/>
          <w:lang w:eastAsia="es-ES"/>
        </w:rPr>
      </w:pPr>
    </w:p>
    <w:p w14:paraId="7F7211A3">
      <w:pPr>
        <w:widowControl w:val="0"/>
        <w:overflowPunct w:val="0"/>
        <w:autoSpaceDE w:val="0"/>
        <w:autoSpaceDN w:val="0"/>
        <w:adjustRightInd w:val="0"/>
        <w:spacing w:after="0" w:line="240" w:lineRule="auto"/>
        <w:jc w:val="both"/>
        <w:rPr>
          <w:rFonts w:ascii="Arial Narrow" w:hAnsi="Arial Narrow" w:eastAsia="Times New Roman" w:cs="Arial"/>
          <w:b/>
          <w:spacing w:val="-3"/>
          <w:lang w:eastAsia="es-ES"/>
        </w:rPr>
      </w:pPr>
    </w:p>
    <w:p w14:paraId="02079410">
      <w:pPr>
        <w:pStyle w:val="52"/>
        <w:widowControl w:val="0"/>
        <w:numPr>
          <w:ilvl w:val="1"/>
          <w:numId w:val="16"/>
        </w:numPr>
        <w:overflowPunct w:val="0"/>
        <w:autoSpaceDE w:val="0"/>
        <w:autoSpaceDN w:val="0"/>
        <w:adjustRightInd w:val="0"/>
        <w:spacing w:after="0" w:line="240" w:lineRule="auto"/>
        <w:ind w:left="567" w:hanging="567"/>
        <w:jc w:val="both"/>
        <w:rPr>
          <w:rFonts w:ascii="Arial Narrow" w:hAnsi="Arial Narrow" w:cs="Arial"/>
          <w:b/>
          <w:lang w:eastAsia="es-CO"/>
        </w:rPr>
      </w:pPr>
      <w:bookmarkStart w:id="83" w:name="_Toc99029320"/>
      <w:r>
        <w:rPr>
          <w:rFonts w:ascii="Arial Narrow" w:hAnsi="Arial Narrow" w:cs="Arial"/>
          <w:b/>
          <w:lang w:eastAsia="es-CO"/>
        </w:rPr>
        <w:t>PRECIO ARTIFICIALMENTE BAJO</w:t>
      </w:r>
      <w:bookmarkEnd w:id="83"/>
    </w:p>
    <w:p w14:paraId="77C7D32B">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51788C88">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 xml:space="preserve">En el evento en el que el precio de una oferta, al momento de su evaluación, no parezca suficiente para </w:t>
      </w:r>
      <w:r>
        <w:rPr>
          <w:rFonts w:ascii="Arial Narrow" w:hAnsi="Arial Narrow" w:eastAsia="Times New Roman" w:cs="Arial"/>
          <w:spacing w:val="-3"/>
          <w:lang w:eastAsia="es-ES"/>
        </w:rPr>
        <w:t>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18B42D80">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53425726">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 xml:space="preserve">La Entidad fijará el porcentaje, que de acuerdo con el estudio del sector determine que presuntamente se constituyen ofertas con precios artificialmente bajos, y por lo tanto,  requerirá al oferente para que explique las razones que sustentan el valor ofrecido durante el término de traslado del informe de evaluación preliminar, de lo contrario, el comité evaluador podrá recomendar el rechazo de las propuestas. </w:t>
      </w:r>
    </w:p>
    <w:p w14:paraId="331629DE">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36038BD5">
      <w:pPr>
        <w:tabs>
          <w:tab w:val="left" w:pos="-720"/>
        </w:tabs>
        <w:suppressAutoHyphens/>
        <w:spacing w:line="240" w:lineRule="auto"/>
        <w:contextualSpacing/>
        <w:jc w:val="both"/>
        <w:rPr>
          <w:rFonts w:ascii="Arial Narrow" w:hAnsi="Arial Narrow" w:cs="Arial"/>
          <w:b/>
        </w:rPr>
      </w:pPr>
      <w:bookmarkStart w:id="84" w:name="_Hlk106096486"/>
      <w:r>
        <w:rPr>
          <w:rFonts w:ascii="Arial Narrow" w:hAnsi="Arial Narrow" w:cs="Arial"/>
        </w:rPr>
        <w:t xml:space="preserve">Una vez recibidas las ofertas, la Entidad aplicará las fórmulas dispuestas en la Guía para el manejo de ofertas artificialmente bajas en Procesos de Contratación de Colombia Compra Eficiente para determinar el valor mínimo aceptable para la Entidad de acuerdo con la metodología aplicada. </w:t>
      </w:r>
    </w:p>
    <w:bookmarkEnd w:id="84"/>
    <w:p w14:paraId="607EF091">
      <w:pPr>
        <w:widowControl w:val="0"/>
        <w:overflowPunct w:val="0"/>
        <w:autoSpaceDE w:val="0"/>
        <w:autoSpaceDN w:val="0"/>
        <w:adjustRightInd w:val="0"/>
        <w:spacing w:after="0" w:line="240" w:lineRule="auto"/>
        <w:jc w:val="both"/>
        <w:rPr>
          <w:rFonts w:ascii="Arial Narrow" w:hAnsi="Arial Narrow" w:eastAsia="Times New Roman" w:cs="Arial"/>
          <w:b/>
          <w:spacing w:val="-3"/>
          <w:lang w:val="es-ES" w:eastAsia="es-ES"/>
        </w:rPr>
      </w:pPr>
    </w:p>
    <w:p w14:paraId="74288AF7">
      <w:pPr>
        <w:pStyle w:val="52"/>
        <w:widowControl w:val="0"/>
        <w:numPr>
          <w:ilvl w:val="1"/>
          <w:numId w:val="16"/>
        </w:numPr>
        <w:overflowPunct w:val="0"/>
        <w:autoSpaceDE w:val="0"/>
        <w:autoSpaceDN w:val="0"/>
        <w:adjustRightInd w:val="0"/>
        <w:spacing w:after="0" w:line="240" w:lineRule="auto"/>
        <w:ind w:left="567" w:hanging="567"/>
        <w:jc w:val="both"/>
        <w:rPr>
          <w:rFonts w:ascii="Arial Narrow" w:hAnsi="Arial Narrow" w:eastAsia="Times New Roman" w:cs="Arial"/>
          <w:b/>
          <w:lang w:eastAsia="es-ES"/>
        </w:rPr>
      </w:pPr>
      <w:r>
        <w:rPr>
          <w:rFonts w:ascii="Arial Narrow" w:hAnsi="Arial Narrow" w:cs="Arial"/>
          <w:b/>
          <w:lang w:eastAsia="es-CO"/>
        </w:rPr>
        <w:t>VERIFICACIÓN</w:t>
      </w:r>
      <w:r>
        <w:rPr>
          <w:rFonts w:ascii="Arial Narrow" w:hAnsi="Arial Narrow" w:eastAsia="Times New Roman" w:cs="Arial"/>
          <w:b/>
          <w:lang w:eastAsia="es-ES"/>
        </w:rPr>
        <w:t xml:space="preserve"> DE LOS REQUISITOS HABILITANTES Y DE EVALUACIÓN </w:t>
      </w:r>
    </w:p>
    <w:p w14:paraId="526827BB">
      <w:pPr>
        <w:pStyle w:val="49"/>
        <w:jc w:val="both"/>
        <w:rPr>
          <w:rFonts w:ascii="Arial Narrow" w:hAnsi="Arial Narrow" w:cs="Arial"/>
          <w:sz w:val="22"/>
          <w:szCs w:val="22"/>
        </w:rPr>
      </w:pPr>
      <w:r>
        <w:rPr>
          <w:rFonts w:ascii="Arial Narrow" w:hAnsi="Arial Narrow" w:cs="Arial"/>
          <w:sz w:val="22"/>
          <w:szCs w:val="22"/>
        </w:rPr>
        <w:t xml:space="preserve">   </w:t>
      </w:r>
    </w:p>
    <w:p w14:paraId="00C91079">
      <w:pPr>
        <w:pStyle w:val="49"/>
        <w:jc w:val="both"/>
        <w:rPr>
          <w:rFonts w:ascii="Arial Narrow" w:hAnsi="Arial Narrow" w:cs="Arial"/>
          <w:sz w:val="22"/>
          <w:szCs w:val="22"/>
        </w:rPr>
      </w:pPr>
      <w:r>
        <w:rPr>
          <w:rFonts w:ascii="Arial Narrow" w:hAnsi="Arial Narrow" w:cs="Arial"/>
          <w:sz w:val="22"/>
          <w:szCs w:val="22"/>
        </w:rPr>
        <w:t>La Aerocivil</w:t>
      </w:r>
      <w:r>
        <w:rPr>
          <w:rFonts w:ascii="Arial Narrow" w:hAnsi="Arial Narrow" w:cs="Arial"/>
          <w:i/>
          <w:iCs/>
          <w:sz w:val="22"/>
          <w:szCs w:val="22"/>
        </w:rPr>
        <w:t xml:space="preserve"> </w:t>
      </w:r>
      <w:r>
        <w:rPr>
          <w:rFonts w:ascii="Arial Narrow" w:hAnsi="Arial Narrow" w:cs="Arial"/>
          <w:sz w:val="22"/>
          <w:szCs w:val="22"/>
        </w:rPr>
        <w:t>verificará los requisitos habilitantes y evaluará las ofertas presentadas por los proponentes dentro del plazo señalado en el Cronograma, término dentro del cual el Comité Evaluador, podrá solicitar, las aclaraciones, precisiones o los documentos que se requieran, sin que por ello pueda el Proponente adicionar o modificar su propuesta, ni la Aerocivil solicitar variación alguna en los términos de la misma, o transgredir principios fundamentales que rigen la contratación estatal.</w:t>
      </w:r>
    </w:p>
    <w:p w14:paraId="3C8995C6">
      <w:pPr>
        <w:pStyle w:val="49"/>
        <w:jc w:val="both"/>
        <w:rPr>
          <w:rFonts w:ascii="Arial Narrow" w:hAnsi="Arial Narrow" w:cs="Arial"/>
          <w:sz w:val="22"/>
          <w:szCs w:val="22"/>
        </w:rPr>
      </w:pPr>
    </w:p>
    <w:p w14:paraId="0543A008">
      <w:pPr>
        <w:pStyle w:val="52"/>
        <w:widowControl w:val="0"/>
        <w:numPr>
          <w:ilvl w:val="1"/>
          <w:numId w:val="16"/>
        </w:numPr>
        <w:overflowPunct w:val="0"/>
        <w:autoSpaceDE w:val="0"/>
        <w:autoSpaceDN w:val="0"/>
        <w:adjustRightInd w:val="0"/>
        <w:spacing w:after="0" w:line="240" w:lineRule="auto"/>
        <w:ind w:left="567" w:hanging="567"/>
        <w:jc w:val="both"/>
        <w:rPr>
          <w:rFonts w:ascii="Arial Narrow" w:hAnsi="Arial Narrow" w:eastAsia="Times New Roman" w:cs="Arial"/>
          <w:b/>
          <w:lang w:eastAsia="es-ES"/>
        </w:rPr>
      </w:pPr>
      <w:r>
        <w:rPr>
          <w:rFonts w:ascii="Arial Narrow" w:hAnsi="Arial Narrow" w:cs="Arial"/>
          <w:b/>
          <w:lang w:eastAsia="es-CO"/>
        </w:rPr>
        <w:t>TÉRMINO</w:t>
      </w:r>
      <w:r>
        <w:rPr>
          <w:rFonts w:ascii="Arial Narrow" w:hAnsi="Arial Narrow" w:eastAsia="Times New Roman" w:cs="Arial"/>
          <w:b/>
          <w:lang w:eastAsia="es-ES"/>
        </w:rPr>
        <w:t xml:space="preserve"> DE TRASLADO DEL INFORME DE EVALUACIÓN </w:t>
      </w:r>
    </w:p>
    <w:p w14:paraId="0E5EFC58">
      <w:pPr>
        <w:widowControl w:val="0"/>
        <w:overflowPunct w:val="0"/>
        <w:autoSpaceDE w:val="0"/>
        <w:autoSpaceDN w:val="0"/>
        <w:adjustRightInd w:val="0"/>
        <w:spacing w:after="0" w:line="240" w:lineRule="auto"/>
        <w:jc w:val="both"/>
        <w:rPr>
          <w:rFonts w:ascii="Arial Narrow" w:hAnsi="Arial Narrow" w:eastAsia="Times New Roman" w:cs="Arial"/>
          <w:b/>
          <w:lang w:eastAsia="es-ES"/>
        </w:rPr>
      </w:pPr>
    </w:p>
    <w:p w14:paraId="6D03809A">
      <w:pPr>
        <w:pStyle w:val="49"/>
        <w:jc w:val="both"/>
        <w:rPr>
          <w:rFonts w:ascii="Arial Narrow" w:hAnsi="Arial Narrow" w:cs="Arial"/>
          <w:sz w:val="22"/>
          <w:szCs w:val="22"/>
        </w:rPr>
      </w:pPr>
      <w:r>
        <w:rPr>
          <w:rFonts w:ascii="Arial Narrow" w:hAnsi="Arial Narrow" w:cs="Arial"/>
          <w:sz w:val="22"/>
          <w:szCs w:val="22"/>
        </w:rPr>
        <w:t xml:space="preserve">Los proponentes podrán consultar el informe de verificación de requisitos habilitantes y de evaluación de las propuestas </w:t>
      </w:r>
      <w:r>
        <w:rPr>
          <w:rFonts w:ascii="Arial Narrow" w:hAnsi="Arial Narrow" w:cs="Arial"/>
          <w:bCs/>
          <w:sz w:val="22"/>
          <w:szCs w:val="22"/>
        </w:rPr>
        <w:t xml:space="preserve"> en el SECOP II </w:t>
      </w:r>
      <w:r>
        <w:rPr>
          <w:rFonts w:ascii="Arial Narrow" w:hAnsi="Arial Narrow" w:cs="Arial"/>
          <w:sz w:val="22"/>
          <w:szCs w:val="22"/>
        </w:rPr>
        <w:t>durante las fechas señaladas en el Cronograma. Dentro de este término los proponentes podrán presentar las observaciones que estimen pertinentes.</w:t>
      </w:r>
    </w:p>
    <w:p w14:paraId="3A697C79">
      <w:pPr>
        <w:pStyle w:val="49"/>
        <w:jc w:val="both"/>
        <w:rPr>
          <w:rFonts w:ascii="Arial Narrow" w:hAnsi="Arial Narrow" w:cs="Arial"/>
          <w:sz w:val="22"/>
          <w:szCs w:val="22"/>
        </w:rPr>
      </w:pPr>
    </w:p>
    <w:p w14:paraId="7BD8F06A">
      <w:pPr>
        <w:pStyle w:val="49"/>
        <w:jc w:val="both"/>
        <w:rPr>
          <w:rFonts w:ascii="Arial Narrow" w:hAnsi="Arial Narrow" w:cs="Arial"/>
          <w:sz w:val="22"/>
          <w:szCs w:val="22"/>
        </w:rPr>
      </w:pPr>
      <w:r>
        <w:rPr>
          <w:rFonts w:ascii="Arial Narrow" w:hAnsi="Arial Narrow" w:eastAsia="Calibri" w:cs="Arial"/>
          <w:bCs/>
          <w:sz w:val="22"/>
          <w:szCs w:val="22"/>
          <w:lang w:eastAsia="en-US"/>
        </w:rPr>
        <w:t>De conformidad con lo señalado en la Ley 1882 de 2018, durante este termino deben presentar</w:t>
      </w:r>
      <w:r>
        <w:rPr>
          <w:rFonts w:ascii="Arial Narrow" w:hAnsi="Arial Narrow" w:cs="Arial"/>
          <w:sz w:val="22"/>
          <w:szCs w:val="22"/>
        </w:rPr>
        <w:t xml:space="preserve"> los documentos y aclaraciones solicitados por la AEROCIVIL en el momento de la evaluación, que  no afecten la asignación de puntaje.</w:t>
      </w:r>
    </w:p>
    <w:p w14:paraId="4C8C1721">
      <w:pPr>
        <w:pStyle w:val="49"/>
        <w:jc w:val="both"/>
        <w:rPr>
          <w:rFonts w:ascii="Arial Narrow" w:hAnsi="Arial Narrow" w:cs="Arial"/>
          <w:sz w:val="22"/>
          <w:szCs w:val="22"/>
        </w:rPr>
      </w:pPr>
    </w:p>
    <w:p w14:paraId="47A9C310">
      <w:pPr>
        <w:pStyle w:val="49"/>
        <w:jc w:val="both"/>
        <w:rPr>
          <w:rFonts w:ascii="Arial Narrow" w:hAnsi="Arial Narrow" w:eastAsia="Calibri" w:cs="Arial"/>
          <w:bCs/>
          <w:sz w:val="22"/>
          <w:szCs w:val="22"/>
          <w:lang w:eastAsia="en-US"/>
        </w:rPr>
      </w:pPr>
      <w:r>
        <w:rPr>
          <w:rFonts w:ascii="Arial Narrow" w:hAnsi="Arial Narrow" w:cs="Arial"/>
          <w:sz w:val="22"/>
          <w:szCs w:val="22"/>
        </w:rPr>
        <w:t>En ejercicio de esta facultad, no podrán completar, adicionar, modificar o mejorar sus ofrecimientos.</w:t>
      </w:r>
      <w:r>
        <w:rPr>
          <w:rFonts w:ascii="Arial Narrow" w:hAnsi="Arial Narrow" w:eastAsia="Calibri" w:cs="Arial"/>
          <w:bCs/>
          <w:sz w:val="22"/>
          <w:szCs w:val="22"/>
          <w:lang w:eastAsia="en-US"/>
        </w:rPr>
        <w:t xml:space="preserve"> </w:t>
      </w:r>
    </w:p>
    <w:p w14:paraId="6EECEF8C">
      <w:pPr>
        <w:widowControl w:val="0"/>
        <w:overflowPunct w:val="0"/>
        <w:autoSpaceDE w:val="0"/>
        <w:autoSpaceDN w:val="0"/>
        <w:adjustRightInd w:val="0"/>
        <w:spacing w:after="0" w:line="240" w:lineRule="auto"/>
        <w:jc w:val="both"/>
        <w:rPr>
          <w:rFonts w:ascii="Arial Narrow" w:hAnsi="Arial Narrow" w:cs="Arial"/>
          <w:lang/>
        </w:rPr>
      </w:pPr>
      <w:r>
        <w:rPr>
          <w:rFonts w:ascii="Arial Narrow" w:hAnsi="Arial Narrow" w:cs="Arial"/>
          <w:bCs/>
          <w:lang/>
        </w:rPr>
        <w:t>El Proponente no podrá subsanar la omisión de los asuntos relacionados con la falta de capacidad para presentar la oferta, ni acreditar circunstancias ocurridas con posterioridad al Cierre del proceso.</w:t>
      </w:r>
      <w:r>
        <w:rPr>
          <w:rFonts w:ascii="Arial Narrow" w:hAnsi="Arial Narrow" w:eastAsia="Times New Roman" w:cs="Arial"/>
          <w:lang w:eastAsia="es-ES"/>
        </w:rPr>
        <w:t xml:space="preserve"> El proponente no podrá subsanar aquellos requisitos que en virtud del artículo 5º  de la Ley 1150 de 2007 no pueden subsanarse.</w:t>
      </w:r>
      <w:r>
        <w:rPr>
          <w:rFonts w:ascii="Arial Narrow" w:hAnsi="Arial Narrow" w:cs="Arial"/>
          <w:lang/>
        </w:rPr>
        <w:t xml:space="preserve">  </w:t>
      </w:r>
    </w:p>
    <w:p w14:paraId="2A16822D">
      <w:pPr>
        <w:widowControl w:val="0"/>
        <w:overflowPunct w:val="0"/>
        <w:autoSpaceDE w:val="0"/>
        <w:autoSpaceDN w:val="0"/>
        <w:adjustRightInd w:val="0"/>
        <w:spacing w:after="0" w:line="240" w:lineRule="auto"/>
        <w:jc w:val="both"/>
        <w:rPr>
          <w:rFonts w:ascii="Arial Narrow" w:hAnsi="Arial Narrow" w:cs="Arial"/>
          <w:lang/>
        </w:rPr>
      </w:pPr>
    </w:p>
    <w:p w14:paraId="434E09B7">
      <w:pPr>
        <w:pStyle w:val="52"/>
        <w:widowControl w:val="0"/>
        <w:numPr>
          <w:ilvl w:val="1"/>
          <w:numId w:val="16"/>
        </w:numPr>
        <w:overflowPunct w:val="0"/>
        <w:autoSpaceDE w:val="0"/>
        <w:autoSpaceDN w:val="0"/>
        <w:adjustRightInd w:val="0"/>
        <w:spacing w:after="0" w:line="240" w:lineRule="auto"/>
        <w:ind w:left="567" w:hanging="567"/>
        <w:jc w:val="both"/>
        <w:rPr>
          <w:rFonts w:ascii="Arial Narrow" w:hAnsi="Arial Narrow" w:eastAsia="MS Gothic" w:cs="Arial"/>
          <w:b/>
          <w:lang/>
        </w:rPr>
      </w:pPr>
      <w:bookmarkStart w:id="85" w:name="_Toc326656686"/>
      <w:bookmarkStart w:id="86" w:name="_Toc410631477"/>
      <w:r>
        <w:rPr>
          <w:rFonts w:ascii="Arial Narrow" w:hAnsi="Arial Narrow" w:cs="Arial"/>
          <w:b/>
          <w:lang w:eastAsia="es-CO"/>
        </w:rPr>
        <w:t>REGLAS</w:t>
      </w:r>
      <w:r>
        <w:rPr>
          <w:rFonts w:ascii="Arial Narrow" w:hAnsi="Arial Narrow" w:eastAsia="MS Gothic" w:cs="Arial"/>
          <w:b/>
          <w:lang/>
        </w:rPr>
        <w:t xml:space="preserve"> DE SUBSANABILIDAD</w:t>
      </w:r>
      <w:bookmarkEnd w:id="85"/>
      <w:bookmarkEnd w:id="86"/>
    </w:p>
    <w:p w14:paraId="23D78AF2">
      <w:pPr>
        <w:tabs>
          <w:tab w:val="left" w:pos="-142"/>
        </w:tabs>
        <w:autoSpaceDE w:val="0"/>
        <w:autoSpaceDN w:val="0"/>
        <w:adjustRightInd w:val="0"/>
        <w:spacing w:after="0" w:line="240" w:lineRule="auto"/>
        <w:jc w:val="both"/>
        <w:rPr>
          <w:rFonts w:ascii="Arial Narrow" w:hAnsi="Arial Narrow" w:eastAsia="Times New Roman" w:cs="Arial"/>
          <w:lang w:eastAsia="es-ES"/>
        </w:rPr>
      </w:pPr>
    </w:p>
    <w:p w14:paraId="1EFA3B1C">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0A537331">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 xml:space="preserve">En caso de ser necesario, la AEROCIVIL solicitará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hasta tres (3) días hábiles siguientes, contados a partir del día hábil siguiente a la publicación del informe de evaluación, </w:t>
      </w:r>
      <w:r>
        <w:rPr>
          <w:rFonts w:ascii="Arial Narrow" w:hAnsi="Arial Narrow" w:cs="Arial"/>
          <w:b/>
          <w:bCs/>
          <w:lang/>
        </w:rPr>
        <w:t>so pena del rechazo de la propuesta</w:t>
      </w:r>
      <w:r>
        <w:rPr>
          <w:rFonts w:ascii="Arial Narrow" w:hAnsi="Arial Narrow" w:cs="Arial"/>
          <w:lang/>
        </w:rPr>
        <w:t>. Las subsanaciones se harán por medio de mensajes, en la forma prevista en la plataforma.</w:t>
      </w:r>
    </w:p>
    <w:p w14:paraId="3E76D5CD">
      <w:pPr>
        <w:tabs>
          <w:tab w:val="left" w:pos="-142"/>
        </w:tabs>
        <w:autoSpaceDE w:val="0"/>
        <w:autoSpaceDN w:val="0"/>
        <w:adjustRightInd w:val="0"/>
        <w:spacing w:after="0" w:line="240" w:lineRule="auto"/>
        <w:jc w:val="both"/>
        <w:rPr>
          <w:rFonts w:ascii="Arial Narrow" w:hAnsi="Arial Narrow" w:cs="Arial"/>
          <w:lang/>
        </w:rPr>
      </w:pPr>
    </w:p>
    <w:p w14:paraId="6FF4E4E3">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En caso de que la Entidad no hubiese advertido durante el proceso de evaluación la ausencia de requisitos o la falta de documentos referentes a la futura contratación o al Proponente, ya sea en relación con los requisitos habilitantes o para aclarar aspectos que otorgan puntaje o relacionados con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20FDBEAB">
      <w:pPr>
        <w:tabs>
          <w:tab w:val="left" w:pos="-142"/>
        </w:tabs>
        <w:autoSpaceDE w:val="0"/>
        <w:autoSpaceDN w:val="0"/>
        <w:adjustRightInd w:val="0"/>
        <w:spacing w:after="0" w:line="240" w:lineRule="auto"/>
        <w:jc w:val="both"/>
        <w:rPr>
          <w:rFonts w:ascii="Arial Narrow" w:hAnsi="Arial Narrow" w:cs="Arial"/>
          <w:lang/>
        </w:rPr>
      </w:pPr>
    </w:p>
    <w:p w14:paraId="418876AB">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2B3D6214">
      <w:pPr>
        <w:tabs>
          <w:tab w:val="left" w:pos="-142"/>
        </w:tabs>
        <w:autoSpaceDE w:val="0"/>
        <w:autoSpaceDN w:val="0"/>
        <w:adjustRightInd w:val="0"/>
        <w:spacing w:after="0" w:line="240" w:lineRule="auto"/>
        <w:jc w:val="both"/>
        <w:rPr>
          <w:rFonts w:ascii="Arial Narrow" w:hAnsi="Arial Narrow" w:cs="Arial"/>
          <w:lang/>
        </w:rPr>
      </w:pPr>
    </w:p>
    <w:p w14:paraId="6CE85894">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 xml:space="preserve">En virtud del principio de buena fe, los Proponentes que presenten observaciones al proceso o a las ofertas y conductas de los demás oferentes deberán justificar y demostrar su procedencia. </w:t>
      </w:r>
    </w:p>
    <w:p w14:paraId="289B1243">
      <w:pPr>
        <w:tabs>
          <w:tab w:val="left" w:pos="-142"/>
        </w:tabs>
        <w:autoSpaceDE w:val="0"/>
        <w:autoSpaceDN w:val="0"/>
        <w:adjustRightInd w:val="0"/>
        <w:spacing w:after="0" w:line="240" w:lineRule="auto"/>
        <w:jc w:val="both"/>
        <w:rPr>
          <w:rFonts w:ascii="Arial Narrow" w:hAnsi="Arial Narrow" w:cs="Arial"/>
          <w:lang/>
        </w:rPr>
      </w:pPr>
    </w:p>
    <w:p w14:paraId="60186EC7">
      <w:pPr>
        <w:tabs>
          <w:tab w:val="left" w:pos="-142"/>
        </w:tabs>
        <w:autoSpaceDE w:val="0"/>
        <w:autoSpaceDN w:val="0"/>
        <w:adjustRightInd w:val="0"/>
        <w:spacing w:after="0" w:line="240" w:lineRule="auto"/>
        <w:jc w:val="both"/>
        <w:rPr>
          <w:rFonts w:ascii="Arial Narrow" w:hAnsi="Arial Narrow" w:cs="Arial"/>
          <w:i/>
          <w:lang/>
        </w:rPr>
      </w:pPr>
      <w:r>
        <w:rPr>
          <w:rFonts w:ascii="Arial Narrow" w:hAnsi="Arial Narrow" w:cs="Arial"/>
          <w:lang/>
        </w:rPr>
        <w:t xml:space="preserve">De conformidad con el parágrafo primero del artículo 5º de la Ley 1150 de 2007, modificado por el artículo 5° de la Ley 1882 de 2018 </w:t>
      </w:r>
      <w:r>
        <w:rPr>
          <w:rFonts w:ascii="Arial Narrow" w:hAnsi="Arial Narrow" w:cs="Arial"/>
          <w:i/>
          <w:lang/>
        </w:rPr>
        <w:t xml:space="preserve">“(…) La ausencia de requisitos o la falta de documentos referentes a Ia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w:t>
      </w:r>
      <w:r>
        <w:rPr>
          <w:rFonts w:ascii="Arial Narrow" w:hAnsi="Arial Narrow" w:cs="Arial"/>
          <w:i/>
          <w:u w:val="single"/>
          <w:lang/>
        </w:rPr>
        <w:t>deberán ser entregados por una única vez por los proponentes hasta el término de traslado del informe de evaluación que corresponda a cada modalidad de selección</w:t>
      </w:r>
      <w:r>
        <w:rPr>
          <w:rFonts w:ascii="Arial Narrow" w:hAnsi="Arial Narrow" w:cs="Arial"/>
          <w:i/>
          <w:lang/>
        </w:rPr>
        <w:t>, salvo lo dispuesto para el proceso de Mínima cuantía y para el proceso de selección a través del sistema de subasta. Serán rechazadas las ofertas de aquellos proponentes que no suministren la información y Ia documentación solicitada por la entidad estatal hasta el plazo anteriormente señalado.</w:t>
      </w:r>
    </w:p>
    <w:p w14:paraId="245EAB5A">
      <w:pPr>
        <w:tabs>
          <w:tab w:val="left" w:pos="-142"/>
        </w:tabs>
        <w:autoSpaceDE w:val="0"/>
        <w:autoSpaceDN w:val="0"/>
        <w:adjustRightInd w:val="0"/>
        <w:spacing w:after="0" w:line="240" w:lineRule="auto"/>
        <w:jc w:val="both"/>
        <w:rPr>
          <w:rFonts w:ascii="Arial Narrow" w:hAnsi="Arial Narrow" w:cs="Arial"/>
          <w:i/>
          <w:lang/>
        </w:rPr>
      </w:pPr>
    </w:p>
    <w:p w14:paraId="5EE0541D">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i/>
          <w:lang/>
        </w:rPr>
        <w:t>Durante el término otorgado para subsanar las ofertas, los proponentes no podrán acreditar circunstancias ocurridas con posterioridad al cierre del proceso”.</w:t>
      </w:r>
      <w:r>
        <w:rPr>
          <w:rFonts w:ascii="Arial Narrow" w:hAnsi="Arial Narrow" w:cs="Arial"/>
          <w:lang/>
        </w:rPr>
        <w:t xml:space="preserve"> (Subrayado fuera de texto).</w:t>
      </w:r>
    </w:p>
    <w:p w14:paraId="5F07D41E">
      <w:pPr>
        <w:tabs>
          <w:tab w:val="left" w:pos="-142"/>
        </w:tabs>
        <w:autoSpaceDE w:val="0"/>
        <w:autoSpaceDN w:val="0"/>
        <w:adjustRightInd w:val="0"/>
        <w:spacing w:after="0" w:line="240" w:lineRule="auto"/>
        <w:jc w:val="both"/>
        <w:rPr>
          <w:rFonts w:ascii="Arial Narrow" w:hAnsi="Arial Narrow" w:cs="Arial"/>
          <w:i/>
          <w:lang/>
        </w:rPr>
      </w:pPr>
    </w:p>
    <w:p w14:paraId="4A8A575F">
      <w:pPr>
        <w:pStyle w:val="34"/>
        <w:shd w:val="clear" w:color="auto" w:fill="FFFFFF"/>
        <w:spacing w:before="0" w:beforeAutospacing="0" w:after="0" w:afterAutospacing="0"/>
        <w:ind w:right="142"/>
        <w:jc w:val="both"/>
        <w:rPr>
          <w:rFonts w:ascii="Arial Narrow" w:hAnsi="Arial Narrow" w:cs="Calibri"/>
          <w:b/>
          <w:bCs/>
          <w:szCs w:val="22"/>
        </w:rPr>
      </w:pPr>
      <w:r>
        <w:rPr>
          <w:rFonts w:ascii="Arial Narrow" w:hAnsi="Arial Narrow" w:cs="Calibri"/>
          <w:b/>
          <w:bCs/>
          <w:szCs w:val="22"/>
          <w:u w:val="single"/>
        </w:rPr>
        <w:t>Nota: </w:t>
      </w:r>
      <w:r>
        <w:rPr>
          <w:rFonts w:ascii="Arial Narrow" w:hAnsi="Arial Narrow" w:cs="Calibri"/>
          <w:b/>
          <w:bCs/>
          <w:szCs w:val="22"/>
        </w:rPr>
        <w:t>El proponente tendrá la oportunidad de acreditar </w:t>
      </w:r>
      <w:r>
        <w:rPr>
          <w:rFonts w:ascii="Arial Narrow" w:hAnsi="Arial Narrow" w:cs="Calibri"/>
          <w:b/>
          <w:bCs/>
          <w:color w:val="000000"/>
          <w:szCs w:val="22"/>
          <w:lang/>
        </w:rPr>
        <w:t>hasta el día anterior a la fecha de expedición del acto de adjudicación o declaratoria de desierta</w:t>
      </w:r>
      <w:r>
        <w:rPr>
          <w:rFonts w:ascii="Arial Narrow" w:hAnsi="Arial Narrow" w:cs="Calibri"/>
          <w:b/>
          <w:bCs/>
          <w:szCs w:val="22"/>
        </w:rPr>
        <w:t> prevista en el cronograma vigente a la fecha de publicación del informe de evaluación preliminar, únicamente, el requisito de Apostilla o Consularización, sobre  el (los) documento(s) objeto de apostilla o consularización aportado(s) con la oferta o durante el término de traslado del informe de evaluación, de lo contrario su calificación será de RECHAZO.</w:t>
      </w:r>
    </w:p>
    <w:p w14:paraId="712D8A87">
      <w:pPr>
        <w:pStyle w:val="34"/>
        <w:shd w:val="clear" w:color="auto" w:fill="FFFFFF"/>
        <w:spacing w:before="0" w:beforeAutospacing="0" w:after="0" w:afterAutospacing="0"/>
        <w:ind w:right="142"/>
        <w:jc w:val="both"/>
        <w:rPr>
          <w:rFonts w:ascii="Calibri" w:hAnsi="Calibri" w:cs="Calibri"/>
          <w:szCs w:val="22"/>
        </w:rPr>
      </w:pPr>
    </w:p>
    <w:p w14:paraId="26472BFA">
      <w:pPr>
        <w:pStyle w:val="52"/>
        <w:widowControl w:val="0"/>
        <w:numPr>
          <w:ilvl w:val="1"/>
          <w:numId w:val="16"/>
        </w:numPr>
        <w:overflowPunct w:val="0"/>
        <w:autoSpaceDE w:val="0"/>
        <w:autoSpaceDN w:val="0"/>
        <w:adjustRightInd w:val="0"/>
        <w:spacing w:after="0" w:line="240" w:lineRule="auto"/>
        <w:ind w:left="567" w:hanging="567"/>
        <w:jc w:val="both"/>
        <w:rPr>
          <w:rFonts w:ascii="Arial Narrow" w:hAnsi="Arial Narrow" w:cs="Arial"/>
          <w:b/>
          <w:bCs/>
          <w:lang/>
        </w:rPr>
      </w:pPr>
      <w:r>
        <w:rPr>
          <w:rFonts w:ascii="Arial Narrow" w:hAnsi="Arial Narrow" w:cs="Arial"/>
          <w:b/>
          <w:bCs/>
          <w:lang/>
        </w:rPr>
        <w:t xml:space="preserve">ORDEN DE ELEGIBILIDAD Y ADJUDICACIÓN  </w:t>
      </w:r>
    </w:p>
    <w:p w14:paraId="136ED091">
      <w:pPr>
        <w:pStyle w:val="49"/>
        <w:jc w:val="both"/>
        <w:rPr>
          <w:rFonts w:ascii="Arial Narrow" w:hAnsi="Arial Narrow" w:cs="Arial"/>
          <w:sz w:val="22"/>
          <w:szCs w:val="22"/>
        </w:rPr>
      </w:pPr>
    </w:p>
    <w:p w14:paraId="4C4FCB85">
      <w:pPr>
        <w:pStyle w:val="49"/>
        <w:jc w:val="both"/>
        <w:rPr>
          <w:rFonts w:ascii="Arial Narrow" w:hAnsi="Arial Narrow" w:cs="Arial"/>
          <w:sz w:val="22"/>
          <w:szCs w:val="22"/>
        </w:rPr>
      </w:pPr>
      <w:r>
        <w:rPr>
          <w:rFonts w:ascii="Arial Narrow" w:hAnsi="Arial Narrow" w:cs="Arial"/>
          <w:sz w:val="22"/>
          <w:szCs w:val="22"/>
        </w:rPr>
        <w:t>La adjudicación se hará por el valor del presupuesto oficial según el orden de elegibilidad establecido. El ordenador del gasto, por medio de acto administrativo motivado adjudicará el proceso al o los proponentes, según sea el caso, ubicado en el primer lugar del orden de elegibilidad, y que cumpla con todos los requisitos exigidos en el presente pliego de condiciones o procederá a la declaratoria de desierta del proceso si a ello hubiere lugar.</w:t>
      </w:r>
    </w:p>
    <w:p w14:paraId="5C8B3FA7">
      <w:pPr>
        <w:pStyle w:val="49"/>
        <w:jc w:val="both"/>
        <w:rPr>
          <w:rFonts w:ascii="Arial Narrow" w:hAnsi="Arial Narrow" w:cs="Arial"/>
          <w:sz w:val="22"/>
          <w:szCs w:val="22"/>
        </w:rPr>
      </w:pPr>
    </w:p>
    <w:p w14:paraId="6515C12F">
      <w:pPr>
        <w:pStyle w:val="52"/>
        <w:widowControl w:val="0"/>
        <w:numPr>
          <w:ilvl w:val="1"/>
          <w:numId w:val="16"/>
        </w:numPr>
        <w:overflowPunct w:val="0"/>
        <w:autoSpaceDE w:val="0"/>
        <w:autoSpaceDN w:val="0"/>
        <w:adjustRightInd w:val="0"/>
        <w:spacing w:after="0" w:line="240" w:lineRule="auto"/>
        <w:ind w:left="567" w:hanging="567"/>
        <w:jc w:val="both"/>
        <w:rPr>
          <w:rFonts w:ascii="Arial Narrow" w:hAnsi="Arial Narrow" w:cs="Arial"/>
          <w:b/>
          <w:bCs/>
          <w:lang/>
        </w:rPr>
      </w:pPr>
      <w:r>
        <w:rPr>
          <w:rFonts w:ascii="Arial Narrow" w:hAnsi="Arial Narrow" w:cs="Arial"/>
          <w:b/>
          <w:bCs/>
          <w:lang/>
        </w:rPr>
        <w:t xml:space="preserve">DECLARATORIA DE DESIERTA </w:t>
      </w:r>
    </w:p>
    <w:p w14:paraId="0EA107E9">
      <w:pPr>
        <w:pStyle w:val="49"/>
        <w:jc w:val="both"/>
        <w:rPr>
          <w:rFonts w:ascii="Arial Narrow" w:hAnsi="Arial Narrow" w:cs="Arial"/>
          <w:sz w:val="22"/>
          <w:szCs w:val="22"/>
        </w:rPr>
      </w:pPr>
    </w:p>
    <w:p w14:paraId="52B93555">
      <w:pPr>
        <w:pStyle w:val="49"/>
        <w:jc w:val="both"/>
        <w:rPr>
          <w:rFonts w:ascii="Arial Narrow" w:hAnsi="Arial Narrow" w:cs="Arial"/>
          <w:sz w:val="22"/>
          <w:szCs w:val="22"/>
        </w:rPr>
      </w:pPr>
      <w:r>
        <w:rPr>
          <w:rFonts w:ascii="Arial Narrow" w:hAnsi="Arial Narrow" w:cs="Arial"/>
          <w:sz w:val="22"/>
          <w:szCs w:val="22"/>
        </w:rPr>
        <w:t xml:space="preserve">Durante el término previsto para la adjudicación del contrato, la AEROCIVIL mediante acto administrativo motivado, conforme a lo previsto en la Ley 80 de 1993, artículo 25, numeral 18, en concordancia con lo dispuesto en el artículo 5º de la Ley 1150 de 2007, el  Decreto 1082 de 2013, la AEROCIVIL declarará desierto el presente proceso de selección cuando: </w:t>
      </w:r>
    </w:p>
    <w:p w14:paraId="263FE6DB">
      <w:pPr>
        <w:pStyle w:val="49"/>
        <w:jc w:val="both"/>
        <w:rPr>
          <w:rFonts w:ascii="Arial Narrow" w:hAnsi="Arial Narrow" w:cs="Arial"/>
          <w:b/>
          <w:sz w:val="22"/>
          <w:szCs w:val="22"/>
        </w:rPr>
      </w:pPr>
    </w:p>
    <w:p w14:paraId="7C882563">
      <w:pPr>
        <w:pStyle w:val="49"/>
        <w:numPr>
          <w:ilvl w:val="0"/>
          <w:numId w:val="19"/>
        </w:numPr>
        <w:ind w:left="709" w:hanging="567"/>
        <w:jc w:val="both"/>
        <w:rPr>
          <w:rFonts w:ascii="Arial Narrow" w:hAnsi="Arial Narrow" w:cs="Arial"/>
          <w:sz w:val="22"/>
          <w:szCs w:val="22"/>
        </w:rPr>
      </w:pPr>
      <w:r>
        <w:rPr>
          <w:rFonts w:ascii="Arial Narrow" w:hAnsi="Arial Narrow" w:cs="Arial"/>
          <w:sz w:val="22"/>
          <w:szCs w:val="22"/>
        </w:rPr>
        <w:t>No se presenten Ofertas</w:t>
      </w:r>
    </w:p>
    <w:p w14:paraId="0E0F5243">
      <w:pPr>
        <w:pStyle w:val="49"/>
        <w:numPr>
          <w:ilvl w:val="0"/>
          <w:numId w:val="19"/>
        </w:numPr>
        <w:ind w:left="709" w:hanging="567"/>
        <w:jc w:val="both"/>
        <w:rPr>
          <w:rFonts w:ascii="Arial Narrow" w:hAnsi="Arial Narrow" w:cs="Arial"/>
          <w:sz w:val="22"/>
          <w:szCs w:val="22"/>
        </w:rPr>
      </w:pPr>
      <w:r>
        <w:rPr>
          <w:rFonts w:ascii="Arial Narrow" w:hAnsi="Arial Narrow" w:cs="Arial"/>
          <w:sz w:val="22"/>
          <w:szCs w:val="22"/>
        </w:rPr>
        <w:t>Ninguna de las Ofertas resulte admisible en los factores jurídicos, técnicos, financieros y de experiencia previstos en el Pliego de Condiciones y su complementario.</w:t>
      </w:r>
    </w:p>
    <w:p w14:paraId="349175E8">
      <w:pPr>
        <w:pStyle w:val="49"/>
        <w:numPr>
          <w:ilvl w:val="0"/>
          <w:numId w:val="19"/>
        </w:numPr>
        <w:ind w:left="709" w:hanging="567"/>
        <w:jc w:val="both"/>
        <w:rPr>
          <w:rFonts w:ascii="Arial Narrow" w:hAnsi="Arial Narrow" w:cs="Arial"/>
          <w:sz w:val="22"/>
          <w:szCs w:val="22"/>
        </w:rPr>
      </w:pPr>
      <w:r>
        <w:rPr>
          <w:rFonts w:ascii="Arial Narrow" w:hAnsi="Arial Narrow" w:cs="Arial"/>
          <w:sz w:val="22"/>
          <w:szCs w:val="22"/>
        </w:rPr>
        <w:t>No se presenten manifestaciones de interés en participar en el plazo establecido en el pliego de condiciones</w:t>
      </w:r>
    </w:p>
    <w:p w14:paraId="7CD37B39">
      <w:pPr>
        <w:pStyle w:val="49"/>
        <w:numPr>
          <w:ilvl w:val="0"/>
          <w:numId w:val="19"/>
        </w:numPr>
        <w:ind w:left="709" w:hanging="567"/>
        <w:jc w:val="both"/>
        <w:rPr>
          <w:rFonts w:ascii="Arial Narrow" w:hAnsi="Arial Narrow" w:cs="Arial"/>
          <w:sz w:val="22"/>
          <w:szCs w:val="22"/>
        </w:rPr>
      </w:pPr>
      <w:r>
        <w:rPr>
          <w:rFonts w:ascii="Arial Narrow" w:hAnsi="Arial Narrow" w:cs="Arial"/>
          <w:sz w:val="22"/>
          <w:szCs w:val="22"/>
        </w:rPr>
        <w:t>Existan causas o motivos que impidan la escogencia objetiva del Proponente</w:t>
      </w:r>
    </w:p>
    <w:p w14:paraId="582B4453">
      <w:pPr>
        <w:pStyle w:val="49"/>
        <w:numPr>
          <w:ilvl w:val="0"/>
          <w:numId w:val="19"/>
        </w:numPr>
        <w:ind w:left="709" w:hanging="567"/>
        <w:jc w:val="both"/>
        <w:rPr>
          <w:rFonts w:ascii="Arial Narrow" w:hAnsi="Arial Narrow" w:cs="Arial"/>
          <w:sz w:val="22"/>
          <w:szCs w:val="22"/>
        </w:rPr>
      </w:pPr>
      <w:r>
        <w:rPr>
          <w:rFonts w:ascii="Arial Narrow" w:hAnsi="Arial Narrow" w:cs="Arial"/>
          <w:sz w:val="22"/>
          <w:szCs w:val="22"/>
        </w:rPr>
        <w:t>El representante legal de LA AEROCIVIL o su delegado no acoja la recomendación del comité evaluador y opte por la declaratoria de desierta del proceso, caso en el cual deberá motivar su decisión</w:t>
      </w:r>
    </w:p>
    <w:p w14:paraId="0EE8FF7E">
      <w:pPr>
        <w:pStyle w:val="49"/>
        <w:numPr>
          <w:ilvl w:val="0"/>
          <w:numId w:val="19"/>
        </w:numPr>
        <w:ind w:left="709" w:hanging="567"/>
        <w:jc w:val="both"/>
        <w:rPr>
          <w:rFonts w:ascii="Arial Narrow" w:hAnsi="Arial Narrow" w:cs="Arial"/>
          <w:sz w:val="22"/>
          <w:szCs w:val="22"/>
        </w:rPr>
      </w:pPr>
      <w:r>
        <w:rPr>
          <w:rFonts w:ascii="Arial Narrow" w:hAnsi="Arial Narrow" w:cs="Arial"/>
          <w:sz w:val="22"/>
          <w:szCs w:val="22"/>
        </w:rPr>
        <w:t xml:space="preserve">En los demás casos contemplados en la ley. </w:t>
      </w:r>
    </w:p>
    <w:p w14:paraId="1B9E485C">
      <w:pPr>
        <w:pStyle w:val="49"/>
        <w:jc w:val="both"/>
        <w:rPr>
          <w:rFonts w:ascii="Arial Narrow" w:hAnsi="Arial Narrow" w:cs="Arial"/>
          <w:sz w:val="22"/>
          <w:szCs w:val="22"/>
        </w:rPr>
      </w:pPr>
    </w:p>
    <w:p w14:paraId="224AC51E">
      <w:pPr>
        <w:pStyle w:val="49"/>
        <w:jc w:val="both"/>
        <w:rPr>
          <w:rFonts w:ascii="Arial Narrow" w:hAnsi="Arial Narrow" w:cs="Arial"/>
          <w:sz w:val="22"/>
          <w:szCs w:val="22"/>
        </w:rPr>
      </w:pPr>
      <w:r>
        <w:rPr>
          <w:rFonts w:ascii="Arial Narrow" w:hAnsi="Arial Narrow" w:cs="Arial"/>
          <w:sz w:val="22"/>
          <w:szCs w:val="22"/>
        </w:rPr>
        <w:t>El acto administrativo que declare desierto el proceso será publicado en el SECOP II.</w:t>
      </w:r>
    </w:p>
    <w:p w14:paraId="2978E59E">
      <w:pPr>
        <w:pStyle w:val="49"/>
        <w:jc w:val="both"/>
        <w:rPr>
          <w:rFonts w:ascii="Arial Narrow" w:hAnsi="Arial Narrow" w:cs="Arial"/>
          <w:sz w:val="22"/>
          <w:szCs w:val="22"/>
        </w:rPr>
      </w:pPr>
    </w:p>
    <w:p w14:paraId="1E0DB073">
      <w:pPr>
        <w:pStyle w:val="52"/>
        <w:widowControl w:val="0"/>
        <w:numPr>
          <w:ilvl w:val="1"/>
          <w:numId w:val="16"/>
        </w:numPr>
        <w:overflowPunct w:val="0"/>
        <w:autoSpaceDE w:val="0"/>
        <w:autoSpaceDN w:val="0"/>
        <w:adjustRightInd w:val="0"/>
        <w:spacing w:after="0" w:line="240" w:lineRule="auto"/>
        <w:ind w:left="567" w:hanging="567"/>
        <w:jc w:val="both"/>
        <w:rPr>
          <w:rFonts w:ascii="Arial Narrow" w:hAnsi="Arial Narrow" w:cs="Arial"/>
          <w:b/>
          <w:bCs/>
          <w:lang/>
        </w:rPr>
      </w:pPr>
      <w:r>
        <w:rPr>
          <w:rFonts w:ascii="Arial Narrow" w:hAnsi="Arial Narrow" w:cs="Arial"/>
          <w:b/>
          <w:bCs/>
          <w:lang/>
        </w:rPr>
        <w:t>RECHAZO</w:t>
      </w:r>
    </w:p>
    <w:p w14:paraId="0E36DB49">
      <w:pPr>
        <w:pStyle w:val="4"/>
        <w:spacing w:before="0" w:line="240" w:lineRule="auto"/>
        <w:jc w:val="both"/>
        <w:rPr>
          <w:rFonts w:ascii="Arial Narrow" w:hAnsi="Arial Narrow" w:cs="Arial"/>
          <w:color w:val="auto"/>
          <w:lang/>
        </w:rPr>
      </w:pPr>
    </w:p>
    <w:p w14:paraId="69873923">
      <w:pPr>
        <w:pStyle w:val="49"/>
        <w:jc w:val="both"/>
        <w:rPr>
          <w:rFonts w:ascii="Arial Narrow" w:hAnsi="Arial Narrow" w:cs="Arial"/>
          <w:sz w:val="22"/>
          <w:szCs w:val="22"/>
        </w:rPr>
      </w:pPr>
      <w:r>
        <w:rPr>
          <w:rFonts w:ascii="Arial Narrow" w:hAnsi="Arial Narrow" w:cs="Arial"/>
          <w:sz w:val="22"/>
          <w:szCs w:val="22"/>
        </w:rPr>
        <w:t>En adición a otras causas previstas por la ley, la AEROCIVIL, rechazará las ofertas presentadas en  los siguientes casos:</w:t>
      </w:r>
    </w:p>
    <w:p w14:paraId="03A7E7B5">
      <w:pPr>
        <w:pStyle w:val="52"/>
        <w:spacing w:after="0" w:line="240" w:lineRule="auto"/>
        <w:ind w:left="0"/>
        <w:jc w:val="both"/>
        <w:rPr>
          <w:rFonts w:ascii="Arial Narrow" w:hAnsi="Arial Narrow" w:eastAsia="Arial Unicode MS" w:cs="Arial"/>
          <w:b/>
          <w:iCs/>
          <w:lang/>
        </w:rPr>
      </w:pPr>
    </w:p>
    <w:p w14:paraId="5B70C51F">
      <w:pPr>
        <w:pStyle w:val="52"/>
        <w:numPr>
          <w:ilvl w:val="0"/>
          <w:numId w:val="20"/>
        </w:numPr>
        <w:spacing w:after="0" w:line="240" w:lineRule="auto"/>
        <w:ind w:left="709" w:hanging="709"/>
        <w:jc w:val="both"/>
        <w:rPr>
          <w:rFonts w:ascii="Arial Narrow" w:hAnsi="Arial Narrow" w:cs="Arial"/>
          <w:lang/>
        </w:rPr>
      </w:pPr>
      <w:r>
        <w:rPr>
          <w:rFonts w:ascii="Arial Narrow" w:hAnsi="Arial Narrow" w:cs="Arial"/>
          <w:lang/>
        </w:rPr>
        <w:t xml:space="preserve">Cuando al Proponente </w:t>
      </w:r>
      <w:r>
        <w:rPr>
          <w:rFonts w:ascii="Arial Narrow" w:hAnsi="Arial Narrow" w:eastAsia="Arial Unicode MS" w:cs="Arial"/>
          <w:iCs/>
          <w:lang/>
        </w:rPr>
        <w:t>en forma individual o conjunta</w:t>
      </w:r>
      <w:r>
        <w:rPr>
          <w:rFonts w:ascii="Arial Narrow" w:hAnsi="Arial Narrow" w:cs="Arial"/>
          <w:lang/>
        </w:rPr>
        <w:t xml:space="preserv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14:paraId="10472336">
      <w:pPr>
        <w:pStyle w:val="52"/>
        <w:numPr>
          <w:ilvl w:val="0"/>
          <w:numId w:val="20"/>
        </w:numPr>
        <w:spacing w:after="0" w:line="240" w:lineRule="auto"/>
        <w:ind w:left="709" w:hanging="709"/>
        <w:jc w:val="both"/>
        <w:rPr>
          <w:rFonts w:ascii="Arial Narrow" w:hAnsi="Arial Narrow" w:eastAsia="Arial Unicode MS" w:cs="Arial"/>
          <w:iCs/>
          <w:lang/>
        </w:rPr>
      </w:pPr>
      <w:r>
        <w:rPr>
          <w:rFonts w:ascii="Arial Narrow" w:hAnsi="Arial Narrow" w:cs="Arial"/>
          <w:lang/>
        </w:rPr>
        <w:t>Cuando el proponente incumpla los requisitos exigidos en el pliego y que no sean susceptibles de subsanar, de conformidad con lo establecido en ley 1150 de 2007, artículo 5.</w:t>
      </w:r>
    </w:p>
    <w:p w14:paraId="141E8624">
      <w:pPr>
        <w:pStyle w:val="52"/>
        <w:numPr>
          <w:ilvl w:val="0"/>
          <w:numId w:val="20"/>
        </w:numPr>
        <w:spacing w:after="0" w:line="240" w:lineRule="auto"/>
        <w:ind w:left="709" w:hanging="709"/>
        <w:jc w:val="both"/>
        <w:rPr>
          <w:rFonts w:ascii="Arial Narrow" w:hAnsi="Arial Narrow" w:cs="Arial"/>
          <w:lang/>
        </w:rPr>
      </w:pPr>
      <w:r>
        <w:rPr>
          <w:rFonts w:ascii="Arial Narrow" w:hAnsi="Arial Narrow" w:cs="Arial"/>
          <w:lang/>
        </w:rPr>
        <w:t>Cuando se acrediten circunstancias ocurridas con posterioridad al cierre del presente proceso.</w:t>
      </w:r>
    </w:p>
    <w:p w14:paraId="720CDD67">
      <w:pPr>
        <w:pStyle w:val="52"/>
        <w:numPr>
          <w:ilvl w:val="0"/>
          <w:numId w:val="20"/>
        </w:numPr>
        <w:spacing w:after="0" w:line="240" w:lineRule="auto"/>
        <w:ind w:left="709" w:hanging="709"/>
        <w:jc w:val="both"/>
        <w:rPr>
          <w:rFonts w:ascii="Arial Narrow" w:hAnsi="Arial Narrow" w:cs="Arial"/>
          <w:lang/>
        </w:rPr>
      </w:pPr>
      <w:r>
        <w:rPr>
          <w:rFonts w:ascii="Arial Narrow" w:hAnsi="Arial Narrow" w:cs="Arial"/>
          <w:lang/>
        </w:rPr>
        <w:t xml:space="preserve">Cuando no se presente la garantía de seriedad de la oferta junto con la propuesta </w:t>
      </w:r>
    </w:p>
    <w:p w14:paraId="7296BFD0">
      <w:pPr>
        <w:pStyle w:val="52"/>
        <w:numPr>
          <w:ilvl w:val="0"/>
          <w:numId w:val="20"/>
        </w:numPr>
        <w:spacing w:after="0" w:line="240" w:lineRule="auto"/>
        <w:ind w:left="709" w:hanging="709"/>
        <w:jc w:val="both"/>
        <w:rPr>
          <w:rFonts w:eastAsia="Times New Roman"/>
          <w:sz w:val="20"/>
          <w:szCs w:val="20"/>
          <w:lang/>
        </w:rPr>
      </w:pPr>
      <w:r>
        <w:rPr>
          <w:rFonts w:ascii="Arial Narrow" w:hAnsi="Arial Narrow" w:cs="Arial"/>
          <w:lang/>
        </w:rPr>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14:paraId="1C497119">
      <w:pPr>
        <w:pStyle w:val="52"/>
        <w:numPr>
          <w:ilvl w:val="0"/>
          <w:numId w:val="20"/>
        </w:numPr>
        <w:spacing w:after="0" w:line="240" w:lineRule="auto"/>
        <w:ind w:left="709" w:hanging="709"/>
        <w:jc w:val="both"/>
        <w:rPr>
          <w:rFonts w:ascii="Arial Narrow" w:hAnsi="Arial Narrow" w:cs="Arial"/>
          <w:lang/>
        </w:rPr>
      </w:pPr>
      <w:r>
        <w:rPr>
          <w:rFonts w:ascii="Arial Narrow" w:hAnsi="Arial Narrow" w:cs="Arial"/>
          <w:lang/>
        </w:rPr>
        <w:t>Cuando una misma persona natural o jurídica, o integrante de un Proponente Plural presente o haga parte en más de una propuesta para el Proceso de Contratación.</w:t>
      </w:r>
    </w:p>
    <w:p w14:paraId="1D4F6BEF">
      <w:pPr>
        <w:pStyle w:val="52"/>
        <w:numPr>
          <w:ilvl w:val="0"/>
          <w:numId w:val="20"/>
        </w:numPr>
        <w:spacing w:after="0" w:line="240" w:lineRule="auto"/>
        <w:ind w:left="709" w:hanging="709"/>
        <w:jc w:val="both"/>
        <w:rPr>
          <w:rFonts w:ascii="Arial Narrow" w:hAnsi="Arial Narrow" w:cs="Arial"/>
          <w:lang/>
        </w:rPr>
      </w:pPr>
      <w:r>
        <w:rPr>
          <w:rFonts w:ascii="Arial Narrow" w:hAnsi="Arial Narrow" w:cs="Arial"/>
          <w:lang/>
        </w:rPr>
        <w:t>Cuando se presenten inconsistencias o inconformidades o falta de veracidad entre la información o documentación allegada por el proponente y lo verificado por la AEROCIVIL, sin perjuicio de las acciones legales que puedan iniciarse por este hecho.</w:t>
      </w:r>
    </w:p>
    <w:p w14:paraId="0AEC7F07">
      <w:pPr>
        <w:pStyle w:val="52"/>
        <w:numPr>
          <w:ilvl w:val="0"/>
          <w:numId w:val="20"/>
        </w:numPr>
        <w:spacing w:after="0" w:line="240" w:lineRule="auto"/>
        <w:ind w:left="709" w:hanging="709"/>
        <w:jc w:val="both"/>
        <w:rPr>
          <w:rFonts w:ascii="Arial Narrow" w:hAnsi="Arial Narrow" w:cs="Arial"/>
          <w:lang/>
        </w:rPr>
      </w:pPr>
      <w:r>
        <w:rPr>
          <w:rFonts w:ascii="Arial Narrow" w:hAnsi="Arial Narrow" w:cs="Arial"/>
          <w:lang/>
        </w:rPr>
        <w:t>Que el Proponente se encuentre inmerso en un conflicto de interés previsto en una norma de rango constitucional o legal o en la causal prevista en el numeral 2.17 del Pliego de Condiciones.</w:t>
      </w:r>
    </w:p>
    <w:p w14:paraId="2DD1E2CC">
      <w:pPr>
        <w:pStyle w:val="52"/>
        <w:numPr>
          <w:ilvl w:val="0"/>
          <w:numId w:val="20"/>
        </w:numPr>
        <w:spacing w:after="0" w:line="240" w:lineRule="auto"/>
        <w:ind w:left="709" w:hanging="709"/>
        <w:jc w:val="both"/>
        <w:rPr>
          <w:rFonts w:ascii="Arial Narrow" w:hAnsi="Arial Narrow" w:cs="Arial"/>
          <w:lang/>
        </w:rPr>
      </w:pPr>
      <w:r>
        <w:rPr>
          <w:rFonts w:ascii="Arial Narrow" w:hAnsi="Arial Narrow" w:cs="Arial"/>
          <w:lang/>
        </w:rPr>
        <w:t>Que la persona jurídica Proponente Individual o integrante del Proponente Plural esté incursa en la situación descrita en el numeral 1 del artículo 38 de la Ley 1116 de 2006.</w:t>
      </w:r>
    </w:p>
    <w:p w14:paraId="67F668E0">
      <w:pPr>
        <w:pStyle w:val="52"/>
        <w:numPr>
          <w:ilvl w:val="0"/>
          <w:numId w:val="20"/>
        </w:numPr>
        <w:spacing w:after="0" w:line="240" w:lineRule="auto"/>
        <w:ind w:left="709" w:hanging="709"/>
        <w:jc w:val="both"/>
        <w:rPr>
          <w:rFonts w:ascii="Arial Narrow" w:hAnsi="Arial Narrow" w:cs="Arial"/>
          <w:lang/>
        </w:rPr>
      </w:pPr>
      <w:r>
        <w:rPr>
          <w:rFonts w:ascii="Arial Narrow" w:hAnsi="Arial Narrow" w:cs="Arial"/>
          <w:lang/>
        </w:rPr>
        <w:t>Que el objeto social del Proponente, en caso de que se trate de una persona jurídica, o el de sus integrantes, tratándose de Proponentes Plurales, no le permita ejecutar el Objeto del Contrato.</w:t>
      </w:r>
    </w:p>
    <w:p w14:paraId="73223F20">
      <w:pPr>
        <w:pStyle w:val="52"/>
        <w:numPr>
          <w:ilvl w:val="0"/>
          <w:numId w:val="20"/>
        </w:numPr>
        <w:spacing w:after="0" w:line="240" w:lineRule="auto"/>
        <w:ind w:left="709" w:hanging="709"/>
        <w:jc w:val="both"/>
        <w:rPr>
          <w:rFonts w:ascii="Arial Narrow" w:hAnsi="Arial Narrow" w:cs="Arial"/>
          <w:lang/>
        </w:rPr>
      </w:pPr>
      <w:r>
        <w:rPr>
          <w:rFonts w:ascii="Arial Narrow" w:hAnsi="Arial Narrow" w:cs="Arial"/>
          <w:lang/>
        </w:rPr>
        <w:t>Cuando para este mismo proceso se presenten varias propuestas por el mismo proponente o por interpuesta persona o cuando la misma persona forme parte de dos o más consorcios o uniones temporales, o cualquiera de las formas de asociación permitidas en la legislación colombiana. en tal evento se admitirá la primera propuesta  y las demás serán rechazadas.</w:t>
      </w:r>
    </w:p>
    <w:p w14:paraId="03DCA218">
      <w:pPr>
        <w:pStyle w:val="52"/>
        <w:numPr>
          <w:ilvl w:val="0"/>
          <w:numId w:val="20"/>
        </w:numPr>
        <w:spacing w:after="0" w:line="240" w:lineRule="auto"/>
        <w:ind w:left="709" w:hanging="709"/>
        <w:jc w:val="both"/>
        <w:rPr>
          <w:rFonts w:ascii="Arial Narrow" w:hAnsi="Arial Narrow" w:cs="Arial"/>
          <w:lang/>
        </w:rPr>
      </w:pPr>
      <w:r>
        <w:rPr>
          <w:rFonts w:ascii="Arial Narrow" w:hAnsi="Arial Narrow" w:cs="Arial"/>
          <w:lang/>
        </w:rPr>
        <w:t>Cuando el valor total de la propuesta supere el Presupuesto Oficial.</w:t>
      </w:r>
    </w:p>
    <w:p w14:paraId="424322BF">
      <w:pPr>
        <w:pStyle w:val="52"/>
        <w:numPr>
          <w:ilvl w:val="0"/>
          <w:numId w:val="20"/>
        </w:numPr>
        <w:tabs>
          <w:tab w:val="left" w:pos="709"/>
        </w:tabs>
        <w:spacing w:after="0" w:line="240" w:lineRule="auto"/>
        <w:ind w:left="709" w:hanging="709"/>
        <w:jc w:val="both"/>
        <w:rPr>
          <w:rFonts w:ascii="Arial Narrow" w:hAnsi="Arial Narrow" w:cs="Arial"/>
          <w:lang/>
        </w:rPr>
      </w:pPr>
      <w:r>
        <w:rPr>
          <w:rFonts w:ascii="Arial Narrow" w:hAnsi="Arial Narrow" w:cs="Arial"/>
          <w:lang/>
        </w:rPr>
        <w:t>Cuando el valor total de la propuesta corregida  supere el Presupuesto Oficial</w:t>
      </w:r>
    </w:p>
    <w:p w14:paraId="2498E3C9">
      <w:pPr>
        <w:pStyle w:val="52"/>
        <w:numPr>
          <w:ilvl w:val="0"/>
          <w:numId w:val="20"/>
        </w:numPr>
        <w:tabs>
          <w:tab w:val="left" w:pos="709"/>
        </w:tabs>
        <w:spacing w:after="0" w:line="240" w:lineRule="auto"/>
        <w:ind w:left="709" w:hanging="709"/>
        <w:jc w:val="both"/>
        <w:rPr>
          <w:rFonts w:ascii="Arial Narrow" w:hAnsi="Arial Narrow" w:cs="Arial"/>
          <w:lang/>
        </w:rPr>
      </w:pPr>
      <w:r>
        <w:rPr>
          <w:rFonts w:ascii="Arial Narrow" w:hAnsi="Arial Narrow" w:cs="Arial"/>
          <w:lang/>
        </w:rPr>
        <w:t xml:space="preserve">Cuando el Formato No. 7, NO se presente o NO esté diligenciado con la totalidad de los ítems o actividades del Presupuesto Oficial o se modifique la descripción de algún ítem o no se ofrezca cantidad solicitada. </w:t>
      </w:r>
    </w:p>
    <w:p w14:paraId="18676D2A">
      <w:pPr>
        <w:pStyle w:val="52"/>
        <w:numPr>
          <w:ilvl w:val="0"/>
          <w:numId w:val="20"/>
        </w:numPr>
        <w:tabs>
          <w:tab w:val="left" w:pos="709"/>
        </w:tabs>
        <w:spacing w:after="0" w:line="240" w:lineRule="auto"/>
        <w:ind w:left="709" w:hanging="709"/>
        <w:jc w:val="both"/>
        <w:rPr>
          <w:rFonts w:ascii="Arial Narrow" w:hAnsi="Arial Narrow" w:cs="Arial"/>
          <w:lang/>
        </w:rPr>
      </w:pPr>
      <w:r>
        <w:rPr>
          <w:rFonts w:ascii="Arial Narrow" w:hAnsi="Arial Narrow" w:cs="Arial"/>
          <w:lang/>
        </w:rPr>
        <w:t>Cuando se presente propuesta condicionada para la adjudicación del Contrato.</w:t>
      </w:r>
    </w:p>
    <w:p w14:paraId="52D3A140">
      <w:pPr>
        <w:pStyle w:val="52"/>
        <w:numPr>
          <w:ilvl w:val="0"/>
          <w:numId w:val="20"/>
        </w:numPr>
        <w:tabs>
          <w:tab w:val="left" w:pos="709"/>
        </w:tabs>
        <w:spacing w:after="0" w:line="240" w:lineRule="auto"/>
        <w:ind w:left="709" w:hanging="709"/>
        <w:jc w:val="both"/>
        <w:rPr>
          <w:rFonts w:ascii="Arial Narrow" w:hAnsi="Arial Narrow" w:cs="Arial"/>
          <w:lang/>
        </w:rPr>
      </w:pPr>
      <w:r>
        <w:rPr>
          <w:rFonts w:ascii="Arial Narrow" w:hAnsi="Arial Narrow" w:cs="Arial"/>
          <w:lang/>
        </w:rPr>
        <w:t>Presentar la oferta extemporáneamente</w:t>
      </w:r>
    </w:p>
    <w:p w14:paraId="1BDDE88C">
      <w:pPr>
        <w:pStyle w:val="52"/>
        <w:numPr>
          <w:ilvl w:val="0"/>
          <w:numId w:val="20"/>
        </w:numPr>
        <w:tabs>
          <w:tab w:val="left" w:pos="709"/>
        </w:tabs>
        <w:spacing w:after="0" w:line="240" w:lineRule="auto"/>
        <w:ind w:left="709" w:hanging="709"/>
        <w:jc w:val="both"/>
        <w:rPr>
          <w:rFonts w:ascii="Arial Narrow" w:hAnsi="Arial Narrow" w:cs="Arial"/>
          <w:lang/>
        </w:rPr>
      </w:pPr>
      <w:r>
        <w:rPr>
          <w:rFonts w:ascii="Arial Narrow" w:hAnsi="Arial Narrow" w:cs="Arial"/>
          <w:lang/>
        </w:rPr>
        <w:t>Cuando se determine que el valor total de la oferta es artificialmente bajo, de acuerdo con lo establecido en el presente documento</w:t>
      </w:r>
    </w:p>
    <w:p w14:paraId="2B2F0399">
      <w:pPr>
        <w:pStyle w:val="52"/>
        <w:numPr>
          <w:ilvl w:val="0"/>
          <w:numId w:val="20"/>
        </w:numPr>
        <w:tabs>
          <w:tab w:val="left" w:pos="709"/>
        </w:tabs>
        <w:spacing w:after="0" w:line="240" w:lineRule="auto"/>
        <w:ind w:left="709" w:hanging="709"/>
        <w:jc w:val="both"/>
        <w:rPr>
          <w:rFonts w:ascii="Arial Narrow" w:hAnsi="Arial Narrow" w:cs="Arial"/>
          <w:lang/>
        </w:rPr>
      </w:pPr>
      <w:r>
        <w:rPr>
          <w:rFonts w:ascii="Arial Narrow" w:hAnsi="Arial Narrow" w:cs="Arial"/>
          <w:lang/>
        </w:rPr>
        <w:t>Cuando la entidad solicite aclaraciones para determinar si existe una oferta artificialmente baja y el proponente no presente la aclaración en el término otorgado por la AEROCIVIL, o cuando la misma se encuentre incompleta.</w:t>
      </w:r>
    </w:p>
    <w:p w14:paraId="45A9DC06">
      <w:pPr>
        <w:pStyle w:val="52"/>
        <w:numPr>
          <w:ilvl w:val="0"/>
          <w:numId w:val="20"/>
        </w:numPr>
        <w:tabs>
          <w:tab w:val="left" w:pos="709"/>
        </w:tabs>
        <w:spacing w:after="0" w:line="240" w:lineRule="auto"/>
        <w:ind w:left="709" w:hanging="709"/>
        <w:jc w:val="both"/>
        <w:rPr>
          <w:rFonts w:ascii="Arial Narrow" w:hAnsi="Arial Narrow" w:cs="Arial"/>
          <w:lang/>
        </w:rPr>
      </w:pPr>
      <w:r>
        <w:rPr>
          <w:rFonts w:ascii="Arial Narrow" w:hAnsi="Arial Narrow" w:cs="Arial"/>
          <w:lang/>
        </w:rPr>
        <w:t>Cuando se determine que la oferta contiene precios artificialmente bajo, luego de analizadas las explicaciones del proponente</w:t>
      </w:r>
    </w:p>
    <w:p w14:paraId="48666025">
      <w:pPr>
        <w:pStyle w:val="52"/>
        <w:numPr>
          <w:ilvl w:val="0"/>
          <w:numId w:val="20"/>
        </w:numPr>
        <w:tabs>
          <w:tab w:val="left" w:pos="709"/>
        </w:tabs>
        <w:spacing w:after="0" w:line="240" w:lineRule="auto"/>
        <w:ind w:left="709" w:right="142" w:hanging="709"/>
        <w:jc w:val="both"/>
        <w:rPr>
          <w:rFonts w:ascii="Arial Narrow" w:hAnsi="Arial Narrow" w:cs="Arial"/>
        </w:rPr>
      </w:pPr>
      <w:r>
        <w:rPr>
          <w:rFonts w:ascii="Arial Narrow" w:hAnsi="Arial Narrow" w:cs="Arial"/>
        </w:rPr>
        <w:t>Cuando la oferta de un proponente plural se presente bajo el usuario de uno de sus integrantes y no con el usuario registrado en secop II del proponente plural.</w:t>
      </w:r>
    </w:p>
    <w:p w14:paraId="3F8D1044">
      <w:pPr>
        <w:pStyle w:val="52"/>
        <w:numPr>
          <w:ilvl w:val="0"/>
          <w:numId w:val="20"/>
        </w:numPr>
        <w:tabs>
          <w:tab w:val="left" w:pos="709"/>
        </w:tabs>
        <w:spacing w:after="0" w:line="240" w:lineRule="auto"/>
        <w:ind w:left="709" w:hanging="709"/>
        <w:contextualSpacing w:val="0"/>
        <w:jc w:val="both"/>
        <w:rPr>
          <w:rFonts w:ascii="Arial Narrow" w:hAnsi="Arial Narrow" w:cs="Arial"/>
          <w:lang/>
        </w:rPr>
      </w:pPr>
      <w:r>
        <w:rPr>
          <w:rFonts w:ascii="Arial Narrow" w:hAnsi="Arial Narrow" w:cs="Arial"/>
          <w:lang/>
        </w:rPr>
        <w:t>En los demás casos que expresamente el pliego o la ley así lo indiquen.</w:t>
      </w:r>
    </w:p>
    <w:p w14:paraId="1D2B3242">
      <w:pPr>
        <w:tabs>
          <w:tab w:val="left" w:pos="709"/>
        </w:tabs>
        <w:spacing w:after="0" w:line="240" w:lineRule="auto"/>
        <w:jc w:val="both"/>
        <w:rPr>
          <w:rFonts w:ascii="Arial Narrow" w:hAnsi="Arial Narrow" w:cs="Arial"/>
          <w:lang/>
        </w:rPr>
      </w:pPr>
    </w:p>
    <w:p w14:paraId="1787DEF0">
      <w:pPr>
        <w:tabs>
          <w:tab w:val="left" w:pos="709"/>
        </w:tabs>
        <w:spacing w:after="0" w:line="240" w:lineRule="auto"/>
        <w:jc w:val="both"/>
        <w:rPr>
          <w:rFonts w:ascii="Arial Narrow" w:hAnsi="Arial Narrow" w:cs="Arial"/>
          <w:lang/>
        </w:rPr>
      </w:pPr>
    </w:p>
    <w:p w14:paraId="396D11D6">
      <w:pPr>
        <w:pStyle w:val="52"/>
        <w:tabs>
          <w:tab w:val="left" w:pos="709"/>
        </w:tabs>
        <w:spacing w:after="0" w:line="240" w:lineRule="auto"/>
        <w:ind w:left="709"/>
        <w:contextualSpacing w:val="0"/>
        <w:jc w:val="both"/>
        <w:rPr>
          <w:rFonts w:ascii="Arial Narrow" w:hAnsi="Arial Narrow" w:cs="Arial"/>
          <w:lang/>
        </w:rPr>
      </w:pPr>
    </w:p>
    <w:p w14:paraId="61BCED38">
      <w:pPr>
        <w:pStyle w:val="52"/>
        <w:widowControl w:val="0"/>
        <w:numPr>
          <w:ilvl w:val="1"/>
          <w:numId w:val="16"/>
        </w:numPr>
        <w:overflowPunct w:val="0"/>
        <w:autoSpaceDE w:val="0"/>
        <w:autoSpaceDN w:val="0"/>
        <w:adjustRightInd w:val="0"/>
        <w:spacing w:after="0" w:line="240" w:lineRule="auto"/>
        <w:ind w:left="567" w:hanging="567"/>
        <w:jc w:val="both"/>
        <w:rPr>
          <w:rFonts w:ascii="Arial Narrow" w:hAnsi="Arial Narrow" w:cs="Arial"/>
          <w:b/>
          <w:bCs/>
          <w:lang/>
        </w:rPr>
      </w:pPr>
      <w:r>
        <w:rPr>
          <w:rFonts w:ascii="Arial Narrow" w:hAnsi="Arial Narrow" w:cs="Arial"/>
          <w:b/>
          <w:bCs/>
          <w:lang/>
        </w:rPr>
        <w:t xml:space="preserve">RIESGOS </w:t>
      </w:r>
    </w:p>
    <w:p w14:paraId="27E56D10">
      <w:pPr>
        <w:pStyle w:val="49"/>
        <w:jc w:val="both"/>
        <w:rPr>
          <w:rFonts w:ascii="Arial Narrow" w:hAnsi="Arial Narrow" w:cs="Arial"/>
          <w:sz w:val="22"/>
          <w:szCs w:val="22"/>
        </w:rPr>
      </w:pPr>
    </w:p>
    <w:p w14:paraId="2795D1FC">
      <w:pPr>
        <w:pStyle w:val="49"/>
        <w:jc w:val="both"/>
        <w:rPr>
          <w:rFonts w:ascii="Arial Narrow" w:hAnsi="Arial Narrow" w:cs="Arial"/>
          <w:sz w:val="22"/>
          <w:szCs w:val="22"/>
        </w:rPr>
      </w:pPr>
      <w:r>
        <w:rPr>
          <w:rFonts w:ascii="Arial Narrow" w:hAnsi="Arial Narrow" w:cs="Arial"/>
          <w:sz w:val="22"/>
          <w:szCs w:val="22"/>
        </w:rPr>
        <w:t xml:space="preserve">En el Formato No. 9 - Matriz de Asignación de Riesgos se identifican los Riesgos del Proceso de Contratación desde su planeación hasta su liquidación. </w:t>
      </w:r>
    </w:p>
    <w:p w14:paraId="39A57BDA">
      <w:pPr>
        <w:pStyle w:val="49"/>
        <w:jc w:val="both"/>
        <w:rPr>
          <w:rFonts w:ascii="Arial Narrow" w:hAnsi="Arial Narrow" w:cs="Arial"/>
          <w:sz w:val="22"/>
          <w:szCs w:val="22"/>
        </w:rPr>
      </w:pPr>
    </w:p>
    <w:p w14:paraId="1C8D22BA">
      <w:pPr>
        <w:pStyle w:val="49"/>
        <w:jc w:val="both"/>
        <w:rPr>
          <w:rFonts w:ascii="Arial Narrow" w:hAnsi="Arial Narrow" w:cs="Arial"/>
          <w:sz w:val="22"/>
          <w:szCs w:val="22"/>
        </w:rPr>
      </w:pPr>
      <w:r>
        <w:rPr>
          <w:rFonts w:ascii="Arial Narrow" w:hAnsi="Arial Narrow" w:cs="Arial"/>
          <w:sz w:val="22"/>
          <w:szCs w:val="22"/>
        </w:rPr>
        <w:t xml:space="preserve">Esta matriz se encuentra publicada en los estudios y documentos previos desde el proyecto de Pliego de Condiciones y su complementario.  </w:t>
      </w:r>
    </w:p>
    <w:p w14:paraId="220ED2A0">
      <w:pPr>
        <w:pStyle w:val="49"/>
        <w:jc w:val="both"/>
        <w:rPr>
          <w:rFonts w:ascii="Arial Narrow" w:hAnsi="Arial Narrow" w:cs="Arial"/>
          <w:sz w:val="22"/>
          <w:szCs w:val="22"/>
        </w:rPr>
      </w:pPr>
      <w:r>
        <w:rPr>
          <w:rFonts w:ascii="Arial Narrow" w:hAnsi="Arial Narrow" w:cs="Arial"/>
          <w:sz w:val="22"/>
          <w:szCs w:val="22"/>
        </w:rPr>
        <w:t xml:space="preserve"> Vencido el plazo para revisar los Riesgos identificados, si se presenta alguna observación adicional, la misma solo será estudiada y tenida en cuenta por parte de la AEROCIVIL, únicamente si diere lugar a modificar el Pliego de Condiciones mediante Adenda. </w:t>
      </w:r>
    </w:p>
    <w:p w14:paraId="2DB3119A">
      <w:pPr>
        <w:pStyle w:val="49"/>
        <w:jc w:val="both"/>
        <w:rPr>
          <w:rFonts w:ascii="Arial Narrow" w:hAnsi="Arial Narrow" w:cs="Arial"/>
          <w:sz w:val="22"/>
          <w:szCs w:val="22"/>
        </w:rPr>
      </w:pPr>
    </w:p>
    <w:p w14:paraId="49B713BE">
      <w:pPr>
        <w:pStyle w:val="49"/>
        <w:jc w:val="both"/>
        <w:rPr>
          <w:rFonts w:ascii="Arial Narrow" w:hAnsi="Arial Narrow" w:cs="Arial"/>
          <w:sz w:val="22"/>
          <w:szCs w:val="22"/>
        </w:rPr>
      </w:pPr>
      <w:r>
        <w:rPr>
          <w:rFonts w:ascii="Arial Narrow" w:hAnsi="Arial Narrow" w:cs="Arial"/>
          <w:sz w:val="22"/>
          <w:szCs w:val="22"/>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0F7D2EDA">
      <w:pPr>
        <w:pStyle w:val="49"/>
        <w:jc w:val="both"/>
        <w:rPr>
          <w:rFonts w:ascii="Arial Narrow" w:hAnsi="Arial Narrow" w:cs="Arial"/>
          <w:sz w:val="22"/>
          <w:szCs w:val="22"/>
        </w:rPr>
      </w:pPr>
    </w:p>
    <w:p w14:paraId="507B17F8">
      <w:pPr>
        <w:pStyle w:val="49"/>
        <w:jc w:val="both"/>
        <w:rPr>
          <w:rFonts w:ascii="Arial Narrow" w:hAnsi="Arial Narrow" w:cs="Arial"/>
          <w:sz w:val="22"/>
          <w:szCs w:val="22"/>
        </w:rPr>
      </w:pPr>
      <w:r>
        <w:rPr>
          <w:rFonts w:ascii="Arial Narrow" w:hAnsi="Arial Narrow" w:cs="Arial"/>
          <w:sz w:val="22"/>
          <w:szCs w:val="22"/>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bookmarkEnd w:id="70"/>
    </w:p>
    <w:p w14:paraId="1D535678">
      <w:pPr>
        <w:pStyle w:val="49"/>
        <w:jc w:val="both"/>
        <w:rPr>
          <w:rFonts w:ascii="Arial Narrow" w:hAnsi="Arial Narrow" w:cs="Arial"/>
          <w:sz w:val="22"/>
          <w:szCs w:val="22"/>
        </w:rPr>
      </w:pPr>
    </w:p>
    <w:p w14:paraId="2128F71D">
      <w:pPr>
        <w:autoSpaceDE w:val="0"/>
        <w:autoSpaceDN w:val="0"/>
        <w:adjustRightInd w:val="0"/>
        <w:spacing w:after="0" w:line="240" w:lineRule="auto"/>
        <w:jc w:val="both"/>
        <w:rPr>
          <w:rFonts w:ascii="Arial Narrow" w:hAnsi="Arial Narrow" w:cs="Arial"/>
          <w:lang/>
        </w:rPr>
      </w:pPr>
    </w:p>
    <w:p w14:paraId="3B9CCBE2">
      <w:pPr>
        <w:pStyle w:val="3"/>
        <w:spacing w:before="0" w:line="240" w:lineRule="auto"/>
        <w:jc w:val="center"/>
        <w:rPr>
          <w:rFonts w:ascii="Arial Narrow" w:hAnsi="Arial Narrow" w:cs="Arial"/>
          <w:color w:val="auto"/>
          <w:sz w:val="22"/>
          <w:szCs w:val="22"/>
          <w:lang/>
        </w:rPr>
      </w:pPr>
      <w:bookmarkStart w:id="87" w:name="_Hlk97202605"/>
      <w:r>
        <w:rPr>
          <w:rFonts w:ascii="Arial Narrow" w:hAnsi="Arial Narrow" w:cs="Arial"/>
          <w:color w:val="auto"/>
          <w:sz w:val="22"/>
          <w:szCs w:val="22"/>
          <w:lang/>
        </w:rPr>
        <w:br w:type="page"/>
      </w:r>
      <w:r>
        <w:rPr>
          <w:rFonts w:ascii="Arial Narrow" w:hAnsi="Arial Narrow" w:cs="Arial"/>
          <w:color w:val="auto"/>
          <w:sz w:val="22"/>
          <w:szCs w:val="22"/>
          <w:lang/>
        </w:rPr>
        <w:t>CAPITULO IV</w:t>
      </w:r>
    </w:p>
    <w:bookmarkEnd w:id="87"/>
    <w:p w14:paraId="0946675C">
      <w:pPr>
        <w:pStyle w:val="3"/>
        <w:spacing w:before="0" w:line="240" w:lineRule="auto"/>
        <w:jc w:val="center"/>
        <w:rPr>
          <w:rFonts w:ascii="Arial Narrow" w:hAnsi="Arial Narrow" w:cs="Arial"/>
          <w:color w:val="auto"/>
          <w:sz w:val="22"/>
          <w:szCs w:val="22"/>
          <w:lang/>
        </w:rPr>
      </w:pPr>
      <w:r>
        <w:rPr>
          <w:rFonts w:ascii="Arial Narrow" w:hAnsi="Arial Narrow" w:cs="Arial"/>
          <w:color w:val="auto"/>
          <w:sz w:val="22"/>
          <w:szCs w:val="22"/>
          <w:lang/>
        </w:rPr>
        <w:t>REQUISITOS HABILITANTES, FACTORES DE EVALUACIÓN Y ASPECTOS TÉCNICOS A VERIFICAR</w:t>
      </w:r>
    </w:p>
    <w:p w14:paraId="6CF7E81F">
      <w:pPr>
        <w:autoSpaceDE w:val="0"/>
        <w:autoSpaceDN w:val="0"/>
        <w:adjustRightInd w:val="0"/>
        <w:spacing w:after="0" w:line="240" w:lineRule="auto"/>
        <w:jc w:val="both"/>
        <w:rPr>
          <w:rFonts w:ascii="Arial Narrow" w:hAnsi="Arial Narrow" w:cs="Arial"/>
          <w:b/>
          <w:bCs/>
          <w:lang/>
        </w:rPr>
      </w:pPr>
    </w:p>
    <w:p w14:paraId="7D90D3D6">
      <w:pPr>
        <w:pStyle w:val="52"/>
        <w:widowControl w:val="0"/>
        <w:numPr>
          <w:ilvl w:val="1"/>
          <w:numId w:val="13"/>
        </w:numPr>
        <w:overflowPunct w:val="0"/>
        <w:autoSpaceDE w:val="0"/>
        <w:autoSpaceDN w:val="0"/>
        <w:adjustRightInd w:val="0"/>
        <w:spacing w:after="0" w:line="240" w:lineRule="auto"/>
        <w:ind w:left="426" w:hanging="426"/>
        <w:jc w:val="both"/>
        <w:rPr>
          <w:rFonts w:ascii="Arial Narrow" w:hAnsi="Arial Narrow"/>
          <w:b/>
          <w:bCs/>
          <w:lang/>
        </w:rPr>
      </w:pPr>
      <w:r>
        <w:rPr>
          <w:rFonts w:ascii="Arial Narrow" w:hAnsi="Arial Narrow"/>
          <w:b/>
          <w:bCs/>
          <w:lang/>
        </w:rPr>
        <w:t>REQUISITOS HABILITANTES</w:t>
      </w:r>
    </w:p>
    <w:p w14:paraId="381BAC35">
      <w:pPr>
        <w:pStyle w:val="49"/>
        <w:jc w:val="both"/>
        <w:rPr>
          <w:rFonts w:ascii="Arial Narrow" w:hAnsi="Arial Narrow" w:cs="Arial"/>
          <w:sz w:val="22"/>
          <w:szCs w:val="22"/>
        </w:rPr>
      </w:pPr>
    </w:p>
    <w:p w14:paraId="18AA43A6">
      <w:pPr>
        <w:pStyle w:val="49"/>
        <w:jc w:val="both"/>
        <w:rPr>
          <w:rFonts w:ascii="Arial Narrow" w:hAnsi="Arial Narrow" w:cs="Arial"/>
          <w:sz w:val="22"/>
          <w:szCs w:val="22"/>
        </w:rPr>
      </w:pPr>
      <w:r>
        <w:rPr>
          <w:rFonts w:ascii="Arial Narrow" w:hAnsi="Arial Narrow" w:cs="Arial"/>
          <w:sz w:val="22"/>
          <w:szCs w:val="22"/>
        </w:rPr>
        <w:t xml:space="preserve">La AEROCIVIL verificará los requisitos habilitantes dentro del término señalado en el Cronograma del Pliego de Condiciones, de acuerdo con los soportes documentales que acompañan la propuesta presentada. </w:t>
      </w:r>
    </w:p>
    <w:p w14:paraId="56F1FB57">
      <w:pPr>
        <w:pStyle w:val="49"/>
        <w:jc w:val="both"/>
        <w:rPr>
          <w:rFonts w:ascii="Arial Narrow" w:hAnsi="Arial Narrow" w:cs="Arial"/>
          <w:sz w:val="22"/>
          <w:szCs w:val="22"/>
        </w:rPr>
      </w:pPr>
    </w:p>
    <w:p w14:paraId="1C440FC0">
      <w:pPr>
        <w:pStyle w:val="49"/>
        <w:jc w:val="both"/>
        <w:rPr>
          <w:rFonts w:ascii="Arial Narrow" w:hAnsi="Arial Narrow" w:cs="Arial"/>
          <w:sz w:val="22"/>
          <w:szCs w:val="22"/>
        </w:rPr>
      </w:pPr>
      <w:r>
        <w:rPr>
          <w:rFonts w:ascii="Arial Narrow" w:hAnsi="Arial Narrow" w:cs="Arial"/>
          <w:sz w:val="22"/>
          <w:szCs w:val="22"/>
        </w:rPr>
        <w:t xml:space="preserve">Los requisitos habilitantes serán objeto de verificación. Por lo tanto, si la propuesta cumple con todos los aspectos se evaluarán como “cumple”. En caso contrario, se evaluará como “no cumple”. </w:t>
      </w:r>
    </w:p>
    <w:p w14:paraId="7A1CF5BD">
      <w:pPr>
        <w:pStyle w:val="49"/>
        <w:jc w:val="both"/>
        <w:rPr>
          <w:rFonts w:ascii="Arial Narrow" w:hAnsi="Arial Narrow" w:cs="Arial"/>
          <w:sz w:val="22"/>
          <w:szCs w:val="22"/>
        </w:rPr>
      </w:pPr>
    </w:p>
    <w:p w14:paraId="440C4E51">
      <w:pPr>
        <w:pStyle w:val="49"/>
        <w:jc w:val="both"/>
        <w:rPr>
          <w:rFonts w:ascii="Arial Narrow" w:hAnsi="Arial Narrow" w:cs="Arial"/>
          <w:sz w:val="22"/>
          <w:szCs w:val="22"/>
        </w:rPr>
      </w:pPr>
      <w:r>
        <w:rPr>
          <w:rFonts w:ascii="Arial Narrow" w:hAnsi="Arial Narrow" w:cs="Arial"/>
          <w:sz w:val="22"/>
          <w:szCs w:val="22"/>
        </w:rPr>
        <w:t xml:space="preserve">De conformidad con la normativa aplicable, la AEROCIVIL realizará la verificación de requisitos habilitantes de los Proponentes (personas naturales o jurídicas nacionales o extranjeras domiciliadas o con sucursal en Colombia, Proponentes Plurales) con base en la información contenida en el RUP y los documentos señalados en los Documentos Complementarios. </w:t>
      </w:r>
    </w:p>
    <w:p w14:paraId="6C8C19E9">
      <w:pPr>
        <w:pStyle w:val="49"/>
        <w:jc w:val="both"/>
        <w:rPr>
          <w:rFonts w:ascii="Arial Narrow" w:hAnsi="Arial Narrow" w:cs="Arial"/>
          <w:sz w:val="22"/>
          <w:szCs w:val="22"/>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90"/>
        <w:gridCol w:w="2436"/>
      </w:tblGrid>
      <w:tr w14:paraId="0878D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3990" w:type="dxa"/>
            <w:vAlign w:val="center"/>
          </w:tcPr>
          <w:p w14:paraId="5139AC59">
            <w:pPr>
              <w:spacing w:after="0" w:line="240" w:lineRule="auto"/>
              <w:jc w:val="center"/>
              <w:rPr>
                <w:rFonts w:ascii="Arial Narrow" w:hAnsi="Arial Narrow" w:cs="Arial"/>
                <w:b/>
                <w:sz w:val="20"/>
                <w:szCs w:val="20"/>
                <w:lang/>
              </w:rPr>
            </w:pPr>
            <w:r>
              <w:rPr>
                <w:rFonts w:ascii="Arial Narrow" w:hAnsi="Arial Narrow" w:cs="Arial"/>
                <w:b/>
                <w:sz w:val="20"/>
                <w:szCs w:val="20"/>
                <w:lang/>
              </w:rPr>
              <w:t>Requisitos</w:t>
            </w:r>
          </w:p>
        </w:tc>
        <w:tc>
          <w:tcPr>
            <w:tcW w:w="2436" w:type="dxa"/>
            <w:vAlign w:val="center"/>
          </w:tcPr>
          <w:p w14:paraId="2C95C37A">
            <w:pPr>
              <w:spacing w:after="0" w:line="240" w:lineRule="auto"/>
              <w:jc w:val="center"/>
              <w:rPr>
                <w:rFonts w:ascii="Arial Narrow" w:hAnsi="Arial Narrow" w:cs="Arial"/>
                <w:b/>
                <w:sz w:val="20"/>
                <w:szCs w:val="20"/>
                <w:lang/>
              </w:rPr>
            </w:pPr>
            <w:r>
              <w:rPr>
                <w:rFonts w:ascii="Arial Narrow" w:hAnsi="Arial Narrow" w:cs="Arial"/>
                <w:b/>
                <w:sz w:val="20"/>
                <w:szCs w:val="20"/>
                <w:lang/>
              </w:rPr>
              <w:t>Resultado verificación</w:t>
            </w:r>
          </w:p>
        </w:tc>
      </w:tr>
      <w:tr w14:paraId="07B13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3990" w:type="dxa"/>
            <w:vAlign w:val="center"/>
          </w:tcPr>
          <w:p w14:paraId="1FD3DB6B">
            <w:pPr>
              <w:pStyle w:val="52"/>
              <w:spacing w:after="0" w:line="240" w:lineRule="auto"/>
              <w:ind w:left="0"/>
              <w:jc w:val="center"/>
              <w:rPr>
                <w:rFonts w:ascii="Arial Narrow" w:hAnsi="Arial Narrow" w:cs="Arial"/>
                <w:sz w:val="20"/>
                <w:szCs w:val="20"/>
                <w:lang/>
              </w:rPr>
            </w:pPr>
            <w:r>
              <w:rPr>
                <w:rFonts w:ascii="Arial Narrow" w:hAnsi="Arial Narrow" w:cs="Arial"/>
                <w:sz w:val="20"/>
                <w:szCs w:val="20"/>
                <w:lang/>
              </w:rPr>
              <w:t>Capacidad Jurídica</w:t>
            </w:r>
          </w:p>
        </w:tc>
        <w:tc>
          <w:tcPr>
            <w:tcW w:w="2436" w:type="dxa"/>
            <w:vAlign w:val="center"/>
          </w:tcPr>
          <w:p w14:paraId="1D956786">
            <w:pPr>
              <w:spacing w:after="0" w:line="240" w:lineRule="auto"/>
              <w:jc w:val="center"/>
              <w:rPr>
                <w:rFonts w:ascii="Arial Narrow" w:hAnsi="Arial Narrow" w:cs="Arial"/>
                <w:sz w:val="20"/>
                <w:szCs w:val="20"/>
                <w:lang/>
              </w:rPr>
            </w:pPr>
            <w:r>
              <w:rPr>
                <w:rFonts w:ascii="Arial Narrow" w:hAnsi="Arial Narrow" w:cs="Arial"/>
                <w:sz w:val="20"/>
                <w:szCs w:val="20"/>
                <w:lang/>
              </w:rPr>
              <w:t>Cumple/No cumple</w:t>
            </w:r>
          </w:p>
        </w:tc>
      </w:tr>
      <w:tr w14:paraId="0463F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3990" w:type="dxa"/>
            <w:vAlign w:val="center"/>
          </w:tcPr>
          <w:p w14:paraId="347FF1A5">
            <w:pPr>
              <w:pStyle w:val="52"/>
              <w:spacing w:after="0" w:line="240" w:lineRule="auto"/>
              <w:ind w:left="0"/>
              <w:jc w:val="center"/>
              <w:rPr>
                <w:rFonts w:ascii="Arial Narrow" w:hAnsi="Arial Narrow" w:cs="Arial"/>
                <w:sz w:val="20"/>
                <w:szCs w:val="20"/>
                <w:lang/>
              </w:rPr>
            </w:pPr>
            <w:r>
              <w:rPr>
                <w:rFonts w:ascii="Arial Narrow" w:hAnsi="Arial Narrow" w:cs="Arial"/>
                <w:sz w:val="20"/>
                <w:szCs w:val="20"/>
                <w:lang/>
              </w:rPr>
              <w:t>Capacidad Financiera</w:t>
            </w:r>
          </w:p>
        </w:tc>
        <w:tc>
          <w:tcPr>
            <w:tcW w:w="2436" w:type="dxa"/>
            <w:vAlign w:val="center"/>
          </w:tcPr>
          <w:p w14:paraId="2B660895">
            <w:pPr>
              <w:spacing w:after="0" w:line="240" w:lineRule="auto"/>
              <w:jc w:val="center"/>
              <w:rPr>
                <w:rFonts w:ascii="Arial Narrow" w:hAnsi="Arial Narrow" w:cs="Arial"/>
                <w:sz w:val="20"/>
                <w:szCs w:val="20"/>
                <w:lang/>
              </w:rPr>
            </w:pPr>
            <w:r>
              <w:rPr>
                <w:rFonts w:ascii="Arial Narrow" w:hAnsi="Arial Narrow" w:cs="Arial"/>
                <w:sz w:val="20"/>
                <w:szCs w:val="20"/>
                <w:lang/>
              </w:rPr>
              <w:t>Cumple/No cumple</w:t>
            </w:r>
          </w:p>
        </w:tc>
      </w:tr>
      <w:tr w14:paraId="05F5C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3990" w:type="dxa"/>
            <w:vAlign w:val="center"/>
          </w:tcPr>
          <w:p w14:paraId="09985739">
            <w:pPr>
              <w:pStyle w:val="52"/>
              <w:spacing w:after="0" w:line="240" w:lineRule="auto"/>
              <w:ind w:left="0"/>
              <w:jc w:val="center"/>
              <w:rPr>
                <w:rFonts w:ascii="Arial Narrow" w:hAnsi="Arial Narrow" w:cs="Arial"/>
                <w:sz w:val="20"/>
                <w:szCs w:val="20"/>
                <w:lang/>
              </w:rPr>
            </w:pPr>
            <w:r>
              <w:rPr>
                <w:rFonts w:ascii="Arial Narrow" w:hAnsi="Arial Narrow" w:cs="Arial"/>
                <w:sz w:val="20"/>
                <w:szCs w:val="20"/>
                <w:lang/>
              </w:rPr>
              <w:t>Capacidad Organizacional</w:t>
            </w:r>
          </w:p>
        </w:tc>
        <w:tc>
          <w:tcPr>
            <w:tcW w:w="2436" w:type="dxa"/>
            <w:vAlign w:val="center"/>
          </w:tcPr>
          <w:p w14:paraId="3456EE04">
            <w:pPr>
              <w:spacing w:after="0" w:line="240" w:lineRule="auto"/>
              <w:jc w:val="center"/>
              <w:rPr>
                <w:rFonts w:ascii="Arial Narrow" w:hAnsi="Arial Narrow" w:cs="Arial"/>
                <w:sz w:val="20"/>
                <w:szCs w:val="20"/>
                <w:lang/>
              </w:rPr>
            </w:pPr>
            <w:r>
              <w:rPr>
                <w:rFonts w:ascii="Arial Narrow" w:hAnsi="Arial Narrow" w:cs="Arial"/>
                <w:sz w:val="20"/>
                <w:szCs w:val="20"/>
                <w:lang/>
              </w:rPr>
              <w:t>Cumple/No cumple</w:t>
            </w:r>
          </w:p>
        </w:tc>
      </w:tr>
      <w:tr w14:paraId="24A76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3990" w:type="dxa"/>
            <w:vAlign w:val="center"/>
          </w:tcPr>
          <w:p w14:paraId="41E4C361">
            <w:pPr>
              <w:pStyle w:val="52"/>
              <w:spacing w:after="0" w:line="240" w:lineRule="auto"/>
              <w:ind w:left="0"/>
              <w:jc w:val="center"/>
              <w:rPr>
                <w:rFonts w:ascii="Arial Narrow" w:hAnsi="Arial Narrow" w:cs="Arial"/>
                <w:sz w:val="20"/>
                <w:szCs w:val="20"/>
                <w:lang/>
              </w:rPr>
            </w:pPr>
            <w:r>
              <w:rPr>
                <w:rFonts w:ascii="Arial Narrow" w:hAnsi="Arial Narrow" w:cs="Arial"/>
                <w:sz w:val="20"/>
                <w:szCs w:val="20"/>
                <w:lang/>
              </w:rPr>
              <w:t>Requisitos Técnicos Habilitantes</w:t>
            </w:r>
          </w:p>
        </w:tc>
        <w:tc>
          <w:tcPr>
            <w:tcW w:w="2436" w:type="dxa"/>
            <w:vAlign w:val="center"/>
          </w:tcPr>
          <w:p w14:paraId="002849E4">
            <w:pPr>
              <w:spacing w:after="0" w:line="240" w:lineRule="auto"/>
              <w:jc w:val="center"/>
              <w:rPr>
                <w:rFonts w:ascii="Arial Narrow" w:hAnsi="Arial Narrow" w:cs="Arial"/>
                <w:sz w:val="20"/>
                <w:szCs w:val="20"/>
                <w:lang/>
              </w:rPr>
            </w:pPr>
            <w:r>
              <w:rPr>
                <w:rFonts w:ascii="Arial Narrow" w:hAnsi="Arial Narrow" w:cs="Arial"/>
                <w:sz w:val="20"/>
                <w:szCs w:val="20"/>
                <w:lang/>
              </w:rPr>
              <w:t>Cumple/No cumple</w:t>
            </w:r>
          </w:p>
        </w:tc>
      </w:tr>
      <w:tr w14:paraId="15C32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3990" w:type="dxa"/>
            <w:vAlign w:val="center"/>
          </w:tcPr>
          <w:p w14:paraId="45403182">
            <w:pPr>
              <w:pStyle w:val="52"/>
              <w:spacing w:after="0" w:line="240" w:lineRule="auto"/>
              <w:ind w:left="0"/>
              <w:jc w:val="center"/>
              <w:rPr>
                <w:rFonts w:ascii="Arial Narrow" w:hAnsi="Arial Narrow" w:cs="Arial"/>
                <w:sz w:val="20"/>
                <w:szCs w:val="20"/>
                <w:lang/>
              </w:rPr>
            </w:pPr>
            <w:r>
              <w:rPr>
                <w:rFonts w:ascii="Arial Narrow" w:hAnsi="Arial Narrow" w:cs="Arial"/>
                <w:sz w:val="20"/>
                <w:szCs w:val="20"/>
                <w:lang/>
              </w:rPr>
              <w:t>Otros Aspectos Técnicos</w:t>
            </w:r>
          </w:p>
        </w:tc>
        <w:tc>
          <w:tcPr>
            <w:tcW w:w="2436" w:type="dxa"/>
            <w:vAlign w:val="center"/>
          </w:tcPr>
          <w:p w14:paraId="4AB82729">
            <w:pPr>
              <w:spacing w:after="0" w:line="240" w:lineRule="auto"/>
              <w:jc w:val="center"/>
              <w:rPr>
                <w:rFonts w:ascii="Arial Narrow" w:hAnsi="Arial Narrow" w:cs="Arial"/>
                <w:sz w:val="20"/>
                <w:szCs w:val="20"/>
                <w:lang/>
              </w:rPr>
            </w:pPr>
            <w:r>
              <w:rPr>
                <w:rFonts w:ascii="Arial Narrow" w:hAnsi="Arial Narrow" w:cs="Arial"/>
                <w:sz w:val="20"/>
                <w:szCs w:val="20"/>
                <w:lang/>
              </w:rPr>
              <w:t>Cumple/No cumple</w:t>
            </w:r>
          </w:p>
        </w:tc>
      </w:tr>
    </w:tbl>
    <w:p w14:paraId="65B0F87C">
      <w:pPr>
        <w:pStyle w:val="49"/>
        <w:jc w:val="both"/>
        <w:rPr>
          <w:rFonts w:ascii="Arial Narrow" w:hAnsi="Arial Narrow" w:cs="Arial"/>
          <w:sz w:val="22"/>
          <w:szCs w:val="22"/>
        </w:rPr>
      </w:pPr>
    </w:p>
    <w:p w14:paraId="0D0F3DAA">
      <w:pPr>
        <w:pStyle w:val="52"/>
        <w:widowControl w:val="0"/>
        <w:numPr>
          <w:ilvl w:val="2"/>
          <w:numId w:val="13"/>
        </w:numPr>
        <w:overflowPunct w:val="0"/>
        <w:autoSpaceDE w:val="0"/>
        <w:autoSpaceDN w:val="0"/>
        <w:adjustRightInd w:val="0"/>
        <w:spacing w:after="0" w:line="240" w:lineRule="auto"/>
        <w:ind w:left="709"/>
        <w:jc w:val="both"/>
        <w:rPr>
          <w:rFonts w:ascii="Arial Narrow" w:hAnsi="Arial Narrow" w:cs="Arial"/>
          <w:b/>
          <w:bCs/>
          <w:lang/>
        </w:rPr>
      </w:pPr>
      <w:r>
        <w:rPr>
          <w:rFonts w:ascii="Arial Narrow" w:hAnsi="Arial Narrow" w:cs="Arial"/>
          <w:b/>
          <w:bCs/>
          <w:lang/>
        </w:rPr>
        <w:t>Manifestación de Interés en Participar</w:t>
      </w:r>
    </w:p>
    <w:p w14:paraId="1CBD6B24">
      <w:pPr>
        <w:pStyle w:val="49"/>
        <w:jc w:val="both"/>
        <w:rPr>
          <w:rFonts w:ascii="Arial Narrow" w:hAnsi="Arial Narrow" w:cs="Arial"/>
          <w:sz w:val="22"/>
          <w:szCs w:val="22"/>
        </w:rPr>
      </w:pPr>
    </w:p>
    <w:p w14:paraId="29C40963">
      <w:pPr>
        <w:pStyle w:val="49"/>
        <w:jc w:val="both"/>
        <w:rPr>
          <w:rFonts w:ascii="Arial Narrow" w:hAnsi="Arial Narrow" w:cs="Arial"/>
          <w:sz w:val="22"/>
          <w:szCs w:val="22"/>
        </w:rPr>
      </w:pPr>
      <w:r>
        <w:rPr>
          <w:rFonts w:ascii="Arial Narrow" w:hAnsi="Arial Narrow" w:cs="Arial"/>
          <w:sz w:val="22"/>
          <w:szCs w:val="22"/>
        </w:rPr>
        <w:t>Con el fin de conformar una lista de posibles oferentes, dentro de los tres (3) días hábiles siguientes al acto de apertura del proceso, los interesados en participar deben manifestar su interés a través de la plataforma del SECOP II – Manifestación de Interes.</w:t>
      </w:r>
    </w:p>
    <w:p w14:paraId="60A8F57A">
      <w:pPr>
        <w:pStyle w:val="49"/>
        <w:jc w:val="both"/>
        <w:rPr>
          <w:rFonts w:ascii="Arial Narrow" w:hAnsi="Arial Narrow" w:cs="Arial"/>
          <w:sz w:val="22"/>
          <w:szCs w:val="22"/>
        </w:rPr>
      </w:pPr>
    </w:p>
    <w:p w14:paraId="4CDE3358">
      <w:pPr>
        <w:pStyle w:val="49"/>
        <w:jc w:val="both"/>
        <w:rPr>
          <w:rFonts w:ascii="Arial Narrow" w:hAnsi="Arial Narrow" w:cs="Arial"/>
          <w:sz w:val="22"/>
          <w:szCs w:val="22"/>
        </w:rPr>
      </w:pPr>
      <w:r>
        <w:rPr>
          <w:rFonts w:ascii="Arial Narrow" w:hAnsi="Arial Narrow" w:cs="Arial"/>
          <w:sz w:val="22"/>
          <w:szCs w:val="22"/>
        </w:rPr>
        <w:t xml:space="preserve">La inscripción debe realizarse a partir de las cero (00:00) horas de la fecha de inicio de la inscripción y hasta las veinticuatro (24:00) horas del día de finalización de la inscripción. </w:t>
      </w:r>
    </w:p>
    <w:p w14:paraId="036491A3">
      <w:pPr>
        <w:pStyle w:val="49"/>
        <w:jc w:val="both"/>
        <w:rPr>
          <w:rFonts w:ascii="Arial Narrow" w:hAnsi="Arial Narrow" w:cs="Arial"/>
          <w:sz w:val="22"/>
          <w:szCs w:val="22"/>
        </w:rPr>
      </w:pPr>
    </w:p>
    <w:p w14:paraId="4433C573">
      <w:pPr>
        <w:pStyle w:val="49"/>
        <w:jc w:val="both"/>
        <w:rPr>
          <w:rFonts w:ascii="Arial Narrow" w:hAnsi="Arial Narrow" w:cs="Arial"/>
          <w:sz w:val="22"/>
          <w:szCs w:val="22"/>
        </w:rPr>
      </w:pPr>
      <w:r>
        <w:rPr>
          <w:rFonts w:ascii="Arial Narrow" w:hAnsi="Arial Narrow" w:cs="Arial"/>
          <w:sz w:val="22"/>
          <w:szCs w:val="22"/>
        </w:rPr>
        <w:t>Al momento de la inscripción, el sistema asignará un número consecutivo iniciando con el número uno (1) y registrará la fecha y hora de la misma.</w:t>
      </w:r>
    </w:p>
    <w:p w14:paraId="112A9F34">
      <w:pPr>
        <w:pStyle w:val="49"/>
        <w:jc w:val="both"/>
        <w:rPr>
          <w:rFonts w:ascii="Arial Narrow" w:hAnsi="Arial Narrow" w:cs="Arial"/>
          <w:sz w:val="22"/>
          <w:szCs w:val="22"/>
        </w:rPr>
      </w:pPr>
      <w:r>
        <w:rPr>
          <w:rFonts w:ascii="Arial Narrow" w:hAnsi="Arial Narrow" w:cs="Arial"/>
          <w:sz w:val="22"/>
          <w:szCs w:val="22"/>
        </w:rPr>
        <w:t xml:space="preserve"> </w:t>
      </w:r>
    </w:p>
    <w:p w14:paraId="2B2A39E0">
      <w:pPr>
        <w:pStyle w:val="49"/>
        <w:jc w:val="both"/>
        <w:rPr>
          <w:rFonts w:ascii="Arial Narrow" w:hAnsi="Arial Narrow" w:cs="Arial"/>
          <w:sz w:val="22"/>
          <w:szCs w:val="22"/>
        </w:rPr>
      </w:pPr>
      <w:r>
        <w:rPr>
          <w:rFonts w:ascii="Arial Narrow" w:hAnsi="Arial Narrow" w:cs="Arial"/>
          <w:sz w:val="22"/>
          <w:szCs w:val="22"/>
        </w:rPr>
        <w:t>Ningún proponente podrá inscribirse en forma simultánea como persona natural, persona jurídica, consorcio, unión temporal o como miembro de un consorcio o miembro de una unión temporal. De existir y comprobar la doble inscripción, éstas serán anuladas.</w:t>
      </w:r>
    </w:p>
    <w:p w14:paraId="0DFB11C2">
      <w:pPr>
        <w:pStyle w:val="49"/>
        <w:jc w:val="both"/>
        <w:rPr>
          <w:rFonts w:ascii="Arial Narrow" w:hAnsi="Arial Narrow" w:cs="Arial"/>
          <w:sz w:val="22"/>
          <w:szCs w:val="22"/>
        </w:rPr>
      </w:pPr>
    </w:p>
    <w:p w14:paraId="73E4E89C">
      <w:pPr>
        <w:pStyle w:val="49"/>
        <w:jc w:val="both"/>
        <w:rPr>
          <w:rFonts w:ascii="Arial Narrow" w:hAnsi="Arial Narrow" w:cs="Arial"/>
          <w:sz w:val="22"/>
          <w:szCs w:val="22"/>
        </w:rPr>
      </w:pPr>
      <w:r>
        <w:rPr>
          <w:rFonts w:ascii="Arial Narrow" w:hAnsi="Arial Narrow" w:cs="Arial"/>
          <w:sz w:val="22"/>
          <w:szCs w:val="22"/>
        </w:rPr>
        <w:t>Los proponentes que manifiesten su interés en participar deben presentar propuesta de acuerdo con la inscripción realizada, es decir, como persona natural, persona jurídica, consorcio o unión temporal. La AEROCIVIL no aceptará propuestas presentadas a titulo diferente del registrado en la inscripción.</w:t>
      </w:r>
    </w:p>
    <w:p w14:paraId="2FBC9E29">
      <w:pPr>
        <w:pStyle w:val="49"/>
        <w:jc w:val="both"/>
        <w:rPr>
          <w:rFonts w:ascii="Arial Narrow" w:hAnsi="Arial Narrow" w:cs="Arial"/>
          <w:sz w:val="22"/>
          <w:szCs w:val="22"/>
        </w:rPr>
      </w:pPr>
    </w:p>
    <w:p w14:paraId="5F6D5E62">
      <w:pPr>
        <w:pStyle w:val="49"/>
        <w:jc w:val="both"/>
        <w:rPr>
          <w:rFonts w:ascii="Arial Narrow" w:hAnsi="Arial Narrow" w:cs="Arial"/>
          <w:sz w:val="22"/>
          <w:szCs w:val="22"/>
        </w:rPr>
      </w:pPr>
      <w:r>
        <w:rPr>
          <w:rFonts w:ascii="Arial Narrow" w:hAnsi="Arial Narrow" w:cs="Arial"/>
          <w:sz w:val="22"/>
          <w:szCs w:val="22"/>
        </w:rPr>
        <w:t>Así mismo, los integrantes inscritos como miembro de consorcios o uniones temporales no podrán presentar propuestas de forma independiente, es decir, exclusivamente como persona natural o persona jurídica, ya que no serán tenidas en cuenta.</w:t>
      </w:r>
    </w:p>
    <w:p w14:paraId="01CABB22">
      <w:pPr>
        <w:pStyle w:val="49"/>
        <w:jc w:val="both"/>
        <w:rPr>
          <w:rFonts w:ascii="Arial Narrow" w:hAnsi="Arial Narrow" w:cs="Arial"/>
          <w:sz w:val="22"/>
          <w:szCs w:val="22"/>
        </w:rPr>
      </w:pPr>
      <w:r>
        <w:rPr>
          <w:rFonts w:ascii="Arial Narrow" w:hAnsi="Arial Narrow" w:cs="Arial"/>
          <w:sz w:val="22"/>
          <w:szCs w:val="22"/>
        </w:rPr>
        <w:t>En la presentación de las propuestas, la AEROCIVIL verificará que el oferente que presenta la propuesta haya manifestado su interés en participar y que se encuentre registrado en la lista de inscritos.  De no encontrarse registrado, la propuesta no será evaluada.</w:t>
      </w:r>
    </w:p>
    <w:p w14:paraId="5979BF8C">
      <w:pPr>
        <w:pStyle w:val="49"/>
        <w:jc w:val="both"/>
        <w:rPr>
          <w:rFonts w:ascii="Arial Narrow" w:hAnsi="Arial Narrow" w:cs="Arial"/>
          <w:sz w:val="22"/>
          <w:szCs w:val="22"/>
        </w:rPr>
      </w:pPr>
      <w:r>
        <w:rPr>
          <w:rFonts w:ascii="Arial Narrow" w:hAnsi="Arial Narrow" w:cs="Arial"/>
          <w:sz w:val="22"/>
          <w:szCs w:val="22"/>
        </w:rPr>
        <w:t xml:space="preserve">                        </w:t>
      </w:r>
    </w:p>
    <w:p w14:paraId="2EB6408B">
      <w:pPr>
        <w:pStyle w:val="49"/>
        <w:jc w:val="both"/>
        <w:rPr>
          <w:rFonts w:ascii="Arial Narrow" w:hAnsi="Arial Narrow" w:cs="Arial"/>
          <w:sz w:val="22"/>
          <w:szCs w:val="22"/>
        </w:rPr>
      </w:pPr>
      <w:r>
        <w:rPr>
          <w:rFonts w:ascii="Arial Narrow" w:hAnsi="Arial Narrow" w:cs="Arial"/>
          <w:sz w:val="22"/>
          <w:szCs w:val="22"/>
        </w:rPr>
        <w:t>Para el presente proceso la AEROCIVIL no limitará la participación, por tanto, no habrá lugar a sorteo si se reciben más de diez (10) manifestaciones de interés.</w:t>
      </w:r>
    </w:p>
    <w:p w14:paraId="20D6E772">
      <w:pPr>
        <w:pStyle w:val="49"/>
        <w:jc w:val="both"/>
        <w:rPr>
          <w:rFonts w:ascii="Arial Narrow" w:hAnsi="Arial Narrow" w:cs="Arial"/>
          <w:sz w:val="22"/>
          <w:szCs w:val="22"/>
        </w:rPr>
      </w:pPr>
    </w:p>
    <w:p w14:paraId="6F79B6CF">
      <w:pPr>
        <w:pStyle w:val="49"/>
        <w:jc w:val="both"/>
        <w:rPr>
          <w:rFonts w:ascii="Arial Narrow" w:hAnsi="Arial Narrow" w:cs="Arial"/>
          <w:sz w:val="22"/>
          <w:szCs w:val="22"/>
        </w:rPr>
      </w:pPr>
      <w:r>
        <w:rPr>
          <w:rFonts w:ascii="Arial Narrow" w:hAnsi="Arial Narrow" w:cs="Arial"/>
          <w:sz w:val="22"/>
          <w:szCs w:val="22"/>
        </w:rPr>
        <w:t xml:space="preserve">La manifestación de interés en participar es requisito para la presentación de la respectiva oferta. </w:t>
      </w:r>
    </w:p>
    <w:p w14:paraId="2B671E75">
      <w:pPr>
        <w:pStyle w:val="49"/>
        <w:jc w:val="both"/>
        <w:rPr>
          <w:rFonts w:ascii="Arial Narrow" w:hAnsi="Arial Narrow" w:cs="Arial"/>
          <w:sz w:val="22"/>
          <w:szCs w:val="22"/>
        </w:rPr>
      </w:pPr>
    </w:p>
    <w:p w14:paraId="6797FBA5">
      <w:pPr>
        <w:pStyle w:val="49"/>
        <w:jc w:val="both"/>
        <w:rPr>
          <w:rFonts w:ascii="Arial Narrow" w:hAnsi="Arial Narrow" w:cs="Arial"/>
          <w:sz w:val="22"/>
          <w:szCs w:val="22"/>
        </w:rPr>
      </w:pPr>
      <w:r>
        <w:rPr>
          <w:rFonts w:ascii="Arial Narrow" w:hAnsi="Arial Narrow" w:cs="Arial"/>
          <w:sz w:val="22"/>
          <w:szCs w:val="22"/>
        </w:rPr>
        <w:t>En caso de no presentarse manifestaciones de interés dentro del término previsto en el pliego de condiciones y su complementario, la entidad declarará desierto el proceso.</w:t>
      </w:r>
    </w:p>
    <w:p w14:paraId="2725609B">
      <w:pPr>
        <w:pStyle w:val="49"/>
        <w:jc w:val="both"/>
        <w:rPr>
          <w:rFonts w:ascii="Arial Narrow" w:hAnsi="Arial Narrow" w:cs="Arial"/>
          <w:sz w:val="22"/>
          <w:szCs w:val="22"/>
        </w:rPr>
      </w:pPr>
    </w:p>
    <w:p w14:paraId="5FF7D25A">
      <w:pPr>
        <w:pStyle w:val="52"/>
        <w:widowControl w:val="0"/>
        <w:numPr>
          <w:ilvl w:val="2"/>
          <w:numId w:val="13"/>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cs="Arial"/>
          <w:b/>
          <w:bCs/>
          <w:lang/>
        </w:rPr>
        <w:t>Generalidades</w:t>
      </w:r>
    </w:p>
    <w:p w14:paraId="414DC1CE">
      <w:pPr>
        <w:pStyle w:val="135"/>
        <w:ind w:right="0"/>
        <w:rPr>
          <w:lang/>
        </w:rPr>
      </w:pPr>
    </w:p>
    <w:p w14:paraId="5F10C005">
      <w:pPr>
        <w:pStyle w:val="49"/>
        <w:numPr>
          <w:ilvl w:val="0"/>
          <w:numId w:val="21"/>
        </w:numPr>
        <w:ind w:left="426"/>
        <w:jc w:val="both"/>
        <w:rPr>
          <w:rFonts w:ascii="Arial Narrow" w:hAnsi="Arial Narrow" w:cs="Arial"/>
          <w:sz w:val="22"/>
          <w:szCs w:val="22"/>
        </w:rPr>
      </w:pPr>
      <w:r>
        <w:rPr>
          <w:rFonts w:ascii="Arial Narrow" w:hAnsi="Arial Narrow" w:cs="Arial"/>
          <w:sz w:val="22"/>
          <w:szCs w:val="22"/>
        </w:rPr>
        <w:t>Únicamente se considerarán habilitados aquellos Proponentes que cumplan todos los requisitos habilitantes, según lo señalado en el Pliego de Condiciones.</w:t>
      </w:r>
    </w:p>
    <w:p w14:paraId="20A364E6">
      <w:pPr>
        <w:pStyle w:val="49"/>
        <w:numPr>
          <w:ilvl w:val="0"/>
          <w:numId w:val="21"/>
        </w:numPr>
        <w:ind w:left="426"/>
        <w:jc w:val="both"/>
        <w:rPr>
          <w:rFonts w:ascii="Arial Narrow" w:hAnsi="Arial Narrow" w:cs="Arial"/>
          <w:sz w:val="22"/>
          <w:szCs w:val="22"/>
        </w:rPr>
      </w:pPr>
      <w:r>
        <w:rPr>
          <w:rFonts w:ascii="Arial Narrow" w:hAnsi="Arial Narrow" w:cs="Arial"/>
          <w:sz w:val="22"/>
          <w:szCs w:val="22"/>
        </w:rPr>
        <w:t>En el caso de Proponentes Plurales, los requisitos habilitantes serán acreditados por cada uno de los integrantes de la figura asociativa, salvo que se entienda algo distinto y, en todo caso, de acuerdo con las reglas del Pliego de Condiciones.</w:t>
      </w:r>
    </w:p>
    <w:p w14:paraId="3762804E">
      <w:pPr>
        <w:pStyle w:val="49"/>
        <w:numPr>
          <w:ilvl w:val="0"/>
          <w:numId w:val="21"/>
        </w:numPr>
        <w:ind w:left="426"/>
        <w:jc w:val="both"/>
        <w:rPr>
          <w:rFonts w:ascii="Arial Narrow" w:hAnsi="Arial Narrow" w:cs="Arial"/>
          <w:sz w:val="22"/>
          <w:szCs w:val="22"/>
        </w:rPr>
      </w:pPr>
      <w:r>
        <w:rPr>
          <w:rFonts w:ascii="Arial Narrow" w:hAnsi="Arial Narrow" w:cs="Arial"/>
          <w:sz w:val="22"/>
          <w:szCs w:val="22"/>
        </w:rPr>
        <w:t>Todos los Proponentes deben diligenciar los formatos requeridos en el presente proceso</w:t>
      </w:r>
    </w:p>
    <w:p w14:paraId="58E10561">
      <w:pPr>
        <w:pStyle w:val="49"/>
        <w:numPr>
          <w:ilvl w:val="0"/>
          <w:numId w:val="21"/>
        </w:numPr>
        <w:ind w:left="426"/>
        <w:jc w:val="both"/>
        <w:rPr>
          <w:rFonts w:ascii="Arial Narrow" w:hAnsi="Arial Narrow" w:cs="Arial"/>
          <w:sz w:val="22"/>
          <w:szCs w:val="22"/>
        </w:rPr>
      </w:pPr>
      <w:r>
        <w:rPr>
          <w:rFonts w:ascii="Arial Narrow" w:hAnsi="Arial Narrow" w:cs="Arial"/>
          <w:sz w:val="22"/>
          <w:szCs w:val="22"/>
        </w:rPr>
        <w:t>Los Proponentes obligados a estar inscritos en el Registro Único de Proponentes (RUP), deberán aportar el certificado con fecha de expedición no mayor a treinta (30) días calendario anteriores a la fecha de cierre del Proceso de Contratación. En caso de modificarse la fecha de cierre del Proceso de Contratación, se tendrá como referencia para establecer el plazo de vigencia del certificado la fecha originalmente establecida en el Pliego de Condiciones definitivo.</w:t>
      </w:r>
    </w:p>
    <w:p w14:paraId="18287C23">
      <w:pPr>
        <w:pStyle w:val="135"/>
        <w:ind w:right="0"/>
        <w:rPr>
          <w:lang/>
        </w:rPr>
      </w:pPr>
      <w:bookmarkStart w:id="88" w:name="_Toc398128670"/>
      <w:bookmarkEnd w:id="88"/>
    </w:p>
    <w:p w14:paraId="642EF785">
      <w:pPr>
        <w:pStyle w:val="52"/>
        <w:widowControl w:val="0"/>
        <w:numPr>
          <w:ilvl w:val="1"/>
          <w:numId w:val="13"/>
        </w:numPr>
        <w:overflowPunct w:val="0"/>
        <w:autoSpaceDE w:val="0"/>
        <w:autoSpaceDN w:val="0"/>
        <w:adjustRightInd w:val="0"/>
        <w:spacing w:after="0" w:line="240" w:lineRule="auto"/>
        <w:ind w:left="426" w:hanging="426"/>
        <w:jc w:val="both"/>
        <w:rPr>
          <w:rFonts w:ascii="Arial Narrow" w:hAnsi="Arial Narrow"/>
          <w:b/>
          <w:bCs/>
          <w:lang/>
        </w:rPr>
      </w:pPr>
      <w:r>
        <w:rPr>
          <w:rFonts w:ascii="Arial Narrow" w:hAnsi="Arial Narrow"/>
          <w:b/>
          <w:bCs/>
          <w:lang/>
        </w:rPr>
        <w:t xml:space="preserve">CAPACIDAD JURÍDICA  </w:t>
      </w:r>
    </w:p>
    <w:p w14:paraId="78DA9AFB">
      <w:pPr>
        <w:pStyle w:val="54"/>
        <w:jc w:val="both"/>
        <w:rPr>
          <w:rFonts w:ascii="Arial Narrow" w:hAnsi="Arial Narrow"/>
          <w:color w:val="auto"/>
          <w:sz w:val="22"/>
          <w:szCs w:val="22"/>
          <w:lang/>
        </w:rPr>
      </w:pPr>
    </w:p>
    <w:p w14:paraId="75787E13">
      <w:pPr>
        <w:pStyle w:val="54"/>
        <w:jc w:val="both"/>
        <w:rPr>
          <w:rFonts w:ascii="Arial Narrow" w:hAnsi="Arial Narrow"/>
          <w:sz w:val="22"/>
          <w:szCs w:val="22"/>
          <w:lang/>
        </w:rPr>
      </w:pPr>
      <w:r>
        <w:rPr>
          <w:rFonts w:ascii="Arial Narrow" w:hAnsi="Arial Narrow"/>
          <w:sz w:val="22"/>
          <w:szCs w:val="22"/>
          <w:lang/>
        </w:rPr>
        <w:t>En el presente Proceso de Contratación pueden participar (i) personas jurídicas, nacionales o extranjeras; (ii) personas naturales que tengan capacidad para obligarse por sí mismas; y (iii) consorcios y uniones conformados por las personas naturales o jurídicas en las condiciones previstas anteriormente, cuyo objeto social les permita cumplir con el objeto del Contrato.</w:t>
      </w:r>
    </w:p>
    <w:p w14:paraId="2A899883">
      <w:pPr>
        <w:pStyle w:val="54"/>
        <w:jc w:val="both"/>
        <w:rPr>
          <w:rFonts w:ascii="Arial Narrow" w:hAnsi="Arial Narrow"/>
          <w:sz w:val="22"/>
          <w:szCs w:val="22"/>
          <w:lang/>
        </w:rPr>
      </w:pPr>
    </w:p>
    <w:p w14:paraId="7BACABEF">
      <w:pPr>
        <w:pStyle w:val="54"/>
        <w:jc w:val="both"/>
        <w:rPr>
          <w:rFonts w:ascii="Arial Narrow" w:hAnsi="Arial Narrow"/>
          <w:sz w:val="22"/>
          <w:szCs w:val="22"/>
          <w:lang/>
        </w:rPr>
      </w:pPr>
      <w:r>
        <w:rPr>
          <w:rFonts w:ascii="Arial Narrow" w:hAnsi="Arial Narrow"/>
          <w:sz w:val="22"/>
          <w:szCs w:val="22"/>
          <w:lang/>
        </w:rPr>
        <w:t xml:space="preserve">Las personas jurídicas o proponentes plurales deben tener una duración por lo menos igual a la vigencia del Contrato y tres (3) años más. </w:t>
      </w:r>
    </w:p>
    <w:p w14:paraId="2A4CE191">
      <w:pPr>
        <w:pStyle w:val="54"/>
        <w:jc w:val="both"/>
        <w:rPr>
          <w:rFonts w:ascii="Arial Narrow" w:hAnsi="Arial Narrow"/>
          <w:sz w:val="22"/>
          <w:szCs w:val="22"/>
          <w:lang/>
        </w:rPr>
      </w:pPr>
    </w:p>
    <w:p w14:paraId="62764753">
      <w:pPr>
        <w:pStyle w:val="54"/>
        <w:jc w:val="both"/>
        <w:rPr>
          <w:rFonts w:ascii="Arial Narrow" w:hAnsi="Arial Narrow"/>
          <w:sz w:val="22"/>
          <w:szCs w:val="22"/>
          <w:lang/>
        </w:rPr>
      </w:pPr>
      <w:bookmarkStart w:id="89" w:name="_Hlk508372531"/>
      <w:r>
        <w:rPr>
          <w:rFonts w:ascii="Arial Narrow" w:hAnsi="Arial Narrow"/>
          <w:sz w:val="22"/>
          <w:szCs w:val="22"/>
          <w:lang/>
        </w:rPr>
        <w:t>La Aeronáutica Civil revisará que los Proponentes no se encuentren en causales de inhabilidad o incompatibilidad para presentar la Oferta, celebrar o ejecutar el Contrato, para ello, revisará entre otros, el boletín de responsables fiscales, el certificado de antecedentes disciplinarios  y certificado de antecedentes judiciales.</w:t>
      </w:r>
    </w:p>
    <w:p w14:paraId="6E9B1836">
      <w:pPr>
        <w:pStyle w:val="54"/>
        <w:jc w:val="both"/>
        <w:rPr>
          <w:rFonts w:ascii="Arial Narrow" w:hAnsi="Arial Narrow"/>
          <w:sz w:val="22"/>
          <w:szCs w:val="22"/>
          <w:lang/>
        </w:rPr>
      </w:pPr>
    </w:p>
    <w:p w14:paraId="4EFCC062">
      <w:pPr>
        <w:pStyle w:val="54"/>
        <w:jc w:val="both"/>
        <w:rPr>
          <w:rFonts w:ascii="Arial Narrow" w:hAnsi="Arial Narrow"/>
          <w:sz w:val="22"/>
          <w:szCs w:val="22"/>
          <w:lang w:eastAsia="es-CO"/>
        </w:rPr>
      </w:pPr>
      <w:r>
        <w:rPr>
          <w:rFonts w:ascii="Arial Narrow" w:hAnsi="Arial Narrow"/>
          <w:sz w:val="22"/>
          <w:szCs w:val="22"/>
          <w:lang/>
        </w:rPr>
        <w:t xml:space="preserve">De igual manera y en cumplimientpo de lo señalado en la Ley 1801 de 2016, por la cual </w:t>
      </w:r>
      <w:r>
        <w:rPr>
          <w:rFonts w:ascii="Arial Narrow" w:hAnsi="Arial Narrow"/>
          <w:sz w:val="22"/>
          <w:szCs w:val="22"/>
          <w:lang w:eastAsia="es-CO"/>
        </w:rPr>
        <w:t>se expide el Código Nacional de Policía y Convivencia, verificará que el  proponente singular y los integrantes del proponente plural no registren medidas correctivas impuestas por la autoridad de Policía.</w:t>
      </w:r>
    </w:p>
    <w:p w14:paraId="516D57AD">
      <w:pPr>
        <w:pStyle w:val="54"/>
        <w:jc w:val="both"/>
        <w:rPr>
          <w:rFonts w:ascii="Arial Narrow" w:hAnsi="Arial Narrow"/>
          <w:sz w:val="22"/>
          <w:szCs w:val="22"/>
          <w:lang w:eastAsia="es-CO"/>
        </w:rPr>
      </w:pPr>
    </w:p>
    <w:p w14:paraId="6AC96D26">
      <w:pPr>
        <w:pStyle w:val="54"/>
        <w:jc w:val="both"/>
        <w:rPr>
          <w:rFonts w:ascii="Arial Narrow" w:hAnsi="Arial Narrow"/>
          <w:color w:val="auto"/>
          <w:sz w:val="22"/>
          <w:szCs w:val="22"/>
          <w:lang/>
        </w:rPr>
      </w:pPr>
      <w:r>
        <w:rPr>
          <w:rFonts w:ascii="Arial Narrow" w:hAnsi="Arial Narrow"/>
          <w:sz w:val="22"/>
          <w:szCs w:val="22"/>
          <w:lang w:eastAsia="es-CO"/>
        </w:rPr>
        <w:t>P</w:t>
      </w:r>
      <w:r>
        <w:rPr>
          <w:rFonts w:ascii="Arial Narrow" w:hAnsi="Arial Narrow"/>
          <w:color w:val="auto"/>
          <w:sz w:val="22"/>
          <w:szCs w:val="22"/>
          <w:lang/>
        </w:rPr>
        <w:t>ara acreditar la capacidad jurídica se deberán presentar los siguientes documentos:</w:t>
      </w:r>
    </w:p>
    <w:bookmarkEnd w:id="89"/>
    <w:p w14:paraId="4C6D3AD2">
      <w:pPr>
        <w:pStyle w:val="54"/>
        <w:jc w:val="both"/>
        <w:rPr>
          <w:rFonts w:ascii="Arial Narrow" w:hAnsi="Arial Narrow"/>
          <w:color w:val="auto"/>
          <w:sz w:val="22"/>
          <w:szCs w:val="22"/>
          <w:lang/>
        </w:rPr>
      </w:pPr>
    </w:p>
    <w:p w14:paraId="15767969">
      <w:pPr>
        <w:pStyle w:val="52"/>
        <w:widowControl w:val="0"/>
        <w:numPr>
          <w:ilvl w:val="2"/>
          <w:numId w:val="13"/>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Formato 14  Carta De Presentación de la Oferta</w:t>
      </w:r>
    </w:p>
    <w:p w14:paraId="7D1C72EE">
      <w:pPr>
        <w:spacing w:after="0" w:line="240" w:lineRule="auto"/>
        <w:jc w:val="both"/>
        <w:rPr>
          <w:rFonts w:ascii="Arial Narrow" w:hAnsi="Arial Narrow" w:cs="Arial"/>
          <w:b/>
          <w:color w:val="FF0000"/>
          <w:lang/>
        </w:rPr>
      </w:pPr>
    </w:p>
    <w:p w14:paraId="477200BB">
      <w:pPr>
        <w:spacing w:after="0" w:line="240" w:lineRule="auto"/>
        <w:jc w:val="both"/>
        <w:rPr>
          <w:rFonts w:ascii="Arial Narrow" w:hAnsi="Arial Narrow" w:cs="Arial"/>
          <w:lang/>
        </w:rPr>
      </w:pPr>
      <w:r>
        <w:rPr>
          <w:rFonts w:ascii="Arial Narrow" w:hAnsi="Arial Narrow" w:cs="Arial"/>
          <w:lang/>
        </w:rPr>
        <w:t xml:space="preserve">La carta de presentación debe elaborarse según el modelo adjunto, Tanto el representante legal de la persona jurídica como el proponente persona natural, deberán aportar fotocopia de su cédula de ciudadanía, extranjería o pasaporte, según corresponda. </w:t>
      </w:r>
    </w:p>
    <w:p w14:paraId="7B92F1E7">
      <w:pPr>
        <w:spacing w:after="0" w:line="240" w:lineRule="auto"/>
        <w:jc w:val="both"/>
        <w:rPr>
          <w:rFonts w:ascii="Arial Narrow" w:hAnsi="Arial Narrow" w:cs="Arial"/>
          <w:lang/>
        </w:rPr>
      </w:pPr>
    </w:p>
    <w:p w14:paraId="4F57214E">
      <w:pPr>
        <w:spacing w:after="0" w:line="240" w:lineRule="auto"/>
        <w:jc w:val="both"/>
        <w:rPr>
          <w:rFonts w:ascii="Arial Narrow" w:hAnsi="Arial Narrow" w:cs="Arial"/>
          <w:lang/>
        </w:rPr>
      </w:pPr>
      <w:r>
        <w:rPr>
          <w:rFonts w:ascii="Arial Narrow" w:hAnsi="Arial Narrow" w:cs="Arial"/>
          <w:lang/>
        </w:rPr>
        <w:t xml:space="preserve">En caso de oferentes plurales integrado por personas naturales, cada una de las personas que los conforman deben cumplir con el requisito anteriormente enunciado, según sea el caso.  </w:t>
      </w:r>
    </w:p>
    <w:p w14:paraId="5CA586E0">
      <w:pPr>
        <w:spacing w:after="0" w:line="240" w:lineRule="auto"/>
        <w:jc w:val="both"/>
        <w:rPr>
          <w:rFonts w:ascii="Arial Narrow" w:hAnsi="Arial Narrow" w:cs="Arial"/>
          <w:lang/>
        </w:rPr>
      </w:pPr>
    </w:p>
    <w:p w14:paraId="55341B89">
      <w:pPr>
        <w:spacing w:after="0" w:line="240" w:lineRule="auto"/>
        <w:jc w:val="both"/>
        <w:rPr>
          <w:rFonts w:ascii="Arial Narrow" w:hAnsi="Arial Narrow" w:cs="Arial"/>
          <w:lang/>
        </w:rPr>
      </w:pPr>
      <w:r>
        <w:rPr>
          <w:rFonts w:ascii="Arial Narrow" w:hAnsi="Arial Narrow" w:cs="Arial"/>
          <w:lang/>
        </w:rPr>
        <w:t>La carta de presentación deberá estar suscrita a través de Firma Manuscrita, Firma Electrónica o Firma Digital.</w:t>
      </w:r>
    </w:p>
    <w:p w14:paraId="4B1140A5">
      <w:pPr>
        <w:spacing w:after="0" w:line="240" w:lineRule="auto"/>
        <w:jc w:val="both"/>
        <w:rPr>
          <w:rFonts w:ascii="Arial Narrow" w:hAnsi="Arial Narrow" w:cs="Arial"/>
          <w:lang/>
        </w:rPr>
      </w:pPr>
    </w:p>
    <w:p w14:paraId="6FE9C6AA">
      <w:pPr>
        <w:spacing w:after="0" w:line="240" w:lineRule="auto"/>
        <w:jc w:val="both"/>
        <w:rPr>
          <w:rFonts w:ascii="Arial Narrow" w:hAnsi="Arial Narrow" w:cs="Arial"/>
          <w:lang/>
        </w:rPr>
      </w:pPr>
      <w:r>
        <w:rPr>
          <w:rFonts w:ascii="Arial Narrow" w:hAnsi="Arial Narrow" w:cs="Arial"/>
          <w:lang/>
        </w:rPr>
        <w:t xml:space="preserve">El Proponente debe diligenciar los Formatos que correspondan. Todos los espacios en blanco deberán diligenciarse con la información solicitada. </w:t>
      </w:r>
    </w:p>
    <w:p w14:paraId="767767F5">
      <w:pPr>
        <w:spacing w:after="0" w:line="240" w:lineRule="auto"/>
        <w:jc w:val="both"/>
        <w:rPr>
          <w:rFonts w:ascii="Arial Narrow" w:hAnsi="Arial Narrow" w:cs="Arial"/>
          <w:lang/>
        </w:rPr>
      </w:pPr>
    </w:p>
    <w:p w14:paraId="63610351">
      <w:pPr>
        <w:pStyle w:val="52"/>
        <w:widowControl w:val="0"/>
        <w:numPr>
          <w:ilvl w:val="2"/>
          <w:numId w:val="13"/>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 xml:space="preserve">Pacto de Transparencia </w:t>
      </w:r>
    </w:p>
    <w:p w14:paraId="1BC9298C">
      <w:pPr>
        <w:pStyle w:val="49"/>
        <w:jc w:val="both"/>
        <w:rPr>
          <w:rFonts w:ascii="Arial Narrow" w:hAnsi="Arial Narrow" w:cs="Arial"/>
          <w:sz w:val="22"/>
          <w:szCs w:val="22"/>
        </w:rPr>
      </w:pPr>
    </w:p>
    <w:p w14:paraId="0F4BA1A6">
      <w:pPr>
        <w:pStyle w:val="49"/>
        <w:jc w:val="both"/>
        <w:rPr>
          <w:rFonts w:ascii="Arial Narrow" w:hAnsi="Arial Narrow" w:cs="Arial"/>
          <w:sz w:val="22"/>
          <w:szCs w:val="22"/>
        </w:rPr>
      </w:pPr>
      <w:r>
        <w:rPr>
          <w:rFonts w:ascii="Arial Narrow" w:hAnsi="Arial Narrow" w:cs="Arial"/>
          <w:sz w:val="22"/>
          <w:szCs w:val="22"/>
        </w:rPr>
        <w:t xml:space="preserve">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 </w:t>
      </w:r>
    </w:p>
    <w:p w14:paraId="63852336">
      <w:pPr>
        <w:autoSpaceDE w:val="0"/>
        <w:autoSpaceDN w:val="0"/>
        <w:adjustRightInd w:val="0"/>
        <w:spacing w:after="0" w:line="240" w:lineRule="auto"/>
        <w:jc w:val="both"/>
        <w:rPr>
          <w:rFonts w:ascii="Arial Narrow" w:hAnsi="Arial Narrow" w:cs="Arial"/>
          <w:lang/>
        </w:rPr>
      </w:pPr>
    </w:p>
    <w:p w14:paraId="05A4BA85">
      <w:pPr>
        <w:pStyle w:val="52"/>
        <w:widowControl w:val="0"/>
        <w:numPr>
          <w:ilvl w:val="2"/>
          <w:numId w:val="13"/>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Existencia y representación legal para empresas nacionales</w:t>
      </w:r>
    </w:p>
    <w:p w14:paraId="1B942303">
      <w:pPr>
        <w:autoSpaceDE w:val="0"/>
        <w:autoSpaceDN w:val="0"/>
        <w:adjustRightInd w:val="0"/>
        <w:spacing w:after="0" w:line="240" w:lineRule="auto"/>
        <w:jc w:val="both"/>
        <w:rPr>
          <w:rFonts w:ascii="Arial Narrow" w:hAnsi="Arial Narrow" w:cs="Arial"/>
          <w:b/>
          <w:lang/>
        </w:rPr>
      </w:pPr>
    </w:p>
    <w:p w14:paraId="1D0FE164">
      <w:pPr>
        <w:autoSpaceDE w:val="0"/>
        <w:autoSpaceDN w:val="0"/>
        <w:adjustRightInd w:val="0"/>
        <w:spacing w:after="0" w:line="240" w:lineRule="auto"/>
        <w:jc w:val="both"/>
        <w:rPr>
          <w:rFonts w:ascii="Arial Narrow" w:hAnsi="Arial Narrow" w:cs="Arial"/>
          <w:lang/>
        </w:rPr>
      </w:pPr>
      <w:r>
        <w:rPr>
          <w:rFonts w:ascii="Arial Narrow" w:hAnsi="Arial Narrow" w:cs="Arial"/>
          <w:lang/>
        </w:rPr>
        <w:t>Las personas Jurídicas Nacionales acreditarán su existencia con la presentación del  certificado de existencia y representación legal expedido por la Cámara de Comercio del domicilio principal de la persona jurídica, con fecha de expedición no superior a treinta (30) días calendario anteriores a la fecha de cierre del presente proceso. Las sociedades deberán acreditar que su duración no será inferior a la del plazo del contrato y tres (3) años más.</w:t>
      </w:r>
    </w:p>
    <w:p w14:paraId="05466EC2">
      <w:pPr>
        <w:autoSpaceDE w:val="0"/>
        <w:autoSpaceDN w:val="0"/>
        <w:adjustRightInd w:val="0"/>
        <w:spacing w:after="0" w:line="240" w:lineRule="auto"/>
        <w:jc w:val="both"/>
        <w:rPr>
          <w:rFonts w:ascii="Arial Narrow" w:hAnsi="Arial Narrow" w:cs="Arial"/>
          <w:lang/>
        </w:rPr>
      </w:pPr>
    </w:p>
    <w:p w14:paraId="7A13A924">
      <w:pPr>
        <w:autoSpaceDE w:val="0"/>
        <w:autoSpaceDN w:val="0"/>
        <w:adjustRightInd w:val="0"/>
        <w:spacing w:after="0" w:line="240" w:lineRule="auto"/>
        <w:jc w:val="both"/>
        <w:rPr>
          <w:rFonts w:ascii="Arial Narrow" w:hAnsi="Arial Narrow" w:cs="Arial"/>
          <w:lang/>
        </w:rPr>
      </w:pPr>
      <w:r>
        <w:rPr>
          <w:rFonts w:ascii="Arial Narrow" w:hAnsi="Arial Narrow" w:cs="Arial"/>
          <w:lang/>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14:paraId="5F4CD1C6">
      <w:pPr>
        <w:autoSpaceDE w:val="0"/>
        <w:autoSpaceDN w:val="0"/>
        <w:adjustRightInd w:val="0"/>
        <w:spacing w:after="0" w:line="240" w:lineRule="auto"/>
        <w:jc w:val="both"/>
        <w:rPr>
          <w:rFonts w:ascii="Arial Narrow" w:hAnsi="Arial Narrow" w:cs="Arial"/>
          <w:lang/>
        </w:rPr>
      </w:pPr>
    </w:p>
    <w:p w14:paraId="211870F9">
      <w:pPr>
        <w:autoSpaceDE w:val="0"/>
        <w:autoSpaceDN w:val="0"/>
        <w:adjustRightInd w:val="0"/>
        <w:spacing w:after="0" w:line="240" w:lineRule="auto"/>
        <w:jc w:val="both"/>
        <w:rPr>
          <w:rFonts w:ascii="Arial Narrow" w:hAnsi="Arial Narrow" w:cs="Arial"/>
          <w:lang/>
        </w:rPr>
      </w:pPr>
      <w:r>
        <w:rPr>
          <w:rFonts w:ascii="Arial Narrow" w:hAnsi="Arial Narrow" w:cs="Arial"/>
          <w:lang/>
        </w:rPr>
        <w:t>En todo caso todos y cada uno de los integrantes (personas jurídicas) del oferente plural, deberán presentar el Certificado de Existencia y Representación Legal o el documento idóneo correspondiente.</w:t>
      </w:r>
    </w:p>
    <w:p w14:paraId="41B2C458">
      <w:pPr>
        <w:autoSpaceDE w:val="0"/>
        <w:autoSpaceDN w:val="0"/>
        <w:adjustRightInd w:val="0"/>
        <w:spacing w:after="0" w:line="240" w:lineRule="auto"/>
        <w:jc w:val="both"/>
        <w:rPr>
          <w:rFonts w:ascii="Arial Narrow" w:hAnsi="Arial Narrow" w:cs="Arial"/>
          <w:lang/>
        </w:rPr>
      </w:pPr>
    </w:p>
    <w:p w14:paraId="02232D2E">
      <w:pPr>
        <w:pStyle w:val="52"/>
        <w:widowControl w:val="0"/>
        <w:numPr>
          <w:ilvl w:val="2"/>
          <w:numId w:val="13"/>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 xml:space="preserve">Existencia y representación legal para empresas extranjeras: </w:t>
      </w:r>
    </w:p>
    <w:p w14:paraId="1A88DC96">
      <w:pPr>
        <w:spacing w:after="0" w:line="240" w:lineRule="auto"/>
        <w:jc w:val="both"/>
        <w:rPr>
          <w:rFonts w:ascii="Arial Narrow" w:hAnsi="Arial Narrow" w:cs="Arial"/>
          <w:lang/>
        </w:rPr>
      </w:pPr>
    </w:p>
    <w:p w14:paraId="0F8313AE">
      <w:pPr>
        <w:numPr>
          <w:ilvl w:val="2"/>
          <w:numId w:val="22"/>
        </w:numPr>
        <w:spacing w:after="0" w:line="240" w:lineRule="auto"/>
        <w:ind w:left="1276" w:hanging="709"/>
        <w:jc w:val="both"/>
        <w:rPr>
          <w:rFonts w:ascii="Arial Narrow" w:hAnsi="Arial Narrow" w:cs="Arial"/>
          <w:lang/>
        </w:rPr>
      </w:pPr>
      <w:r>
        <w:rPr>
          <w:rFonts w:ascii="Arial Narrow" w:hAnsi="Arial Narrow" w:cs="Arial"/>
          <w:b/>
          <w:lang/>
        </w:rPr>
        <w:t>Personas jurídicas extranjeras</w:t>
      </w:r>
      <w:r>
        <w:rPr>
          <w:rFonts w:ascii="Arial Narrow" w:hAnsi="Arial Narrow" w:cs="Arial"/>
          <w:lang/>
        </w:rPr>
        <w:t xml:space="preserve"> </w:t>
      </w:r>
      <w:r>
        <w:rPr>
          <w:rFonts w:ascii="Arial Narrow" w:hAnsi="Arial Narrow" w:cs="Arial"/>
          <w:b/>
          <w:lang/>
        </w:rPr>
        <w:t>con sucursal en Colombia</w:t>
      </w:r>
      <w:r>
        <w:rPr>
          <w:rFonts w:ascii="Arial Narrow" w:hAnsi="Arial Narrow" w:cs="Arial"/>
          <w:lang/>
        </w:rPr>
        <w:t xml:space="preserve"> </w:t>
      </w:r>
    </w:p>
    <w:p w14:paraId="3296B2A2">
      <w:pPr>
        <w:spacing w:after="0" w:line="240" w:lineRule="auto"/>
        <w:jc w:val="both"/>
        <w:rPr>
          <w:rFonts w:ascii="Arial Narrow" w:hAnsi="Arial Narrow" w:cs="Arial"/>
          <w:lang/>
        </w:rPr>
      </w:pPr>
    </w:p>
    <w:p w14:paraId="5A4FC213">
      <w:pPr>
        <w:spacing w:after="0" w:line="240" w:lineRule="auto"/>
        <w:jc w:val="both"/>
        <w:rPr>
          <w:rFonts w:ascii="Arial Narrow" w:hAnsi="Arial Narrow" w:cs="Arial"/>
          <w:lang/>
        </w:rPr>
      </w:pPr>
      <w:r>
        <w:rPr>
          <w:rFonts w:ascii="Arial Narrow" w:hAnsi="Arial Narrow" w:cs="Arial"/>
          <w:lang/>
        </w:rPr>
        <w:t xml:space="preserve">Deberán adjuntar el respectivo certificado de Cámara de Comercio de su domicilio, con fecha no superior al cierre del presente proceso. Las sociedades deberán acreditar que su duración no será inferior a la del plazo del contrato y tres (3) años más. </w:t>
      </w:r>
    </w:p>
    <w:p w14:paraId="40D528D8">
      <w:pPr>
        <w:autoSpaceDE w:val="0"/>
        <w:autoSpaceDN w:val="0"/>
        <w:adjustRightInd w:val="0"/>
        <w:spacing w:after="0" w:line="240" w:lineRule="auto"/>
        <w:jc w:val="both"/>
        <w:rPr>
          <w:rFonts w:ascii="Arial Narrow" w:hAnsi="Arial Narrow" w:cs="Arial"/>
          <w:lang/>
        </w:rPr>
      </w:pPr>
    </w:p>
    <w:p w14:paraId="4C8CCD6B">
      <w:pPr>
        <w:spacing w:after="0" w:line="240" w:lineRule="auto"/>
        <w:jc w:val="both"/>
        <w:rPr>
          <w:rFonts w:ascii="Arial Narrow" w:hAnsi="Arial Narrow" w:cs="Arial"/>
          <w:lang/>
        </w:rPr>
      </w:pPr>
      <w:r>
        <w:rPr>
          <w:rFonts w:ascii="Arial Narrow" w:hAnsi="Arial Narrow" w:cs="Arial"/>
          <w:lang/>
        </w:rPr>
        <w:t xml:space="preserve">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seleción.  </w:t>
      </w:r>
    </w:p>
    <w:p w14:paraId="417288A1">
      <w:pPr>
        <w:spacing w:after="0" w:line="240" w:lineRule="auto"/>
        <w:jc w:val="both"/>
        <w:rPr>
          <w:rFonts w:ascii="Arial Narrow" w:hAnsi="Arial Narrow" w:cs="Arial"/>
          <w:lang/>
        </w:rPr>
      </w:pPr>
    </w:p>
    <w:p w14:paraId="61F051C4">
      <w:pPr>
        <w:numPr>
          <w:ilvl w:val="2"/>
          <w:numId w:val="22"/>
        </w:numPr>
        <w:spacing w:after="0" w:line="240" w:lineRule="auto"/>
        <w:ind w:left="1276" w:hanging="709"/>
        <w:jc w:val="both"/>
        <w:rPr>
          <w:rFonts w:ascii="Arial Narrow" w:hAnsi="Arial Narrow" w:cs="Arial"/>
          <w:lang/>
        </w:rPr>
      </w:pPr>
      <w:r>
        <w:rPr>
          <w:rFonts w:ascii="Arial Narrow" w:hAnsi="Arial Narrow" w:cs="Arial"/>
          <w:b/>
          <w:lang/>
        </w:rPr>
        <w:t>Personas jurídicas extranjeras sin sucursal en Colombia</w:t>
      </w:r>
    </w:p>
    <w:p w14:paraId="5B7DBEC4">
      <w:pPr>
        <w:spacing w:after="0" w:line="240" w:lineRule="auto"/>
        <w:jc w:val="both"/>
        <w:rPr>
          <w:rFonts w:ascii="Arial Narrow" w:hAnsi="Arial Narrow" w:cs="Arial"/>
          <w:lang/>
        </w:rPr>
      </w:pPr>
    </w:p>
    <w:p w14:paraId="020C5AFF">
      <w:pPr>
        <w:spacing w:after="0" w:line="240" w:lineRule="auto"/>
        <w:jc w:val="both"/>
        <w:rPr>
          <w:rFonts w:ascii="Arial Narrow" w:hAnsi="Arial Narrow" w:cs="Arial"/>
          <w:lang/>
        </w:rPr>
      </w:pPr>
      <w:r>
        <w:rPr>
          <w:rFonts w:ascii="Arial Narrow" w:hAnsi="Arial Narrow" w:cs="Arial"/>
          <w:lang/>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2F0B8A6E">
      <w:pPr>
        <w:spacing w:after="0" w:line="240" w:lineRule="auto"/>
        <w:jc w:val="both"/>
        <w:rPr>
          <w:rFonts w:ascii="Arial Narrow" w:hAnsi="Arial Narrow" w:cs="Arial"/>
          <w:b/>
          <w:lang/>
        </w:rPr>
      </w:pPr>
    </w:p>
    <w:p w14:paraId="68CA74BA">
      <w:pPr>
        <w:spacing w:after="0" w:line="240" w:lineRule="auto"/>
        <w:jc w:val="both"/>
        <w:rPr>
          <w:rFonts w:ascii="Arial Narrow" w:hAnsi="Arial Narrow" w:cs="Arial"/>
          <w:lang/>
        </w:rPr>
      </w:pPr>
      <w:r>
        <w:rPr>
          <w:rFonts w:ascii="Arial Narrow" w:hAnsi="Arial Narrow" w:cs="Arial"/>
          <w:lang/>
        </w:rPr>
        <w:t>La persona jurídica deberá acreditar que su duración no será inferior a la del plazo del contrato y tres (3) años más.</w:t>
      </w:r>
    </w:p>
    <w:p w14:paraId="39ED0173">
      <w:pPr>
        <w:spacing w:after="0" w:line="240" w:lineRule="auto"/>
        <w:jc w:val="both"/>
        <w:rPr>
          <w:rFonts w:ascii="Arial Narrow" w:hAnsi="Arial Narrow" w:cs="Arial"/>
          <w:lang/>
        </w:rPr>
      </w:pPr>
    </w:p>
    <w:p w14:paraId="545D789C">
      <w:pPr>
        <w:pStyle w:val="52"/>
        <w:widowControl w:val="0"/>
        <w:numPr>
          <w:ilvl w:val="2"/>
          <w:numId w:val="13"/>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Acta de Junta de Socios, Asamblea General de Accionistas o Junta  Directiva</w:t>
      </w:r>
    </w:p>
    <w:p w14:paraId="20E8DEBA">
      <w:pPr>
        <w:autoSpaceDE w:val="0"/>
        <w:autoSpaceDN w:val="0"/>
        <w:adjustRightInd w:val="0"/>
        <w:spacing w:after="0" w:line="240" w:lineRule="auto"/>
        <w:jc w:val="both"/>
        <w:rPr>
          <w:rFonts w:ascii="Arial Narrow" w:hAnsi="Arial Narrow" w:cs="Arial"/>
          <w:b/>
          <w:lang/>
        </w:rPr>
      </w:pPr>
    </w:p>
    <w:p w14:paraId="20B5482F">
      <w:pPr>
        <w:autoSpaceDE w:val="0"/>
        <w:autoSpaceDN w:val="0"/>
        <w:adjustRightInd w:val="0"/>
        <w:spacing w:after="0" w:line="240" w:lineRule="auto"/>
        <w:jc w:val="both"/>
        <w:rPr>
          <w:rFonts w:ascii="Arial Narrow" w:hAnsi="Arial Narrow" w:cs="Arial"/>
          <w:u w:val="single"/>
          <w:lang/>
        </w:rPr>
      </w:pPr>
      <w:r>
        <w:rPr>
          <w:rFonts w:ascii="Arial Narrow" w:hAnsi="Arial Narrow" w:cs="Arial"/>
          <w:lang/>
        </w:rPr>
        <w:t xml:space="preserve">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 </w:t>
      </w:r>
    </w:p>
    <w:p w14:paraId="659EF8E8">
      <w:pPr>
        <w:autoSpaceDE w:val="0"/>
        <w:autoSpaceDN w:val="0"/>
        <w:adjustRightInd w:val="0"/>
        <w:spacing w:after="0" w:line="240" w:lineRule="auto"/>
        <w:jc w:val="both"/>
        <w:rPr>
          <w:rFonts w:ascii="Arial Narrow" w:hAnsi="Arial Narrow" w:cs="Arial"/>
          <w:b/>
          <w:lang/>
        </w:rPr>
      </w:pPr>
    </w:p>
    <w:p w14:paraId="1EBFC136">
      <w:pPr>
        <w:autoSpaceDE w:val="0"/>
        <w:autoSpaceDN w:val="0"/>
        <w:adjustRightInd w:val="0"/>
        <w:spacing w:after="0" w:line="240" w:lineRule="auto"/>
        <w:jc w:val="both"/>
        <w:rPr>
          <w:rFonts w:ascii="Arial Narrow" w:hAnsi="Arial Narrow" w:cs="Arial"/>
          <w:u w:val="single"/>
          <w:lang/>
        </w:rPr>
      </w:pPr>
      <w:r>
        <w:rPr>
          <w:rFonts w:ascii="Arial Narrow" w:hAnsi="Arial Narrow" w:cs="Arial"/>
          <w:lang/>
        </w:rPr>
        <w:t>Esta Acta debe ser expedida conforme a lo establecido por el Código de Comercio, en especial el Capítulo VII Sección I y el artículo 189, para efectos de que eficacia y validez; teniendo las siguientes alternativas: (i) fotocopia del libro de actas y autenticada por Notario o (ii) Fotocopia con inclusión de nota que es fiel copia tomada de su original y firma por el secretario o el presidente.</w:t>
      </w:r>
    </w:p>
    <w:p w14:paraId="3D6401CB">
      <w:pPr>
        <w:autoSpaceDE w:val="0"/>
        <w:autoSpaceDN w:val="0"/>
        <w:adjustRightInd w:val="0"/>
        <w:spacing w:after="0" w:line="240" w:lineRule="auto"/>
        <w:jc w:val="both"/>
        <w:rPr>
          <w:rFonts w:ascii="Arial Narrow" w:hAnsi="Arial Narrow" w:cs="Arial"/>
          <w:lang/>
        </w:rPr>
      </w:pPr>
    </w:p>
    <w:p w14:paraId="40A5A608">
      <w:pPr>
        <w:autoSpaceDE w:val="0"/>
        <w:autoSpaceDN w:val="0"/>
        <w:adjustRightInd w:val="0"/>
        <w:spacing w:after="0" w:line="240" w:lineRule="auto"/>
        <w:jc w:val="both"/>
        <w:rPr>
          <w:rFonts w:ascii="Arial Narrow" w:hAnsi="Arial Narrow" w:cs="Arial"/>
          <w:lang/>
        </w:rPr>
      </w:pPr>
      <w:r>
        <w:rPr>
          <w:rFonts w:ascii="Arial Narrow" w:hAnsi="Arial Narrow" w:cs="Arial"/>
          <w:lang/>
        </w:rPr>
        <w:t>En caso de oferentes plurales, cada uno de sus integrantes debe cumplir con este requisito, en caso de requerirlo. Para los extranjeros, éstos deben presentar los documentos idóneos del país de origen en donde se pruebe esta capacidad.</w:t>
      </w:r>
    </w:p>
    <w:p w14:paraId="2DDF6037">
      <w:pPr>
        <w:autoSpaceDE w:val="0"/>
        <w:autoSpaceDN w:val="0"/>
        <w:adjustRightInd w:val="0"/>
        <w:spacing w:after="0" w:line="240" w:lineRule="auto"/>
        <w:jc w:val="both"/>
        <w:rPr>
          <w:rFonts w:ascii="Arial Narrow" w:hAnsi="Arial Narrow" w:cs="Arial"/>
          <w:lang/>
        </w:rPr>
      </w:pPr>
    </w:p>
    <w:p w14:paraId="6D7AF99E">
      <w:pPr>
        <w:pStyle w:val="52"/>
        <w:widowControl w:val="0"/>
        <w:numPr>
          <w:ilvl w:val="2"/>
          <w:numId w:val="13"/>
        </w:numPr>
        <w:overflowPunct w:val="0"/>
        <w:autoSpaceDE w:val="0"/>
        <w:autoSpaceDN w:val="0"/>
        <w:adjustRightInd w:val="0"/>
        <w:spacing w:after="0" w:line="240" w:lineRule="auto"/>
        <w:ind w:left="709"/>
        <w:jc w:val="both"/>
        <w:rPr>
          <w:rFonts w:ascii="Arial Narrow" w:hAnsi="Arial Narrow"/>
          <w:b/>
          <w:bCs/>
          <w:lang/>
        </w:rPr>
      </w:pPr>
      <w:bookmarkStart w:id="90" w:name="_Toc99029288"/>
      <w:r>
        <w:rPr>
          <w:rFonts w:ascii="Arial Narrow" w:hAnsi="Arial Narrow"/>
          <w:b/>
          <w:bCs/>
          <w:lang/>
        </w:rPr>
        <w:t>Personas Naturales</w:t>
      </w:r>
      <w:bookmarkEnd w:id="90"/>
    </w:p>
    <w:p w14:paraId="21C701DC">
      <w:pPr>
        <w:autoSpaceDE w:val="0"/>
        <w:autoSpaceDN w:val="0"/>
        <w:adjustRightInd w:val="0"/>
        <w:spacing w:after="0" w:line="240" w:lineRule="auto"/>
        <w:jc w:val="both"/>
        <w:rPr>
          <w:rFonts w:ascii="Arial Narrow" w:hAnsi="Arial Narrow" w:cs="Arial"/>
          <w:lang/>
        </w:rPr>
      </w:pPr>
    </w:p>
    <w:p w14:paraId="6A9F1848">
      <w:pPr>
        <w:autoSpaceDE w:val="0"/>
        <w:autoSpaceDN w:val="0"/>
        <w:adjustRightInd w:val="0"/>
        <w:spacing w:after="0" w:line="240" w:lineRule="auto"/>
        <w:jc w:val="both"/>
        <w:rPr>
          <w:rFonts w:ascii="Arial Narrow" w:hAnsi="Arial Narrow" w:cs="Arial"/>
          <w:lang/>
        </w:rPr>
      </w:pPr>
      <w:r>
        <w:rPr>
          <w:rFonts w:ascii="Arial Narrow" w:hAnsi="Arial Narrow" w:cs="Arial"/>
          <w:lang/>
        </w:rPr>
        <w:t xml:space="preserve">Deben presentar los siguientes documentos en copia simple: </w:t>
      </w:r>
    </w:p>
    <w:p w14:paraId="7473674E">
      <w:pPr>
        <w:autoSpaceDE w:val="0"/>
        <w:autoSpaceDN w:val="0"/>
        <w:adjustRightInd w:val="0"/>
        <w:spacing w:after="0" w:line="240" w:lineRule="auto"/>
        <w:jc w:val="both"/>
        <w:rPr>
          <w:rFonts w:ascii="Arial Narrow" w:hAnsi="Arial Narrow" w:cs="Arial"/>
          <w:lang/>
        </w:rPr>
      </w:pPr>
    </w:p>
    <w:p w14:paraId="0A4F23C9">
      <w:pPr>
        <w:numPr>
          <w:ilvl w:val="0"/>
          <w:numId w:val="23"/>
        </w:numPr>
        <w:autoSpaceDE w:val="0"/>
        <w:autoSpaceDN w:val="0"/>
        <w:adjustRightInd w:val="0"/>
        <w:spacing w:after="0" w:line="240" w:lineRule="auto"/>
        <w:jc w:val="both"/>
        <w:rPr>
          <w:rFonts w:ascii="Arial Narrow" w:hAnsi="Arial Narrow" w:cs="Arial"/>
          <w:lang/>
        </w:rPr>
      </w:pPr>
      <w:r>
        <w:rPr>
          <w:rFonts w:ascii="Arial Narrow" w:hAnsi="Arial Narrow" w:cs="Arial"/>
          <w:lang/>
        </w:rPr>
        <w:t>Persona natural de nacionalidad colombiana: cédula de ciudadanía.</w:t>
      </w:r>
    </w:p>
    <w:p w14:paraId="191C80A8">
      <w:pPr>
        <w:numPr>
          <w:ilvl w:val="0"/>
          <w:numId w:val="23"/>
        </w:numPr>
        <w:autoSpaceDE w:val="0"/>
        <w:autoSpaceDN w:val="0"/>
        <w:adjustRightInd w:val="0"/>
        <w:spacing w:after="0" w:line="240" w:lineRule="auto"/>
        <w:jc w:val="both"/>
        <w:rPr>
          <w:rFonts w:ascii="Arial Narrow" w:hAnsi="Arial Narrow" w:cs="Arial"/>
          <w:lang/>
        </w:rPr>
      </w:pPr>
      <w:r>
        <w:rPr>
          <w:rFonts w:ascii="Arial Narrow" w:hAnsi="Arial Narrow" w:cs="Arial"/>
          <w:lang/>
        </w:rPr>
        <w:t xml:space="preserve">Persona natural extranjera con residencia en Colombia: cédula de extranjería. </w:t>
      </w:r>
    </w:p>
    <w:p w14:paraId="75806E11">
      <w:pPr>
        <w:numPr>
          <w:ilvl w:val="0"/>
          <w:numId w:val="23"/>
        </w:numPr>
        <w:autoSpaceDE w:val="0"/>
        <w:autoSpaceDN w:val="0"/>
        <w:adjustRightInd w:val="0"/>
        <w:spacing w:after="0" w:line="240" w:lineRule="auto"/>
        <w:jc w:val="both"/>
        <w:rPr>
          <w:rFonts w:ascii="Arial Narrow" w:hAnsi="Arial Narrow" w:cs="Arial"/>
          <w:lang/>
        </w:rPr>
      </w:pPr>
      <w:r>
        <w:rPr>
          <w:rFonts w:ascii="Arial Narrow" w:hAnsi="Arial Narrow" w:cs="Arial"/>
          <w:lang/>
        </w:rPr>
        <w:t>Persona natural extranjera sin domicilio en Colombia: pasaporte.</w:t>
      </w:r>
    </w:p>
    <w:p w14:paraId="5B0B757D">
      <w:pPr>
        <w:pStyle w:val="83"/>
        <w:spacing w:after="0"/>
        <w:ind w:left="0" w:firstLine="0"/>
        <w:jc w:val="both"/>
        <w:rPr>
          <w:rFonts w:ascii="Arial Narrow" w:hAnsi="Arial Narrow" w:cs="Arial"/>
          <w:b/>
          <w:sz w:val="22"/>
          <w:szCs w:val="22"/>
          <w:lang/>
        </w:rPr>
      </w:pPr>
    </w:p>
    <w:p w14:paraId="61A72B3A">
      <w:pPr>
        <w:pStyle w:val="52"/>
        <w:widowControl w:val="0"/>
        <w:numPr>
          <w:ilvl w:val="2"/>
          <w:numId w:val="13"/>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Certificación de pago de aportes a la seguridad social y parafiscal - Diligenciar en el Formato 16.</w:t>
      </w:r>
    </w:p>
    <w:p w14:paraId="653242B5">
      <w:pPr>
        <w:pStyle w:val="52"/>
        <w:spacing w:after="0" w:line="240" w:lineRule="auto"/>
        <w:ind w:left="0"/>
        <w:contextualSpacing w:val="0"/>
        <w:jc w:val="both"/>
        <w:rPr>
          <w:rFonts w:ascii="Arial Narrow" w:hAnsi="Arial Narrow" w:cs="Arial"/>
          <w:lang/>
        </w:rPr>
      </w:pPr>
    </w:p>
    <w:p w14:paraId="54361682">
      <w:pPr>
        <w:pStyle w:val="52"/>
        <w:spacing w:after="0" w:line="240" w:lineRule="auto"/>
        <w:ind w:left="0"/>
        <w:contextualSpacing w:val="0"/>
        <w:jc w:val="both"/>
        <w:rPr>
          <w:rFonts w:ascii="Arial Narrow" w:hAnsi="Arial Narrow" w:cs="Arial"/>
          <w:lang/>
        </w:rPr>
      </w:pPr>
      <w:r>
        <w:rPr>
          <w:rFonts w:ascii="Arial Narrow" w:hAnsi="Arial Narrow" w:cs="Arial"/>
          <w:lang/>
        </w:rPr>
        <w:t>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3A0A63A0">
      <w:pPr>
        <w:pStyle w:val="52"/>
        <w:spacing w:after="0" w:line="240" w:lineRule="auto"/>
        <w:ind w:left="0"/>
        <w:contextualSpacing w:val="0"/>
        <w:jc w:val="both"/>
        <w:rPr>
          <w:rFonts w:ascii="Arial Narrow" w:hAnsi="Arial Narrow" w:cs="Arial"/>
          <w:lang/>
        </w:rPr>
      </w:pPr>
    </w:p>
    <w:p w14:paraId="3B9CC844">
      <w:pPr>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08BBBC10">
      <w:pPr>
        <w:spacing w:after="0" w:line="240" w:lineRule="auto"/>
        <w:jc w:val="both"/>
        <w:rPr>
          <w:rFonts w:ascii="Arial Narrow" w:hAnsi="Arial Narrow" w:eastAsia="Times New Roman" w:cs="Arial"/>
          <w:lang w:eastAsia="es-ES"/>
        </w:rPr>
      </w:pPr>
    </w:p>
    <w:p w14:paraId="252A5FBF">
      <w:pPr>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Esta misma previsión aplica para las personas jurídicas extranjeras con domicilio o sucursal en Colombia las cuales deberán acreditar este requisito respecto del personal vinculado en Colombia.</w:t>
      </w:r>
    </w:p>
    <w:p w14:paraId="65A7E31F">
      <w:pPr>
        <w:spacing w:after="0" w:line="240" w:lineRule="auto"/>
        <w:jc w:val="both"/>
        <w:rPr>
          <w:rFonts w:ascii="Arial Narrow" w:hAnsi="Arial Narrow" w:eastAsia="Times New Roman" w:cs="Arial"/>
          <w:lang w:eastAsia="es-ES"/>
        </w:rPr>
      </w:pPr>
    </w:p>
    <w:p w14:paraId="74C11A10">
      <w:pPr>
        <w:pStyle w:val="52"/>
        <w:spacing w:after="0" w:line="240" w:lineRule="auto"/>
        <w:ind w:left="0"/>
        <w:contextualSpacing w:val="0"/>
        <w:jc w:val="both"/>
        <w:rPr>
          <w:rFonts w:ascii="Arial Narrow" w:hAnsi="Arial Narrow" w:cs="Arial"/>
          <w:lang/>
        </w:rPr>
      </w:pPr>
      <w:r>
        <w:rPr>
          <w:rFonts w:ascii="Arial Narrow" w:hAnsi="Arial Narrow" w:cs="Arial"/>
          <w:lang/>
        </w:rPr>
        <w:t>El proponente, persona natural, con personal a cargo deberá presentar una declaración,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Servicio Nacional de Aprendizaje</w:t>
      </w:r>
      <w:r>
        <w:rPr>
          <w:rFonts w:ascii="Arial Narrow" w:hAnsi="Arial Narrow" w:cs="Arial"/>
          <w:i/>
          <w:lang/>
        </w:rPr>
        <w:t xml:space="preserve">. </w:t>
      </w:r>
      <w:r>
        <w:rPr>
          <w:rFonts w:ascii="Arial Narrow" w:hAnsi="Arial Narrow" w:cs="Arial"/>
          <w:lang/>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2F11D70B">
      <w:pPr>
        <w:spacing w:after="0" w:line="240" w:lineRule="auto"/>
        <w:jc w:val="both"/>
        <w:rPr>
          <w:rFonts w:ascii="Arial Narrow" w:hAnsi="Arial Narrow" w:eastAsia="Times New Roman" w:cs="Arial"/>
          <w:lang w:eastAsia="es-ES"/>
        </w:rPr>
      </w:pPr>
    </w:p>
    <w:p w14:paraId="5A7384F4">
      <w:pPr>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1CC07B2E">
      <w:pPr>
        <w:spacing w:after="0" w:line="240" w:lineRule="auto"/>
        <w:jc w:val="both"/>
        <w:rPr>
          <w:rFonts w:ascii="Arial Narrow" w:hAnsi="Arial Narrow" w:cs="Arial"/>
          <w:lang w:eastAsia="es-ES"/>
        </w:rPr>
      </w:pPr>
    </w:p>
    <w:p w14:paraId="1F4254D3">
      <w:pPr>
        <w:tabs>
          <w:tab w:val="left" w:pos="-142"/>
        </w:tabs>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Si se trata de personas naturales independientes sin empleados a su cargo, deberán aportar la planilla integrada de liquidación de aportes (PILA), con la cual acrediten que se encuentran al día en el pago de sus aportes al sistema de seguridad social, de los últimos seis (6) meses contados a partir del mes anterior a la fecha de cierre.</w:t>
      </w:r>
    </w:p>
    <w:p w14:paraId="4EBCF692">
      <w:pPr>
        <w:tabs>
          <w:tab w:val="left" w:pos="-142"/>
        </w:tabs>
        <w:autoSpaceDE w:val="0"/>
        <w:autoSpaceDN w:val="0"/>
        <w:adjustRightInd w:val="0"/>
        <w:spacing w:after="0" w:line="240" w:lineRule="auto"/>
        <w:jc w:val="both"/>
        <w:rPr>
          <w:rFonts w:ascii="Arial Narrow" w:hAnsi="Arial Narrow" w:eastAsia="Times New Roman" w:cs="Arial"/>
          <w:lang w:eastAsia="es-ES"/>
        </w:rPr>
      </w:pPr>
    </w:p>
    <w:p w14:paraId="424C29AA">
      <w:pPr>
        <w:tabs>
          <w:tab w:val="left" w:pos="-142"/>
        </w:tabs>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Esta misma previsión aplica para las personas naturales extranjeras con domicilio en Colombia las cuales, deberán acreditar este requisito respecto del personal vinculado en Colombia.</w:t>
      </w:r>
    </w:p>
    <w:p w14:paraId="7EE72470">
      <w:pPr>
        <w:tabs>
          <w:tab w:val="left" w:pos="-142"/>
        </w:tabs>
        <w:autoSpaceDE w:val="0"/>
        <w:autoSpaceDN w:val="0"/>
        <w:adjustRightInd w:val="0"/>
        <w:spacing w:after="0" w:line="240" w:lineRule="auto"/>
        <w:jc w:val="both"/>
        <w:rPr>
          <w:rFonts w:ascii="Arial Narrow" w:hAnsi="Arial Narrow" w:eastAsia="Times New Roman" w:cs="Arial"/>
          <w:lang w:eastAsia="es-ES"/>
        </w:rPr>
      </w:pPr>
    </w:p>
    <w:p w14:paraId="046DDA0C">
      <w:pPr>
        <w:tabs>
          <w:tab w:val="left" w:pos="-142"/>
        </w:tabs>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Cuando se trate de Consorcios o Uniones Temporales, cada uno de sus integrantes, deberá aportar por separado la certificación aquí exigida.</w:t>
      </w:r>
    </w:p>
    <w:p w14:paraId="0552AD7E">
      <w:pPr>
        <w:tabs>
          <w:tab w:val="left" w:pos="-142"/>
        </w:tabs>
        <w:autoSpaceDE w:val="0"/>
        <w:autoSpaceDN w:val="0"/>
        <w:adjustRightInd w:val="0"/>
        <w:spacing w:after="0" w:line="240" w:lineRule="auto"/>
        <w:jc w:val="both"/>
        <w:rPr>
          <w:rFonts w:ascii="Arial Narrow" w:hAnsi="Arial Narrow" w:eastAsia="Times New Roman" w:cs="Arial"/>
          <w:lang w:eastAsia="es-ES"/>
        </w:rPr>
      </w:pPr>
    </w:p>
    <w:p w14:paraId="4FD677EA">
      <w:pPr>
        <w:tabs>
          <w:tab w:val="left" w:pos="-142"/>
        </w:tabs>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Adicionalmente el proponente adjudicatario, deberá presentar para la suscripción del respectivo contrato la declaración donde se acredite el pago correspondiente a Seguridad  Social y Aportes Parafiscales.</w:t>
      </w:r>
    </w:p>
    <w:p w14:paraId="71C32E3C">
      <w:pPr>
        <w:tabs>
          <w:tab w:val="left" w:pos="-142"/>
        </w:tabs>
        <w:autoSpaceDE w:val="0"/>
        <w:autoSpaceDN w:val="0"/>
        <w:adjustRightInd w:val="0"/>
        <w:spacing w:after="0" w:line="240" w:lineRule="auto"/>
        <w:jc w:val="both"/>
        <w:rPr>
          <w:rFonts w:ascii="Arial Narrow" w:hAnsi="Arial Narrow" w:eastAsia="Times New Roman" w:cs="Arial"/>
          <w:lang w:eastAsia="es-ES"/>
        </w:rPr>
      </w:pPr>
    </w:p>
    <w:p w14:paraId="67D1B904">
      <w:pPr>
        <w:tabs>
          <w:tab w:val="left" w:pos="-142"/>
        </w:tabs>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En caso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73B3CD27">
      <w:pPr>
        <w:tabs>
          <w:tab w:val="left" w:pos="-142"/>
        </w:tabs>
        <w:autoSpaceDE w:val="0"/>
        <w:autoSpaceDN w:val="0"/>
        <w:adjustRightInd w:val="0"/>
        <w:spacing w:after="0" w:line="240" w:lineRule="auto"/>
        <w:jc w:val="both"/>
        <w:rPr>
          <w:rFonts w:ascii="Arial Narrow" w:hAnsi="Arial Narrow" w:eastAsia="Times New Roman" w:cs="Arial"/>
          <w:lang w:eastAsia="es-ES"/>
        </w:rPr>
      </w:pPr>
    </w:p>
    <w:p w14:paraId="53D2574A">
      <w:pPr>
        <w:tabs>
          <w:tab w:val="left" w:pos="-142"/>
        </w:tabs>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b/>
          <w:lang w:eastAsia="es-ES"/>
        </w:rPr>
        <w:t>NOTA:</w:t>
      </w:r>
      <w:r>
        <w:rPr>
          <w:rFonts w:ascii="Arial Narrow" w:hAnsi="Arial Narrow" w:eastAsia="Times New Roman" w:cs="Arial"/>
          <w:lang w:eastAsia="es-ES"/>
        </w:rPr>
        <w:t xml:space="preserve"> La Aeronáutica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14:paraId="476B911E">
      <w:pPr>
        <w:tabs>
          <w:tab w:val="left" w:pos="-142"/>
        </w:tabs>
        <w:autoSpaceDE w:val="0"/>
        <w:autoSpaceDN w:val="0"/>
        <w:adjustRightInd w:val="0"/>
        <w:spacing w:after="0" w:line="240" w:lineRule="auto"/>
        <w:jc w:val="both"/>
        <w:rPr>
          <w:rFonts w:ascii="Arial Narrow" w:hAnsi="Arial Narrow" w:eastAsia="Times New Roman" w:cs="Arial"/>
          <w:lang w:eastAsia="es-ES"/>
        </w:rPr>
      </w:pPr>
    </w:p>
    <w:p w14:paraId="04AB0092">
      <w:pPr>
        <w:tabs>
          <w:tab w:val="left" w:pos="-142"/>
        </w:tabs>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En caso de no allegar con la observación dichos soportes no se dará trámite a la misma. En el evento en que la observación esté debidamente sustentada y soportada, la Entidad podrá dar traslado al proponente observado y 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2F419E42">
      <w:pPr>
        <w:pStyle w:val="33"/>
        <w:ind w:left="0"/>
        <w:rPr>
          <w:rFonts w:ascii="Arial Narrow" w:hAnsi="Arial Narrow"/>
          <w:lang/>
        </w:rPr>
      </w:pPr>
    </w:p>
    <w:p w14:paraId="03610CD1">
      <w:pPr>
        <w:pStyle w:val="52"/>
        <w:widowControl w:val="0"/>
        <w:numPr>
          <w:ilvl w:val="2"/>
          <w:numId w:val="13"/>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Garantía de seriedad de la oferta</w:t>
      </w:r>
    </w:p>
    <w:p w14:paraId="3D35624D">
      <w:pPr>
        <w:pStyle w:val="83"/>
        <w:spacing w:after="0"/>
        <w:ind w:left="0" w:firstLine="0"/>
        <w:jc w:val="both"/>
        <w:rPr>
          <w:rFonts w:ascii="Arial Narrow" w:hAnsi="Arial Narrow" w:cs="Arial"/>
          <w:sz w:val="22"/>
          <w:szCs w:val="22"/>
          <w:lang/>
        </w:rPr>
      </w:pPr>
      <w:r>
        <w:rPr>
          <w:rFonts w:ascii="Arial Narrow" w:hAnsi="Arial Narrow" w:cs="Arial"/>
          <w:sz w:val="22"/>
          <w:szCs w:val="22"/>
          <w:lang/>
        </w:rPr>
        <w:tab/>
      </w:r>
    </w:p>
    <w:p w14:paraId="4408FC8A">
      <w:pPr>
        <w:pStyle w:val="129"/>
        <w:spacing w:before="0" w:beforeAutospacing="0" w:after="0" w:afterAutospacing="0"/>
        <w:jc w:val="both"/>
        <w:rPr>
          <w:rFonts w:ascii="Arial Narrow" w:hAnsi="Arial Narrow" w:cs="Arial"/>
          <w:color w:val="000000"/>
          <w:sz w:val="22"/>
          <w:szCs w:val="22"/>
        </w:rPr>
      </w:pPr>
      <w:bookmarkStart w:id="91" w:name="_Hlk508372669"/>
      <w:r>
        <w:rPr>
          <w:rFonts w:ascii="Arial Narrow" w:hAnsi="Arial Narrow" w:cs="Arial"/>
          <w:sz w:val="22"/>
          <w:szCs w:val="22"/>
        </w:rPr>
        <w:t xml:space="preserve">El OFERENTE deberá constituir a su costa y presentar con su oferta, garantía de seriedad de la oferta. </w:t>
      </w:r>
      <w:r>
        <w:rPr>
          <w:rFonts w:ascii="Arial Narrow" w:hAnsi="Arial Narrow" w:cs="Arial"/>
          <w:color w:val="000000"/>
          <w:sz w:val="22"/>
          <w:szCs w:val="22"/>
        </w:rPr>
        <w:t>La garantía deberá constituirse con las siguientes indicaciones:</w:t>
      </w:r>
    </w:p>
    <w:p w14:paraId="27CD086F">
      <w:pPr>
        <w:pStyle w:val="129"/>
        <w:spacing w:before="0" w:beforeAutospacing="0" w:after="0" w:afterAutospacing="0"/>
        <w:jc w:val="both"/>
        <w:rPr>
          <w:rFonts w:ascii="Arial Narrow" w:hAnsi="Arial Narrow" w:cs="Arial"/>
          <w:color w:val="000000"/>
          <w:sz w:val="22"/>
          <w:szCs w:val="22"/>
        </w:rPr>
      </w:pPr>
    </w:p>
    <w:tbl>
      <w:tblPr>
        <w:tblStyle w:val="12"/>
        <w:tblW w:w="853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10"/>
        <w:gridCol w:w="5024"/>
      </w:tblGrid>
      <w:tr w14:paraId="7B1BE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vAlign w:val="center"/>
          </w:tcPr>
          <w:p w14:paraId="7FC95D0B">
            <w:pPr>
              <w:pStyle w:val="129"/>
              <w:spacing w:before="0" w:beforeAutospacing="0" w:after="0" w:afterAutospacing="0"/>
              <w:rPr>
                <w:rFonts w:ascii="Arial Narrow" w:hAnsi="Arial Narrow" w:cs="Arial"/>
                <w:b/>
                <w:bCs/>
                <w:color w:val="000000"/>
                <w:sz w:val="20"/>
                <w:szCs w:val="20"/>
              </w:rPr>
            </w:pPr>
            <w:r>
              <w:rPr>
                <w:rFonts w:ascii="Arial Narrow" w:hAnsi="Arial Narrow" w:cs="Arial"/>
                <w:b/>
                <w:bCs/>
                <w:color w:val="000000"/>
                <w:sz w:val="20"/>
                <w:szCs w:val="20"/>
              </w:rPr>
              <w:t>Asegurado y beneficiario:                </w:t>
            </w:r>
          </w:p>
        </w:tc>
        <w:tc>
          <w:tcPr>
            <w:tcW w:w="5024" w:type="dxa"/>
            <w:vAlign w:val="center"/>
          </w:tcPr>
          <w:p w14:paraId="6B035D37">
            <w:pPr>
              <w:tabs>
                <w:tab w:val="left" w:pos="5982"/>
              </w:tabs>
              <w:spacing w:after="0" w:line="240" w:lineRule="auto"/>
              <w:jc w:val="both"/>
              <w:rPr>
                <w:rFonts w:ascii="Arial Narrow" w:hAnsi="Arial Narrow" w:cs="Arial"/>
                <w:b/>
                <w:bCs/>
                <w:color w:val="000000"/>
                <w:sz w:val="20"/>
                <w:szCs w:val="20"/>
                <w:lang/>
              </w:rPr>
            </w:pPr>
            <w:r>
              <w:rPr>
                <w:rFonts w:ascii="Arial Narrow" w:hAnsi="Arial Narrow" w:cs="Arial"/>
                <w:b/>
                <w:bCs/>
                <w:color w:val="000000"/>
                <w:sz w:val="20"/>
                <w:szCs w:val="20"/>
                <w:lang/>
              </w:rPr>
              <w:t>UNIDAD ADMINISTRATIVA ESPECIAL DE AERONÁUTICA CIVIL</w:t>
            </w:r>
          </w:p>
        </w:tc>
      </w:tr>
      <w:tr w14:paraId="628B4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vAlign w:val="center"/>
          </w:tcPr>
          <w:p w14:paraId="78AC1D1A">
            <w:pPr>
              <w:pStyle w:val="129"/>
              <w:spacing w:before="0" w:beforeAutospacing="0" w:after="0" w:afterAutospacing="0"/>
              <w:rPr>
                <w:rFonts w:ascii="Arial Narrow" w:hAnsi="Arial Narrow" w:cs="Arial"/>
                <w:b/>
                <w:bCs/>
                <w:color w:val="000000"/>
                <w:sz w:val="20"/>
                <w:szCs w:val="20"/>
              </w:rPr>
            </w:pPr>
            <w:r>
              <w:rPr>
                <w:rFonts w:ascii="Arial Narrow" w:hAnsi="Arial Narrow" w:cs="Arial"/>
                <w:b/>
                <w:bCs/>
                <w:color w:val="000000"/>
                <w:sz w:val="20"/>
                <w:szCs w:val="20"/>
              </w:rPr>
              <w:t>Nit:                                                    </w:t>
            </w:r>
          </w:p>
        </w:tc>
        <w:tc>
          <w:tcPr>
            <w:tcW w:w="5024" w:type="dxa"/>
            <w:vAlign w:val="center"/>
          </w:tcPr>
          <w:p w14:paraId="7DE558C4">
            <w:pPr>
              <w:tabs>
                <w:tab w:val="left" w:pos="5982"/>
              </w:tabs>
              <w:spacing w:after="0" w:line="240" w:lineRule="auto"/>
              <w:jc w:val="both"/>
              <w:rPr>
                <w:rFonts w:ascii="Arial Narrow" w:hAnsi="Arial Narrow" w:cs="Arial"/>
                <w:color w:val="000000"/>
                <w:sz w:val="20"/>
                <w:szCs w:val="20"/>
                <w:lang/>
              </w:rPr>
            </w:pPr>
            <w:r>
              <w:rPr>
                <w:rFonts w:ascii="Arial Narrow" w:hAnsi="Arial Narrow" w:cs="Arial"/>
                <w:color w:val="000000"/>
                <w:sz w:val="20"/>
                <w:szCs w:val="20"/>
                <w:lang/>
              </w:rPr>
              <w:t>899999059-3</w:t>
            </w:r>
          </w:p>
        </w:tc>
      </w:tr>
      <w:tr w14:paraId="52058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vAlign w:val="center"/>
          </w:tcPr>
          <w:p w14:paraId="15351316">
            <w:pPr>
              <w:pStyle w:val="129"/>
              <w:spacing w:before="0" w:beforeAutospacing="0" w:after="0" w:afterAutospacing="0"/>
              <w:rPr>
                <w:rFonts w:ascii="Arial Narrow" w:hAnsi="Arial Narrow" w:cs="Arial"/>
                <w:b/>
                <w:bCs/>
                <w:color w:val="000000"/>
                <w:sz w:val="20"/>
                <w:szCs w:val="20"/>
              </w:rPr>
            </w:pPr>
            <w:r>
              <w:rPr>
                <w:rFonts w:ascii="Arial Narrow" w:hAnsi="Arial Narrow" w:cs="Arial"/>
                <w:b/>
                <w:bCs/>
                <w:color w:val="000000"/>
                <w:sz w:val="20"/>
                <w:szCs w:val="20"/>
              </w:rPr>
              <w:t>Tomador y afianzado:                       </w:t>
            </w:r>
          </w:p>
        </w:tc>
        <w:tc>
          <w:tcPr>
            <w:tcW w:w="5024" w:type="dxa"/>
            <w:vAlign w:val="center"/>
          </w:tcPr>
          <w:p w14:paraId="3029E366">
            <w:pPr>
              <w:tabs>
                <w:tab w:val="left" w:pos="5982"/>
              </w:tabs>
              <w:spacing w:after="0" w:line="240" w:lineRule="auto"/>
              <w:jc w:val="both"/>
              <w:rPr>
                <w:rFonts w:ascii="Arial Narrow" w:hAnsi="Arial Narrow" w:cs="Arial"/>
                <w:color w:val="000000"/>
                <w:sz w:val="20"/>
                <w:szCs w:val="20"/>
                <w:lang/>
              </w:rPr>
            </w:pPr>
            <w:r>
              <w:rPr>
                <w:rFonts w:ascii="Arial Narrow" w:hAnsi="Arial Narrow" w:cs="Arial"/>
                <w:color w:val="000000"/>
                <w:sz w:val="20"/>
                <w:szCs w:val="20"/>
                <w:lang/>
              </w:rPr>
              <w:t>El OFERENTE.</w:t>
            </w:r>
          </w:p>
        </w:tc>
      </w:tr>
      <w:tr w14:paraId="09814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vAlign w:val="center"/>
          </w:tcPr>
          <w:p w14:paraId="38222394">
            <w:pPr>
              <w:pStyle w:val="129"/>
              <w:spacing w:before="0" w:beforeAutospacing="0" w:after="0" w:afterAutospacing="0"/>
              <w:rPr>
                <w:rFonts w:ascii="Arial Narrow" w:hAnsi="Arial Narrow" w:cs="Arial"/>
                <w:b/>
                <w:bCs/>
                <w:color w:val="000000"/>
                <w:sz w:val="20"/>
                <w:szCs w:val="20"/>
              </w:rPr>
            </w:pPr>
            <w:r>
              <w:rPr>
                <w:rFonts w:ascii="Arial Narrow" w:hAnsi="Arial Narrow" w:cs="Arial"/>
                <w:b/>
                <w:bCs/>
                <w:color w:val="000000"/>
                <w:sz w:val="20"/>
                <w:szCs w:val="20"/>
              </w:rPr>
              <w:t>Valor asegurado:                              </w:t>
            </w:r>
          </w:p>
        </w:tc>
        <w:tc>
          <w:tcPr>
            <w:tcW w:w="5024" w:type="dxa"/>
            <w:vAlign w:val="center"/>
          </w:tcPr>
          <w:p w14:paraId="10BBA3A2">
            <w:pPr>
              <w:pStyle w:val="129"/>
              <w:tabs>
                <w:tab w:val="left" w:pos="5982"/>
              </w:tabs>
              <w:spacing w:before="0" w:beforeAutospacing="0" w:after="0" w:afterAutospacing="0"/>
              <w:jc w:val="both"/>
              <w:rPr>
                <w:rFonts w:ascii="Arial Narrow" w:hAnsi="Arial Narrow" w:cs="Arial"/>
                <w:color w:val="000000"/>
                <w:sz w:val="20"/>
                <w:szCs w:val="20"/>
              </w:rPr>
            </w:pPr>
            <w:r>
              <w:rPr>
                <w:rFonts w:ascii="Arial Narrow" w:hAnsi="Arial Narrow" w:cs="Arial"/>
                <w:b/>
                <w:bCs/>
                <w:color w:val="000000"/>
                <w:sz w:val="20"/>
                <w:szCs w:val="20"/>
              </w:rPr>
              <w:t>El diez por ciento (10%)</w:t>
            </w:r>
            <w:r>
              <w:rPr>
                <w:rFonts w:ascii="Arial Narrow" w:hAnsi="Arial Narrow" w:cs="Arial"/>
                <w:color w:val="000000"/>
                <w:sz w:val="20"/>
                <w:szCs w:val="20"/>
              </w:rPr>
              <w:t xml:space="preserve"> del presupuesto oficial</w:t>
            </w:r>
          </w:p>
        </w:tc>
      </w:tr>
      <w:tr w14:paraId="29FC6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vAlign w:val="center"/>
          </w:tcPr>
          <w:p w14:paraId="3E95BAEF">
            <w:pPr>
              <w:pStyle w:val="129"/>
              <w:spacing w:before="0" w:beforeAutospacing="0" w:after="0" w:afterAutospacing="0"/>
              <w:rPr>
                <w:rFonts w:ascii="Arial Narrow" w:hAnsi="Arial Narrow" w:cs="Arial"/>
                <w:b/>
                <w:bCs/>
                <w:color w:val="000000"/>
                <w:sz w:val="20"/>
                <w:szCs w:val="20"/>
              </w:rPr>
            </w:pPr>
            <w:r>
              <w:rPr>
                <w:rFonts w:ascii="Arial Narrow" w:hAnsi="Arial Narrow" w:cs="Arial"/>
                <w:b/>
                <w:bCs/>
                <w:color w:val="000000"/>
                <w:sz w:val="20"/>
                <w:szCs w:val="20"/>
              </w:rPr>
              <w:t>Vigencia:                                  </w:t>
            </w:r>
          </w:p>
        </w:tc>
        <w:tc>
          <w:tcPr>
            <w:tcW w:w="5024" w:type="dxa"/>
            <w:vAlign w:val="center"/>
          </w:tcPr>
          <w:p w14:paraId="113143A2">
            <w:pPr>
              <w:tabs>
                <w:tab w:val="left" w:pos="5982"/>
              </w:tabs>
              <w:spacing w:after="0" w:line="240" w:lineRule="auto"/>
              <w:jc w:val="both"/>
              <w:rPr>
                <w:rFonts w:ascii="Arial Narrow" w:hAnsi="Arial Narrow" w:cs="Arial"/>
                <w:color w:val="000000"/>
                <w:sz w:val="20"/>
                <w:szCs w:val="20"/>
                <w:lang/>
              </w:rPr>
            </w:pPr>
            <w:r>
              <w:rPr>
                <w:rFonts w:ascii="Arial Narrow" w:hAnsi="Arial Narrow" w:cs="Arial"/>
                <w:color w:val="000000"/>
                <w:sz w:val="20"/>
                <w:szCs w:val="20"/>
                <w:lang/>
              </w:rPr>
              <w:t>Noventa (90) días calendario contados a partir del día de la entrega de la oferta.</w:t>
            </w:r>
          </w:p>
        </w:tc>
      </w:tr>
    </w:tbl>
    <w:p w14:paraId="53B1282E">
      <w:pPr>
        <w:spacing w:after="0" w:line="240" w:lineRule="auto"/>
        <w:jc w:val="both"/>
        <w:rPr>
          <w:rFonts w:ascii="Arial Narrow" w:hAnsi="Arial Narrow" w:cs="Arial"/>
          <w:color w:val="000000"/>
          <w:lang/>
        </w:rPr>
      </w:pPr>
    </w:p>
    <w:p w14:paraId="4E5F5DC7">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En el evento que el proceso esté constituido por lotes el valor asegurado de la garantía de seriedad será el DIEZ POR CIENTO (10%) del PRESUPUESTO OFICIAL DEL LOTE O LOTES al cual presenta propuesta, además indicando el número de identificación, objeto del proceso y el número del lote o lotes al cual presenta propuesta. (esto aplica cuando el proceso se tramita por lotes).</w:t>
      </w:r>
    </w:p>
    <w:p w14:paraId="3B9D78CE">
      <w:pPr>
        <w:spacing w:after="0" w:line="240" w:lineRule="auto"/>
        <w:jc w:val="both"/>
        <w:rPr>
          <w:rFonts w:ascii="Arial Narrow" w:hAnsi="Arial Narrow" w:cs="Arial"/>
          <w:color w:val="000000"/>
          <w:lang/>
        </w:rPr>
      </w:pPr>
    </w:p>
    <w:p w14:paraId="65BF1EC0">
      <w:pPr>
        <w:pStyle w:val="130"/>
        <w:spacing w:before="0" w:beforeAutospacing="0" w:after="0" w:afterAutospacing="0"/>
        <w:jc w:val="both"/>
        <w:rPr>
          <w:rFonts w:ascii="Arial Narrow" w:hAnsi="Arial Narrow" w:cs="Arial"/>
          <w:b/>
          <w:bCs/>
          <w:color w:val="000000"/>
          <w:sz w:val="22"/>
          <w:szCs w:val="22"/>
        </w:rPr>
      </w:pPr>
      <w:r>
        <w:rPr>
          <w:rFonts w:ascii="Arial Narrow" w:hAnsi="Arial Narrow" w:cs="Arial"/>
          <w:b/>
          <w:bCs/>
          <w:color w:val="000000"/>
          <w:sz w:val="22"/>
          <w:szCs w:val="22"/>
        </w:rPr>
        <w:t>Notas Generales:</w:t>
      </w:r>
    </w:p>
    <w:p w14:paraId="700B9DA3">
      <w:pPr>
        <w:pStyle w:val="130"/>
        <w:spacing w:before="0" w:beforeAutospacing="0" w:after="0" w:afterAutospacing="0"/>
        <w:jc w:val="both"/>
        <w:rPr>
          <w:rFonts w:ascii="Arial Narrow" w:hAnsi="Arial Narrow" w:cs="Arial"/>
          <w:color w:val="000000"/>
          <w:sz w:val="22"/>
          <w:szCs w:val="22"/>
        </w:rPr>
      </w:pPr>
    </w:p>
    <w:p w14:paraId="08AB7A04">
      <w:pPr>
        <w:pStyle w:val="130"/>
        <w:numPr>
          <w:ilvl w:val="3"/>
          <w:numId w:val="20"/>
        </w:numPr>
        <w:spacing w:before="0" w:beforeAutospacing="0" w:after="0" w:afterAutospacing="0"/>
        <w:ind w:left="567"/>
        <w:jc w:val="both"/>
        <w:rPr>
          <w:rFonts w:ascii="Arial Narrow" w:hAnsi="Arial Narrow" w:cs="Arial"/>
          <w:color w:val="000000"/>
          <w:sz w:val="22"/>
          <w:szCs w:val="22"/>
        </w:rPr>
      </w:pPr>
      <w:r>
        <w:rPr>
          <w:rFonts w:ascii="Arial Narrow" w:hAnsi="Arial Narrow" w:cs="Arial"/>
          <w:color w:val="000000"/>
          <w:sz w:val="22"/>
          <w:szCs w:val="22"/>
        </w:rPr>
        <w:t>Sin perjuicio de lo antes mencionado, el proponente se compromete a mantener vigente la garantía de seriedad de la oferta hasta el cumplimiento de los requisitos de ejecución del contrato.</w:t>
      </w:r>
    </w:p>
    <w:p w14:paraId="3574B269">
      <w:pPr>
        <w:pStyle w:val="130"/>
        <w:numPr>
          <w:ilvl w:val="3"/>
          <w:numId w:val="20"/>
        </w:numPr>
        <w:spacing w:before="0" w:beforeAutospacing="0" w:after="0" w:afterAutospacing="0"/>
        <w:ind w:left="567"/>
        <w:jc w:val="both"/>
        <w:rPr>
          <w:rFonts w:ascii="Arial Narrow" w:hAnsi="Arial Narrow" w:cs="Arial"/>
          <w:color w:val="000000"/>
          <w:sz w:val="22"/>
          <w:szCs w:val="22"/>
        </w:rPr>
      </w:pPr>
      <w:r>
        <w:rPr>
          <w:rFonts w:ascii="Arial Narrow" w:hAnsi="Arial Narrow" w:cs="Arial"/>
          <w:color w:val="000000"/>
          <w:sz w:val="22"/>
          <w:szCs w:val="22"/>
        </w:rPr>
        <w:t>La AEROCIVIL, hará efectiva la garantía constituida para responder por la seriedad de la oferta, en los casos previstos en la legislación sobre la materia (Decreto 1082 de 2015)</w:t>
      </w:r>
    </w:p>
    <w:p w14:paraId="58ED4082">
      <w:pPr>
        <w:pStyle w:val="130"/>
        <w:numPr>
          <w:ilvl w:val="3"/>
          <w:numId w:val="20"/>
        </w:numPr>
        <w:spacing w:before="0" w:beforeAutospacing="0" w:after="0" w:afterAutospacing="0"/>
        <w:ind w:left="567"/>
        <w:jc w:val="both"/>
        <w:rPr>
          <w:rFonts w:ascii="Arial Narrow" w:hAnsi="Arial Narrow" w:cs="Arial"/>
          <w:color w:val="000000"/>
          <w:sz w:val="22"/>
          <w:szCs w:val="22"/>
        </w:rPr>
      </w:pPr>
      <w:r>
        <w:rPr>
          <w:rFonts w:ascii="Arial Narrow" w:hAnsi="Arial Narrow" w:cs="Arial"/>
          <w:color w:val="000000"/>
          <w:sz w:val="22"/>
          <w:szCs w:val="22"/>
        </w:rPr>
        <w:t xml:space="preserve">En caso de oferentes plurales el tomador y afianzado deberá ser el consorcio, unión temporal o la forma de asociación escogida y cada uno de sus integrantes, e indicar el porcentaje de participación. </w:t>
      </w:r>
    </w:p>
    <w:p w14:paraId="20D09751">
      <w:pPr>
        <w:pStyle w:val="130"/>
        <w:numPr>
          <w:ilvl w:val="3"/>
          <w:numId w:val="20"/>
        </w:numPr>
        <w:spacing w:before="0" w:beforeAutospacing="0" w:after="0" w:afterAutospacing="0"/>
        <w:ind w:left="567"/>
        <w:jc w:val="both"/>
        <w:rPr>
          <w:rFonts w:ascii="Arial Narrow" w:hAnsi="Arial Narrow" w:cs="Arial"/>
          <w:color w:val="000000"/>
          <w:sz w:val="22"/>
          <w:szCs w:val="22"/>
        </w:rPr>
      </w:pPr>
      <w:r>
        <w:rPr>
          <w:rFonts w:ascii="Arial Narrow" w:hAnsi="Arial Narrow" w:cs="Arial"/>
          <w:color w:val="000000"/>
          <w:sz w:val="22"/>
          <w:szCs w:val="22"/>
        </w:rPr>
        <w:t>La no entrega de la Garantía de Seriedad junto con la propuesta no será subsanable y será causal de rechazo de la misma.</w:t>
      </w:r>
    </w:p>
    <w:p w14:paraId="7D49BAF7">
      <w:pPr>
        <w:spacing w:after="0" w:line="240" w:lineRule="auto"/>
        <w:contextualSpacing/>
        <w:jc w:val="both"/>
        <w:rPr>
          <w:rFonts w:ascii="Arial Narrow" w:hAnsi="Arial Narrow" w:cs="Arial"/>
          <w:b/>
          <w:lang/>
        </w:rPr>
      </w:pPr>
    </w:p>
    <w:bookmarkEnd w:id="91"/>
    <w:p w14:paraId="10968CF2">
      <w:pPr>
        <w:pStyle w:val="52"/>
        <w:widowControl w:val="0"/>
        <w:numPr>
          <w:ilvl w:val="2"/>
          <w:numId w:val="13"/>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Oferente Plural</w:t>
      </w:r>
    </w:p>
    <w:p w14:paraId="7AA9D316">
      <w:pPr>
        <w:spacing w:after="0" w:line="240" w:lineRule="auto"/>
        <w:jc w:val="both"/>
        <w:rPr>
          <w:rFonts w:ascii="Arial Narrow" w:hAnsi="Arial Narrow" w:cs="Arial"/>
          <w:b/>
          <w:lang/>
        </w:rPr>
      </w:pPr>
    </w:p>
    <w:p w14:paraId="03B66B08">
      <w:pPr>
        <w:spacing w:after="0" w:line="240" w:lineRule="auto"/>
        <w:ind w:right="142"/>
        <w:jc w:val="both"/>
        <w:rPr>
          <w:rFonts w:ascii="Arial Narrow" w:hAnsi="Arial Narrow" w:cs="Arial"/>
        </w:rPr>
      </w:pPr>
      <w:bookmarkStart w:id="92" w:name="_Hlk513134454"/>
      <w:r>
        <w:rPr>
          <w:rFonts w:ascii="Arial Narrow" w:hAnsi="Arial Narrow" w:cs="Arial"/>
        </w:rPr>
        <w:t>El oferente plural deberá diligenciar el “Formato 15 -</w:t>
      </w:r>
      <w:bookmarkStart w:id="93" w:name="_Hlk104920170"/>
      <w:r>
        <w:rPr>
          <w:rFonts w:ascii="Arial Narrow" w:hAnsi="Arial Narrow" w:cs="Arial"/>
        </w:rPr>
        <w:t xml:space="preserve"> Constitución Consorcio o Unión Temporal</w:t>
      </w:r>
      <w:bookmarkEnd w:id="93"/>
      <w:r>
        <w:rPr>
          <w:rFonts w:ascii="Arial Narrow" w:hAnsi="Arial Narrow" w:cs="Arial"/>
        </w:rPr>
        <w:t>”. Cualquier otra forma o tipo de asociación deben presentar el documento idóneo permitido por la ley</w:t>
      </w:r>
      <w:bookmarkEnd w:id="92"/>
      <w:r>
        <w:rPr>
          <w:rFonts w:ascii="Arial Narrow" w:hAnsi="Arial Narrow" w:cs="Arial"/>
        </w:rPr>
        <w:t>.</w:t>
      </w:r>
    </w:p>
    <w:p w14:paraId="78BEB2F9">
      <w:pPr>
        <w:spacing w:after="0" w:line="240" w:lineRule="auto"/>
        <w:jc w:val="both"/>
        <w:rPr>
          <w:rFonts w:ascii="Arial Narrow" w:hAnsi="Arial Narrow" w:cs="Arial"/>
          <w:lang/>
        </w:rPr>
      </w:pPr>
    </w:p>
    <w:p w14:paraId="46E4FB7C">
      <w:pPr>
        <w:pStyle w:val="52"/>
        <w:widowControl w:val="0"/>
        <w:numPr>
          <w:ilvl w:val="1"/>
          <w:numId w:val="13"/>
        </w:numPr>
        <w:overflowPunct w:val="0"/>
        <w:autoSpaceDE w:val="0"/>
        <w:autoSpaceDN w:val="0"/>
        <w:adjustRightInd w:val="0"/>
        <w:spacing w:after="0" w:line="240" w:lineRule="auto"/>
        <w:ind w:left="426" w:hanging="426"/>
        <w:jc w:val="both"/>
        <w:rPr>
          <w:rFonts w:ascii="Arial Narrow" w:hAnsi="Arial Narrow"/>
          <w:b/>
          <w:bCs/>
          <w:lang/>
        </w:rPr>
      </w:pPr>
      <w:bookmarkStart w:id="94" w:name="_Toc398128672"/>
      <w:r>
        <w:rPr>
          <w:rFonts w:ascii="Arial Narrow" w:hAnsi="Arial Narrow"/>
          <w:b/>
          <w:bCs/>
          <w:lang/>
        </w:rPr>
        <w:t>CAPACIDAD FINANCIERA</w:t>
      </w:r>
    </w:p>
    <w:p w14:paraId="599095CB">
      <w:pPr>
        <w:spacing w:after="0" w:line="240" w:lineRule="auto"/>
        <w:jc w:val="both"/>
        <w:rPr>
          <w:rFonts w:ascii="Arial Narrow" w:hAnsi="Arial Narrow" w:cs="Arial"/>
          <w:bCs/>
          <w:lang w:eastAsia="es-CO"/>
        </w:rPr>
      </w:pPr>
    </w:p>
    <w:p w14:paraId="1ACF6D1B">
      <w:pPr>
        <w:pStyle w:val="52"/>
        <w:widowControl w:val="0"/>
        <w:numPr>
          <w:ilvl w:val="2"/>
          <w:numId w:val="13"/>
        </w:numPr>
        <w:overflowPunct w:val="0"/>
        <w:autoSpaceDE w:val="0"/>
        <w:autoSpaceDN w:val="0"/>
        <w:adjustRightInd w:val="0"/>
        <w:spacing w:after="0" w:line="240" w:lineRule="auto"/>
        <w:ind w:left="426" w:hanging="426"/>
        <w:jc w:val="both"/>
        <w:rPr>
          <w:rFonts w:ascii="Arial Narrow" w:hAnsi="Arial Narrow"/>
          <w:lang/>
        </w:rPr>
      </w:pPr>
      <w:r>
        <w:rPr>
          <w:rFonts w:ascii="Arial Narrow" w:hAnsi="Arial Narrow"/>
          <w:b/>
          <w:bCs/>
          <w:lang/>
        </w:rPr>
        <w:t>Registro</w:t>
      </w:r>
      <w:r>
        <w:rPr>
          <w:rFonts w:ascii="Arial Narrow" w:hAnsi="Arial Narrow"/>
          <w:b/>
          <w:lang/>
        </w:rPr>
        <w:t xml:space="preserve"> Único de Proponentes RUP.</w:t>
      </w:r>
      <w:r>
        <w:rPr>
          <w:rFonts w:ascii="Arial Narrow" w:hAnsi="Arial Narrow"/>
          <w:lang/>
        </w:rPr>
        <w:t xml:space="preserve"> </w:t>
      </w:r>
    </w:p>
    <w:p w14:paraId="22996EEA">
      <w:pPr>
        <w:spacing w:after="0" w:line="240" w:lineRule="auto"/>
        <w:jc w:val="both"/>
        <w:rPr>
          <w:rFonts w:ascii="Arial Narrow" w:hAnsi="Arial Narrow" w:cs="Arial"/>
          <w:b/>
          <w:bCs/>
          <w:lang w:eastAsia="es-CO"/>
        </w:rPr>
      </w:pPr>
      <w:r>
        <w:rPr>
          <w:rFonts w:ascii="Arial Narrow" w:hAnsi="Arial Narrow" w:cs="Arial"/>
          <w:b/>
          <w:bCs/>
          <w:lang w:eastAsia="es-CO"/>
        </w:rPr>
        <w:t> </w:t>
      </w:r>
    </w:p>
    <w:p w14:paraId="73CDC425">
      <w:pPr>
        <w:spacing w:after="0" w:line="240" w:lineRule="auto"/>
        <w:jc w:val="both"/>
        <w:rPr>
          <w:rFonts w:ascii="Arial Narrow" w:hAnsi="Arial Narrow" w:cs="Arial"/>
        </w:rPr>
      </w:pPr>
      <w:r>
        <w:rPr>
          <w:rFonts w:ascii="Arial Narrow" w:hAnsi="Arial Narrow" w:cs="Arial"/>
        </w:rPr>
        <w:t xml:space="preserve">Documento vigente y en firme a la fecha de cierre del presente proceso,  con la </w:t>
      </w:r>
      <w:r>
        <w:rPr>
          <w:rFonts w:ascii="Arial Narrow" w:hAnsi="Arial Narrow" w:cs="Arial"/>
          <w:lang/>
        </w:rPr>
        <w:t>información</w:t>
      </w:r>
      <w:r>
        <w:rPr>
          <w:rFonts w:ascii="Arial Narrow" w:hAnsi="Arial Narrow" w:cs="Arial"/>
        </w:rPr>
        <w:t xml:space="preserve"> financiera a 31 de diciembre de 2025. Si la empresa ha sido constituida en el año 2026, la evaluación financiera de las propuestas se efectuará a partir de la información contenida en el Registro Único de Proponentes (RUP). </w:t>
      </w:r>
    </w:p>
    <w:p w14:paraId="18F0AE2C">
      <w:pPr>
        <w:spacing w:after="0" w:line="240" w:lineRule="auto"/>
        <w:jc w:val="both"/>
        <w:rPr>
          <w:rFonts w:ascii="Arial Narrow" w:hAnsi="Arial Narrow" w:cs="Arial"/>
          <w:lang/>
        </w:rPr>
      </w:pPr>
    </w:p>
    <w:p w14:paraId="64569A56">
      <w:pPr>
        <w:spacing w:after="0" w:line="240" w:lineRule="auto"/>
        <w:jc w:val="both"/>
        <w:rPr>
          <w:rFonts w:ascii="Arial Narrow" w:hAnsi="Arial Narrow" w:cs="Arial"/>
          <w:lang/>
        </w:rPr>
      </w:pPr>
      <w:r>
        <w:rPr>
          <w:rFonts w:ascii="Arial Narrow" w:hAnsi="Arial Narrow" w:cs="Arial"/>
          <w:lang/>
        </w:rPr>
        <w:t xml:space="preserve">La fecha de la información financiera del RUP de las sociedades extranjeras con sucursal en Colombia que requieren la inscripción en este Registro, corresponderá a la del último Balance General y Estado de Resultados, de conformidad con la legislación del respectivo país de origen. </w:t>
      </w:r>
    </w:p>
    <w:p w14:paraId="696BB29A">
      <w:pPr>
        <w:spacing w:after="0" w:line="240" w:lineRule="auto"/>
        <w:jc w:val="both"/>
        <w:rPr>
          <w:rFonts w:ascii="Arial Narrow" w:hAnsi="Arial Narrow" w:cs="Arial"/>
          <w:lang/>
        </w:rPr>
      </w:pPr>
    </w:p>
    <w:p w14:paraId="63AFA438">
      <w:pPr>
        <w:spacing w:after="0" w:line="240" w:lineRule="auto"/>
        <w:jc w:val="both"/>
        <w:rPr>
          <w:rFonts w:ascii="Arial Narrow" w:hAnsi="Arial Narrow" w:cs="Arial"/>
          <w:lang/>
        </w:rPr>
      </w:pPr>
      <w:r>
        <w:rPr>
          <w:rFonts w:ascii="Arial Narrow" w:hAnsi="Arial Narrow" w:cs="Arial"/>
          <w:lang/>
        </w:rPr>
        <w:t>Todos los integrantes de un consorcio, unión temporal o cualquier forma de asociación escogida, deben acreditar individualmente el requisito anterior.</w:t>
      </w:r>
    </w:p>
    <w:p w14:paraId="643BF639">
      <w:pPr>
        <w:spacing w:after="0" w:line="240" w:lineRule="auto"/>
        <w:jc w:val="both"/>
        <w:rPr>
          <w:rFonts w:ascii="Arial Narrow" w:hAnsi="Arial Narrow" w:cs="Arial"/>
          <w:lang/>
        </w:rPr>
      </w:pPr>
    </w:p>
    <w:p w14:paraId="6B61C88A">
      <w:pPr>
        <w:spacing w:after="0" w:line="240" w:lineRule="auto"/>
        <w:jc w:val="both"/>
        <w:rPr>
          <w:rFonts w:ascii="Arial Narrow" w:hAnsi="Arial Narrow" w:cs="Arial"/>
          <w:lang/>
        </w:rPr>
      </w:pPr>
      <w:r>
        <w:rPr>
          <w:rFonts w:ascii="Arial Narrow" w:hAnsi="Arial Narrow" w:cs="Arial"/>
          <w:lang/>
        </w:rPr>
        <w:t>Si el proponente o el integrante de un proponente plural es una persona natural extranjera sin domicilio en el país o una persona jurídica extranjera que no tiene establecida sucursal en Colombia, presentará para efectos de verificación de la Capacidad Financiera y de la Capacidad Organizacional, el último Balance General y el Estado de Resultados, de conformidad con la legislación del respectivo país de origen. Los Estados Financieros deben estar acompañados de traducción simple al idioma español, con los valores re expresados a la moneda legal colombiana, a la tasa representativa del mercado (TRM) de la fecha de corte de los mismos, e indicando la tasa de conversión; igualmente, deben estar firmados por el contador público colombiano que los hubiere convertido, adjuntando el certificado de vigencia de inscripción y de antecedentes disciplinarios de la tarjeta profesional del mismo contador, expedido por la Junta Central de Contadores.</w:t>
      </w:r>
    </w:p>
    <w:p w14:paraId="2AACC033">
      <w:pPr>
        <w:spacing w:after="0" w:line="240" w:lineRule="auto"/>
        <w:jc w:val="both"/>
        <w:rPr>
          <w:rFonts w:ascii="Arial Narrow" w:hAnsi="Arial Narrow" w:cs="Arial"/>
          <w:lang/>
        </w:rPr>
      </w:pPr>
      <w:r>
        <w:rPr>
          <w:rFonts w:ascii="Arial Narrow" w:hAnsi="Arial Narrow" w:cs="Arial"/>
          <w:lang/>
        </w:rPr>
        <w:t>Cuando la Aeronáutica Civil requiera hacer claridad sobre alguna cifra de los Estados Financieros aportados por una empresa extranjera, le solicitará allegar las Notas informativas y demás anexos necesarios para la respectiva aclaración.</w:t>
      </w:r>
    </w:p>
    <w:p w14:paraId="4056384C">
      <w:pPr>
        <w:spacing w:after="0" w:line="240" w:lineRule="auto"/>
        <w:jc w:val="both"/>
        <w:rPr>
          <w:rFonts w:ascii="Arial Narrow" w:hAnsi="Arial Narrow" w:cs="Arial"/>
          <w:lang/>
        </w:rPr>
      </w:pPr>
    </w:p>
    <w:p w14:paraId="46BA984C">
      <w:pPr>
        <w:pStyle w:val="52"/>
        <w:widowControl w:val="0"/>
        <w:numPr>
          <w:ilvl w:val="2"/>
          <w:numId w:val="13"/>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 xml:space="preserve">Verificación Capacidad Financiera </w:t>
      </w:r>
    </w:p>
    <w:p w14:paraId="7F716988">
      <w:pPr>
        <w:spacing w:after="0" w:line="240" w:lineRule="auto"/>
        <w:jc w:val="both"/>
        <w:rPr>
          <w:rFonts w:ascii="Arial Narrow" w:hAnsi="Arial Narrow" w:cs="Arial"/>
          <w:b/>
          <w:bCs/>
          <w:color w:val="000000"/>
          <w:lang w:eastAsia="es-CO"/>
        </w:rPr>
      </w:pPr>
    </w:p>
    <w:p w14:paraId="3CEA8303">
      <w:pPr>
        <w:spacing w:after="0" w:line="240" w:lineRule="auto"/>
        <w:jc w:val="both"/>
        <w:rPr>
          <w:rFonts w:ascii="Arial Narrow" w:hAnsi="Arial Narrow" w:cs="Arial"/>
          <w:color w:val="000000"/>
          <w:lang w:eastAsia="es-CO"/>
        </w:rPr>
      </w:pPr>
      <w:r>
        <w:rPr>
          <w:rFonts w:ascii="Arial Narrow" w:hAnsi="Arial Narrow" w:cs="Arial"/>
          <w:color w:val="000000"/>
          <w:lang w:eastAsia="es-CO"/>
        </w:rPr>
        <w:t>La verificación de la Capacidad Financiera del proponente es a título de requisito habilitante (cumple o no cumple), y se hará teniendo en cuenta los siguientes indicadores:</w:t>
      </w:r>
    </w:p>
    <w:p w14:paraId="0BB0E6A1">
      <w:pPr>
        <w:spacing w:after="0" w:line="240" w:lineRule="auto"/>
        <w:jc w:val="both"/>
        <w:rPr>
          <w:rFonts w:ascii="Arial Narrow" w:hAnsi="Arial Narrow" w:cs="Arial"/>
          <w:color w:val="000000"/>
          <w:lang w:eastAsia="es-CO"/>
        </w:rPr>
      </w:pPr>
    </w:p>
    <w:p w14:paraId="1C8C6E7B">
      <w:pPr>
        <w:spacing w:after="0" w:line="240" w:lineRule="auto"/>
        <w:jc w:val="center"/>
        <w:rPr>
          <w:rFonts w:ascii="Arial Narrow" w:hAnsi="Arial Narrow" w:cs="Arial"/>
          <w:b/>
          <w:bCs/>
          <w:color w:val="000000"/>
          <w:lang w:eastAsia="es-CO"/>
        </w:rPr>
      </w:pPr>
      <w:r>
        <w:rPr>
          <w:rFonts w:ascii="Arial Narrow" w:hAnsi="Arial Narrow" w:cs="Arial"/>
          <w:b/>
          <w:bCs/>
          <w:color w:val="000000"/>
          <w:lang w:eastAsia="es-CO"/>
        </w:rPr>
        <w:t xml:space="preserve"> INDICADORES DE CAPACIDAD FINANCIERA</w:t>
      </w:r>
    </w:p>
    <w:p w14:paraId="52771CCE">
      <w:pPr>
        <w:spacing w:after="0" w:line="240" w:lineRule="auto"/>
        <w:jc w:val="center"/>
        <w:rPr>
          <w:rFonts w:ascii="Arial Narrow" w:hAnsi="Arial Narrow" w:cs="Arial"/>
          <w:b/>
          <w:bCs/>
          <w:color w:val="000000"/>
          <w:lang w:eastAsia="es-CO"/>
        </w:rPr>
      </w:pPr>
    </w:p>
    <w:tbl>
      <w:tblPr>
        <w:tblStyle w:val="12"/>
        <w:tblW w:w="0" w:type="auto"/>
        <w:jc w:val="center"/>
        <w:tblLayout w:type="autofit"/>
        <w:tblCellMar>
          <w:top w:w="0" w:type="dxa"/>
          <w:left w:w="0" w:type="dxa"/>
          <w:bottom w:w="0" w:type="dxa"/>
          <w:right w:w="0" w:type="dxa"/>
        </w:tblCellMar>
      </w:tblPr>
      <w:tblGrid>
        <w:gridCol w:w="2868"/>
        <w:gridCol w:w="5185"/>
      </w:tblGrid>
      <w:tr w14:paraId="2502C258">
        <w:tblPrEx>
          <w:tblCellMar>
            <w:top w:w="0" w:type="dxa"/>
            <w:left w:w="0" w:type="dxa"/>
            <w:bottom w:w="0" w:type="dxa"/>
            <w:right w:w="0" w:type="dxa"/>
          </w:tblCellMar>
        </w:tblPrEx>
        <w:trPr>
          <w:trHeight w:val="84" w:hRule="atLeast"/>
          <w:jc w:val="center"/>
        </w:trPr>
        <w:tc>
          <w:tcPr>
            <w:tcW w:w="2868"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14:paraId="18A6E45F">
            <w:pPr>
              <w:spacing w:after="0" w:line="240" w:lineRule="auto"/>
              <w:jc w:val="center"/>
              <w:rPr>
                <w:rFonts w:ascii="Arial" w:hAnsi="Arial" w:cs="Arial"/>
              </w:rPr>
            </w:pPr>
            <w:r>
              <w:rPr>
                <w:rFonts w:ascii="Arial" w:hAnsi="Arial" w:cs="Arial"/>
                <w:b/>
                <w:bCs/>
              </w:rPr>
              <w:t>Indicador</w:t>
            </w:r>
          </w:p>
        </w:tc>
        <w:tc>
          <w:tcPr>
            <w:tcW w:w="5185" w:type="dxa"/>
            <w:tcBorders>
              <w:top w:val="single" w:color="auto" w:sz="8" w:space="0"/>
              <w:left w:val="nil"/>
              <w:bottom w:val="single" w:color="auto" w:sz="8" w:space="0"/>
              <w:right w:val="single" w:color="auto" w:sz="8" w:space="0"/>
            </w:tcBorders>
            <w:tcMar>
              <w:top w:w="0" w:type="dxa"/>
              <w:left w:w="108" w:type="dxa"/>
              <w:bottom w:w="0" w:type="dxa"/>
              <w:right w:w="108" w:type="dxa"/>
            </w:tcMar>
          </w:tcPr>
          <w:p w14:paraId="5593DFEF">
            <w:pPr>
              <w:spacing w:after="0" w:line="240" w:lineRule="auto"/>
              <w:jc w:val="center"/>
              <w:rPr>
                <w:rFonts w:ascii="Arial" w:hAnsi="Arial" w:cs="Arial"/>
              </w:rPr>
            </w:pPr>
            <w:r>
              <w:rPr>
                <w:rFonts w:ascii="Arial" w:hAnsi="Arial" w:cs="Arial"/>
                <w:b/>
                <w:bCs/>
              </w:rPr>
              <w:t>Índice requerido</w:t>
            </w:r>
          </w:p>
        </w:tc>
      </w:tr>
      <w:tr w14:paraId="504BE7F5">
        <w:tblPrEx>
          <w:tblCellMar>
            <w:top w:w="0" w:type="dxa"/>
            <w:left w:w="0" w:type="dxa"/>
            <w:bottom w:w="0" w:type="dxa"/>
            <w:right w:w="0" w:type="dxa"/>
          </w:tblCellMar>
        </w:tblPrEx>
        <w:trPr>
          <w:trHeight w:val="84" w:hRule="atLeast"/>
          <w:jc w:val="center"/>
        </w:trPr>
        <w:tc>
          <w:tcPr>
            <w:tcW w:w="2868" w:type="dxa"/>
            <w:tcBorders>
              <w:top w:val="nil"/>
              <w:left w:val="single" w:color="auto" w:sz="8" w:space="0"/>
              <w:bottom w:val="single" w:color="auto" w:sz="8" w:space="0"/>
              <w:right w:val="single" w:color="auto" w:sz="8" w:space="0"/>
            </w:tcBorders>
            <w:tcMar>
              <w:top w:w="0" w:type="dxa"/>
              <w:left w:w="108" w:type="dxa"/>
              <w:bottom w:w="0" w:type="dxa"/>
              <w:right w:w="108" w:type="dxa"/>
            </w:tcMar>
          </w:tcPr>
          <w:p w14:paraId="75E680BC">
            <w:pPr>
              <w:spacing w:after="0" w:line="240" w:lineRule="auto"/>
              <w:jc w:val="center"/>
              <w:rPr>
                <w:rFonts w:ascii="Arial" w:hAnsi="Arial" w:cs="Arial"/>
              </w:rPr>
            </w:pPr>
            <w:r>
              <w:rPr>
                <w:rFonts w:ascii="Arial" w:hAnsi="Arial" w:cs="Arial"/>
              </w:rPr>
              <w:t>Liquidez</w:t>
            </w:r>
          </w:p>
        </w:tc>
        <w:tc>
          <w:tcPr>
            <w:tcW w:w="5185" w:type="dxa"/>
            <w:tcBorders>
              <w:top w:val="nil"/>
              <w:left w:val="nil"/>
              <w:bottom w:val="single" w:color="auto" w:sz="8" w:space="0"/>
              <w:right w:val="single" w:color="auto" w:sz="8" w:space="0"/>
            </w:tcBorders>
            <w:tcMar>
              <w:top w:w="0" w:type="dxa"/>
              <w:left w:w="108" w:type="dxa"/>
              <w:bottom w:w="0" w:type="dxa"/>
              <w:right w:w="108" w:type="dxa"/>
            </w:tcMar>
          </w:tcPr>
          <w:p w14:paraId="26E5932D">
            <w:pPr>
              <w:spacing w:after="0" w:line="240" w:lineRule="auto"/>
              <w:jc w:val="center"/>
              <w:rPr>
                <w:rFonts w:ascii="Arial" w:hAnsi="Arial" w:cs="Arial"/>
              </w:rPr>
            </w:pPr>
            <w:r>
              <w:rPr>
                <w:rFonts w:ascii="Arial" w:hAnsi="Arial" w:cs="Arial"/>
              </w:rPr>
              <w:t>Mayor o igual a: 1.2 veces</w:t>
            </w:r>
          </w:p>
        </w:tc>
      </w:tr>
      <w:tr w14:paraId="5D2D98AE">
        <w:tblPrEx>
          <w:tblCellMar>
            <w:top w:w="0" w:type="dxa"/>
            <w:left w:w="0" w:type="dxa"/>
            <w:bottom w:w="0" w:type="dxa"/>
            <w:right w:w="0" w:type="dxa"/>
          </w:tblCellMar>
        </w:tblPrEx>
        <w:trPr>
          <w:trHeight w:val="202" w:hRule="atLeast"/>
          <w:jc w:val="center"/>
        </w:trPr>
        <w:tc>
          <w:tcPr>
            <w:tcW w:w="2868" w:type="dxa"/>
            <w:tcBorders>
              <w:top w:val="nil"/>
              <w:left w:val="single" w:color="auto" w:sz="8" w:space="0"/>
              <w:bottom w:val="single" w:color="auto" w:sz="8" w:space="0"/>
              <w:right w:val="single" w:color="auto" w:sz="8" w:space="0"/>
            </w:tcBorders>
            <w:tcMar>
              <w:top w:w="0" w:type="dxa"/>
              <w:left w:w="108" w:type="dxa"/>
              <w:bottom w:w="0" w:type="dxa"/>
              <w:right w:w="108" w:type="dxa"/>
            </w:tcMar>
          </w:tcPr>
          <w:p w14:paraId="0B0E8E34">
            <w:pPr>
              <w:spacing w:after="0" w:line="240" w:lineRule="auto"/>
              <w:jc w:val="center"/>
              <w:rPr>
                <w:rFonts w:ascii="Arial" w:hAnsi="Arial" w:cs="Arial"/>
              </w:rPr>
            </w:pPr>
            <w:r>
              <w:rPr>
                <w:rFonts w:ascii="Arial" w:hAnsi="Arial" w:cs="Arial"/>
              </w:rPr>
              <w:t>Endeudamiento</w:t>
            </w:r>
          </w:p>
        </w:tc>
        <w:tc>
          <w:tcPr>
            <w:tcW w:w="5185" w:type="dxa"/>
            <w:tcBorders>
              <w:top w:val="nil"/>
              <w:left w:val="nil"/>
              <w:bottom w:val="single" w:color="auto" w:sz="8" w:space="0"/>
              <w:right w:val="single" w:color="auto" w:sz="8" w:space="0"/>
            </w:tcBorders>
            <w:tcMar>
              <w:top w:w="0" w:type="dxa"/>
              <w:left w:w="108" w:type="dxa"/>
              <w:bottom w:w="0" w:type="dxa"/>
              <w:right w:w="108" w:type="dxa"/>
            </w:tcMar>
          </w:tcPr>
          <w:p w14:paraId="48721F75">
            <w:pPr>
              <w:spacing w:after="0" w:line="240" w:lineRule="auto"/>
              <w:jc w:val="center"/>
              <w:rPr>
                <w:rFonts w:ascii="Arial" w:hAnsi="Arial" w:cs="Arial"/>
              </w:rPr>
            </w:pPr>
            <w:r>
              <w:rPr>
                <w:rFonts w:ascii="Arial" w:hAnsi="Arial" w:cs="Arial"/>
              </w:rPr>
              <w:t>Menor o igual a: 70%</w:t>
            </w:r>
          </w:p>
        </w:tc>
      </w:tr>
      <w:tr w14:paraId="0B65440E">
        <w:tblPrEx>
          <w:tblCellMar>
            <w:top w:w="0" w:type="dxa"/>
            <w:left w:w="0" w:type="dxa"/>
            <w:bottom w:w="0" w:type="dxa"/>
            <w:right w:w="0" w:type="dxa"/>
          </w:tblCellMar>
        </w:tblPrEx>
        <w:trPr>
          <w:trHeight w:val="84" w:hRule="atLeast"/>
          <w:jc w:val="center"/>
        </w:trPr>
        <w:tc>
          <w:tcPr>
            <w:tcW w:w="2868" w:type="dxa"/>
            <w:tcBorders>
              <w:top w:val="nil"/>
              <w:left w:val="single" w:color="auto" w:sz="8" w:space="0"/>
              <w:bottom w:val="single" w:color="auto" w:sz="8" w:space="0"/>
              <w:right w:val="single" w:color="auto" w:sz="8" w:space="0"/>
            </w:tcBorders>
            <w:tcMar>
              <w:top w:w="0" w:type="dxa"/>
              <w:left w:w="108" w:type="dxa"/>
              <w:bottom w:w="0" w:type="dxa"/>
              <w:right w:w="108" w:type="dxa"/>
            </w:tcMar>
          </w:tcPr>
          <w:p w14:paraId="3947287F">
            <w:pPr>
              <w:spacing w:after="0" w:line="240" w:lineRule="auto"/>
              <w:jc w:val="center"/>
              <w:rPr>
                <w:rFonts w:ascii="Arial" w:hAnsi="Arial" w:cs="Arial"/>
              </w:rPr>
            </w:pPr>
            <w:r>
              <w:rPr>
                <w:rFonts w:ascii="Arial" w:hAnsi="Arial" w:cs="Arial"/>
              </w:rPr>
              <w:t>Cobertura de Intereses</w:t>
            </w:r>
          </w:p>
        </w:tc>
        <w:tc>
          <w:tcPr>
            <w:tcW w:w="5185" w:type="dxa"/>
            <w:tcBorders>
              <w:top w:val="nil"/>
              <w:left w:val="nil"/>
              <w:bottom w:val="single" w:color="auto" w:sz="8" w:space="0"/>
              <w:right w:val="single" w:color="auto" w:sz="8" w:space="0"/>
            </w:tcBorders>
            <w:tcMar>
              <w:top w:w="0" w:type="dxa"/>
              <w:left w:w="108" w:type="dxa"/>
              <w:bottom w:w="0" w:type="dxa"/>
              <w:right w:w="108" w:type="dxa"/>
            </w:tcMar>
          </w:tcPr>
          <w:p w14:paraId="79E96F71">
            <w:pPr>
              <w:spacing w:after="0" w:line="240" w:lineRule="auto"/>
              <w:jc w:val="center"/>
              <w:rPr>
                <w:rFonts w:ascii="Arial" w:hAnsi="Arial" w:cs="Arial"/>
              </w:rPr>
            </w:pPr>
            <w:r>
              <w:rPr>
                <w:rFonts w:ascii="Arial" w:hAnsi="Arial" w:cs="Arial"/>
              </w:rPr>
              <w:t>Mayor o igual a: 2%</w:t>
            </w:r>
          </w:p>
        </w:tc>
      </w:tr>
      <w:tr w14:paraId="0FEB3DA1">
        <w:tblPrEx>
          <w:tblCellMar>
            <w:top w:w="0" w:type="dxa"/>
            <w:left w:w="0" w:type="dxa"/>
            <w:bottom w:w="0" w:type="dxa"/>
            <w:right w:w="0" w:type="dxa"/>
          </w:tblCellMar>
        </w:tblPrEx>
        <w:trPr>
          <w:trHeight w:val="84" w:hRule="atLeast"/>
          <w:jc w:val="center"/>
        </w:trPr>
        <w:tc>
          <w:tcPr>
            <w:tcW w:w="2868" w:type="dxa"/>
            <w:tcBorders>
              <w:top w:val="nil"/>
              <w:left w:val="single" w:color="auto" w:sz="8" w:space="0"/>
              <w:bottom w:val="single" w:color="auto" w:sz="8" w:space="0"/>
              <w:right w:val="single" w:color="auto" w:sz="8" w:space="0"/>
            </w:tcBorders>
            <w:tcMar>
              <w:top w:w="0" w:type="dxa"/>
              <w:left w:w="108" w:type="dxa"/>
              <w:bottom w:w="0" w:type="dxa"/>
              <w:right w:w="108" w:type="dxa"/>
            </w:tcMar>
          </w:tcPr>
          <w:p w14:paraId="46F08642">
            <w:pPr>
              <w:spacing w:after="0" w:line="240" w:lineRule="auto"/>
              <w:jc w:val="center"/>
              <w:rPr>
                <w:rFonts w:ascii="Arial" w:hAnsi="Arial" w:cs="Arial"/>
              </w:rPr>
            </w:pPr>
            <w:r>
              <w:rPr>
                <w:rFonts w:ascii="Arial" w:hAnsi="Arial" w:cs="Arial"/>
              </w:rPr>
              <w:t>Capital de Trabajo</w:t>
            </w:r>
          </w:p>
        </w:tc>
        <w:tc>
          <w:tcPr>
            <w:tcW w:w="5185" w:type="dxa"/>
            <w:tcBorders>
              <w:top w:val="nil"/>
              <w:left w:val="nil"/>
              <w:bottom w:val="single" w:color="auto" w:sz="8" w:space="0"/>
              <w:right w:val="single" w:color="auto" w:sz="8" w:space="0"/>
            </w:tcBorders>
            <w:tcMar>
              <w:top w:w="0" w:type="dxa"/>
              <w:left w:w="108" w:type="dxa"/>
              <w:bottom w:w="0" w:type="dxa"/>
              <w:right w:w="108" w:type="dxa"/>
            </w:tcMar>
          </w:tcPr>
          <w:p w14:paraId="145B5C29">
            <w:pPr>
              <w:spacing w:after="0" w:line="240" w:lineRule="auto"/>
              <w:jc w:val="center"/>
              <w:rPr>
                <w:rFonts w:ascii="Arial" w:hAnsi="Arial" w:cs="Arial"/>
              </w:rPr>
            </w:pPr>
            <w:r>
              <w:rPr>
                <w:rFonts w:ascii="Arial" w:hAnsi="Arial" w:cs="Arial"/>
              </w:rPr>
              <w:t>Mayor o igual a: $ 90.000.000,00</w:t>
            </w:r>
          </w:p>
        </w:tc>
      </w:tr>
      <w:tr w14:paraId="18A89736">
        <w:tblPrEx>
          <w:tblCellMar>
            <w:top w:w="0" w:type="dxa"/>
            <w:left w:w="0" w:type="dxa"/>
            <w:bottom w:w="0" w:type="dxa"/>
            <w:right w:w="0" w:type="dxa"/>
          </w:tblCellMar>
        </w:tblPrEx>
        <w:trPr>
          <w:trHeight w:val="84" w:hRule="atLeast"/>
          <w:jc w:val="center"/>
        </w:trPr>
        <w:tc>
          <w:tcPr>
            <w:tcW w:w="2868" w:type="dxa"/>
            <w:tcBorders>
              <w:top w:val="nil"/>
              <w:left w:val="single" w:color="auto" w:sz="8" w:space="0"/>
              <w:bottom w:val="single" w:color="auto" w:sz="8" w:space="0"/>
              <w:right w:val="single" w:color="auto" w:sz="8" w:space="0"/>
            </w:tcBorders>
            <w:tcMar>
              <w:top w:w="0" w:type="dxa"/>
              <w:left w:w="108" w:type="dxa"/>
              <w:bottom w:w="0" w:type="dxa"/>
              <w:right w:w="108" w:type="dxa"/>
            </w:tcMar>
          </w:tcPr>
          <w:p w14:paraId="4EA80DD3">
            <w:pPr>
              <w:spacing w:after="0" w:line="240" w:lineRule="auto"/>
              <w:jc w:val="center"/>
              <w:rPr>
                <w:rFonts w:ascii="Arial" w:hAnsi="Arial" w:cs="Arial"/>
              </w:rPr>
            </w:pPr>
            <w:r>
              <w:rPr>
                <w:rFonts w:ascii="Arial" w:hAnsi="Arial" w:cs="Arial"/>
              </w:rPr>
              <w:t>Patrimonio</w:t>
            </w:r>
          </w:p>
        </w:tc>
        <w:tc>
          <w:tcPr>
            <w:tcW w:w="5185" w:type="dxa"/>
            <w:tcBorders>
              <w:top w:val="nil"/>
              <w:left w:val="nil"/>
              <w:bottom w:val="single" w:color="auto" w:sz="8" w:space="0"/>
              <w:right w:val="single" w:color="auto" w:sz="8" w:space="0"/>
            </w:tcBorders>
            <w:tcMar>
              <w:top w:w="0" w:type="dxa"/>
              <w:left w:w="108" w:type="dxa"/>
              <w:bottom w:w="0" w:type="dxa"/>
              <w:right w:w="108" w:type="dxa"/>
            </w:tcMar>
          </w:tcPr>
          <w:p w14:paraId="2027244E">
            <w:pPr>
              <w:spacing w:after="0" w:line="240" w:lineRule="auto"/>
              <w:jc w:val="center"/>
              <w:rPr>
                <w:rFonts w:ascii="Arial" w:hAnsi="Arial" w:cs="Arial"/>
              </w:rPr>
            </w:pPr>
            <w:r>
              <w:rPr>
                <w:rFonts w:ascii="Arial" w:hAnsi="Arial" w:cs="Arial"/>
              </w:rPr>
              <w:t xml:space="preserve">Mayor o igual a: $ 90.000.000,00 </w:t>
            </w:r>
          </w:p>
        </w:tc>
      </w:tr>
    </w:tbl>
    <w:p w14:paraId="4FCA1A66">
      <w:pPr>
        <w:spacing w:after="0" w:line="240" w:lineRule="auto"/>
        <w:jc w:val="both"/>
        <w:rPr>
          <w:rFonts w:ascii="Arial Narrow" w:hAnsi="Arial Narrow" w:cs="Arial"/>
          <w:bCs/>
          <w:color w:val="000000"/>
          <w:lang/>
        </w:rPr>
      </w:pPr>
    </w:p>
    <w:p w14:paraId="1763956C">
      <w:pPr>
        <w:spacing w:after="0" w:line="240" w:lineRule="auto"/>
        <w:jc w:val="both"/>
        <w:rPr>
          <w:rFonts w:ascii="Arial Narrow" w:hAnsi="Arial Narrow" w:cs="Arial"/>
          <w:b/>
          <w:color w:val="000000"/>
          <w:lang/>
        </w:rPr>
      </w:pPr>
      <w:r>
        <w:rPr>
          <w:rFonts w:ascii="Arial Narrow" w:hAnsi="Arial Narrow" w:cs="Arial"/>
          <w:b/>
          <w:color w:val="000000"/>
          <w:lang/>
        </w:rPr>
        <w:t xml:space="preserve">De donde: </w:t>
      </w:r>
    </w:p>
    <w:p w14:paraId="626805F5">
      <w:pPr>
        <w:spacing w:after="0" w:line="240" w:lineRule="auto"/>
        <w:jc w:val="both"/>
        <w:rPr>
          <w:rFonts w:ascii="Arial Narrow" w:hAnsi="Arial Narrow" w:cs="Arial"/>
          <w:color w:val="000000"/>
          <w:lang/>
        </w:rPr>
      </w:pPr>
    </w:p>
    <w:p w14:paraId="4BB96AE9">
      <w:pPr>
        <w:spacing w:after="0" w:line="240" w:lineRule="auto"/>
        <w:jc w:val="both"/>
        <w:rPr>
          <w:rFonts w:ascii="Arial Narrow" w:hAnsi="Arial Narrow" w:cs="Arial"/>
          <w:lang/>
        </w:rPr>
      </w:pPr>
      <w:r>
        <w:rPr>
          <w:rFonts w:ascii="Arial Narrow" w:hAnsi="Arial Narrow" w:cs="Arial"/>
          <w:lang/>
        </w:rPr>
        <w:t>Liquidez = Activo Corriente / Pasivo Corriente</w:t>
      </w:r>
    </w:p>
    <w:p w14:paraId="23473D7F">
      <w:pPr>
        <w:spacing w:after="0" w:line="240" w:lineRule="auto"/>
        <w:jc w:val="both"/>
        <w:rPr>
          <w:rFonts w:ascii="Arial Narrow" w:hAnsi="Arial Narrow" w:cs="Arial"/>
          <w:lang/>
        </w:rPr>
      </w:pPr>
      <w:r>
        <w:rPr>
          <w:rFonts w:ascii="Arial Narrow" w:hAnsi="Arial Narrow" w:cs="Arial"/>
          <w:lang/>
        </w:rPr>
        <w:t>Endeudamiento = Pasivo Total / Activo Total</w:t>
      </w:r>
    </w:p>
    <w:p w14:paraId="7F0EE43C">
      <w:pPr>
        <w:spacing w:after="0" w:line="240" w:lineRule="auto"/>
        <w:jc w:val="both"/>
        <w:rPr>
          <w:rFonts w:ascii="Arial Narrow" w:hAnsi="Arial Narrow" w:cs="Arial"/>
          <w:lang/>
        </w:rPr>
      </w:pPr>
      <w:r>
        <w:rPr>
          <w:rFonts w:ascii="Arial Narrow" w:hAnsi="Arial Narrow" w:cs="Arial"/>
          <w:lang/>
        </w:rPr>
        <w:t>Capital de Trabajo = Activo Corriente – Pasivo Corriente</w:t>
      </w:r>
    </w:p>
    <w:p w14:paraId="7956CD5A">
      <w:pPr>
        <w:spacing w:after="0" w:line="240" w:lineRule="auto"/>
        <w:jc w:val="both"/>
        <w:rPr>
          <w:rFonts w:ascii="Arial Narrow" w:hAnsi="Arial Narrow" w:cs="Arial"/>
          <w:lang/>
        </w:rPr>
      </w:pPr>
      <w:r>
        <w:rPr>
          <w:rFonts w:ascii="Arial Narrow" w:hAnsi="Arial Narrow" w:cs="Arial"/>
          <w:lang/>
        </w:rPr>
        <w:t>Cobertura de Intereses = Utilidad Operacional / Gastos de Intereses</w:t>
      </w:r>
    </w:p>
    <w:p w14:paraId="1210E3C5">
      <w:pPr>
        <w:spacing w:after="0" w:line="240" w:lineRule="auto"/>
        <w:jc w:val="both"/>
        <w:rPr>
          <w:rFonts w:ascii="Arial Narrow" w:hAnsi="Arial Narrow" w:cs="Arial"/>
          <w:lang/>
        </w:rPr>
      </w:pPr>
      <w:r>
        <w:rPr>
          <w:rFonts w:ascii="Arial Narrow" w:hAnsi="Arial Narrow" w:cs="Arial"/>
          <w:lang/>
        </w:rPr>
        <w:t>Patrimonio= Activo Total – Pasivo Total</w:t>
      </w:r>
    </w:p>
    <w:p w14:paraId="2CFEA99A">
      <w:pPr>
        <w:spacing w:after="0" w:line="240" w:lineRule="auto"/>
        <w:jc w:val="both"/>
        <w:rPr>
          <w:rFonts w:ascii="Arial Narrow" w:hAnsi="Arial Narrow" w:cs="Arial"/>
          <w:lang/>
        </w:rPr>
      </w:pPr>
    </w:p>
    <w:p w14:paraId="40BD32CA">
      <w:pPr>
        <w:spacing w:after="0" w:line="240" w:lineRule="auto"/>
        <w:jc w:val="both"/>
        <w:rPr>
          <w:rFonts w:ascii="Arial Narrow" w:hAnsi="Arial Narrow" w:cs="Arial"/>
          <w:lang/>
        </w:rPr>
      </w:pPr>
      <w:r>
        <w:rPr>
          <w:rFonts w:ascii="Arial Narrow" w:hAnsi="Arial Narrow" w:cs="Arial"/>
          <w:lang/>
        </w:rPr>
        <w:t xml:space="preserve">Las razones financieras se calcularán con base en la información financiera suministrada. </w:t>
      </w:r>
    </w:p>
    <w:p w14:paraId="355251EA">
      <w:pPr>
        <w:spacing w:after="0" w:line="240" w:lineRule="auto"/>
        <w:jc w:val="both"/>
        <w:rPr>
          <w:rFonts w:ascii="Arial Narrow" w:hAnsi="Arial Narrow" w:cs="Arial"/>
          <w:lang/>
        </w:rPr>
      </w:pPr>
    </w:p>
    <w:p w14:paraId="321D5261">
      <w:pPr>
        <w:spacing w:after="0" w:line="240" w:lineRule="auto"/>
        <w:jc w:val="both"/>
        <w:rPr>
          <w:rFonts w:ascii="Arial Narrow" w:hAnsi="Arial Narrow" w:cs="Arial"/>
          <w:b/>
          <w:bCs/>
          <w:lang/>
        </w:rPr>
      </w:pPr>
      <w:r>
        <w:rPr>
          <w:rFonts w:ascii="Arial Narrow" w:hAnsi="Arial Narrow" w:cs="Arial"/>
          <w:lang/>
        </w:rPr>
        <w:t xml:space="preserve">El proponente </w:t>
      </w:r>
      <w:r>
        <w:rPr>
          <w:rFonts w:ascii="Arial Narrow" w:hAnsi="Arial Narrow" w:cs="Arial"/>
          <w:b/>
          <w:bCs/>
          <w:lang/>
        </w:rPr>
        <w:t>CUMPLE</w:t>
      </w:r>
      <w:r>
        <w:rPr>
          <w:rFonts w:ascii="Arial Narrow" w:hAnsi="Arial Narrow" w:cs="Arial"/>
          <w:lang/>
        </w:rPr>
        <w:t xml:space="preserve"> con el requisito Capacidad Financiera cuando iguale o supere el requerimiento de los cinco (5) indicadores antes requeridos; de lo contrario, su propuesta será evaluada como </w:t>
      </w:r>
      <w:r>
        <w:rPr>
          <w:rFonts w:ascii="Arial Narrow" w:hAnsi="Arial Narrow" w:cs="Arial"/>
          <w:b/>
          <w:bCs/>
          <w:lang/>
        </w:rPr>
        <w:t>NO CUMPLE.</w:t>
      </w:r>
    </w:p>
    <w:p w14:paraId="29EE1AF2">
      <w:pPr>
        <w:spacing w:after="0" w:line="240" w:lineRule="auto"/>
        <w:jc w:val="both"/>
        <w:rPr>
          <w:rFonts w:ascii="Arial Narrow" w:hAnsi="Arial Narrow" w:cs="Arial"/>
          <w:b/>
          <w:bCs/>
          <w:lang/>
        </w:rPr>
      </w:pPr>
    </w:p>
    <w:p w14:paraId="2E8C893C">
      <w:pPr>
        <w:spacing w:after="0" w:line="240" w:lineRule="auto"/>
        <w:jc w:val="both"/>
        <w:rPr>
          <w:rFonts w:ascii="Arial Narrow" w:hAnsi="Arial Narrow" w:cs="Arial"/>
          <w:lang/>
        </w:rPr>
      </w:pPr>
      <w:r>
        <w:rPr>
          <w:rFonts w:ascii="Arial Narrow" w:hAnsi="Arial Narrow" w:cs="Arial"/>
          <w:lang/>
        </w:rPr>
        <w:t xml:space="preserve">Para oferentes individuales que tengan gastos de intereses cero (0), no se calculará el indicador de razón de cobertura de intereses; en este caso, el oferente </w:t>
      </w:r>
      <w:r>
        <w:rPr>
          <w:rFonts w:ascii="Arial Narrow" w:hAnsi="Arial Narrow" w:cs="Arial"/>
          <w:b/>
          <w:lang/>
        </w:rPr>
        <w:t>CUMPLE</w:t>
      </w:r>
      <w:r>
        <w:rPr>
          <w:rFonts w:ascii="Arial Narrow" w:hAnsi="Arial Narrow" w:cs="Arial"/>
          <w:lang/>
        </w:rPr>
        <w:t xml:space="preserve"> el indicador. Si la utilidad operacional es negativa, el oferente </w:t>
      </w:r>
      <w:r>
        <w:rPr>
          <w:rFonts w:ascii="Arial Narrow" w:hAnsi="Arial Narrow" w:cs="Arial"/>
          <w:b/>
          <w:lang/>
        </w:rPr>
        <w:t>NO CUMPLE</w:t>
      </w:r>
      <w:r>
        <w:rPr>
          <w:rFonts w:ascii="Arial Narrow" w:hAnsi="Arial Narrow" w:cs="Arial"/>
          <w:lang/>
        </w:rPr>
        <w:t xml:space="preserve"> con el indicador de razón de cobertura de intereses. Igualmente, para proponentes individuales cuyos pasivos corrientes sean cero (0), no se calculará el índice de liquidez; en este caso el oferente </w:t>
      </w:r>
      <w:r>
        <w:rPr>
          <w:rFonts w:ascii="Arial Narrow" w:hAnsi="Arial Narrow" w:cs="Arial"/>
          <w:b/>
          <w:bCs/>
          <w:lang/>
        </w:rPr>
        <w:t>CUMPLE</w:t>
      </w:r>
      <w:r>
        <w:rPr>
          <w:rFonts w:ascii="Arial Narrow" w:hAnsi="Arial Narrow" w:cs="Arial"/>
          <w:lang/>
        </w:rPr>
        <w:t xml:space="preserve"> con el indicador. </w:t>
      </w:r>
    </w:p>
    <w:p w14:paraId="60799C09">
      <w:pPr>
        <w:spacing w:after="0" w:line="240" w:lineRule="auto"/>
        <w:jc w:val="both"/>
        <w:rPr>
          <w:rFonts w:ascii="Arial Narrow" w:hAnsi="Arial Narrow" w:cs="Arial"/>
          <w:lang/>
        </w:rPr>
      </w:pPr>
    </w:p>
    <w:p w14:paraId="3463EBEC">
      <w:pPr>
        <w:pStyle w:val="97"/>
        <w:spacing w:before="0" w:after="0"/>
        <w:rPr>
          <w:rFonts w:cs="Arial"/>
          <w:sz w:val="22"/>
          <w:szCs w:val="22"/>
          <w:lang/>
        </w:rPr>
      </w:pPr>
      <w:r>
        <w:rPr>
          <w:rFonts w:cs="Arial"/>
          <w:sz w:val="22"/>
          <w:szCs w:val="22"/>
          <w:lang/>
        </w:rPr>
        <w:t>Tratándose de estructuras plurales los indicadores se calcularán con base en las partidas financieras de cada uno de los integrantes, de manera proporcional a su porcentaje de participación, salvo para el capital de trabajo y patrimonio, donde el cálculo se hará de acuerdo con la sumatoria de los indicadores correspondientes.</w:t>
      </w:r>
    </w:p>
    <w:p w14:paraId="785E90BA">
      <w:pPr>
        <w:spacing w:after="0" w:line="240" w:lineRule="auto"/>
        <w:rPr>
          <w:rFonts w:ascii="Arial Narrow" w:hAnsi="Arial Narrow" w:cs="Arial"/>
          <w:lang/>
        </w:rPr>
      </w:pPr>
    </w:p>
    <w:p w14:paraId="5EE32129">
      <w:pPr>
        <w:spacing w:after="0" w:line="240" w:lineRule="auto"/>
        <w:rPr>
          <w:rFonts w:ascii="Arial Narrow" w:hAnsi="Arial Narrow" w:cs="Arial"/>
          <w:lang/>
        </w:rPr>
      </w:pPr>
      <w:r>
        <w:rPr>
          <w:rFonts w:ascii="Arial Narrow" w:hAnsi="Arial Narrow" w:cs="Arial"/>
          <w:lang/>
        </w:rPr>
        <w:t>La siguiente es la fórmula aplicable para los indicadores de Liquidez, Endeudamiento y Cobertura de Intereses:</w:t>
      </w:r>
    </w:p>
    <w:p w14:paraId="4A7C09D2">
      <w:pPr>
        <w:spacing w:after="0" w:line="240" w:lineRule="auto"/>
        <w:rPr>
          <w:rFonts w:ascii="Arial Narrow" w:hAnsi="Arial Narrow" w:cs="Arial"/>
          <w:lang/>
        </w:rPr>
      </w:pPr>
    </w:p>
    <w:p w14:paraId="139194A9">
      <w:pPr>
        <w:spacing w:after="0" w:line="240" w:lineRule="auto"/>
        <w:jc w:val="center"/>
        <w:rPr>
          <w:rFonts w:ascii="Arial Narrow" w:hAnsi="Arial Narrow" w:cs="Arial"/>
          <w:lang/>
        </w:rPr>
      </w:pPr>
      <w:r>
        <w:rPr>
          <w:rFonts w:ascii="Arial Narrow" w:hAnsi="Arial Narrow" w:cs="Arial"/>
          <w:lang w:eastAsia="es-CO"/>
        </w:rPr>
        <w:drawing>
          <wp:inline distT="0" distB="0" distL="0" distR="0">
            <wp:extent cx="5111750" cy="7620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111750" cy="762000"/>
                    </a:xfrm>
                    <a:prstGeom prst="rect">
                      <a:avLst/>
                    </a:prstGeom>
                    <a:noFill/>
                    <a:ln>
                      <a:noFill/>
                    </a:ln>
                  </pic:spPr>
                </pic:pic>
              </a:graphicData>
            </a:graphic>
          </wp:inline>
        </w:drawing>
      </w:r>
    </w:p>
    <w:p w14:paraId="5300C2ED">
      <w:pPr>
        <w:spacing w:after="0" w:line="240" w:lineRule="auto"/>
        <w:rPr>
          <w:rFonts w:ascii="Arial Narrow" w:hAnsi="Arial Narrow" w:cs="Arial"/>
          <w:lang/>
        </w:rPr>
      </w:pPr>
    </w:p>
    <w:p w14:paraId="5F42EC64">
      <w:pPr>
        <w:spacing w:after="0" w:line="240" w:lineRule="auto"/>
        <w:rPr>
          <w:rFonts w:ascii="Arial Narrow" w:hAnsi="Arial Narrow" w:cs="Arial"/>
          <w:lang/>
        </w:rPr>
      </w:pPr>
      <w:r>
        <w:rPr>
          <w:rFonts w:ascii="Arial Narrow" w:hAnsi="Arial Narrow" w:cs="Arial"/>
          <w:lang/>
        </w:rPr>
        <w:t>Donde n es el número de integrantes del oferente plural.</w:t>
      </w:r>
    </w:p>
    <w:p w14:paraId="2573A08E">
      <w:pPr>
        <w:spacing w:after="0" w:line="240" w:lineRule="auto"/>
        <w:rPr>
          <w:rFonts w:ascii="Arial Narrow" w:hAnsi="Arial Narrow" w:cs="Arial"/>
          <w:lang/>
        </w:rPr>
      </w:pPr>
    </w:p>
    <w:p w14:paraId="5FE33476">
      <w:pPr>
        <w:spacing w:after="0" w:line="240" w:lineRule="auto"/>
        <w:jc w:val="both"/>
        <w:rPr>
          <w:rFonts w:ascii="Arial Narrow" w:hAnsi="Arial Narrow" w:cs="Arial"/>
          <w:lang/>
        </w:rPr>
      </w:pPr>
      <w:r>
        <w:rPr>
          <w:rFonts w:ascii="Arial Narrow" w:hAnsi="Arial Narrow" w:cs="Arial"/>
          <w:lang/>
        </w:rPr>
        <w:t>Para el capital de trabajo se tendrá en cuenta la sumatoria de los capitales de trabajo de cada uno de los integrantes, y para el patrimonio se tendrá en cuenta la sumatoria del patrimonio de cada uno de los integrantes, así:</w:t>
      </w:r>
    </w:p>
    <w:p w14:paraId="2A607AA5">
      <w:pPr>
        <w:spacing w:after="0" w:line="240" w:lineRule="auto"/>
        <w:rPr>
          <w:rFonts w:ascii="Arial Narrow" w:hAnsi="Arial Narrow" w:cs="Arial"/>
          <w:lang/>
        </w:rPr>
      </w:pPr>
    </w:p>
    <w:p w14:paraId="524DD55F">
      <w:pPr>
        <w:spacing w:after="0" w:line="240" w:lineRule="auto"/>
        <w:jc w:val="center"/>
        <w:rPr>
          <w:rFonts w:ascii="Arial Narrow" w:hAnsi="Arial Narrow" w:cs="Arial"/>
          <w:lang/>
        </w:rPr>
      </w:pPr>
      <m:oMathPara>
        <m:oMath>
          <m:d>
            <m:dPr>
              <m:ctrlPr>
                <w:rPr>
                  <w:rFonts w:ascii="Cambria Math" w:hAnsi="Cambria Math" w:eastAsia="Calibri" w:cs="Arial"/>
                  <w:i/>
                  <w:iCs/>
                  <w:highlight w:val="lightGray"/>
                  <w:lang/>
                </w:rPr>
              </m:ctrlPr>
            </m:dPr>
            <m:e>
              <m:r>
                <m:rPr/>
                <w:rPr>
                  <w:rFonts w:ascii="Cambria Math" w:hAnsi="Cambria Math" w:cs="Arial"/>
                  <w:highlight w:val="lightGray"/>
                  <w:lang/>
                </w:rPr>
                <m:t>iii</m:t>
              </m:r>
              <m:ctrlPr>
                <w:rPr>
                  <w:rFonts w:ascii="Cambria Math" w:hAnsi="Cambria Math" w:eastAsia="Calibri" w:cs="Arial"/>
                  <w:i/>
                  <w:iCs/>
                  <w:highlight w:val="lightGray"/>
                  <w:lang/>
                </w:rPr>
              </m:ctrlPr>
            </m:e>
          </m:d>
          <m:r>
            <m:rPr/>
            <w:rPr>
              <w:rFonts w:ascii="Cambria Math" w:hAnsi="Cambria Math" w:cs="Arial"/>
              <w:highlight w:val="lightGray"/>
              <w:lang/>
            </w:rPr>
            <m:t>Indicador=</m:t>
          </m:r>
          <m:d>
            <m:dPr>
              <m:ctrlPr>
                <w:rPr>
                  <w:rFonts w:ascii="Cambria Math" w:hAnsi="Cambria Math" w:eastAsia="Calibri" w:cs="Arial"/>
                  <w:i/>
                  <w:iCs/>
                  <w:highlight w:val="lightGray"/>
                  <w:lang/>
                </w:rPr>
              </m:ctrlPr>
            </m:dPr>
            <m:e>
              <m:nary>
                <m:naryPr>
                  <m:chr m:val="∑"/>
                  <m:limLoc m:val="subSup"/>
                  <m:ctrlPr>
                    <w:rPr>
                      <w:rFonts w:ascii="Cambria Math" w:hAnsi="Cambria Math" w:eastAsia="Calibri" w:cs="Arial"/>
                      <w:i/>
                      <w:iCs/>
                      <w:highlight w:val="lightGray"/>
                      <w:lang/>
                    </w:rPr>
                  </m:ctrlPr>
                </m:naryPr>
                <m:sub>
                  <m:r>
                    <m:rPr/>
                    <w:rPr>
                      <w:rFonts w:ascii="Cambria Math" w:hAnsi="Cambria Math" w:cs="Arial"/>
                      <w:highlight w:val="lightGray"/>
                      <w:lang/>
                    </w:rPr>
                    <m:t>i=1</m:t>
                  </m:r>
                  <m:ctrlPr>
                    <w:rPr>
                      <w:rFonts w:ascii="Cambria Math" w:hAnsi="Cambria Math" w:eastAsia="Calibri" w:cs="Arial"/>
                      <w:i/>
                      <w:iCs/>
                      <w:highlight w:val="lightGray"/>
                      <w:lang/>
                    </w:rPr>
                  </m:ctrlPr>
                </m:sub>
                <m:sup>
                  <m:r>
                    <m:rPr/>
                    <w:rPr>
                      <w:rFonts w:ascii="Cambria Math" w:hAnsi="Cambria Math" w:cs="Arial"/>
                      <w:highlight w:val="lightGray"/>
                      <w:lang/>
                    </w:rPr>
                    <m:t>n</m:t>
                  </m:r>
                  <m:ctrlPr>
                    <w:rPr>
                      <w:rFonts w:ascii="Cambria Math" w:hAnsi="Cambria Math" w:eastAsia="Calibri" w:cs="Arial"/>
                      <w:i/>
                      <w:iCs/>
                      <w:highlight w:val="lightGray"/>
                      <w:lang/>
                    </w:rPr>
                  </m:ctrlPr>
                </m:sup>
                <m:e>
                  <m:r>
                    <m:rPr/>
                    <w:rPr>
                      <w:rFonts w:ascii="Cambria Math" w:hAnsi="Cambria Math" w:cs="Arial"/>
                      <w:highlight w:val="lightGray"/>
                      <w:lang/>
                    </w:rPr>
                    <m:t xml:space="preserve">Componente 1 indicador i </m:t>
                  </m:r>
                  <m:ctrlPr>
                    <w:rPr>
                      <w:rFonts w:ascii="Cambria Math" w:hAnsi="Cambria Math" w:eastAsia="Calibri" w:cs="Arial"/>
                      <w:i/>
                      <w:iCs/>
                      <w:highlight w:val="lightGray"/>
                      <w:lang/>
                    </w:rPr>
                  </m:ctrlPr>
                </m:e>
              </m:nary>
              <m:ctrlPr>
                <w:rPr>
                  <w:rFonts w:ascii="Cambria Math" w:hAnsi="Cambria Math" w:eastAsia="Calibri" w:cs="Arial"/>
                  <w:i/>
                  <w:iCs/>
                  <w:highlight w:val="lightGray"/>
                  <w:lang/>
                </w:rPr>
              </m:ctrlPr>
            </m:e>
          </m:d>
          <m:r>
            <m:rPr/>
            <w:rPr>
              <w:rFonts w:ascii="Cambria Math" w:hAnsi="Cambria Math" w:cs="Arial"/>
              <w:highlight w:val="lightGray"/>
              <w:lang/>
            </w:rPr>
            <m:t xml:space="preserve">− </m:t>
          </m:r>
          <m:d>
            <m:dPr>
              <m:ctrlPr>
                <w:rPr>
                  <w:rFonts w:ascii="Cambria Math" w:hAnsi="Cambria Math" w:eastAsia="Calibri" w:cs="Arial"/>
                  <w:i/>
                  <w:iCs/>
                  <w:highlight w:val="lightGray"/>
                  <w:lang/>
                </w:rPr>
              </m:ctrlPr>
            </m:dPr>
            <m:e>
              <m:nary>
                <m:naryPr>
                  <m:chr m:val="∑"/>
                  <m:limLoc m:val="subSup"/>
                  <m:ctrlPr>
                    <w:rPr>
                      <w:rFonts w:ascii="Cambria Math" w:hAnsi="Cambria Math" w:eastAsia="Calibri" w:cs="Arial"/>
                      <w:i/>
                      <w:iCs/>
                      <w:highlight w:val="lightGray"/>
                      <w:lang/>
                    </w:rPr>
                  </m:ctrlPr>
                </m:naryPr>
                <m:sub>
                  <m:r>
                    <m:rPr/>
                    <w:rPr>
                      <w:rFonts w:ascii="Cambria Math" w:hAnsi="Cambria Math" w:cs="Arial"/>
                      <w:highlight w:val="lightGray"/>
                      <w:lang/>
                    </w:rPr>
                    <m:t>i=1</m:t>
                  </m:r>
                  <m:ctrlPr>
                    <w:rPr>
                      <w:rFonts w:ascii="Cambria Math" w:hAnsi="Cambria Math" w:eastAsia="Calibri" w:cs="Arial"/>
                      <w:i/>
                      <w:iCs/>
                      <w:highlight w:val="lightGray"/>
                      <w:lang/>
                    </w:rPr>
                  </m:ctrlPr>
                </m:sub>
                <m:sup>
                  <m:r>
                    <m:rPr/>
                    <w:rPr>
                      <w:rFonts w:ascii="Cambria Math" w:hAnsi="Cambria Math" w:cs="Arial"/>
                      <w:highlight w:val="lightGray"/>
                      <w:lang/>
                    </w:rPr>
                    <m:t>n</m:t>
                  </m:r>
                  <m:ctrlPr>
                    <w:rPr>
                      <w:rFonts w:ascii="Cambria Math" w:hAnsi="Cambria Math" w:eastAsia="Calibri" w:cs="Arial"/>
                      <w:i/>
                      <w:iCs/>
                      <w:highlight w:val="lightGray"/>
                      <w:lang/>
                    </w:rPr>
                  </m:ctrlPr>
                </m:sup>
                <m:e>
                  <m:r>
                    <m:rPr/>
                    <w:rPr>
                      <w:rFonts w:ascii="Cambria Math" w:hAnsi="Cambria Math" w:cs="Arial"/>
                      <w:highlight w:val="lightGray"/>
                      <w:lang/>
                    </w:rPr>
                    <m:t xml:space="preserve">Componente 2 indicador i </m:t>
                  </m:r>
                  <m:ctrlPr>
                    <w:rPr>
                      <w:rFonts w:ascii="Cambria Math" w:hAnsi="Cambria Math" w:eastAsia="Calibri" w:cs="Arial"/>
                      <w:i/>
                      <w:iCs/>
                      <w:highlight w:val="lightGray"/>
                      <w:lang/>
                    </w:rPr>
                  </m:ctrlPr>
                </m:e>
              </m:nary>
              <m:ctrlPr>
                <w:rPr>
                  <w:rFonts w:ascii="Cambria Math" w:hAnsi="Cambria Math" w:eastAsia="Calibri" w:cs="Arial"/>
                  <w:i/>
                  <w:iCs/>
                  <w:highlight w:val="lightGray"/>
                  <w:lang/>
                </w:rPr>
              </m:ctrlPr>
            </m:e>
          </m:d>
        </m:oMath>
      </m:oMathPara>
    </w:p>
    <w:p w14:paraId="0EFF77A7">
      <w:pPr>
        <w:spacing w:after="0" w:line="240" w:lineRule="auto"/>
        <w:rPr>
          <w:rFonts w:ascii="Arial Narrow" w:hAnsi="Arial Narrow" w:cs="Arial"/>
          <w:lang/>
        </w:rPr>
      </w:pPr>
    </w:p>
    <w:p w14:paraId="799E08D9">
      <w:pPr>
        <w:spacing w:after="0" w:line="240" w:lineRule="auto"/>
        <w:rPr>
          <w:rFonts w:ascii="Arial Narrow" w:hAnsi="Arial Narrow" w:cs="Arial"/>
          <w:lang/>
        </w:rPr>
      </w:pPr>
      <w:r>
        <w:rPr>
          <w:rFonts w:ascii="Arial Narrow" w:hAnsi="Arial Narrow" w:cs="Arial"/>
          <w:lang/>
        </w:rPr>
        <w:t>Donde n es el número de integrantes del oferente plural.</w:t>
      </w:r>
    </w:p>
    <w:p w14:paraId="3EC65C1A">
      <w:pPr>
        <w:spacing w:after="0" w:line="240" w:lineRule="auto"/>
        <w:jc w:val="both"/>
        <w:rPr>
          <w:rFonts w:ascii="Arial Narrow" w:hAnsi="Arial Narrow" w:cs="Arial"/>
          <w:lang/>
        </w:rPr>
      </w:pPr>
    </w:p>
    <w:p w14:paraId="5AC8213E">
      <w:pPr>
        <w:spacing w:after="0" w:line="240" w:lineRule="auto"/>
        <w:jc w:val="both"/>
        <w:rPr>
          <w:rFonts w:ascii="Arial Narrow" w:hAnsi="Arial Narrow" w:cs="Arial"/>
          <w:lang/>
        </w:rPr>
      </w:pPr>
      <w:r>
        <w:rPr>
          <w:rFonts w:ascii="Arial Narrow" w:hAnsi="Arial Narrow" w:cs="Arial"/>
          <w:lang/>
        </w:rPr>
        <w:t>Para el caso de las estructuras plurales todos los integrantes que la conforman deben aportar el Registro Único de Proponente cumpliendo con la totalidad de requisitos previsto para tal fin en el presente pliego de condiciones.</w:t>
      </w:r>
    </w:p>
    <w:p w14:paraId="4AB03285">
      <w:pPr>
        <w:spacing w:after="0" w:line="240" w:lineRule="auto"/>
        <w:jc w:val="both"/>
        <w:rPr>
          <w:rFonts w:ascii="Arial Narrow" w:hAnsi="Arial Narrow" w:cs="Arial"/>
          <w:lang/>
        </w:rPr>
      </w:pPr>
    </w:p>
    <w:p w14:paraId="648F00D7">
      <w:pPr>
        <w:pStyle w:val="52"/>
        <w:widowControl w:val="0"/>
        <w:numPr>
          <w:ilvl w:val="1"/>
          <w:numId w:val="13"/>
        </w:numPr>
        <w:overflowPunct w:val="0"/>
        <w:autoSpaceDE w:val="0"/>
        <w:autoSpaceDN w:val="0"/>
        <w:adjustRightInd w:val="0"/>
        <w:spacing w:after="0" w:line="240" w:lineRule="auto"/>
        <w:ind w:left="426" w:hanging="426"/>
        <w:jc w:val="both"/>
        <w:rPr>
          <w:rFonts w:ascii="Arial Narrow" w:hAnsi="Arial Narrow"/>
          <w:b/>
          <w:bCs/>
          <w:lang/>
        </w:rPr>
      </w:pPr>
      <w:r>
        <w:rPr>
          <w:rFonts w:ascii="Arial Narrow" w:hAnsi="Arial Narrow"/>
          <w:b/>
          <w:bCs/>
          <w:lang/>
        </w:rPr>
        <w:t>CAPACIDAD ORGANIZACIONAL</w:t>
      </w:r>
    </w:p>
    <w:p w14:paraId="5D2020DB">
      <w:pPr>
        <w:spacing w:after="0" w:line="240" w:lineRule="auto"/>
        <w:jc w:val="both"/>
        <w:rPr>
          <w:rFonts w:ascii="Arial Narrow" w:hAnsi="Arial Narrow" w:cs="Arial"/>
          <w:lang/>
        </w:rPr>
      </w:pPr>
    </w:p>
    <w:p w14:paraId="76EEEBF8">
      <w:pPr>
        <w:spacing w:after="0" w:line="240" w:lineRule="auto"/>
        <w:jc w:val="both"/>
        <w:rPr>
          <w:rFonts w:ascii="Arial Narrow" w:hAnsi="Arial Narrow" w:cs="Arial"/>
          <w:lang/>
        </w:rPr>
      </w:pPr>
      <w:r>
        <w:rPr>
          <w:rFonts w:ascii="Arial Narrow" w:hAnsi="Arial Narrow" w:cs="Arial"/>
          <w:lang/>
        </w:rPr>
        <w:t xml:space="preserve">La verificación de la Capacidad Organizacional del proponente es a título de requisito habilitante (cumple o no cumple), y se hará teniendo en cuenta los siguientes indicadores: </w:t>
      </w:r>
    </w:p>
    <w:p w14:paraId="096F1141">
      <w:pPr>
        <w:spacing w:after="0" w:line="240" w:lineRule="auto"/>
        <w:jc w:val="both"/>
        <w:rPr>
          <w:rFonts w:ascii="Arial Narrow" w:hAnsi="Arial Narrow" w:cs="Arial"/>
          <w:b/>
          <w:bCs/>
          <w:color w:val="000000"/>
          <w:lang/>
        </w:rPr>
      </w:pPr>
    </w:p>
    <w:p w14:paraId="689AFDAD">
      <w:pPr>
        <w:spacing w:after="0" w:line="240" w:lineRule="auto"/>
        <w:jc w:val="center"/>
        <w:rPr>
          <w:rFonts w:ascii="Arial Narrow" w:hAnsi="Arial Narrow" w:cs="Arial"/>
          <w:b/>
          <w:bCs/>
          <w:color w:val="000000"/>
          <w:lang/>
        </w:rPr>
      </w:pPr>
      <w:r>
        <w:rPr>
          <w:rFonts w:ascii="Arial Narrow" w:hAnsi="Arial Narrow" w:cs="Arial"/>
          <w:b/>
          <w:bCs/>
          <w:color w:val="000000"/>
          <w:lang/>
        </w:rPr>
        <w:t>Indicadores de Capacidad Organizacional</w:t>
      </w:r>
    </w:p>
    <w:p w14:paraId="1D02BDC7">
      <w:pPr>
        <w:spacing w:after="0" w:line="240" w:lineRule="auto"/>
        <w:jc w:val="center"/>
        <w:rPr>
          <w:rFonts w:ascii="Arial Narrow" w:hAnsi="Arial Narrow" w:cs="Arial"/>
          <w:b/>
          <w:bCs/>
          <w:color w:val="000000"/>
          <w:lang/>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485"/>
        <w:gridCol w:w="1876"/>
      </w:tblGrid>
      <w:tr w14:paraId="7A971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 w:hRule="atLeast"/>
          <w:jc w:val="center"/>
        </w:trPr>
        <w:tc>
          <w:tcPr>
            <w:tcW w:w="2485" w:type="dxa"/>
            <w:tcMar>
              <w:top w:w="0" w:type="dxa"/>
              <w:left w:w="108" w:type="dxa"/>
              <w:bottom w:w="0" w:type="dxa"/>
              <w:right w:w="108" w:type="dxa"/>
            </w:tcMar>
          </w:tcPr>
          <w:p w14:paraId="0D372C4D">
            <w:pPr>
              <w:spacing w:after="0" w:line="240" w:lineRule="auto"/>
              <w:jc w:val="center"/>
              <w:rPr>
                <w:rFonts w:ascii="Arial Narrow" w:hAnsi="Arial Narrow" w:cs="Arial"/>
                <w:lang/>
              </w:rPr>
            </w:pPr>
            <w:r>
              <w:rPr>
                <w:rFonts w:ascii="Arial Narrow" w:hAnsi="Arial Narrow" w:cs="Arial"/>
                <w:b/>
                <w:bCs/>
                <w:lang/>
              </w:rPr>
              <w:t>Indicador</w:t>
            </w:r>
          </w:p>
        </w:tc>
        <w:tc>
          <w:tcPr>
            <w:tcW w:w="1876" w:type="dxa"/>
            <w:tcMar>
              <w:top w:w="0" w:type="dxa"/>
              <w:left w:w="108" w:type="dxa"/>
              <w:bottom w:w="0" w:type="dxa"/>
              <w:right w:w="108" w:type="dxa"/>
            </w:tcMar>
          </w:tcPr>
          <w:p w14:paraId="18AB3182">
            <w:pPr>
              <w:spacing w:after="0" w:line="240" w:lineRule="auto"/>
              <w:jc w:val="center"/>
              <w:rPr>
                <w:rFonts w:ascii="Arial Narrow" w:hAnsi="Arial Narrow" w:cs="Arial"/>
                <w:lang/>
              </w:rPr>
            </w:pPr>
            <w:r>
              <w:rPr>
                <w:rFonts w:ascii="Arial Narrow" w:hAnsi="Arial Narrow" w:cs="Arial"/>
                <w:b/>
                <w:bCs/>
                <w:lang/>
              </w:rPr>
              <w:t>Índice Requerido</w:t>
            </w:r>
          </w:p>
        </w:tc>
      </w:tr>
      <w:tr w14:paraId="19852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 w:hRule="atLeast"/>
          <w:jc w:val="center"/>
        </w:trPr>
        <w:tc>
          <w:tcPr>
            <w:tcW w:w="2485" w:type="dxa"/>
            <w:tcMar>
              <w:top w:w="0" w:type="dxa"/>
              <w:left w:w="108" w:type="dxa"/>
              <w:bottom w:w="0" w:type="dxa"/>
              <w:right w:w="108" w:type="dxa"/>
            </w:tcMar>
          </w:tcPr>
          <w:p w14:paraId="1053B6C2">
            <w:pPr>
              <w:spacing w:after="0" w:line="240" w:lineRule="auto"/>
              <w:jc w:val="both"/>
              <w:rPr>
                <w:rFonts w:ascii="Arial Narrow" w:hAnsi="Arial Narrow" w:cs="Arial"/>
                <w:lang/>
              </w:rPr>
            </w:pPr>
            <w:r>
              <w:rPr>
                <w:rFonts w:ascii="Arial Narrow" w:hAnsi="Arial Narrow" w:cs="Arial"/>
                <w:lang/>
              </w:rPr>
              <w:t xml:space="preserve">Rentabilidad del patrimonio </w:t>
            </w:r>
          </w:p>
        </w:tc>
        <w:tc>
          <w:tcPr>
            <w:tcW w:w="1876" w:type="dxa"/>
            <w:tcMar>
              <w:top w:w="0" w:type="dxa"/>
              <w:left w:w="108" w:type="dxa"/>
              <w:bottom w:w="0" w:type="dxa"/>
              <w:right w:w="108" w:type="dxa"/>
            </w:tcMar>
          </w:tcPr>
          <w:p w14:paraId="7696FD6D">
            <w:pPr>
              <w:spacing w:after="0" w:line="240" w:lineRule="auto"/>
              <w:jc w:val="both"/>
              <w:rPr>
                <w:rFonts w:ascii="Arial Narrow" w:hAnsi="Arial Narrow" w:cs="Arial"/>
                <w:lang/>
              </w:rPr>
            </w:pPr>
            <w:r>
              <w:rPr>
                <w:rFonts w:ascii="Arial Narrow" w:hAnsi="Arial Narrow" w:cs="Arial"/>
                <w:lang/>
              </w:rPr>
              <w:t>Mayor o igual a: 2%</w:t>
            </w:r>
          </w:p>
        </w:tc>
      </w:tr>
      <w:tr w14:paraId="29E67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 w:hRule="atLeast"/>
          <w:jc w:val="center"/>
        </w:trPr>
        <w:tc>
          <w:tcPr>
            <w:tcW w:w="2485" w:type="dxa"/>
            <w:tcMar>
              <w:top w:w="0" w:type="dxa"/>
              <w:left w:w="108" w:type="dxa"/>
              <w:bottom w:w="0" w:type="dxa"/>
              <w:right w:w="108" w:type="dxa"/>
            </w:tcMar>
          </w:tcPr>
          <w:p w14:paraId="25294E6E">
            <w:pPr>
              <w:spacing w:after="0" w:line="240" w:lineRule="auto"/>
              <w:jc w:val="both"/>
              <w:rPr>
                <w:rFonts w:ascii="Arial Narrow" w:hAnsi="Arial Narrow" w:cs="Arial"/>
                <w:lang/>
              </w:rPr>
            </w:pPr>
            <w:r>
              <w:rPr>
                <w:rFonts w:ascii="Arial Narrow" w:hAnsi="Arial Narrow" w:cs="Arial"/>
                <w:lang/>
              </w:rPr>
              <w:t xml:space="preserve">Rentabilidad del Activo </w:t>
            </w:r>
          </w:p>
        </w:tc>
        <w:tc>
          <w:tcPr>
            <w:tcW w:w="1876" w:type="dxa"/>
            <w:tcMar>
              <w:top w:w="0" w:type="dxa"/>
              <w:left w:w="108" w:type="dxa"/>
              <w:bottom w:w="0" w:type="dxa"/>
              <w:right w:w="108" w:type="dxa"/>
            </w:tcMar>
          </w:tcPr>
          <w:p w14:paraId="3CB2940C">
            <w:pPr>
              <w:spacing w:after="0" w:line="240" w:lineRule="auto"/>
              <w:jc w:val="both"/>
              <w:rPr>
                <w:rFonts w:ascii="Arial Narrow" w:hAnsi="Arial Narrow" w:cs="Arial"/>
                <w:lang/>
              </w:rPr>
            </w:pPr>
            <w:r>
              <w:rPr>
                <w:rFonts w:ascii="Arial Narrow" w:hAnsi="Arial Narrow" w:cs="Arial"/>
                <w:lang/>
              </w:rPr>
              <w:t>Mayor o igual a: 2%</w:t>
            </w:r>
          </w:p>
        </w:tc>
      </w:tr>
    </w:tbl>
    <w:p w14:paraId="08B5AA7F">
      <w:pPr>
        <w:spacing w:after="0" w:line="240" w:lineRule="auto"/>
        <w:jc w:val="both"/>
        <w:rPr>
          <w:rFonts w:ascii="Arial Narrow" w:hAnsi="Arial Narrow" w:cs="Arial"/>
          <w:bCs/>
          <w:lang/>
        </w:rPr>
      </w:pPr>
    </w:p>
    <w:p w14:paraId="3C5A6E54">
      <w:pPr>
        <w:spacing w:after="0" w:line="240" w:lineRule="auto"/>
        <w:jc w:val="both"/>
        <w:rPr>
          <w:rFonts w:ascii="Arial Narrow" w:hAnsi="Arial Narrow" w:cs="Arial"/>
          <w:b/>
          <w:lang/>
        </w:rPr>
      </w:pPr>
      <w:r>
        <w:rPr>
          <w:rFonts w:ascii="Arial Narrow" w:hAnsi="Arial Narrow" w:cs="Arial"/>
          <w:b/>
          <w:lang/>
        </w:rPr>
        <w:t xml:space="preserve">De donde: </w:t>
      </w:r>
    </w:p>
    <w:p w14:paraId="74475C16">
      <w:pPr>
        <w:spacing w:after="0" w:line="240" w:lineRule="auto"/>
        <w:jc w:val="both"/>
        <w:rPr>
          <w:rFonts w:ascii="Arial Narrow" w:hAnsi="Arial Narrow" w:cs="Arial"/>
          <w:lang/>
        </w:rPr>
      </w:pPr>
    </w:p>
    <w:p w14:paraId="70A4B472">
      <w:pPr>
        <w:spacing w:after="0" w:line="240" w:lineRule="auto"/>
        <w:jc w:val="both"/>
        <w:rPr>
          <w:rFonts w:ascii="Arial Narrow" w:hAnsi="Arial Narrow" w:cs="Arial"/>
          <w:lang/>
        </w:rPr>
      </w:pPr>
      <w:r>
        <w:rPr>
          <w:rFonts w:ascii="Arial Narrow" w:hAnsi="Arial Narrow" w:cs="Arial"/>
          <w:lang/>
        </w:rPr>
        <w:t>Rentabilidad del Patrimonio = Utilidad Operacional / Patrimonio</w:t>
      </w:r>
    </w:p>
    <w:p w14:paraId="79AB6E60">
      <w:pPr>
        <w:spacing w:after="0" w:line="240" w:lineRule="auto"/>
        <w:jc w:val="both"/>
        <w:rPr>
          <w:rFonts w:ascii="Arial Narrow" w:hAnsi="Arial Narrow" w:cs="Arial"/>
          <w:lang/>
        </w:rPr>
      </w:pPr>
      <w:r>
        <w:rPr>
          <w:rFonts w:ascii="Arial Narrow" w:hAnsi="Arial Narrow" w:cs="Arial"/>
          <w:lang/>
        </w:rPr>
        <w:t>Rentabilidad del Activo = Utilidad Operacional / Activo Total</w:t>
      </w:r>
    </w:p>
    <w:p w14:paraId="40B6478B">
      <w:pPr>
        <w:spacing w:after="0" w:line="240" w:lineRule="auto"/>
        <w:jc w:val="both"/>
        <w:rPr>
          <w:rFonts w:ascii="Arial Narrow" w:hAnsi="Arial Narrow" w:cs="Arial"/>
          <w:lang/>
        </w:rPr>
      </w:pPr>
    </w:p>
    <w:p w14:paraId="2BE38447">
      <w:pPr>
        <w:spacing w:after="0" w:line="240" w:lineRule="auto"/>
        <w:jc w:val="both"/>
        <w:rPr>
          <w:rFonts w:ascii="Arial Narrow" w:hAnsi="Arial Narrow" w:cs="Arial"/>
          <w:b/>
          <w:bCs/>
          <w:lang/>
        </w:rPr>
      </w:pPr>
      <w:r>
        <w:rPr>
          <w:rFonts w:ascii="Arial Narrow" w:hAnsi="Arial Narrow" w:cs="Arial"/>
          <w:lang/>
        </w:rPr>
        <w:t xml:space="preserve">El proponente </w:t>
      </w:r>
      <w:r>
        <w:rPr>
          <w:rFonts w:ascii="Arial Narrow" w:hAnsi="Arial Narrow" w:cs="Arial"/>
          <w:b/>
          <w:bCs/>
          <w:lang/>
        </w:rPr>
        <w:t>CUMPLE</w:t>
      </w:r>
      <w:r>
        <w:rPr>
          <w:rFonts w:ascii="Arial Narrow" w:hAnsi="Arial Narrow" w:cs="Arial"/>
          <w:lang/>
        </w:rPr>
        <w:t xml:space="preserve"> con el requisito de Capacidad Organizacional cuando iguale o supere el requerimiento de los dos (2) indicadores antes requeridos; de lo contrario, su propuesta será evaluada como </w:t>
      </w:r>
      <w:r>
        <w:rPr>
          <w:rFonts w:ascii="Arial Narrow" w:hAnsi="Arial Narrow" w:cs="Arial"/>
          <w:b/>
          <w:bCs/>
          <w:lang/>
        </w:rPr>
        <w:t>NO CUMPLE.</w:t>
      </w:r>
    </w:p>
    <w:p w14:paraId="52565708">
      <w:pPr>
        <w:spacing w:after="0" w:line="240" w:lineRule="auto"/>
        <w:jc w:val="both"/>
        <w:rPr>
          <w:rFonts w:ascii="Arial Narrow" w:hAnsi="Arial Narrow" w:cs="Arial"/>
          <w:b/>
          <w:bCs/>
          <w:lang/>
        </w:rPr>
      </w:pPr>
    </w:p>
    <w:p w14:paraId="5555B36F">
      <w:pPr>
        <w:pStyle w:val="97"/>
        <w:spacing w:before="0" w:after="0"/>
        <w:rPr>
          <w:rFonts w:cs="Arial"/>
          <w:sz w:val="22"/>
          <w:szCs w:val="22"/>
          <w:lang/>
        </w:rPr>
      </w:pPr>
      <w:r>
        <w:rPr>
          <w:rFonts w:cs="Arial"/>
          <w:sz w:val="22"/>
          <w:szCs w:val="22"/>
          <w:lang/>
        </w:rPr>
        <w:t>Tratándose de estructuras plurales los indicadores de Capacidad Organizacional se calcularán con base en las partidas financieras de cada uno de los integrantes, de manera proporcional a su porcentaje de participación, así:</w:t>
      </w:r>
    </w:p>
    <w:p w14:paraId="53D187E2">
      <w:pPr>
        <w:spacing w:after="0" w:line="240" w:lineRule="auto"/>
        <w:rPr>
          <w:rFonts w:ascii="Arial Narrow" w:hAnsi="Arial Narrow" w:cs="Arial"/>
          <w:lang/>
        </w:rPr>
      </w:pPr>
    </w:p>
    <w:p w14:paraId="2856CBC9">
      <w:pPr>
        <w:spacing w:after="0" w:line="240" w:lineRule="auto"/>
        <w:jc w:val="center"/>
        <w:rPr>
          <w:rFonts w:ascii="Arial Narrow" w:hAnsi="Arial Narrow" w:cs="Arial"/>
          <w:lang/>
        </w:rPr>
      </w:pPr>
      <w:r>
        <w:rPr>
          <w:rFonts w:ascii="Arial Narrow" w:hAnsi="Arial Narrow" w:cs="Arial"/>
          <w:lang w:eastAsia="es-CO"/>
        </w:rPr>
        <w:drawing>
          <wp:inline distT="0" distB="0" distL="0" distR="0">
            <wp:extent cx="5111750" cy="990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111750" cy="990600"/>
                    </a:xfrm>
                    <a:prstGeom prst="rect">
                      <a:avLst/>
                    </a:prstGeom>
                    <a:noFill/>
                    <a:ln>
                      <a:noFill/>
                    </a:ln>
                  </pic:spPr>
                </pic:pic>
              </a:graphicData>
            </a:graphic>
          </wp:inline>
        </w:drawing>
      </w:r>
    </w:p>
    <w:p w14:paraId="24D499F7">
      <w:pPr>
        <w:spacing w:after="0" w:line="240" w:lineRule="auto"/>
        <w:rPr>
          <w:rFonts w:ascii="Arial Narrow" w:hAnsi="Arial Narrow" w:cs="Arial"/>
          <w:lang/>
        </w:rPr>
      </w:pPr>
    </w:p>
    <w:p w14:paraId="0B235833">
      <w:pPr>
        <w:pStyle w:val="97"/>
        <w:spacing w:before="0" w:after="0"/>
        <w:rPr>
          <w:rFonts w:cs="Arial"/>
          <w:sz w:val="22"/>
          <w:szCs w:val="22"/>
          <w:lang/>
        </w:rPr>
      </w:pPr>
      <w:r>
        <w:rPr>
          <w:rFonts w:cs="Arial"/>
          <w:sz w:val="22"/>
          <w:szCs w:val="22"/>
          <w:lang/>
        </w:rPr>
        <w:t>Para el caso de las estructuras plurales todos los integrantes que la conforman deben aportar el Registro Único de Proponente cumpliendo con la totalidad de requisitos previsto para tal fin en el presente pliego de condiciones.</w:t>
      </w:r>
    </w:p>
    <w:p w14:paraId="65FB4A3B">
      <w:pPr>
        <w:spacing w:after="0" w:line="240" w:lineRule="auto"/>
        <w:jc w:val="both"/>
        <w:rPr>
          <w:rFonts w:ascii="Arial Narrow" w:hAnsi="Arial Narrow" w:cs="Arial"/>
          <w:lang/>
        </w:rPr>
      </w:pPr>
    </w:p>
    <w:p w14:paraId="745BB1FE">
      <w:pPr>
        <w:spacing w:after="0" w:line="240" w:lineRule="auto"/>
        <w:jc w:val="both"/>
        <w:rPr>
          <w:rFonts w:ascii="Arial Narrow" w:hAnsi="Arial Narrow" w:cs="Arial"/>
          <w:lang/>
        </w:rPr>
      </w:pPr>
      <w:r>
        <w:rPr>
          <w:rFonts w:ascii="Arial Narrow" w:hAnsi="Arial Narrow" w:cs="Arial"/>
          <w:lang/>
        </w:rPr>
        <w:t xml:space="preserve">Nota: Para el resultado de los cálculos obtenidos en la verificación de los índices de endeudamiento y capacidad organizacional se utilizarán cifras porcentuales redondeadas a un decimal, así: cuando la centésima del valor sea igual o superior a cinco se aproximará por exceso al número entero siguiente de la décima del valor y cuando la centésima del valor sea inferior a cinco se aproximará por defecto al número entero de la décima del valor. Para los demás indicadores (liquidez y cobertura de intereses) se utilizarán, para el cálculo, cifras con un decimal y la misma forma de aproximación anteriormente indicada. </w:t>
      </w:r>
    </w:p>
    <w:p w14:paraId="7CC84113">
      <w:pPr>
        <w:spacing w:after="0" w:line="240" w:lineRule="auto"/>
        <w:jc w:val="both"/>
        <w:rPr>
          <w:rFonts w:ascii="Arial Narrow" w:hAnsi="Arial Narrow" w:cs="Arial"/>
          <w:lang/>
        </w:rPr>
      </w:pPr>
    </w:p>
    <w:p w14:paraId="034EE1C1">
      <w:pPr>
        <w:pStyle w:val="52"/>
        <w:widowControl w:val="0"/>
        <w:numPr>
          <w:ilvl w:val="1"/>
          <w:numId w:val="13"/>
        </w:numPr>
        <w:overflowPunct w:val="0"/>
        <w:autoSpaceDE w:val="0"/>
        <w:autoSpaceDN w:val="0"/>
        <w:adjustRightInd w:val="0"/>
        <w:spacing w:after="0" w:line="240" w:lineRule="auto"/>
        <w:ind w:left="426" w:hanging="426"/>
        <w:jc w:val="both"/>
        <w:rPr>
          <w:rFonts w:ascii="Arial Narrow" w:hAnsi="Arial Narrow"/>
          <w:b/>
          <w:bCs/>
          <w:lang/>
        </w:rPr>
      </w:pPr>
      <w:r>
        <w:rPr>
          <w:rFonts w:ascii="Arial Narrow" w:hAnsi="Arial Narrow"/>
          <w:b/>
          <w:bCs/>
          <w:lang/>
        </w:rPr>
        <w:t>REQUISITOS TÉCNICOS HABILITANTES</w:t>
      </w:r>
    </w:p>
    <w:p w14:paraId="7FC89320">
      <w:pPr>
        <w:pStyle w:val="52"/>
        <w:widowControl w:val="0"/>
        <w:overflowPunct w:val="0"/>
        <w:autoSpaceDE w:val="0"/>
        <w:autoSpaceDN w:val="0"/>
        <w:adjustRightInd w:val="0"/>
        <w:spacing w:after="0" w:line="240" w:lineRule="auto"/>
        <w:ind w:left="426"/>
        <w:jc w:val="both"/>
        <w:rPr>
          <w:rFonts w:ascii="Arial Narrow" w:hAnsi="Arial Narrow"/>
          <w:b/>
          <w:bCs/>
          <w:lang/>
        </w:rPr>
      </w:pPr>
    </w:p>
    <w:p w14:paraId="29757402">
      <w:pPr>
        <w:pStyle w:val="52"/>
        <w:widowControl w:val="0"/>
        <w:numPr>
          <w:ilvl w:val="2"/>
          <w:numId w:val="13"/>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E</w:t>
      </w:r>
      <w:bookmarkEnd w:id="94"/>
      <w:r>
        <w:rPr>
          <w:rFonts w:ascii="Arial Narrow" w:hAnsi="Arial Narrow"/>
          <w:b/>
          <w:bCs/>
          <w:lang/>
        </w:rPr>
        <w:t>XPERIENCIA DEL PROPONENTE</w:t>
      </w:r>
    </w:p>
    <w:p w14:paraId="19F03F2E">
      <w:pPr>
        <w:spacing w:after="0" w:line="240" w:lineRule="auto"/>
        <w:rPr>
          <w:rFonts w:ascii="Arial Narrow" w:hAnsi="Arial Narrow" w:cs="Arial"/>
          <w:lang/>
        </w:rPr>
      </w:pPr>
    </w:p>
    <w:p w14:paraId="30B48202">
      <w:pPr>
        <w:spacing w:after="0" w:line="240" w:lineRule="auto"/>
        <w:jc w:val="both"/>
        <w:rPr>
          <w:rFonts w:ascii="Arial Narrow" w:hAnsi="Arial Narrow" w:cs="Arial"/>
          <w:lang/>
        </w:rPr>
      </w:pPr>
      <w:r>
        <w:rPr>
          <w:rFonts w:ascii="Arial Narrow" w:hAnsi="Arial Narrow" w:cs="Arial"/>
          <w:lang/>
        </w:rPr>
        <w:t>Los proponentes interesados en el presente proceso deberán acreditar los requisitos de verificación técnica que a continuación se describen:</w:t>
      </w:r>
    </w:p>
    <w:p w14:paraId="17EC4658">
      <w:pPr>
        <w:spacing w:after="0" w:line="240" w:lineRule="auto"/>
        <w:jc w:val="both"/>
        <w:rPr>
          <w:rFonts w:ascii="Arial Narrow" w:hAnsi="Arial Narrow" w:cs="Arial"/>
          <w:lang/>
        </w:rPr>
      </w:pPr>
    </w:p>
    <w:tbl>
      <w:tblPr>
        <w:tblStyle w:val="12"/>
        <w:tblW w:w="60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2972"/>
        <w:gridCol w:w="1701"/>
        <w:gridCol w:w="1418"/>
      </w:tblGrid>
      <w:tr w14:paraId="25E30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3" w:hRule="atLeast"/>
          <w:tblHeader/>
          <w:jc w:val="center"/>
        </w:trPr>
        <w:tc>
          <w:tcPr>
            <w:tcW w:w="2972" w:type="dxa"/>
            <w:shd w:val="clear" w:color="auto" w:fill="D0CECE"/>
            <w:vAlign w:val="center"/>
          </w:tcPr>
          <w:p w14:paraId="5E53599C">
            <w:pPr>
              <w:pStyle w:val="49"/>
              <w:jc w:val="center"/>
              <w:rPr>
                <w:rFonts w:ascii="Arial Narrow" w:hAnsi="Arial Narrow" w:cs="Arial"/>
                <w:b/>
                <w:bCs/>
                <w:sz w:val="18"/>
                <w:szCs w:val="18"/>
              </w:rPr>
            </w:pPr>
            <w:r>
              <w:rPr>
                <w:rFonts w:ascii="Arial Narrow" w:hAnsi="Arial Narrow" w:cs="Arial"/>
                <w:b/>
                <w:bCs/>
                <w:sz w:val="18"/>
                <w:szCs w:val="18"/>
              </w:rPr>
              <w:t>FACTOR</w:t>
            </w:r>
          </w:p>
        </w:tc>
        <w:tc>
          <w:tcPr>
            <w:tcW w:w="1701" w:type="dxa"/>
            <w:shd w:val="clear" w:color="auto" w:fill="D0CECE"/>
            <w:vAlign w:val="center"/>
          </w:tcPr>
          <w:p w14:paraId="3EA1A5FD">
            <w:pPr>
              <w:pStyle w:val="49"/>
              <w:jc w:val="center"/>
              <w:rPr>
                <w:rFonts w:ascii="Arial Narrow" w:hAnsi="Arial Narrow" w:cs="Arial"/>
                <w:b/>
                <w:bCs/>
                <w:sz w:val="18"/>
                <w:szCs w:val="18"/>
              </w:rPr>
            </w:pPr>
            <w:r>
              <w:rPr>
                <w:rFonts w:ascii="Arial Narrow" w:hAnsi="Arial Narrow" w:cs="Arial"/>
                <w:b/>
                <w:bCs/>
                <w:sz w:val="18"/>
                <w:szCs w:val="18"/>
              </w:rPr>
              <w:t>EVALUACIÓN</w:t>
            </w:r>
          </w:p>
        </w:tc>
        <w:tc>
          <w:tcPr>
            <w:tcW w:w="1418" w:type="dxa"/>
            <w:shd w:val="clear" w:color="auto" w:fill="D0CECE"/>
            <w:vAlign w:val="center"/>
          </w:tcPr>
          <w:p w14:paraId="5A69BF76">
            <w:pPr>
              <w:pStyle w:val="49"/>
              <w:jc w:val="center"/>
              <w:rPr>
                <w:rFonts w:ascii="Arial Narrow" w:hAnsi="Arial Narrow" w:cs="Arial"/>
                <w:b/>
                <w:bCs/>
                <w:sz w:val="18"/>
                <w:szCs w:val="18"/>
              </w:rPr>
            </w:pPr>
            <w:r>
              <w:rPr>
                <w:rFonts w:ascii="Arial Narrow" w:hAnsi="Arial Narrow" w:cs="Arial"/>
                <w:b/>
                <w:bCs/>
                <w:sz w:val="18"/>
                <w:szCs w:val="18"/>
              </w:rPr>
              <w:t>APLICA AL PROCESO</w:t>
            </w:r>
          </w:p>
        </w:tc>
      </w:tr>
      <w:tr w14:paraId="0B591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3" w:hRule="atLeast"/>
          <w:jc w:val="center"/>
        </w:trPr>
        <w:tc>
          <w:tcPr>
            <w:tcW w:w="2972" w:type="dxa"/>
            <w:vAlign w:val="center"/>
          </w:tcPr>
          <w:p w14:paraId="11DA5DFE">
            <w:pPr>
              <w:pStyle w:val="49"/>
              <w:jc w:val="center"/>
              <w:rPr>
                <w:rFonts w:ascii="Arial Narrow" w:hAnsi="Arial Narrow" w:cs="Arial"/>
                <w:sz w:val="18"/>
                <w:szCs w:val="18"/>
              </w:rPr>
            </w:pPr>
            <w:r>
              <w:rPr>
                <w:rFonts w:ascii="Arial Narrow" w:hAnsi="Arial Narrow" w:cs="Arial"/>
                <w:sz w:val="18"/>
                <w:szCs w:val="18"/>
              </w:rPr>
              <w:t>Experiencia general del proponente</w:t>
            </w:r>
          </w:p>
        </w:tc>
        <w:tc>
          <w:tcPr>
            <w:tcW w:w="1701" w:type="dxa"/>
            <w:vAlign w:val="center"/>
          </w:tcPr>
          <w:p w14:paraId="0154905A">
            <w:pPr>
              <w:pStyle w:val="49"/>
              <w:jc w:val="center"/>
              <w:rPr>
                <w:rFonts w:ascii="Arial Narrow" w:hAnsi="Arial Narrow" w:cs="Arial"/>
                <w:bCs/>
                <w:sz w:val="18"/>
                <w:szCs w:val="18"/>
              </w:rPr>
            </w:pPr>
            <w:r>
              <w:rPr>
                <w:rFonts w:ascii="Arial Narrow" w:hAnsi="Arial Narrow" w:cs="Arial"/>
                <w:bCs/>
                <w:sz w:val="18"/>
                <w:szCs w:val="18"/>
              </w:rPr>
              <w:t>CUMPLE /</w:t>
            </w:r>
          </w:p>
          <w:p w14:paraId="24326D37">
            <w:pPr>
              <w:pStyle w:val="49"/>
              <w:jc w:val="center"/>
              <w:rPr>
                <w:rFonts w:ascii="Arial Narrow" w:hAnsi="Arial Narrow" w:cs="Arial"/>
                <w:bCs/>
                <w:sz w:val="18"/>
                <w:szCs w:val="18"/>
              </w:rPr>
            </w:pPr>
            <w:r>
              <w:rPr>
                <w:rFonts w:ascii="Arial Narrow" w:hAnsi="Arial Narrow" w:cs="Arial"/>
                <w:bCs/>
                <w:sz w:val="18"/>
                <w:szCs w:val="18"/>
              </w:rPr>
              <w:t>NO CUMPLE</w:t>
            </w:r>
          </w:p>
        </w:tc>
        <w:tc>
          <w:tcPr>
            <w:tcW w:w="1418" w:type="dxa"/>
            <w:vAlign w:val="center"/>
          </w:tcPr>
          <w:p w14:paraId="3D94AA61">
            <w:pPr>
              <w:pStyle w:val="49"/>
              <w:jc w:val="center"/>
              <w:rPr>
                <w:rFonts w:ascii="Arial Narrow" w:hAnsi="Arial Narrow" w:cs="Arial"/>
                <w:bCs/>
                <w:sz w:val="18"/>
                <w:szCs w:val="18"/>
              </w:rPr>
            </w:pPr>
            <w:r>
              <w:rPr>
                <w:rFonts w:ascii="Arial Narrow" w:hAnsi="Arial Narrow" w:cs="Arial"/>
                <w:bCs/>
                <w:sz w:val="18"/>
                <w:szCs w:val="18"/>
              </w:rPr>
              <w:t>SI</w:t>
            </w:r>
          </w:p>
        </w:tc>
      </w:tr>
      <w:tr w14:paraId="2F6B7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3" w:hRule="atLeast"/>
          <w:jc w:val="center"/>
        </w:trPr>
        <w:tc>
          <w:tcPr>
            <w:tcW w:w="2972" w:type="dxa"/>
            <w:vAlign w:val="center"/>
          </w:tcPr>
          <w:p w14:paraId="72DE1545">
            <w:pPr>
              <w:pStyle w:val="49"/>
              <w:jc w:val="center"/>
              <w:rPr>
                <w:rFonts w:ascii="Arial Narrow" w:hAnsi="Arial Narrow" w:cs="Arial"/>
                <w:sz w:val="18"/>
                <w:szCs w:val="18"/>
              </w:rPr>
            </w:pPr>
            <w:r>
              <w:rPr>
                <w:rFonts w:ascii="Arial Narrow" w:hAnsi="Arial Narrow" w:cs="Arial"/>
                <w:sz w:val="18"/>
                <w:szCs w:val="18"/>
              </w:rPr>
              <w:t>Experiencia específica del proponente</w:t>
            </w:r>
          </w:p>
        </w:tc>
        <w:tc>
          <w:tcPr>
            <w:tcW w:w="1701" w:type="dxa"/>
            <w:vAlign w:val="center"/>
          </w:tcPr>
          <w:p w14:paraId="4CE2DC8B">
            <w:pPr>
              <w:pStyle w:val="49"/>
              <w:jc w:val="center"/>
              <w:rPr>
                <w:rFonts w:ascii="Arial Narrow" w:hAnsi="Arial Narrow" w:cs="Arial"/>
                <w:bCs/>
                <w:sz w:val="18"/>
                <w:szCs w:val="18"/>
              </w:rPr>
            </w:pPr>
            <w:r>
              <w:rPr>
                <w:rFonts w:ascii="Arial Narrow" w:hAnsi="Arial Narrow" w:cs="Arial"/>
                <w:bCs/>
                <w:sz w:val="18"/>
                <w:szCs w:val="18"/>
              </w:rPr>
              <w:t>CUMPLE /</w:t>
            </w:r>
          </w:p>
          <w:p w14:paraId="3633B0AA">
            <w:pPr>
              <w:pStyle w:val="49"/>
              <w:jc w:val="center"/>
              <w:rPr>
                <w:rFonts w:ascii="Arial Narrow" w:hAnsi="Arial Narrow" w:cs="Arial"/>
                <w:bCs/>
                <w:sz w:val="18"/>
                <w:szCs w:val="18"/>
              </w:rPr>
            </w:pPr>
            <w:r>
              <w:rPr>
                <w:rFonts w:ascii="Arial Narrow" w:hAnsi="Arial Narrow" w:cs="Arial"/>
                <w:bCs/>
                <w:sz w:val="18"/>
                <w:szCs w:val="18"/>
              </w:rPr>
              <w:t>NO CUMPLE</w:t>
            </w:r>
          </w:p>
        </w:tc>
        <w:tc>
          <w:tcPr>
            <w:tcW w:w="1418" w:type="dxa"/>
            <w:vAlign w:val="center"/>
          </w:tcPr>
          <w:p w14:paraId="780D405F">
            <w:pPr>
              <w:pStyle w:val="49"/>
              <w:jc w:val="center"/>
              <w:rPr>
                <w:rFonts w:ascii="Arial Narrow" w:hAnsi="Arial Narrow" w:cs="Arial"/>
                <w:bCs/>
                <w:sz w:val="18"/>
                <w:szCs w:val="18"/>
              </w:rPr>
            </w:pPr>
            <w:r>
              <w:rPr>
                <w:rFonts w:ascii="Arial Narrow" w:hAnsi="Arial Narrow" w:cs="Arial"/>
                <w:bCs/>
                <w:sz w:val="18"/>
                <w:szCs w:val="18"/>
              </w:rPr>
              <w:t>SI</w:t>
            </w:r>
          </w:p>
        </w:tc>
      </w:tr>
    </w:tbl>
    <w:p w14:paraId="242C5E4C">
      <w:pPr>
        <w:pStyle w:val="52"/>
        <w:widowControl w:val="0"/>
        <w:overflowPunct w:val="0"/>
        <w:autoSpaceDE w:val="0"/>
        <w:autoSpaceDN w:val="0"/>
        <w:adjustRightInd w:val="0"/>
        <w:spacing w:after="0" w:line="240" w:lineRule="auto"/>
        <w:ind w:left="709"/>
        <w:jc w:val="both"/>
        <w:rPr>
          <w:rFonts w:ascii="Arial Narrow" w:hAnsi="Arial Narrow"/>
          <w:b/>
          <w:bCs/>
          <w:lang/>
        </w:rPr>
      </w:pPr>
    </w:p>
    <w:p w14:paraId="39234A23">
      <w:pPr>
        <w:pStyle w:val="52"/>
        <w:widowControl w:val="0"/>
        <w:overflowPunct w:val="0"/>
        <w:autoSpaceDE w:val="0"/>
        <w:autoSpaceDN w:val="0"/>
        <w:adjustRightInd w:val="0"/>
        <w:spacing w:after="0" w:line="240" w:lineRule="auto"/>
        <w:ind w:left="709"/>
        <w:jc w:val="both"/>
        <w:rPr>
          <w:rFonts w:ascii="Arial Narrow" w:hAnsi="Arial Narrow"/>
          <w:b/>
          <w:bCs/>
          <w:lang/>
        </w:rPr>
      </w:pPr>
    </w:p>
    <w:p w14:paraId="4151031C">
      <w:pPr>
        <w:pStyle w:val="52"/>
        <w:widowControl w:val="0"/>
        <w:overflowPunct w:val="0"/>
        <w:autoSpaceDE w:val="0"/>
        <w:autoSpaceDN w:val="0"/>
        <w:adjustRightInd w:val="0"/>
        <w:spacing w:after="0" w:line="240" w:lineRule="auto"/>
        <w:ind w:left="709"/>
        <w:jc w:val="both"/>
        <w:rPr>
          <w:rFonts w:ascii="Arial Narrow" w:hAnsi="Arial Narrow"/>
          <w:b/>
          <w:bCs/>
          <w:lang/>
        </w:rPr>
      </w:pPr>
    </w:p>
    <w:p w14:paraId="4E1DCD26">
      <w:pPr>
        <w:pStyle w:val="52"/>
        <w:widowControl w:val="0"/>
        <w:overflowPunct w:val="0"/>
        <w:autoSpaceDE w:val="0"/>
        <w:autoSpaceDN w:val="0"/>
        <w:adjustRightInd w:val="0"/>
        <w:spacing w:after="0" w:line="240" w:lineRule="auto"/>
        <w:ind w:left="709"/>
        <w:jc w:val="both"/>
        <w:rPr>
          <w:rFonts w:ascii="Arial Narrow" w:hAnsi="Arial Narrow"/>
          <w:b/>
          <w:bCs/>
          <w:lang/>
        </w:rPr>
      </w:pPr>
    </w:p>
    <w:p w14:paraId="7965A991">
      <w:pPr>
        <w:pStyle w:val="52"/>
        <w:widowControl w:val="0"/>
        <w:overflowPunct w:val="0"/>
        <w:autoSpaceDE w:val="0"/>
        <w:autoSpaceDN w:val="0"/>
        <w:adjustRightInd w:val="0"/>
        <w:spacing w:after="0" w:line="240" w:lineRule="auto"/>
        <w:ind w:left="709"/>
        <w:jc w:val="both"/>
        <w:rPr>
          <w:rFonts w:ascii="Arial Narrow" w:hAnsi="Arial Narrow"/>
          <w:b/>
          <w:bCs/>
          <w:lang/>
        </w:rPr>
      </w:pPr>
    </w:p>
    <w:p w14:paraId="6464F8E0">
      <w:pPr>
        <w:pStyle w:val="52"/>
        <w:widowControl w:val="0"/>
        <w:numPr>
          <w:ilvl w:val="2"/>
          <w:numId w:val="13"/>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EXPERIENCIA GENERAL</w:t>
      </w:r>
    </w:p>
    <w:p w14:paraId="10AC82EB">
      <w:pPr>
        <w:spacing w:after="0" w:line="240" w:lineRule="auto"/>
        <w:jc w:val="both"/>
        <w:rPr>
          <w:rFonts w:ascii="Arial Narrow" w:hAnsi="Arial Narrow" w:cs="Arial"/>
          <w:lang/>
        </w:rPr>
      </w:pPr>
    </w:p>
    <w:p w14:paraId="60BE5072">
      <w:pPr>
        <w:ind w:right="-142"/>
        <w:jc w:val="both"/>
        <w:rPr>
          <w:rFonts w:ascii="Arial Narrow" w:hAnsi="Arial Narrow" w:eastAsia="Arial Unicode MS"/>
          <w:bCs/>
          <w:spacing w:val="-3"/>
        </w:rPr>
      </w:pPr>
      <w:r>
        <w:rPr>
          <w:rFonts w:ascii="Arial Narrow" w:hAnsi="Arial Narrow"/>
        </w:rPr>
        <w:t>La AEROCIVIL verificará la experiencia general del proponente con la información relacionada en el Formato No.19A –Experiencia General del Proponente, donde debe diligenciar la información de hasta tres (3) contratos registrados en el RUP e identificados en uno (1) de los códigos UNSPSC requeridos y que, sumados su valor total, expresado en SMMLV, sea igual o mayor al cien por ciento (100%) del presupuesto oficial.</w:t>
      </w:r>
    </w:p>
    <w:tbl>
      <w:tblPr>
        <w:tblStyle w:val="137"/>
        <w:tblW w:w="7200" w:type="dxa"/>
        <w:tblInd w:w="1682" w:type="dxa"/>
        <w:tblLayout w:type="autofit"/>
        <w:tblCellMar>
          <w:top w:w="47" w:type="dxa"/>
          <w:left w:w="172" w:type="dxa"/>
          <w:bottom w:w="0" w:type="dxa"/>
          <w:right w:w="115" w:type="dxa"/>
        </w:tblCellMar>
      </w:tblPr>
      <w:tblGrid>
        <w:gridCol w:w="2263"/>
        <w:gridCol w:w="4937"/>
      </w:tblGrid>
      <w:tr w14:paraId="7A1A7ACC">
        <w:tblPrEx>
          <w:tblCellMar>
            <w:top w:w="47" w:type="dxa"/>
            <w:left w:w="172" w:type="dxa"/>
            <w:bottom w:w="0" w:type="dxa"/>
            <w:right w:w="115" w:type="dxa"/>
          </w:tblCellMar>
        </w:tblPrEx>
        <w:trPr>
          <w:trHeight w:val="401" w:hRule="atLeast"/>
        </w:trPr>
        <w:tc>
          <w:tcPr>
            <w:tcW w:w="2263" w:type="dxa"/>
            <w:tcBorders>
              <w:top w:val="single" w:color="000000" w:sz="4" w:space="0"/>
              <w:left w:val="single" w:color="000000" w:sz="4" w:space="0"/>
              <w:bottom w:val="single" w:color="000000" w:sz="4" w:space="0"/>
              <w:right w:val="single" w:color="000000" w:sz="4" w:space="0"/>
            </w:tcBorders>
            <w:shd w:val="clear" w:color="auto" w:fill="D0CECE"/>
          </w:tcPr>
          <w:p w14:paraId="00211B6E">
            <w:pPr>
              <w:spacing w:after="0" w:line="259" w:lineRule="auto"/>
              <w:rPr>
                <w:rFonts w:ascii="Calibri" w:hAnsi="Calibri" w:cs="Calibri" w:eastAsiaTheme="minorEastAsia"/>
                <w:kern w:val="2"/>
                <w:sz w:val="22"/>
                <w:szCs w:val="22"/>
                <w:lang w:eastAsia="es-CO"/>
                <w14:ligatures w14:val="standardContextual"/>
              </w:rPr>
            </w:pPr>
            <w:r>
              <w:rPr>
                <w:rFonts w:ascii="Calibri" w:hAnsi="Calibri" w:cs="Calibri" w:eastAsiaTheme="minorEastAsia"/>
                <w:b/>
                <w:kern w:val="2"/>
                <w:sz w:val="22"/>
                <w:szCs w:val="22"/>
                <w:lang w:eastAsia="es-CO"/>
                <w14:ligatures w14:val="standardContextual"/>
              </w:rPr>
              <w:t xml:space="preserve">Clasificación UNSPSC </w:t>
            </w:r>
          </w:p>
        </w:tc>
        <w:tc>
          <w:tcPr>
            <w:tcW w:w="4937" w:type="dxa"/>
            <w:tcBorders>
              <w:top w:val="single" w:color="000000" w:sz="4" w:space="0"/>
              <w:left w:val="single" w:color="000000" w:sz="4" w:space="0"/>
              <w:bottom w:val="single" w:color="000000" w:sz="4" w:space="0"/>
              <w:right w:val="single" w:color="000000" w:sz="4" w:space="0"/>
            </w:tcBorders>
            <w:shd w:val="clear" w:color="auto" w:fill="D0CECE"/>
          </w:tcPr>
          <w:p w14:paraId="112601A9">
            <w:pPr>
              <w:spacing w:after="0" w:line="259" w:lineRule="auto"/>
              <w:ind w:right="56"/>
              <w:jc w:val="center"/>
              <w:rPr>
                <w:rFonts w:ascii="Calibri" w:hAnsi="Calibri" w:cs="Calibri" w:eastAsiaTheme="minorEastAsia"/>
                <w:kern w:val="2"/>
                <w:sz w:val="22"/>
                <w:szCs w:val="22"/>
                <w:lang w:eastAsia="es-CO"/>
                <w14:ligatures w14:val="standardContextual"/>
              </w:rPr>
            </w:pPr>
            <w:r>
              <w:rPr>
                <w:rFonts w:ascii="Calibri" w:hAnsi="Calibri" w:cs="Calibri" w:eastAsiaTheme="minorEastAsia"/>
                <w:b/>
                <w:kern w:val="2"/>
                <w:sz w:val="22"/>
                <w:szCs w:val="22"/>
                <w:lang w:eastAsia="es-CO"/>
                <w14:ligatures w14:val="standardContextual"/>
              </w:rPr>
              <w:t xml:space="preserve">Descripción </w:t>
            </w:r>
          </w:p>
        </w:tc>
      </w:tr>
      <w:tr w14:paraId="25FDAD61">
        <w:tblPrEx>
          <w:tblCellMar>
            <w:top w:w="47" w:type="dxa"/>
            <w:left w:w="172" w:type="dxa"/>
            <w:bottom w:w="0" w:type="dxa"/>
            <w:right w:w="115" w:type="dxa"/>
          </w:tblCellMar>
        </w:tblPrEx>
        <w:trPr>
          <w:trHeight w:val="294" w:hRule="atLeast"/>
        </w:trPr>
        <w:tc>
          <w:tcPr>
            <w:tcW w:w="2263" w:type="dxa"/>
            <w:tcBorders>
              <w:top w:val="single" w:color="000000" w:sz="4" w:space="0"/>
              <w:left w:val="single" w:color="000000" w:sz="4" w:space="0"/>
              <w:bottom w:val="single" w:color="000000" w:sz="4" w:space="0"/>
              <w:right w:val="single" w:color="000000" w:sz="4" w:space="0"/>
            </w:tcBorders>
          </w:tcPr>
          <w:p w14:paraId="64E5DA7A">
            <w:pPr>
              <w:spacing w:after="0" w:line="259" w:lineRule="auto"/>
              <w:ind w:right="58"/>
              <w:jc w:val="center"/>
              <w:rPr>
                <w:rFonts w:ascii="Calibri" w:hAnsi="Calibri" w:cs="Calibri" w:eastAsiaTheme="minorEastAsia"/>
                <w:kern w:val="2"/>
                <w:sz w:val="22"/>
                <w:szCs w:val="22"/>
                <w:lang w:eastAsia="es-CO"/>
                <w14:ligatures w14:val="standardContextual"/>
              </w:rPr>
            </w:pPr>
            <w:r>
              <w:rPr>
                <w:rFonts w:ascii="Calibri" w:hAnsi="Calibri" w:cs="Calibri" w:eastAsiaTheme="minorEastAsia"/>
                <w:kern w:val="2"/>
                <w:sz w:val="22"/>
                <w:szCs w:val="22"/>
                <w:lang w:eastAsia="es-CO"/>
                <w14:ligatures w14:val="standardContextual"/>
              </w:rPr>
              <w:t xml:space="preserve">39101600 </w:t>
            </w:r>
          </w:p>
        </w:tc>
        <w:tc>
          <w:tcPr>
            <w:tcW w:w="4937" w:type="dxa"/>
            <w:tcBorders>
              <w:top w:val="single" w:color="000000" w:sz="4" w:space="0"/>
              <w:left w:val="single" w:color="000000" w:sz="4" w:space="0"/>
              <w:bottom w:val="single" w:color="000000" w:sz="4" w:space="0"/>
              <w:right w:val="single" w:color="000000" w:sz="4" w:space="0"/>
            </w:tcBorders>
          </w:tcPr>
          <w:p w14:paraId="60FB5BCD">
            <w:pPr>
              <w:spacing w:after="0" w:line="259" w:lineRule="auto"/>
              <w:ind w:right="56"/>
              <w:jc w:val="center"/>
              <w:rPr>
                <w:rFonts w:ascii="Calibri" w:hAnsi="Calibri" w:cs="Calibri" w:eastAsiaTheme="minorEastAsia"/>
                <w:kern w:val="2"/>
                <w:sz w:val="22"/>
                <w:szCs w:val="22"/>
                <w:lang w:eastAsia="es-CO"/>
                <w14:ligatures w14:val="standardContextual"/>
              </w:rPr>
            </w:pPr>
            <w:r>
              <w:rPr>
                <w:rFonts w:ascii="Calibri" w:hAnsi="Calibri" w:cs="Calibri" w:eastAsiaTheme="minorEastAsia"/>
                <w:kern w:val="2"/>
                <w:sz w:val="22"/>
                <w:szCs w:val="22"/>
                <w:lang w:eastAsia="es-CO"/>
                <w14:ligatures w14:val="standardContextual"/>
              </w:rPr>
              <w:t xml:space="preserve">Lámparas y bombillas </w:t>
            </w:r>
          </w:p>
        </w:tc>
      </w:tr>
      <w:tr w14:paraId="021652D0">
        <w:tblPrEx>
          <w:tblCellMar>
            <w:top w:w="47" w:type="dxa"/>
            <w:left w:w="172" w:type="dxa"/>
            <w:bottom w:w="0" w:type="dxa"/>
            <w:right w:w="115" w:type="dxa"/>
          </w:tblCellMar>
        </w:tblPrEx>
        <w:trPr>
          <w:trHeight w:val="295" w:hRule="atLeast"/>
        </w:trPr>
        <w:tc>
          <w:tcPr>
            <w:tcW w:w="2263" w:type="dxa"/>
            <w:tcBorders>
              <w:top w:val="single" w:color="000000" w:sz="4" w:space="0"/>
              <w:left w:val="single" w:color="000000" w:sz="4" w:space="0"/>
              <w:bottom w:val="single" w:color="000000" w:sz="4" w:space="0"/>
              <w:right w:val="single" w:color="000000" w:sz="4" w:space="0"/>
            </w:tcBorders>
          </w:tcPr>
          <w:p w14:paraId="0FF116EB">
            <w:pPr>
              <w:spacing w:after="0" w:line="259" w:lineRule="auto"/>
              <w:ind w:right="58"/>
              <w:jc w:val="center"/>
              <w:rPr>
                <w:rFonts w:ascii="Calibri" w:hAnsi="Calibri" w:cs="Calibri" w:eastAsiaTheme="minorEastAsia"/>
                <w:kern w:val="2"/>
                <w:sz w:val="22"/>
                <w:szCs w:val="22"/>
                <w:lang w:eastAsia="es-CO"/>
                <w14:ligatures w14:val="standardContextual"/>
              </w:rPr>
            </w:pPr>
            <w:r>
              <w:rPr>
                <w:rFonts w:ascii="Calibri" w:hAnsi="Calibri" w:cs="Calibri" w:eastAsiaTheme="minorEastAsia"/>
                <w:kern w:val="2"/>
                <w:sz w:val="22"/>
                <w:szCs w:val="22"/>
                <w:lang w:eastAsia="es-CO"/>
                <w14:ligatures w14:val="standardContextual"/>
              </w:rPr>
              <w:t xml:space="preserve">39111500 </w:t>
            </w:r>
          </w:p>
        </w:tc>
        <w:tc>
          <w:tcPr>
            <w:tcW w:w="4937" w:type="dxa"/>
            <w:tcBorders>
              <w:top w:val="single" w:color="000000" w:sz="4" w:space="0"/>
              <w:left w:val="single" w:color="000000" w:sz="4" w:space="0"/>
              <w:bottom w:val="single" w:color="000000" w:sz="4" w:space="0"/>
              <w:right w:val="single" w:color="000000" w:sz="4" w:space="0"/>
            </w:tcBorders>
          </w:tcPr>
          <w:p w14:paraId="2F08DD16">
            <w:pPr>
              <w:spacing w:after="0" w:line="259" w:lineRule="auto"/>
              <w:ind w:right="59"/>
              <w:jc w:val="center"/>
              <w:rPr>
                <w:rFonts w:ascii="Calibri" w:hAnsi="Calibri" w:cs="Calibri" w:eastAsiaTheme="minorEastAsia"/>
                <w:kern w:val="2"/>
                <w:sz w:val="22"/>
                <w:szCs w:val="22"/>
                <w:lang w:eastAsia="es-CO"/>
                <w14:ligatures w14:val="standardContextual"/>
              </w:rPr>
            </w:pPr>
            <w:r>
              <w:rPr>
                <w:rFonts w:ascii="Calibri" w:hAnsi="Calibri" w:cs="Calibri" w:eastAsiaTheme="minorEastAsia"/>
                <w:kern w:val="2"/>
                <w:sz w:val="22"/>
                <w:szCs w:val="22"/>
                <w:lang w:eastAsia="es-CO"/>
                <w14:ligatures w14:val="standardContextual"/>
              </w:rPr>
              <w:t xml:space="preserve">Iluminación de interiores y artefactos </w:t>
            </w:r>
          </w:p>
        </w:tc>
      </w:tr>
      <w:tr w14:paraId="6B45B8ED">
        <w:tblPrEx>
          <w:tblCellMar>
            <w:top w:w="47" w:type="dxa"/>
            <w:left w:w="172" w:type="dxa"/>
            <w:bottom w:w="0" w:type="dxa"/>
            <w:right w:w="115" w:type="dxa"/>
          </w:tblCellMar>
        </w:tblPrEx>
        <w:trPr>
          <w:trHeight w:val="293" w:hRule="atLeast"/>
        </w:trPr>
        <w:tc>
          <w:tcPr>
            <w:tcW w:w="2263" w:type="dxa"/>
            <w:tcBorders>
              <w:top w:val="single" w:color="000000" w:sz="4" w:space="0"/>
              <w:left w:val="single" w:color="000000" w:sz="4" w:space="0"/>
              <w:bottom w:val="single" w:color="000000" w:sz="4" w:space="0"/>
              <w:right w:val="single" w:color="000000" w:sz="4" w:space="0"/>
            </w:tcBorders>
          </w:tcPr>
          <w:p w14:paraId="2D73A36C">
            <w:pPr>
              <w:spacing w:after="0" w:line="259" w:lineRule="auto"/>
              <w:ind w:right="58"/>
              <w:jc w:val="center"/>
              <w:rPr>
                <w:rFonts w:ascii="Calibri" w:hAnsi="Calibri" w:cs="Calibri" w:eastAsiaTheme="minorEastAsia"/>
                <w:kern w:val="2"/>
                <w:sz w:val="22"/>
                <w:szCs w:val="22"/>
                <w:lang w:eastAsia="es-CO"/>
                <w14:ligatures w14:val="standardContextual"/>
              </w:rPr>
            </w:pPr>
            <w:r>
              <w:rPr>
                <w:rFonts w:ascii="Calibri" w:hAnsi="Calibri" w:cs="Calibri" w:eastAsiaTheme="minorEastAsia"/>
                <w:kern w:val="2"/>
                <w:sz w:val="22"/>
                <w:szCs w:val="22"/>
                <w:lang w:eastAsia="es-CO"/>
                <w14:ligatures w14:val="standardContextual"/>
              </w:rPr>
              <w:t xml:space="preserve">39112100 </w:t>
            </w:r>
          </w:p>
        </w:tc>
        <w:tc>
          <w:tcPr>
            <w:tcW w:w="4937" w:type="dxa"/>
            <w:tcBorders>
              <w:top w:val="single" w:color="000000" w:sz="4" w:space="0"/>
              <w:left w:val="single" w:color="000000" w:sz="4" w:space="0"/>
              <w:bottom w:val="single" w:color="000000" w:sz="4" w:space="0"/>
              <w:right w:val="single" w:color="000000" w:sz="4" w:space="0"/>
            </w:tcBorders>
          </w:tcPr>
          <w:p w14:paraId="48512002">
            <w:pPr>
              <w:spacing w:after="0" w:line="259" w:lineRule="auto"/>
              <w:ind w:right="57"/>
              <w:jc w:val="center"/>
              <w:rPr>
                <w:rFonts w:ascii="Calibri" w:hAnsi="Calibri" w:cs="Calibri" w:eastAsiaTheme="minorEastAsia"/>
                <w:kern w:val="2"/>
                <w:sz w:val="22"/>
                <w:szCs w:val="22"/>
                <w:lang w:eastAsia="es-CO"/>
                <w14:ligatures w14:val="standardContextual"/>
              </w:rPr>
            </w:pPr>
            <w:r>
              <w:rPr>
                <w:rFonts w:ascii="Calibri" w:hAnsi="Calibri" w:cs="Calibri" w:eastAsiaTheme="minorEastAsia"/>
                <w:kern w:val="2"/>
                <w:sz w:val="22"/>
                <w:szCs w:val="22"/>
                <w:lang w:eastAsia="es-CO"/>
                <w14:ligatures w14:val="standardContextual"/>
              </w:rPr>
              <w:t xml:space="preserve">Iluminación óptica </w:t>
            </w:r>
          </w:p>
        </w:tc>
      </w:tr>
    </w:tbl>
    <w:p w14:paraId="0A168680">
      <w:pPr>
        <w:spacing w:after="0" w:line="240" w:lineRule="auto"/>
        <w:jc w:val="both"/>
        <w:rPr>
          <w:rFonts w:ascii="Arial Narrow" w:hAnsi="Arial Narrow" w:cs="Arial"/>
          <w:b/>
          <w:lang/>
        </w:rPr>
      </w:pPr>
    </w:p>
    <w:p w14:paraId="3DF9CD2E">
      <w:pPr>
        <w:spacing w:after="0" w:line="240" w:lineRule="auto"/>
        <w:jc w:val="both"/>
        <w:rPr>
          <w:rFonts w:ascii="Arial Narrow" w:hAnsi="Arial Narrow" w:cs="Arial"/>
          <w:b/>
          <w:lang/>
        </w:rPr>
      </w:pPr>
    </w:p>
    <w:p w14:paraId="1D3282DE">
      <w:pPr>
        <w:pStyle w:val="52"/>
        <w:widowControl w:val="0"/>
        <w:numPr>
          <w:ilvl w:val="3"/>
          <w:numId w:val="13"/>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 xml:space="preserve">Consideraciones para la Acreditación de la Experiencia General </w:t>
      </w:r>
    </w:p>
    <w:p w14:paraId="35D33220">
      <w:pPr>
        <w:adjustRightInd w:val="0"/>
        <w:spacing w:after="0" w:line="240" w:lineRule="auto"/>
        <w:contextualSpacing/>
        <w:jc w:val="both"/>
        <w:rPr>
          <w:rFonts w:ascii="Arial Narrow" w:hAnsi="Arial Narrow" w:cs="Arial"/>
          <w:b/>
          <w:bCs/>
          <w:color w:val="000000"/>
          <w:kern w:val="32"/>
          <w:highlight w:val="lightGray"/>
          <w:lang/>
        </w:rPr>
      </w:pPr>
    </w:p>
    <w:p w14:paraId="32D6363B">
      <w:pPr>
        <w:numPr>
          <w:ilvl w:val="0"/>
          <w:numId w:val="24"/>
        </w:numPr>
        <w:spacing w:after="0" w:line="240" w:lineRule="auto"/>
        <w:ind w:left="426" w:hanging="142"/>
        <w:jc w:val="both"/>
        <w:rPr>
          <w:rFonts w:ascii="Arial Narrow" w:hAnsi="Arial Narrow" w:cs="Arial"/>
          <w:lang/>
        </w:rPr>
      </w:pPr>
      <w:r>
        <w:rPr>
          <w:rFonts w:ascii="Arial Narrow" w:hAnsi="Arial Narrow" w:cs="Arial"/>
          <w:lang/>
        </w:rPr>
        <w:t xml:space="preserve">Para el presente proceso de selección la experiencia a acreditar deberá encontrarse relacionada en el </w:t>
      </w:r>
      <w:r>
        <w:rPr>
          <w:rFonts w:ascii="Arial Narrow" w:hAnsi="Arial Narrow" w:cs="Arial"/>
          <w:b/>
          <w:bCs/>
          <w:lang/>
        </w:rPr>
        <w:t>Formato 19A Experiencia General del Proponente</w:t>
      </w:r>
    </w:p>
    <w:p w14:paraId="5EEB31D1">
      <w:pPr>
        <w:spacing w:after="0" w:line="240" w:lineRule="auto"/>
        <w:ind w:hanging="142"/>
        <w:jc w:val="both"/>
        <w:rPr>
          <w:rFonts w:ascii="Arial Narrow" w:hAnsi="Arial Narrow" w:cs="Arial"/>
          <w:lang/>
        </w:rPr>
      </w:pPr>
    </w:p>
    <w:p w14:paraId="7FE2F8F3">
      <w:pPr>
        <w:numPr>
          <w:ilvl w:val="0"/>
          <w:numId w:val="24"/>
        </w:numPr>
        <w:spacing w:after="0" w:line="240" w:lineRule="auto"/>
        <w:ind w:left="426" w:hanging="142"/>
        <w:jc w:val="both"/>
        <w:rPr>
          <w:rFonts w:ascii="Arial Narrow" w:hAnsi="Arial Narrow" w:cs="Arial"/>
          <w:lang/>
        </w:rPr>
      </w:pPr>
      <w:r>
        <w:rPr>
          <w:rFonts w:ascii="Arial Narrow" w:hAnsi="Arial Narrow" w:cs="Arial"/>
          <w:lang/>
        </w:rPr>
        <w:t>En caso de que el proponente acredite contratos en los que haya participado como unión temporal o consorcio o sociedades o promesa de sociedad futura, se le acreditará como experiencia el valor que corresponda a su porcentaje de Participación.</w:t>
      </w:r>
    </w:p>
    <w:p w14:paraId="41757884">
      <w:pPr>
        <w:spacing w:after="0" w:line="240" w:lineRule="auto"/>
        <w:ind w:left="426" w:hanging="142"/>
        <w:jc w:val="both"/>
        <w:rPr>
          <w:rFonts w:ascii="Arial Narrow" w:hAnsi="Arial Narrow" w:cs="Arial"/>
          <w:lang/>
        </w:rPr>
      </w:pPr>
    </w:p>
    <w:p w14:paraId="529D2BB4">
      <w:pPr>
        <w:numPr>
          <w:ilvl w:val="0"/>
          <w:numId w:val="24"/>
        </w:numPr>
        <w:spacing w:after="0" w:line="240" w:lineRule="auto"/>
        <w:ind w:left="426" w:hanging="142"/>
        <w:jc w:val="both"/>
        <w:rPr>
          <w:rFonts w:ascii="Arial Narrow" w:hAnsi="Arial Narrow" w:cs="Arial"/>
          <w:lang/>
        </w:rPr>
      </w:pPr>
      <w:r>
        <w:rPr>
          <w:rFonts w:ascii="Arial Narrow" w:hAnsi="Arial Narrow" w:cs="Arial"/>
          <w:lang/>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El porcentaje de participación a considerar será el reportado en el Registro Único de Proponentes – RUP.</w:t>
      </w:r>
    </w:p>
    <w:p w14:paraId="72A28ABA">
      <w:pPr>
        <w:spacing w:after="0" w:line="240" w:lineRule="auto"/>
        <w:ind w:left="426" w:hanging="142"/>
        <w:jc w:val="both"/>
        <w:rPr>
          <w:rFonts w:ascii="Arial Narrow" w:hAnsi="Arial Narrow" w:cs="Arial"/>
          <w:lang/>
        </w:rPr>
      </w:pPr>
    </w:p>
    <w:p w14:paraId="60B108D0">
      <w:pPr>
        <w:numPr>
          <w:ilvl w:val="0"/>
          <w:numId w:val="24"/>
        </w:numPr>
        <w:spacing w:after="0" w:line="240" w:lineRule="auto"/>
        <w:ind w:left="426" w:hanging="142"/>
        <w:jc w:val="both"/>
        <w:rPr>
          <w:rFonts w:ascii="Arial Narrow" w:hAnsi="Arial Narrow" w:cs="Arial"/>
          <w:lang/>
        </w:rPr>
      </w:pPr>
      <w:r>
        <w:rPr>
          <w:rFonts w:ascii="Arial Narrow" w:hAnsi="Arial Narrow" w:cs="Arial"/>
          <w:b/>
          <w:bCs/>
          <w:lang/>
        </w:rPr>
        <w:t>Los proponentes extranjeros sin domicilio o sucursal en Colombia, no obligados a tener inscripción en el RUP</w:t>
      </w:r>
      <w:r>
        <w:rPr>
          <w:rFonts w:ascii="Arial Narrow" w:hAnsi="Arial Narrow" w:cs="Arial"/>
          <w:lang/>
        </w:rPr>
        <w:t xml:space="preserve">, deberán diligenciar el </w:t>
      </w:r>
      <w:r>
        <w:rPr>
          <w:rFonts w:ascii="Arial Narrow" w:hAnsi="Arial Narrow" w:cs="Arial"/>
          <w:b/>
          <w:bCs/>
          <w:lang/>
        </w:rPr>
        <w:t>Formato 19A Experiencia General del Proponente</w:t>
      </w:r>
      <w:r>
        <w:rPr>
          <w:rFonts w:ascii="Arial Narrow" w:hAnsi="Arial Narrow" w:cs="Arial"/>
          <w:lang/>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02AC0E86">
      <w:pPr>
        <w:pStyle w:val="30"/>
        <w:jc w:val="both"/>
        <w:rPr>
          <w:rFonts w:ascii="Arial Narrow" w:hAnsi="Arial Narrow" w:cs="Arial"/>
          <w:sz w:val="22"/>
          <w:szCs w:val="22"/>
          <w:lang w:eastAsia="en-US"/>
        </w:rPr>
      </w:pPr>
    </w:p>
    <w:p w14:paraId="1DB5E0EE">
      <w:pPr>
        <w:spacing w:after="0" w:line="240" w:lineRule="auto"/>
        <w:ind w:left="426"/>
        <w:jc w:val="both"/>
        <w:rPr>
          <w:rFonts w:ascii="Arial Narrow" w:hAnsi="Arial Narrow" w:cs="Arial"/>
          <w:spacing w:val="-3"/>
          <w:lang/>
        </w:rPr>
      </w:pPr>
      <w:r>
        <w:rPr>
          <w:rFonts w:ascii="Arial Narrow" w:hAnsi="Arial Narrow" w:cs="Arial"/>
          <w:lang/>
        </w:rPr>
        <w:t xml:space="preserve">Si el valor del contrato está pactado en una moneda extranjera se convertirá a pesos colombianos, dando aplicación a lo contenido en el </w:t>
      </w:r>
      <w:r>
        <w:rPr>
          <w:rFonts w:ascii="Arial Narrow" w:hAnsi="Arial Narrow" w:cs="Arial"/>
          <w:b/>
          <w:bCs/>
          <w:lang/>
        </w:rPr>
        <w:t xml:space="preserve">literal b del numeral 2.16 </w:t>
      </w:r>
      <w:r>
        <w:rPr>
          <w:rFonts w:ascii="Arial Narrow" w:hAnsi="Arial Narrow" w:cs="Arial"/>
          <w:lang/>
        </w:rPr>
        <w:t>del presente documento.</w:t>
      </w:r>
    </w:p>
    <w:p w14:paraId="6582D16B">
      <w:pPr>
        <w:widowControl w:val="0"/>
        <w:tabs>
          <w:tab w:val="left" w:pos="-720"/>
          <w:tab w:val="left" w:pos="0"/>
        </w:tabs>
        <w:overflowPunct w:val="0"/>
        <w:autoSpaceDE w:val="0"/>
        <w:autoSpaceDN w:val="0"/>
        <w:adjustRightInd w:val="0"/>
        <w:spacing w:after="0" w:line="240" w:lineRule="auto"/>
        <w:jc w:val="both"/>
        <w:textAlignment w:val="baseline"/>
        <w:rPr>
          <w:rFonts w:ascii="Arial Narrow" w:hAnsi="Arial Narrow" w:cs="Arial"/>
          <w:spacing w:val="-3"/>
          <w:lang/>
        </w:rPr>
      </w:pPr>
    </w:p>
    <w:p w14:paraId="66A8E73C">
      <w:pPr>
        <w:autoSpaceDE w:val="0"/>
        <w:autoSpaceDN w:val="0"/>
        <w:adjustRightInd w:val="0"/>
        <w:spacing w:after="0" w:line="240" w:lineRule="auto"/>
        <w:ind w:left="426"/>
        <w:jc w:val="both"/>
        <w:rPr>
          <w:rFonts w:ascii="Arial Narrow" w:hAnsi="Arial Narrow" w:cs="Arial"/>
          <w:b/>
          <w:bCs/>
          <w:lang/>
        </w:rPr>
      </w:pPr>
      <w:r>
        <w:rPr>
          <w:rFonts w:ascii="Arial Narrow" w:hAnsi="Arial Narrow" w:cs="Arial"/>
          <w:lang/>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78BBE22D">
      <w:pPr>
        <w:autoSpaceDE w:val="0"/>
        <w:autoSpaceDN w:val="0"/>
        <w:adjustRightInd w:val="0"/>
        <w:spacing w:after="0" w:line="240" w:lineRule="auto"/>
        <w:ind w:left="426"/>
        <w:jc w:val="both"/>
        <w:rPr>
          <w:rFonts w:ascii="Arial Narrow" w:hAnsi="Arial Narrow" w:cs="Arial"/>
          <w:b/>
          <w:bCs/>
          <w:lang/>
        </w:rPr>
      </w:pPr>
    </w:p>
    <w:p w14:paraId="5AE0E270">
      <w:pPr>
        <w:numPr>
          <w:ilvl w:val="0"/>
          <w:numId w:val="25"/>
        </w:numPr>
        <w:spacing w:after="0" w:line="240" w:lineRule="auto"/>
        <w:rPr>
          <w:rFonts w:ascii="Arial Narrow" w:hAnsi="Arial Narrow"/>
          <w:lang/>
        </w:rPr>
      </w:pPr>
      <w:r>
        <w:rPr>
          <w:rFonts w:ascii="Arial Narrow" w:hAnsi="Arial Narrow"/>
          <w:lang/>
        </w:rPr>
        <w:t xml:space="preserve">Objeto del contrato (Si aplica) </w:t>
      </w:r>
    </w:p>
    <w:p w14:paraId="005BD9E7">
      <w:pPr>
        <w:numPr>
          <w:ilvl w:val="0"/>
          <w:numId w:val="25"/>
        </w:numPr>
        <w:spacing w:after="0" w:line="240" w:lineRule="auto"/>
        <w:rPr>
          <w:rFonts w:ascii="Arial Narrow" w:hAnsi="Arial Narrow"/>
          <w:lang/>
        </w:rPr>
      </w:pPr>
      <w:r>
        <w:rPr>
          <w:rFonts w:ascii="Arial Narrow" w:hAnsi="Arial Narrow"/>
          <w:lang/>
        </w:rPr>
        <w:t>Número del contrato (Si aplica)</w:t>
      </w:r>
    </w:p>
    <w:p w14:paraId="5EC32604">
      <w:pPr>
        <w:numPr>
          <w:ilvl w:val="0"/>
          <w:numId w:val="25"/>
        </w:numPr>
        <w:spacing w:after="0" w:line="240" w:lineRule="auto"/>
        <w:rPr>
          <w:rFonts w:ascii="Arial Narrow" w:hAnsi="Arial Narrow"/>
          <w:lang/>
        </w:rPr>
      </w:pPr>
      <w:r>
        <w:rPr>
          <w:rFonts w:ascii="Arial Narrow" w:hAnsi="Arial Narrow"/>
          <w:lang/>
        </w:rPr>
        <w:t xml:space="preserve">Entidad Contratante </w:t>
      </w:r>
    </w:p>
    <w:p w14:paraId="7F966302">
      <w:pPr>
        <w:numPr>
          <w:ilvl w:val="0"/>
          <w:numId w:val="25"/>
        </w:numPr>
        <w:spacing w:after="0" w:line="240" w:lineRule="auto"/>
        <w:rPr>
          <w:rFonts w:ascii="Arial Narrow" w:hAnsi="Arial Narrow"/>
          <w:lang/>
        </w:rPr>
      </w:pPr>
      <w:r>
        <w:rPr>
          <w:rFonts w:ascii="Arial Narrow" w:hAnsi="Arial Narrow"/>
          <w:lang/>
        </w:rPr>
        <w:t>Valor inicial del contrato</w:t>
      </w:r>
    </w:p>
    <w:p w14:paraId="4761401B">
      <w:pPr>
        <w:numPr>
          <w:ilvl w:val="0"/>
          <w:numId w:val="25"/>
        </w:numPr>
        <w:spacing w:after="0" w:line="240" w:lineRule="auto"/>
        <w:rPr>
          <w:rFonts w:ascii="Arial Narrow" w:hAnsi="Arial Narrow"/>
          <w:lang/>
        </w:rPr>
      </w:pPr>
      <w:r>
        <w:rPr>
          <w:rFonts w:ascii="Arial Narrow" w:hAnsi="Arial Narrow"/>
          <w:lang/>
        </w:rPr>
        <w:t xml:space="preserve">Valor final ejecutado del contrato </w:t>
      </w:r>
    </w:p>
    <w:p w14:paraId="78E539BA">
      <w:pPr>
        <w:numPr>
          <w:ilvl w:val="0"/>
          <w:numId w:val="25"/>
        </w:numPr>
        <w:spacing w:after="0" w:line="240" w:lineRule="auto"/>
        <w:rPr>
          <w:rFonts w:ascii="Arial Narrow" w:hAnsi="Arial Narrow"/>
          <w:lang/>
        </w:rPr>
      </w:pPr>
      <w:r>
        <w:rPr>
          <w:rFonts w:ascii="Arial Narrow" w:hAnsi="Arial Narrow"/>
          <w:lang/>
        </w:rPr>
        <w:t>Actividades y/o bienes ejecutados (Si aplica, conforme al literal iii del presente numeral)</w:t>
      </w:r>
    </w:p>
    <w:p w14:paraId="0CE48052">
      <w:pPr>
        <w:numPr>
          <w:ilvl w:val="0"/>
          <w:numId w:val="25"/>
        </w:numPr>
        <w:spacing w:after="0" w:line="240" w:lineRule="auto"/>
        <w:rPr>
          <w:rFonts w:ascii="Arial Narrow" w:hAnsi="Arial Narrow"/>
          <w:lang/>
        </w:rPr>
      </w:pPr>
      <w:r>
        <w:rPr>
          <w:rFonts w:ascii="Arial Narrow" w:hAnsi="Arial Narrow"/>
          <w:lang/>
        </w:rPr>
        <w:t xml:space="preserve">Fecha de inicio (debe indicar día, mes y año) </w:t>
      </w:r>
    </w:p>
    <w:p w14:paraId="351B850F">
      <w:pPr>
        <w:numPr>
          <w:ilvl w:val="0"/>
          <w:numId w:val="25"/>
        </w:numPr>
        <w:spacing w:after="0" w:line="240" w:lineRule="auto"/>
        <w:rPr>
          <w:rFonts w:ascii="Arial Narrow" w:hAnsi="Arial Narrow"/>
          <w:lang/>
        </w:rPr>
      </w:pPr>
      <w:r>
        <w:rPr>
          <w:rFonts w:ascii="Arial Narrow" w:hAnsi="Arial Narrow"/>
          <w:lang/>
        </w:rPr>
        <w:t xml:space="preserve">Fecha de terminación del contrato (debe indicar día, mes y año) </w:t>
      </w:r>
    </w:p>
    <w:p w14:paraId="7BCC5DEC">
      <w:pPr>
        <w:numPr>
          <w:ilvl w:val="0"/>
          <w:numId w:val="25"/>
        </w:numPr>
        <w:spacing w:after="0" w:line="240" w:lineRule="auto"/>
        <w:rPr>
          <w:rFonts w:ascii="Arial Narrow" w:hAnsi="Arial Narrow"/>
          <w:lang/>
        </w:rPr>
      </w:pPr>
      <w:r>
        <w:rPr>
          <w:rFonts w:ascii="Arial Narrow" w:hAnsi="Arial Narrow"/>
          <w:lang/>
        </w:rPr>
        <w:t>Nombre, cargo y datos de contacto de la persona que expide la certificación (para certificaciones)</w:t>
      </w:r>
    </w:p>
    <w:p w14:paraId="34397097">
      <w:pPr>
        <w:spacing w:after="0" w:line="240" w:lineRule="auto"/>
        <w:ind w:left="426"/>
        <w:jc w:val="both"/>
        <w:rPr>
          <w:rFonts w:ascii="Arial Narrow" w:hAnsi="Arial Narrow" w:cs="Arial"/>
          <w:b/>
          <w:bCs/>
          <w:lang/>
        </w:rPr>
      </w:pPr>
    </w:p>
    <w:p w14:paraId="1FA06318">
      <w:pPr>
        <w:spacing w:after="0" w:line="240" w:lineRule="auto"/>
        <w:ind w:left="426"/>
        <w:jc w:val="both"/>
        <w:rPr>
          <w:rFonts w:ascii="Arial Narrow" w:hAnsi="Arial Narrow" w:cs="Arial"/>
          <w:lang/>
        </w:rPr>
      </w:pPr>
      <w:r>
        <w:rPr>
          <w:rFonts w:ascii="Arial Narrow" w:hAnsi="Arial Narrow" w:cs="Arial"/>
          <w:b/>
          <w:bCs/>
          <w:lang/>
        </w:rPr>
        <w:t>Certificación para empresas con menos de tres (03) años de constituidas:</w:t>
      </w:r>
      <w:r>
        <w:rPr>
          <w:rFonts w:ascii="Arial Narrow" w:hAnsi="Arial Narrow" w:cs="Arial"/>
          <w:lang/>
        </w:rPr>
        <w:t xml:space="preserve">  Las p</w:t>
      </w:r>
      <w:r>
        <w:rPr>
          <w:rFonts w:ascii="Arial Narrow" w:hAnsi="Arial Narrow" w:cs="Arial"/>
          <w:bCs/>
          <w:color w:val="000000"/>
          <w:kern w:val="32"/>
          <w:lang/>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67064D75">
      <w:pPr>
        <w:spacing w:after="0" w:line="240" w:lineRule="auto"/>
        <w:ind w:left="426"/>
        <w:jc w:val="both"/>
        <w:rPr>
          <w:rFonts w:ascii="Arial Narrow" w:hAnsi="Arial Narrow" w:cs="Arial"/>
          <w:lang/>
        </w:rPr>
      </w:pPr>
    </w:p>
    <w:p w14:paraId="77D6751D">
      <w:pPr>
        <w:spacing w:after="0" w:line="240" w:lineRule="auto"/>
        <w:ind w:left="426"/>
        <w:jc w:val="both"/>
        <w:rPr>
          <w:rFonts w:ascii="Arial Narrow" w:hAnsi="Arial Narrow" w:cs="Arial"/>
          <w:lang/>
        </w:rPr>
      </w:pPr>
      <w:r>
        <w:rPr>
          <w:rFonts w:ascii="Arial Narrow" w:hAnsi="Arial Narrow" w:cs="Arial"/>
          <w:b/>
          <w:color w:val="000000"/>
          <w:kern w:val="32"/>
          <w:lang/>
        </w:rPr>
        <w:t>Nota:</w:t>
      </w:r>
      <w:r>
        <w:rPr>
          <w:rFonts w:ascii="Arial Narrow" w:hAnsi="Arial Narrow" w:cs="Arial"/>
          <w:bCs/>
          <w:color w:val="000000"/>
          <w:kern w:val="32"/>
          <w:lang/>
        </w:rPr>
        <w:t xml:space="preserve"> De conformidad con el numeral 2.5 del artículo 2.2.1.1.1.5.2. del Decreto 1082 de 2015: “Si la constitución del interesado es menor a tres (3) años, puede acreditar la experiencia de sus accionistas, socios o constituyentes”;  por lo anterior la entidad tendrá en cuenta solo la experiencia de los accionistas, socios o constituyentes de la sociedad hasta los tres (3) años de Constituida; luego de estos tres (3) años esta experiencia no será validada.</w:t>
      </w:r>
    </w:p>
    <w:p w14:paraId="7957E426">
      <w:pPr>
        <w:spacing w:after="0" w:line="240" w:lineRule="auto"/>
        <w:ind w:left="426"/>
        <w:jc w:val="both"/>
        <w:rPr>
          <w:rFonts w:ascii="Arial Narrow" w:hAnsi="Arial Narrow" w:cs="Arial"/>
          <w:lang/>
        </w:rPr>
      </w:pPr>
    </w:p>
    <w:p w14:paraId="3BD88782">
      <w:pPr>
        <w:numPr>
          <w:ilvl w:val="0"/>
          <w:numId w:val="24"/>
        </w:numPr>
        <w:spacing w:after="0" w:line="240" w:lineRule="auto"/>
        <w:ind w:left="426" w:hanging="142"/>
        <w:jc w:val="both"/>
        <w:rPr>
          <w:rFonts w:ascii="Arial Narrow" w:hAnsi="Arial Narrow" w:cs="Arial"/>
          <w:lang/>
        </w:rPr>
      </w:pPr>
      <w:r>
        <w:rPr>
          <w:rFonts w:ascii="Arial Narrow" w:hAnsi="Arial Narrow" w:cs="Arial"/>
          <w:lang/>
        </w:rPr>
        <w:t>En 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7CD349E2">
      <w:pPr>
        <w:pStyle w:val="52"/>
        <w:widowControl w:val="0"/>
        <w:overflowPunct w:val="0"/>
        <w:autoSpaceDE w:val="0"/>
        <w:autoSpaceDN w:val="0"/>
        <w:adjustRightInd w:val="0"/>
        <w:spacing w:after="0" w:line="240" w:lineRule="auto"/>
        <w:ind w:left="709"/>
        <w:jc w:val="both"/>
        <w:rPr>
          <w:rFonts w:ascii="Arial Narrow" w:hAnsi="Arial Narrow"/>
          <w:b/>
          <w:bCs/>
          <w:lang/>
        </w:rPr>
      </w:pPr>
    </w:p>
    <w:p w14:paraId="50C66421">
      <w:pPr>
        <w:pStyle w:val="52"/>
        <w:widowControl w:val="0"/>
        <w:numPr>
          <w:ilvl w:val="2"/>
          <w:numId w:val="13"/>
        </w:numPr>
        <w:overflowPunct w:val="0"/>
        <w:autoSpaceDE w:val="0"/>
        <w:autoSpaceDN w:val="0"/>
        <w:adjustRightInd w:val="0"/>
        <w:spacing w:after="0" w:line="240" w:lineRule="auto"/>
        <w:ind w:left="709"/>
        <w:jc w:val="both"/>
        <w:rPr>
          <w:lang/>
        </w:rPr>
      </w:pPr>
      <w:r>
        <w:rPr>
          <w:rFonts w:ascii="Arial Narrow" w:hAnsi="Arial Narrow"/>
          <w:b/>
          <w:bCs/>
          <w:lang/>
        </w:rPr>
        <w:t xml:space="preserve">EXPERIENCIA ESPECÍFICA DEL PROPONENTE </w:t>
      </w:r>
    </w:p>
    <w:p w14:paraId="65FC17BC">
      <w:pPr>
        <w:tabs>
          <w:tab w:val="left" w:pos="-720"/>
        </w:tabs>
        <w:suppressAutoHyphens/>
        <w:spacing w:after="0" w:line="240" w:lineRule="auto"/>
        <w:jc w:val="both"/>
        <w:rPr>
          <w:rFonts w:ascii="Arial Narrow" w:hAnsi="Arial Narrow" w:eastAsia="Arial Unicode MS" w:cs="Arial"/>
          <w:bCs/>
          <w:lang/>
        </w:rPr>
      </w:pPr>
    </w:p>
    <w:p w14:paraId="7CA8B260">
      <w:pPr>
        <w:pStyle w:val="49"/>
        <w:jc w:val="both"/>
        <w:rPr>
          <w:rFonts w:ascii="Arial Narrow" w:hAnsi="Arial Narrow" w:cs="Arial"/>
          <w:bCs/>
          <w:lang w:val="es-MX"/>
        </w:rPr>
      </w:pPr>
      <w:r>
        <w:rPr>
          <w:rFonts w:ascii="Arial Narrow" w:hAnsi="Arial Narrow" w:cs="Arial" w:eastAsiaTheme="minorHAnsi"/>
          <w:bCs/>
          <w:sz w:val="22"/>
          <w:szCs w:val="22"/>
          <w:lang w:val="es-CO" w:eastAsia="en-US"/>
        </w:rPr>
        <w:t xml:space="preserve">La AEROCIVIL verificará la experiencia específica del proponente con hasta tres (3) certificaciones de contratos o actas de liquidación o actas de terminación de contratos celebrados con entidades públicas o privadas, ejecutados y terminados; debidamente registrados en el RUP e identificados en uno (1) de los códigos UNSPSC requeridos en la experiencia general; que sumados su valor total, expresado en SMMLV, sea igual o mayor al cien por ciento (100%) del presupuesto oficial), y cuyo objeto, actividades u obligaciones contractuales  deberán estar relacionados con la </w:t>
      </w:r>
      <w:r>
        <w:rPr>
          <w:rFonts w:ascii="Arial Narrow" w:hAnsi="Arial Narrow" w:cs="Arial"/>
          <w:bCs/>
          <w:lang w:val="es-MX"/>
        </w:rPr>
        <w:t>ADQUISICIÓN E INSTALACION DE REPUESTOS PARA LOS SISTEMAS DE ILUMINACION DE PISTA Y AYUDAS VISUALES O ADQUISICION E INSTALACIÓN DE SISTEMAS ELECTRICOS EN AEROPUERTOS.</w:t>
      </w:r>
    </w:p>
    <w:p w14:paraId="69C06222">
      <w:pPr>
        <w:pStyle w:val="49"/>
        <w:jc w:val="both"/>
        <w:rPr>
          <w:rFonts w:ascii="Arial Narrow" w:hAnsi="Arial Narrow" w:cs="Arial" w:eastAsiaTheme="minorHAnsi"/>
          <w:bCs/>
          <w:sz w:val="22"/>
          <w:szCs w:val="22"/>
          <w:lang w:val="es-CO" w:eastAsia="en-US"/>
        </w:rPr>
      </w:pPr>
      <w:r>
        <w:rPr>
          <w:rFonts w:ascii="Arial Narrow" w:hAnsi="Arial Narrow" w:cs="Arial" w:eastAsiaTheme="minorHAnsi"/>
          <w:bCs/>
          <w:sz w:val="22"/>
          <w:szCs w:val="22"/>
          <w:lang w:val="es-CO" w:eastAsia="en-US"/>
        </w:rPr>
        <w:t>.</w:t>
      </w:r>
    </w:p>
    <w:p w14:paraId="1481A4D8">
      <w:pPr>
        <w:pStyle w:val="52"/>
        <w:widowControl w:val="0"/>
        <w:numPr>
          <w:ilvl w:val="3"/>
          <w:numId w:val="13"/>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Consideraciones para la Acreditación de la Experiencia Específica</w:t>
      </w:r>
    </w:p>
    <w:p w14:paraId="4C9DBAED">
      <w:pPr>
        <w:pStyle w:val="49"/>
        <w:jc w:val="both"/>
        <w:rPr>
          <w:rFonts w:ascii="Arial Narrow" w:hAnsi="Arial Narrow" w:cs="Arial"/>
          <w:sz w:val="22"/>
          <w:szCs w:val="22"/>
        </w:rPr>
      </w:pPr>
      <w:bookmarkStart w:id="95" w:name="_Hlk12447445"/>
    </w:p>
    <w:bookmarkEnd w:id="95"/>
    <w:p w14:paraId="38D4421A">
      <w:pPr>
        <w:numPr>
          <w:ilvl w:val="0"/>
          <w:numId w:val="26"/>
        </w:numPr>
        <w:autoSpaceDE w:val="0"/>
        <w:autoSpaceDN w:val="0"/>
        <w:adjustRightInd w:val="0"/>
        <w:spacing w:after="0" w:line="240" w:lineRule="auto"/>
        <w:ind w:left="426" w:hanging="142"/>
        <w:jc w:val="both"/>
        <w:rPr>
          <w:rFonts w:ascii="Arial Narrow" w:hAnsi="Arial Narrow" w:cs="Arial"/>
          <w:b/>
          <w:bCs/>
          <w:iCs/>
          <w:lang/>
        </w:rPr>
      </w:pPr>
      <w:r>
        <w:rPr>
          <w:rFonts w:ascii="Arial Narrow" w:hAnsi="Arial Narrow" w:cs="Arial"/>
          <w:lang/>
        </w:rPr>
        <w:t xml:space="preserve">El proponente debe relacionar en el </w:t>
      </w:r>
      <w:r>
        <w:rPr>
          <w:rFonts w:ascii="Arial Narrow" w:hAnsi="Arial Narrow" w:cs="Arial"/>
          <w:b/>
          <w:bCs/>
          <w:lang/>
        </w:rPr>
        <w:t>Formato 19B Experiencia Específica del Proponente</w:t>
      </w:r>
      <w:r>
        <w:rPr>
          <w:rFonts w:ascii="Arial Narrow" w:hAnsi="Arial Narrow" w:cs="Arial"/>
          <w:lang/>
        </w:rPr>
        <w:t>, los contratos que pretenda hacer valer para la evaluación de su propuesta, dicho formato debe estar diligenciado en su totalidad.</w:t>
      </w:r>
      <w:r>
        <w:rPr>
          <w:rFonts w:ascii="Arial Narrow" w:hAnsi="Arial Narrow" w:cs="Arial"/>
          <w:iCs/>
          <w:lang/>
        </w:rPr>
        <w:t xml:space="preserve"> Sólo serán tenidos en cuenta contratos que hayan sido iniciados, ejecutados y terminados.</w:t>
      </w:r>
    </w:p>
    <w:p w14:paraId="41F8B696">
      <w:pPr>
        <w:spacing w:after="0" w:line="240" w:lineRule="auto"/>
        <w:ind w:hanging="142"/>
        <w:jc w:val="both"/>
        <w:rPr>
          <w:rFonts w:ascii="Arial Narrow" w:hAnsi="Arial Narrow" w:cs="Arial"/>
          <w:lang/>
        </w:rPr>
      </w:pPr>
    </w:p>
    <w:p w14:paraId="7D817BD8">
      <w:pPr>
        <w:numPr>
          <w:ilvl w:val="0"/>
          <w:numId w:val="26"/>
        </w:numPr>
        <w:autoSpaceDE w:val="0"/>
        <w:autoSpaceDN w:val="0"/>
        <w:adjustRightInd w:val="0"/>
        <w:spacing w:after="0" w:line="240" w:lineRule="auto"/>
        <w:ind w:left="426" w:hanging="142"/>
        <w:jc w:val="both"/>
        <w:rPr>
          <w:rFonts w:ascii="Arial Narrow" w:hAnsi="Arial Narrow" w:cs="Arial"/>
          <w:b/>
          <w:bCs/>
          <w:lang/>
        </w:rPr>
      </w:pPr>
      <w:r>
        <w:rPr>
          <w:rFonts w:ascii="Arial Narrow" w:hAnsi="Arial Narrow" w:cs="Arial"/>
          <w:lang/>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6B790820">
      <w:pPr>
        <w:autoSpaceDE w:val="0"/>
        <w:autoSpaceDN w:val="0"/>
        <w:adjustRightInd w:val="0"/>
        <w:spacing w:after="0" w:line="240" w:lineRule="auto"/>
        <w:ind w:left="426"/>
        <w:jc w:val="both"/>
        <w:rPr>
          <w:rFonts w:ascii="Arial Narrow" w:hAnsi="Arial Narrow" w:cs="Arial"/>
          <w:b/>
          <w:bCs/>
          <w:lang/>
        </w:rPr>
      </w:pPr>
    </w:p>
    <w:p w14:paraId="1D399ACE">
      <w:pPr>
        <w:numPr>
          <w:ilvl w:val="0"/>
          <w:numId w:val="25"/>
        </w:numPr>
        <w:spacing w:after="0" w:line="240" w:lineRule="auto"/>
        <w:rPr>
          <w:rFonts w:ascii="Arial Narrow" w:hAnsi="Arial Narrow"/>
          <w:lang/>
        </w:rPr>
      </w:pPr>
      <w:r>
        <w:rPr>
          <w:rFonts w:ascii="Arial Narrow" w:hAnsi="Arial Narrow"/>
          <w:lang/>
        </w:rPr>
        <w:t xml:space="preserve">Objeto del contrato (Si aplica) </w:t>
      </w:r>
    </w:p>
    <w:p w14:paraId="45F488F5">
      <w:pPr>
        <w:numPr>
          <w:ilvl w:val="0"/>
          <w:numId w:val="25"/>
        </w:numPr>
        <w:spacing w:after="0" w:line="240" w:lineRule="auto"/>
        <w:rPr>
          <w:rFonts w:ascii="Arial Narrow" w:hAnsi="Arial Narrow"/>
          <w:lang/>
        </w:rPr>
      </w:pPr>
      <w:r>
        <w:rPr>
          <w:rFonts w:ascii="Arial Narrow" w:hAnsi="Arial Narrow"/>
          <w:lang/>
        </w:rPr>
        <w:t>Número del contrato (Si aplica)</w:t>
      </w:r>
    </w:p>
    <w:p w14:paraId="5136FAB7">
      <w:pPr>
        <w:numPr>
          <w:ilvl w:val="0"/>
          <w:numId w:val="25"/>
        </w:numPr>
        <w:spacing w:after="0" w:line="240" w:lineRule="auto"/>
        <w:rPr>
          <w:rFonts w:ascii="Arial Narrow" w:hAnsi="Arial Narrow"/>
          <w:lang/>
        </w:rPr>
      </w:pPr>
      <w:r>
        <w:rPr>
          <w:rFonts w:ascii="Arial Narrow" w:hAnsi="Arial Narrow"/>
          <w:lang/>
        </w:rPr>
        <w:t xml:space="preserve">Entidad Contratante </w:t>
      </w:r>
    </w:p>
    <w:p w14:paraId="453D24E8">
      <w:pPr>
        <w:numPr>
          <w:ilvl w:val="0"/>
          <w:numId w:val="25"/>
        </w:numPr>
        <w:spacing w:after="0" w:line="240" w:lineRule="auto"/>
        <w:rPr>
          <w:rFonts w:ascii="Arial Narrow" w:hAnsi="Arial Narrow"/>
          <w:lang/>
        </w:rPr>
      </w:pPr>
      <w:r>
        <w:rPr>
          <w:rFonts w:ascii="Arial Narrow" w:hAnsi="Arial Narrow"/>
          <w:lang/>
        </w:rPr>
        <w:t>Valor inicial del contrato</w:t>
      </w:r>
    </w:p>
    <w:p w14:paraId="55BDBDBC">
      <w:pPr>
        <w:numPr>
          <w:ilvl w:val="0"/>
          <w:numId w:val="25"/>
        </w:numPr>
        <w:spacing w:after="0" w:line="240" w:lineRule="auto"/>
        <w:rPr>
          <w:rFonts w:ascii="Arial Narrow" w:hAnsi="Arial Narrow"/>
          <w:lang/>
        </w:rPr>
      </w:pPr>
      <w:r>
        <w:rPr>
          <w:rFonts w:ascii="Arial Narrow" w:hAnsi="Arial Narrow"/>
          <w:lang/>
        </w:rPr>
        <w:t xml:space="preserve">Valor final ejecutado del contrato </w:t>
      </w:r>
    </w:p>
    <w:p w14:paraId="6B24ACE3">
      <w:pPr>
        <w:numPr>
          <w:ilvl w:val="0"/>
          <w:numId w:val="25"/>
        </w:numPr>
        <w:spacing w:after="0" w:line="240" w:lineRule="auto"/>
        <w:rPr>
          <w:rFonts w:ascii="Arial Narrow" w:hAnsi="Arial Narrow"/>
          <w:lang/>
        </w:rPr>
      </w:pPr>
      <w:r>
        <w:rPr>
          <w:rFonts w:ascii="Arial Narrow" w:hAnsi="Arial Narrow"/>
          <w:lang/>
        </w:rPr>
        <w:t>Actividades y/o bienes ejecutados (Si aplica, conforme al literal iii del presente numeral)</w:t>
      </w:r>
    </w:p>
    <w:p w14:paraId="79096743">
      <w:pPr>
        <w:numPr>
          <w:ilvl w:val="0"/>
          <w:numId w:val="25"/>
        </w:numPr>
        <w:spacing w:after="0" w:line="240" w:lineRule="auto"/>
        <w:rPr>
          <w:rFonts w:ascii="Arial Narrow" w:hAnsi="Arial Narrow"/>
          <w:lang/>
        </w:rPr>
      </w:pPr>
      <w:r>
        <w:rPr>
          <w:rFonts w:ascii="Arial Narrow" w:hAnsi="Arial Narrow"/>
          <w:lang/>
        </w:rPr>
        <w:t xml:space="preserve">Fecha de inicio (debe indicar día, mes y año) </w:t>
      </w:r>
    </w:p>
    <w:p w14:paraId="78CB7DA2">
      <w:pPr>
        <w:numPr>
          <w:ilvl w:val="0"/>
          <w:numId w:val="25"/>
        </w:numPr>
        <w:spacing w:after="0" w:line="240" w:lineRule="auto"/>
        <w:rPr>
          <w:rFonts w:ascii="Arial Narrow" w:hAnsi="Arial Narrow"/>
          <w:lang/>
        </w:rPr>
      </w:pPr>
      <w:r>
        <w:rPr>
          <w:rFonts w:ascii="Arial Narrow" w:hAnsi="Arial Narrow"/>
          <w:lang/>
        </w:rPr>
        <w:t xml:space="preserve">Fecha de terminación del contrato (debe indicar día, mes y año) </w:t>
      </w:r>
    </w:p>
    <w:p w14:paraId="319F9947">
      <w:pPr>
        <w:numPr>
          <w:ilvl w:val="0"/>
          <w:numId w:val="25"/>
        </w:numPr>
        <w:spacing w:after="0" w:line="240" w:lineRule="auto"/>
        <w:rPr>
          <w:rFonts w:ascii="Arial Narrow" w:hAnsi="Arial Narrow"/>
          <w:lang/>
        </w:rPr>
      </w:pPr>
      <w:r>
        <w:rPr>
          <w:rFonts w:ascii="Arial Narrow" w:hAnsi="Arial Narrow"/>
          <w:lang/>
        </w:rPr>
        <w:t>Nombre, cargo y datos de contacto de la persona que expide la certificación (para certificaciones)</w:t>
      </w:r>
    </w:p>
    <w:p w14:paraId="52C80226">
      <w:pPr>
        <w:autoSpaceDE w:val="0"/>
        <w:autoSpaceDN w:val="0"/>
        <w:adjustRightInd w:val="0"/>
        <w:spacing w:after="0" w:line="240" w:lineRule="auto"/>
        <w:ind w:left="426"/>
        <w:jc w:val="both"/>
        <w:rPr>
          <w:rFonts w:ascii="Arial Narrow" w:hAnsi="Arial Narrow" w:cs="Arial"/>
          <w:color w:val="000000"/>
          <w:lang/>
        </w:rPr>
      </w:pPr>
    </w:p>
    <w:p w14:paraId="5E073EF9">
      <w:pPr>
        <w:numPr>
          <w:ilvl w:val="0"/>
          <w:numId w:val="26"/>
        </w:numPr>
        <w:autoSpaceDE w:val="0"/>
        <w:autoSpaceDN w:val="0"/>
        <w:adjustRightInd w:val="0"/>
        <w:spacing w:after="0" w:line="240" w:lineRule="auto"/>
        <w:ind w:left="426" w:hanging="142"/>
        <w:jc w:val="both"/>
        <w:rPr>
          <w:rFonts w:ascii="Arial Narrow" w:hAnsi="Arial Narrow" w:cs="Arial"/>
          <w:lang/>
        </w:rPr>
      </w:pPr>
      <w:r>
        <w:rPr>
          <w:rFonts w:ascii="Arial Narrow" w:hAnsi="Arial Narrow" w:cs="Arial"/>
          <w:lang/>
        </w:rPr>
        <w:t>En el caso de que en los contratos acreditados, adicionalmente se hayan ejecutado otras adquisiciones o servicios, diferentes o no similares a los solicitados en el presente proceso de contratación, no se tendrán en cuenta estos valores para efectos de acreditar la experiencia requerida. Para lo anterior el proponente debe aportar los documentos contractuales que considere y en donde se pueda verificar claramente el valor discriminado de los bienes suministrados y/o servicios prestados.</w:t>
      </w:r>
    </w:p>
    <w:p w14:paraId="5707C81F">
      <w:pPr>
        <w:autoSpaceDE w:val="0"/>
        <w:autoSpaceDN w:val="0"/>
        <w:adjustRightInd w:val="0"/>
        <w:spacing w:after="0" w:line="240" w:lineRule="auto"/>
        <w:ind w:left="426"/>
        <w:jc w:val="both"/>
        <w:rPr>
          <w:rFonts w:ascii="Arial Narrow" w:hAnsi="Arial Narrow" w:cs="Arial"/>
          <w:lang/>
        </w:rPr>
      </w:pPr>
    </w:p>
    <w:p w14:paraId="60953C27">
      <w:pPr>
        <w:numPr>
          <w:ilvl w:val="0"/>
          <w:numId w:val="26"/>
        </w:numPr>
        <w:autoSpaceDE w:val="0"/>
        <w:autoSpaceDN w:val="0"/>
        <w:adjustRightInd w:val="0"/>
        <w:spacing w:after="0" w:line="240" w:lineRule="auto"/>
        <w:ind w:left="426" w:hanging="142"/>
        <w:jc w:val="both"/>
        <w:rPr>
          <w:rFonts w:ascii="Arial Narrow" w:hAnsi="Arial Narrow" w:cs="Arial"/>
          <w:color w:val="000000"/>
          <w:lang/>
        </w:rPr>
      </w:pPr>
      <w:r>
        <w:rPr>
          <w:rFonts w:ascii="Arial Narrow" w:hAnsi="Arial Narrow" w:cs="Arial"/>
          <w:lang/>
        </w:rPr>
        <w:t>Los contratos que se acrediten como experiencia especifica del proponente pueden ser los mismos que</w:t>
      </w:r>
      <w:r>
        <w:rPr>
          <w:rFonts w:ascii="Arial Narrow" w:hAnsi="Arial Narrow" w:cs="Arial"/>
          <w:color w:val="000000"/>
          <w:lang/>
        </w:rPr>
        <w:t xml:space="preserve"> se relacionan en la Experiencia general del proponente, siempre y cuando cumplan las condiciones solicitadas.</w:t>
      </w:r>
    </w:p>
    <w:p w14:paraId="58319DC7">
      <w:pPr>
        <w:autoSpaceDE w:val="0"/>
        <w:autoSpaceDN w:val="0"/>
        <w:adjustRightInd w:val="0"/>
        <w:spacing w:after="0" w:line="240" w:lineRule="auto"/>
        <w:ind w:left="426"/>
        <w:jc w:val="both"/>
        <w:rPr>
          <w:rFonts w:ascii="Arial Narrow" w:hAnsi="Arial Narrow" w:cs="Arial"/>
          <w:color w:val="000000"/>
          <w:lang/>
        </w:rPr>
      </w:pPr>
    </w:p>
    <w:p w14:paraId="027EAD91">
      <w:pPr>
        <w:numPr>
          <w:ilvl w:val="0"/>
          <w:numId w:val="26"/>
        </w:numPr>
        <w:autoSpaceDE w:val="0"/>
        <w:autoSpaceDN w:val="0"/>
        <w:adjustRightInd w:val="0"/>
        <w:spacing w:after="0" w:line="240" w:lineRule="auto"/>
        <w:ind w:left="426" w:hanging="142"/>
        <w:jc w:val="both"/>
        <w:rPr>
          <w:rFonts w:ascii="Arial Narrow" w:hAnsi="Arial Narrow" w:cs="Arial"/>
          <w:lang/>
        </w:rPr>
      </w:pPr>
      <w:r>
        <w:rPr>
          <w:rFonts w:ascii="Arial Narrow" w:hAnsi="Arial Narrow" w:cs="Arial"/>
          <w:lang/>
        </w:rPr>
        <w:t>En caso de que el proponente acredite contratos en los que haya participado como unión temporal o consorcio o sociedades o promesa de sociedad futura, se le acreditará como experiencia el valor que corresponda a su porcentaje de Participación.</w:t>
      </w:r>
    </w:p>
    <w:p w14:paraId="50D55816">
      <w:pPr>
        <w:autoSpaceDE w:val="0"/>
        <w:autoSpaceDN w:val="0"/>
        <w:adjustRightInd w:val="0"/>
        <w:spacing w:after="0" w:line="240" w:lineRule="auto"/>
        <w:ind w:left="426"/>
        <w:jc w:val="both"/>
        <w:rPr>
          <w:rFonts w:ascii="Arial Narrow" w:hAnsi="Arial Narrow" w:cs="Arial"/>
          <w:lang/>
        </w:rPr>
      </w:pPr>
    </w:p>
    <w:p w14:paraId="23A1179E">
      <w:pPr>
        <w:numPr>
          <w:ilvl w:val="0"/>
          <w:numId w:val="26"/>
        </w:numPr>
        <w:autoSpaceDE w:val="0"/>
        <w:autoSpaceDN w:val="0"/>
        <w:adjustRightInd w:val="0"/>
        <w:spacing w:after="0" w:line="240" w:lineRule="auto"/>
        <w:ind w:left="426" w:hanging="142"/>
        <w:jc w:val="both"/>
        <w:rPr>
          <w:rFonts w:ascii="Arial Narrow" w:hAnsi="Arial Narrow" w:cs="Arial"/>
          <w:color w:val="000000"/>
          <w:lang/>
        </w:rPr>
      </w:pPr>
      <w:r>
        <w:rPr>
          <w:rFonts w:ascii="Arial Narrow" w:hAnsi="Arial Narrow" w:cs="Arial"/>
          <w:lang/>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w:t>
      </w:r>
      <w:r>
        <w:rPr>
          <w:rFonts w:ascii="Arial Narrow" w:hAnsi="Arial Narrow" w:cs="Arial"/>
          <w:color w:val="000000"/>
          <w:lang/>
        </w:rPr>
        <w:t xml:space="preserve"> un proponente plural para participar en el presente proceso). El porcentaje de participación a considerar será el reportado en el Registro Único de Proponentes – RUP.</w:t>
      </w:r>
    </w:p>
    <w:p w14:paraId="7613C7C9">
      <w:pPr>
        <w:autoSpaceDE w:val="0"/>
        <w:autoSpaceDN w:val="0"/>
        <w:adjustRightInd w:val="0"/>
        <w:spacing w:after="0" w:line="240" w:lineRule="auto"/>
        <w:ind w:left="426"/>
        <w:jc w:val="both"/>
        <w:rPr>
          <w:rFonts w:ascii="Arial Narrow" w:hAnsi="Arial Narrow" w:cs="Arial"/>
          <w:color w:val="000000"/>
          <w:lang/>
        </w:rPr>
      </w:pPr>
    </w:p>
    <w:p w14:paraId="6FE45D7B">
      <w:pPr>
        <w:numPr>
          <w:ilvl w:val="0"/>
          <w:numId w:val="26"/>
        </w:numPr>
        <w:autoSpaceDE w:val="0"/>
        <w:autoSpaceDN w:val="0"/>
        <w:adjustRightInd w:val="0"/>
        <w:spacing w:after="0" w:line="240" w:lineRule="auto"/>
        <w:ind w:left="426" w:hanging="142"/>
        <w:jc w:val="both"/>
        <w:rPr>
          <w:rFonts w:ascii="Arial Narrow" w:hAnsi="Arial Narrow" w:cs="Arial"/>
          <w:lang/>
        </w:rPr>
      </w:pPr>
      <w:r>
        <w:rPr>
          <w:rFonts w:ascii="Arial Narrow" w:hAnsi="Arial Narrow" w:cs="Arial"/>
          <w:b/>
          <w:bCs/>
          <w:lang/>
        </w:rPr>
        <w:t>Los proponentes extranjeros sin domicilio o sucursal en Colombia, no obligados a tener inscripción en el RUP</w:t>
      </w:r>
      <w:r>
        <w:rPr>
          <w:rFonts w:ascii="Arial Narrow" w:hAnsi="Arial Narrow" w:cs="Arial"/>
          <w:lang/>
        </w:rPr>
        <w:t xml:space="preserve">, deberán diligenciar el </w:t>
      </w:r>
      <w:r>
        <w:rPr>
          <w:rFonts w:ascii="Arial Narrow" w:hAnsi="Arial Narrow" w:cs="Arial"/>
          <w:b/>
          <w:bCs/>
          <w:lang/>
        </w:rPr>
        <w:t>Formato 19B Experiencia Específica del Proponente</w:t>
      </w:r>
      <w:r>
        <w:rPr>
          <w:rFonts w:ascii="Arial Narrow" w:hAnsi="Arial Narrow" w:cs="Arial"/>
          <w:lang/>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26E33471">
      <w:pPr>
        <w:pStyle w:val="30"/>
        <w:jc w:val="both"/>
        <w:rPr>
          <w:rFonts w:ascii="Arial Narrow" w:hAnsi="Arial Narrow" w:cs="Arial"/>
          <w:sz w:val="22"/>
          <w:szCs w:val="22"/>
          <w:lang w:eastAsia="en-US"/>
        </w:rPr>
      </w:pPr>
    </w:p>
    <w:p w14:paraId="755F9728">
      <w:pPr>
        <w:numPr>
          <w:ilvl w:val="0"/>
          <w:numId w:val="26"/>
        </w:numPr>
        <w:autoSpaceDE w:val="0"/>
        <w:autoSpaceDN w:val="0"/>
        <w:adjustRightInd w:val="0"/>
        <w:spacing w:after="0" w:line="240" w:lineRule="auto"/>
        <w:ind w:left="426" w:hanging="142"/>
        <w:jc w:val="both"/>
        <w:rPr>
          <w:rFonts w:ascii="Arial Narrow" w:hAnsi="Arial Narrow" w:cs="Arial"/>
          <w:spacing w:val="-3"/>
          <w:lang/>
        </w:rPr>
      </w:pPr>
      <w:r>
        <w:rPr>
          <w:rFonts w:ascii="Arial Narrow" w:hAnsi="Arial Narrow" w:cs="Arial"/>
          <w:bCs/>
          <w:lang/>
        </w:rPr>
        <w:t>Si</w:t>
      </w:r>
      <w:r>
        <w:rPr>
          <w:rFonts w:ascii="Arial Narrow" w:hAnsi="Arial Narrow" w:cs="Arial"/>
          <w:lang/>
        </w:rPr>
        <w:t xml:space="preserve"> el valor del contrato está pactado en una moneda extranjera se convertirá a pesos colombianos, dando aplicación a lo contenido en el </w:t>
      </w:r>
      <w:r>
        <w:rPr>
          <w:rFonts w:ascii="Arial Narrow" w:hAnsi="Arial Narrow" w:cs="Arial"/>
          <w:b/>
          <w:bCs/>
          <w:lang/>
        </w:rPr>
        <w:t xml:space="preserve">literal b del numeral 2.16 </w:t>
      </w:r>
      <w:r>
        <w:rPr>
          <w:rFonts w:ascii="Arial Narrow" w:hAnsi="Arial Narrow" w:cs="Arial"/>
          <w:lang/>
        </w:rPr>
        <w:t>del presente documento.</w:t>
      </w:r>
    </w:p>
    <w:p w14:paraId="6F36DE00">
      <w:pPr>
        <w:spacing w:after="0" w:line="240" w:lineRule="auto"/>
        <w:ind w:left="426"/>
        <w:jc w:val="both"/>
        <w:rPr>
          <w:rFonts w:ascii="Arial Narrow" w:hAnsi="Arial Narrow" w:cs="Arial"/>
          <w:lang/>
        </w:rPr>
      </w:pPr>
    </w:p>
    <w:p w14:paraId="26EFAB99">
      <w:pPr>
        <w:numPr>
          <w:ilvl w:val="0"/>
          <w:numId w:val="26"/>
        </w:numPr>
        <w:autoSpaceDE w:val="0"/>
        <w:autoSpaceDN w:val="0"/>
        <w:adjustRightInd w:val="0"/>
        <w:spacing w:after="0" w:line="240" w:lineRule="auto"/>
        <w:ind w:left="426" w:hanging="142"/>
        <w:jc w:val="both"/>
        <w:rPr>
          <w:rFonts w:ascii="Arial Narrow" w:hAnsi="Arial Narrow" w:cs="Arial"/>
          <w:bCs/>
          <w:color w:val="000000"/>
          <w:kern w:val="32"/>
          <w:lang/>
        </w:rPr>
      </w:pPr>
      <w:r>
        <w:rPr>
          <w:rFonts w:ascii="Arial Narrow" w:hAnsi="Arial Narrow" w:cs="Arial"/>
          <w:b/>
          <w:bCs/>
          <w:lang/>
        </w:rPr>
        <w:t>Certificación para empresas con menos de tres (03) años de constituidas:</w:t>
      </w:r>
      <w:r>
        <w:rPr>
          <w:rFonts w:ascii="Arial Narrow" w:hAnsi="Arial Narrow" w:cs="Arial"/>
          <w:lang/>
        </w:rPr>
        <w:t xml:space="preserve"> Para</w:t>
      </w:r>
      <w:r>
        <w:rPr>
          <w:rFonts w:ascii="Arial Narrow" w:hAnsi="Arial Narrow" w:cs="Arial"/>
          <w:bCs/>
          <w:color w:val="000000"/>
          <w:kern w:val="32"/>
          <w:lang/>
        </w:rPr>
        <w:t xml:space="preserve"> las personas naturales o jurídicas nacionales y extranjeras domiciliadas con sucursal en Colombia, en el caso de contratos que sean aportados por socios de empresas que no cuentan con más de tres (3) años de constituidas, el contrato deberá encontrarse debidamente inscrito y clasificado de conformidad con el pliego de condiciones en el Registro Único de Proponentes de la empresa que pretenda acreditar dicho contrato. </w:t>
      </w:r>
    </w:p>
    <w:p w14:paraId="5396E153">
      <w:pPr>
        <w:spacing w:after="0" w:line="240" w:lineRule="auto"/>
        <w:ind w:left="426"/>
        <w:jc w:val="both"/>
        <w:rPr>
          <w:rFonts w:ascii="Arial Narrow" w:hAnsi="Arial Narrow" w:cs="Arial"/>
          <w:lang/>
        </w:rPr>
      </w:pPr>
    </w:p>
    <w:p w14:paraId="5E4F17B3">
      <w:pPr>
        <w:spacing w:after="0" w:line="240" w:lineRule="auto"/>
        <w:ind w:left="426"/>
        <w:jc w:val="both"/>
        <w:rPr>
          <w:rFonts w:ascii="Arial Narrow" w:hAnsi="Arial Narrow" w:cs="Arial"/>
          <w:lang/>
        </w:rPr>
      </w:pPr>
      <w:r>
        <w:rPr>
          <w:rFonts w:ascii="Arial Narrow" w:hAnsi="Arial Narrow" w:cs="Arial"/>
          <w:lang/>
        </w:rPr>
        <w:t>Certificación para empresas con menos de tres (03) años de constituidas:  Las p</w:t>
      </w:r>
      <w:r>
        <w:rPr>
          <w:rFonts w:ascii="Arial Narrow" w:hAnsi="Arial Narrow" w:cs="Arial"/>
          <w:bCs/>
          <w:color w:val="000000"/>
          <w:kern w:val="32"/>
          <w:lang/>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1B4D131C">
      <w:pPr>
        <w:spacing w:after="0" w:line="240" w:lineRule="auto"/>
        <w:ind w:left="426"/>
        <w:jc w:val="both"/>
        <w:rPr>
          <w:rFonts w:ascii="Arial Narrow" w:hAnsi="Arial Narrow" w:cs="Arial"/>
          <w:lang/>
        </w:rPr>
      </w:pPr>
    </w:p>
    <w:p w14:paraId="76E2CDEB">
      <w:pPr>
        <w:spacing w:after="0" w:line="240" w:lineRule="auto"/>
        <w:ind w:left="426"/>
        <w:jc w:val="both"/>
        <w:rPr>
          <w:rFonts w:ascii="Arial Narrow" w:hAnsi="Arial Narrow" w:cs="Arial"/>
          <w:lang/>
        </w:rPr>
      </w:pPr>
      <w:r>
        <w:rPr>
          <w:rFonts w:ascii="Arial Narrow" w:hAnsi="Arial Narrow" w:cs="Arial"/>
          <w:b/>
          <w:color w:val="000000"/>
          <w:kern w:val="32"/>
          <w:lang/>
        </w:rPr>
        <w:t>Nota:</w:t>
      </w:r>
      <w:r>
        <w:rPr>
          <w:rFonts w:ascii="Arial Narrow" w:hAnsi="Arial Narrow" w:cs="Arial"/>
          <w:bCs/>
          <w:color w:val="000000"/>
          <w:kern w:val="32"/>
          <w:lang/>
        </w:rPr>
        <w:t xml:space="preserve"> De conformidad con el numeral 2.5 del artículo 2.2.1.1.1.5.2. del Decreto 1082 de 2015: “Si la constitución del interesado es menor a tres (3) años, puede acreditar la experiencia de sus accionistas, socios o constituyentes”;  por lo anterior la entidad tendrá en cuenta solo la experiencia de los accionistas, socios o constituyentes de la sociedad hasta los tres (3) años de Constituida; luego de estos tres (3) años esta experiencia no será validada.</w:t>
      </w:r>
    </w:p>
    <w:p w14:paraId="7602ABC6">
      <w:pPr>
        <w:spacing w:after="0" w:line="240" w:lineRule="auto"/>
        <w:ind w:left="426"/>
        <w:jc w:val="both"/>
        <w:rPr>
          <w:rFonts w:ascii="Arial Narrow" w:hAnsi="Arial Narrow" w:cs="Arial"/>
          <w:lang/>
        </w:rPr>
      </w:pPr>
    </w:p>
    <w:p w14:paraId="5F84D16D">
      <w:pPr>
        <w:numPr>
          <w:ilvl w:val="0"/>
          <w:numId w:val="26"/>
        </w:numPr>
        <w:autoSpaceDE w:val="0"/>
        <w:autoSpaceDN w:val="0"/>
        <w:adjustRightInd w:val="0"/>
        <w:spacing w:after="0" w:line="240" w:lineRule="auto"/>
        <w:ind w:left="426" w:hanging="142"/>
        <w:jc w:val="both"/>
        <w:rPr>
          <w:rFonts w:ascii="Arial Narrow" w:hAnsi="Arial Narrow" w:cs="Arial"/>
          <w:bCs/>
          <w:color w:val="000000"/>
          <w:kern w:val="32"/>
          <w:lang/>
        </w:rPr>
      </w:pPr>
      <w:r>
        <w:rPr>
          <w:rFonts w:ascii="Arial Narrow" w:hAnsi="Arial Narrow" w:cs="Arial"/>
          <w:lang/>
        </w:rPr>
        <w:t xml:space="preserve">En </w:t>
      </w:r>
      <w:r>
        <w:rPr>
          <w:rFonts w:ascii="Arial Narrow" w:hAnsi="Arial Narrow" w:cs="Arial"/>
          <w:bCs/>
          <w:color w:val="000000"/>
          <w:kern w:val="32"/>
          <w:lang/>
        </w:rPr>
        <w:t>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05631E3D">
      <w:pPr>
        <w:autoSpaceDE w:val="0"/>
        <w:autoSpaceDN w:val="0"/>
        <w:adjustRightInd w:val="0"/>
        <w:spacing w:after="0" w:line="240" w:lineRule="auto"/>
        <w:ind w:left="426"/>
        <w:jc w:val="both"/>
        <w:rPr>
          <w:rFonts w:ascii="Arial Narrow" w:hAnsi="Arial Narrow" w:cs="Arial"/>
          <w:bCs/>
          <w:color w:val="000000"/>
          <w:kern w:val="32"/>
          <w:lang/>
        </w:rPr>
      </w:pPr>
    </w:p>
    <w:p w14:paraId="468BC341">
      <w:pPr>
        <w:numPr>
          <w:ilvl w:val="0"/>
          <w:numId w:val="26"/>
        </w:numPr>
        <w:autoSpaceDE w:val="0"/>
        <w:autoSpaceDN w:val="0"/>
        <w:adjustRightInd w:val="0"/>
        <w:spacing w:after="0" w:line="240" w:lineRule="auto"/>
        <w:ind w:left="426" w:hanging="142"/>
        <w:jc w:val="both"/>
        <w:rPr>
          <w:rFonts w:ascii="Arial Narrow" w:hAnsi="Arial Narrow" w:cs="Arial"/>
          <w:iCs/>
          <w:lang/>
        </w:rPr>
      </w:pPr>
      <w:r>
        <w:rPr>
          <w:rFonts w:ascii="Arial Narrow" w:hAnsi="Arial Narrow" w:cs="Arial"/>
          <w:bCs/>
          <w:color w:val="000000"/>
          <w:kern w:val="32"/>
          <w:lang/>
        </w:rPr>
        <w:t>Para efectos de la acreditación de la experiencia requerida en el presente proceso de selección, no se aceptarán</w:t>
      </w:r>
      <w:r>
        <w:rPr>
          <w:rFonts w:ascii="Arial Narrow" w:hAnsi="Arial Narrow" w:cs="Arial"/>
          <w:iCs/>
          <w:lang/>
        </w:rPr>
        <w:t xml:space="preserve"> Subcontratos, ni contratos ejecutados bajo la modalidad de administración delegada u oferta mercantil.</w:t>
      </w:r>
    </w:p>
    <w:p w14:paraId="7ACE7E2F">
      <w:pPr>
        <w:pStyle w:val="49"/>
        <w:jc w:val="both"/>
        <w:rPr>
          <w:rFonts w:ascii="Arial Narrow" w:hAnsi="Arial Narrow" w:cs="Arial"/>
          <w:b/>
          <w:bCs/>
          <w:sz w:val="22"/>
          <w:szCs w:val="22"/>
        </w:rPr>
      </w:pPr>
    </w:p>
    <w:p w14:paraId="5ECBCEA7">
      <w:pPr>
        <w:pStyle w:val="52"/>
        <w:widowControl w:val="0"/>
        <w:numPr>
          <w:ilvl w:val="2"/>
          <w:numId w:val="13"/>
        </w:numPr>
        <w:overflowPunct w:val="0"/>
        <w:autoSpaceDE w:val="0"/>
        <w:autoSpaceDN w:val="0"/>
        <w:adjustRightInd w:val="0"/>
        <w:spacing w:after="0" w:line="240" w:lineRule="auto"/>
        <w:ind w:left="709"/>
        <w:jc w:val="both"/>
        <w:rPr>
          <w:rFonts w:ascii="Arial Narrow" w:hAnsi="Arial Narrow" w:cs="Arial"/>
          <w:b/>
          <w:bCs/>
          <w:lang/>
        </w:rPr>
      </w:pPr>
      <w:r>
        <w:rPr>
          <w:rFonts w:ascii="Arial Narrow" w:hAnsi="Arial Narrow" w:cs="Arial"/>
          <w:b/>
          <w:bCs/>
          <w:lang/>
        </w:rPr>
        <w:t>CRITERIOS DIFERENCIALES EMPRENDIMIENTOS O EMPRESAS DE MUJERES Y MIPYMES</w:t>
      </w:r>
    </w:p>
    <w:p w14:paraId="4BC3C6FE">
      <w:pPr>
        <w:spacing w:after="0" w:line="240" w:lineRule="auto"/>
        <w:jc w:val="both"/>
        <w:rPr>
          <w:rFonts w:ascii="Arial Narrow" w:hAnsi="Arial Narrow" w:cs="Arial"/>
          <w:lang/>
        </w:rPr>
      </w:pPr>
    </w:p>
    <w:p w14:paraId="30B5CE73">
      <w:pPr>
        <w:spacing w:after="0" w:line="240" w:lineRule="auto"/>
        <w:jc w:val="both"/>
        <w:rPr>
          <w:rFonts w:ascii="Arial Narrow" w:hAnsi="Arial Narrow" w:cs="Arial"/>
          <w:lang/>
        </w:rPr>
      </w:pPr>
      <w:r>
        <w:rPr>
          <w:rFonts w:ascii="Arial Narrow" w:hAnsi="Arial Narrow" w:cs="Arial"/>
          <w:lang/>
        </w:rPr>
        <w:t>Tanto para la experiencia general como específica, el Proponente persona natural o jurídica que acredite la calidad de Mipyme o de emprendimiento y empresas de mujeres con domicilio en el territorio nacional, de conformidad con lo previsto en el artículo 2.2.1.13.2.2 del Decreto 1074 de 2015 y los artículos 2.2.1.2.4.2.4. y 2.2.1.2.4.2.14 del Decreto 1082 de 2015, o las normas que los modifiquen, sustituyan o complementen, podrá acreditar la experiencia solicitada con un (1) contrato adicional a los tres (3) inicialmente previstos, para un total máximo de cuatro (4) contratos.</w:t>
      </w:r>
    </w:p>
    <w:p w14:paraId="49BDD2E4">
      <w:pPr>
        <w:spacing w:after="0" w:line="240" w:lineRule="auto"/>
        <w:jc w:val="both"/>
        <w:rPr>
          <w:rFonts w:ascii="Arial Narrow" w:hAnsi="Arial Narrow" w:cs="Arial"/>
          <w:lang/>
        </w:rPr>
      </w:pPr>
    </w:p>
    <w:p w14:paraId="125048C0">
      <w:pPr>
        <w:spacing w:after="0" w:line="240" w:lineRule="auto"/>
        <w:jc w:val="both"/>
        <w:rPr>
          <w:rFonts w:ascii="Arial Narrow" w:hAnsi="Arial Narrow" w:cs="Arial"/>
          <w:lang/>
        </w:rPr>
      </w:pPr>
      <w:r>
        <w:rPr>
          <w:rFonts w:ascii="Arial Narrow" w:hAnsi="Arial Narrow" w:cs="Arial"/>
          <w:lang/>
        </w:rPr>
        <w:t>En caso de que el Proponente persona natural o jurídica acredite la calidad de Mipyme y de emprendimiento y empresa de mujeres con domicilio en el territorio nacional de manera conjunta, podrá acreditar la experiencia solicitada con dos (2) contratos adicionales a los tres (3) inicialmente previstos, para un total de máximo cinco (5) contratos.</w:t>
      </w:r>
    </w:p>
    <w:p w14:paraId="2D03B203">
      <w:pPr>
        <w:spacing w:after="0" w:line="240" w:lineRule="auto"/>
        <w:jc w:val="both"/>
        <w:rPr>
          <w:rFonts w:ascii="Arial Narrow" w:hAnsi="Arial Narrow" w:cs="Arial"/>
          <w:lang/>
        </w:rPr>
      </w:pPr>
    </w:p>
    <w:p w14:paraId="01D0E2C7">
      <w:pPr>
        <w:spacing w:after="0" w:line="240" w:lineRule="auto"/>
        <w:jc w:val="both"/>
        <w:rPr>
          <w:rFonts w:ascii="Arial Narrow" w:hAnsi="Arial Narrow" w:cs="Arial"/>
          <w:lang/>
        </w:rPr>
      </w:pPr>
      <w:r>
        <w:rPr>
          <w:rFonts w:ascii="Arial Narrow" w:hAnsi="Arial Narrow" w:cs="Arial"/>
          <w:lang/>
        </w:rPr>
        <w:t>Para el caso de Proponentes Plurales bastará con que uno de sus integrantes tenga una participación igual o superior al diez por ciento (10%) en el consorcio o en la unión temporal y acredite la calidad de Mipyme o emprendimiento y empresas de mujeres de conformidad con lo previsto en el artículo 2.2.1.13.2.2 del Decreto 1074 de 2015 y los artículos 2.2.1.2.4.2.4. y 2.2.1.2.4.2.14 del Decreto 1082 de 2015, o las normas que los modifiquen, sustituyan o complementen, para acreditar la experiencia solicitada con un (1) contrato adicional a los tres (3) inicialmente previstos, para un total de máximo cuatro (4) contratos.</w:t>
      </w:r>
    </w:p>
    <w:p w14:paraId="45989CEC">
      <w:pPr>
        <w:spacing w:after="0" w:line="240" w:lineRule="auto"/>
        <w:jc w:val="both"/>
        <w:rPr>
          <w:rFonts w:ascii="Arial Narrow" w:hAnsi="Arial Narrow" w:cs="Arial"/>
          <w:lang/>
        </w:rPr>
      </w:pPr>
    </w:p>
    <w:p w14:paraId="0AC8DF29">
      <w:pPr>
        <w:spacing w:after="0" w:line="240" w:lineRule="auto"/>
        <w:jc w:val="both"/>
        <w:rPr>
          <w:rFonts w:ascii="Arial Narrow" w:hAnsi="Arial Narrow" w:cs="Arial"/>
          <w:lang/>
        </w:rPr>
      </w:pPr>
      <w:r>
        <w:rPr>
          <w:rFonts w:ascii="Arial Narrow" w:hAnsi="Arial Narrow" w:cs="Arial"/>
          <w:lang/>
        </w:rPr>
        <w:t>En caso de que el mismo integrante u otro del Proponente Plural tenga una participación igual o superior al diez por ciento (10%) en el consorcio o en la unión temporal y acredite la calidad de Mipyme y de emprendimiento y empresas de mujeres con domicilio en el territorio nacional de manera conjunta o separada, podrá acreditar la experiencia solicitada con dos (2) contratos adicionales a los tres (3) inicialmente previstos, para un total de máximo cinco (5) contratos. En todo caso no será posible aportar más de dos (2) contratos adicionales aun cuando otros integrantes del Proponente Plural también cumplan las condiciones previamente definidas.</w:t>
      </w:r>
    </w:p>
    <w:p w14:paraId="5725CEB5">
      <w:pPr>
        <w:spacing w:after="0" w:line="240" w:lineRule="auto"/>
        <w:jc w:val="both"/>
        <w:rPr>
          <w:rFonts w:ascii="Arial Narrow" w:hAnsi="Arial Narrow" w:cs="Arial"/>
          <w:lang/>
        </w:rPr>
      </w:pPr>
    </w:p>
    <w:p w14:paraId="6077D30A">
      <w:pPr>
        <w:spacing w:after="0" w:line="240" w:lineRule="auto"/>
        <w:jc w:val="both"/>
        <w:rPr>
          <w:rFonts w:ascii="Arial Narrow" w:hAnsi="Arial Narrow" w:cs="Arial"/>
          <w:lang/>
        </w:rPr>
      </w:pPr>
      <w:r>
        <w:rPr>
          <w:rFonts w:ascii="Arial Narrow" w:hAnsi="Arial Narrow" w:cs="Arial"/>
          <w:lang/>
        </w:rPr>
        <w:t>Para acreditar la calidad de Mipyme y/o de emprendimiento y empresa de mujeres el Proponente deberá diligenciar el “Formato 24- Acreditación de emprendimientos y empresas de mujeres” y/o el “Formato 23 - Acreditación Mipyme” y aportar la documentación requerida en los artículos 2.2.1.2.4.2.4 y 2.2.1.2.4.2.14 del Decreto 1082 de 2015, o la norma que lo modifique, complemente o sustituya.</w:t>
      </w:r>
    </w:p>
    <w:p w14:paraId="6FE805F0">
      <w:pPr>
        <w:spacing w:after="0" w:line="240" w:lineRule="auto"/>
        <w:jc w:val="both"/>
        <w:rPr>
          <w:rFonts w:ascii="Arial Narrow" w:hAnsi="Arial Narrow" w:cs="Arial"/>
          <w:lang/>
        </w:rPr>
      </w:pPr>
    </w:p>
    <w:p w14:paraId="60A41CA2">
      <w:pPr>
        <w:spacing w:after="0" w:line="240" w:lineRule="auto"/>
        <w:jc w:val="both"/>
        <w:rPr>
          <w:rFonts w:ascii="Arial Narrow" w:hAnsi="Arial Narrow" w:cs="Arial"/>
          <w:lang/>
        </w:rPr>
      </w:pPr>
    </w:p>
    <w:p w14:paraId="3338CA30">
      <w:pPr>
        <w:pStyle w:val="52"/>
        <w:widowControl w:val="0"/>
        <w:numPr>
          <w:ilvl w:val="1"/>
          <w:numId w:val="13"/>
        </w:numPr>
        <w:overflowPunct w:val="0"/>
        <w:autoSpaceDE w:val="0"/>
        <w:autoSpaceDN w:val="0"/>
        <w:adjustRightInd w:val="0"/>
        <w:spacing w:after="0" w:line="240" w:lineRule="auto"/>
        <w:ind w:left="426" w:hanging="426"/>
        <w:jc w:val="both"/>
        <w:rPr>
          <w:rFonts w:ascii="Arial Narrow" w:hAnsi="Arial Narrow"/>
          <w:b/>
          <w:bCs/>
          <w:lang/>
        </w:rPr>
      </w:pPr>
      <w:r>
        <w:rPr>
          <w:rFonts w:ascii="Arial Narrow" w:hAnsi="Arial Narrow"/>
          <w:b/>
          <w:bCs/>
          <w:lang/>
        </w:rPr>
        <w:t>OTROS ASPECTOS TÉCNICOS DE OBLIGATORIO CUMPLIMIENTO</w:t>
      </w:r>
    </w:p>
    <w:p w14:paraId="24B172F9">
      <w:pPr>
        <w:pStyle w:val="49"/>
        <w:jc w:val="both"/>
        <w:rPr>
          <w:rFonts w:ascii="Arial Narrow" w:hAnsi="Arial Narrow" w:cs="Arial"/>
          <w:sz w:val="22"/>
          <w:szCs w:val="22"/>
        </w:rPr>
      </w:pPr>
    </w:p>
    <w:p w14:paraId="469484A3">
      <w:pPr>
        <w:pStyle w:val="52"/>
        <w:widowControl w:val="0"/>
        <w:numPr>
          <w:ilvl w:val="2"/>
          <w:numId w:val="13"/>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 xml:space="preserve">FORMATO 8  ESPECIFICACIONES TÉCNICAS </w:t>
      </w:r>
    </w:p>
    <w:p w14:paraId="4AB1344F">
      <w:pPr>
        <w:pStyle w:val="135"/>
        <w:ind w:right="0"/>
        <w:rPr>
          <w:lang/>
        </w:rPr>
      </w:pPr>
    </w:p>
    <w:p w14:paraId="0B30A567">
      <w:pPr>
        <w:pStyle w:val="135"/>
        <w:ind w:left="0" w:right="0"/>
        <w:rPr>
          <w:lang/>
        </w:rPr>
      </w:pPr>
      <w:r>
        <w:rPr>
          <w:lang/>
        </w:rPr>
        <w:t>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del  Formato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644606B4">
      <w:pPr>
        <w:pStyle w:val="135"/>
        <w:ind w:right="0"/>
        <w:rPr>
          <w:lang/>
        </w:rPr>
      </w:pPr>
    </w:p>
    <w:p w14:paraId="6D7C209F">
      <w:pPr>
        <w:pStyle w:val="52"/>
        <w:widowControl w:val="0"/>
        <w:numPr>
          <w:ilvl w:val="2"/>
          <w:numId w:val="13"/>
        </w:numPr>
        <w:overflowPunct w:val="0"/>
        <w:autoSpaceDE w:val="0"/>
        <w:autoSpaceDN w:val="0"/>
        <w:adjustRightInd w:val="0"/>
        <w:spacing w:after="0" w:line="240" w:lineRule="auto"/>
        <w:ind w:left="709"/>
        <w:jc w:val="both"/>
        <w:rPr>
          <w:rFonts w:ascii="Arial Narrow" w:hAnsi="Arial Narrow"/>
          <w:lang/>
        </w:rPr>
      </w:pPr>
      <w:r>
        <w:rPr>
          <w:rFonts w:ascii="Arial Narrow" w:hAnsi="Arial Narrow"/>
          <w:b/>
          <w:bCs/>
          <w:lang/>
        </w:rPr>
        <w:t>Fichas técnicas</w:t>
      </w:r>
      <w:r>
        <w:rPr>
          <w:rFonts w:ascii="Arial Narrow" w:hAnsi="Arial Narrow"/>
          <w:lang/>
        </w:rPr>
        <w:t>.</w:t>
      </w:r>
    </w:p>
    <w:p w14:paraId="6E0B4C08">
      <w:pPr>
        <w:widowControl w:val="0"/>
        <w:overflowPunct w:val="0"/>
        <w:autoSpaceDE w:val="0"/>
        <w:autoSpaceDN w:val="0"/>
        <w:adjustRightInd w:val="0"/>
        <w:spacing w:after="0" w:line="240" w:lineRule="auto"/>
        <w:jc w:val="both"/>
        <w:rPr>
          <w:rFonts w:ascii="Arial Narrow" w:hAnsi="Arial Narrow"/>
          <w:lang/>
        </w:rPr>
      </w:pPr>
    </w:p>
    <w:p w14:paraId="0251A79B">
      <w:pPr>
        <w:spacing w:after="0" w:line="240" w:lineRule="auto"/>
        <w:ind w:left="136" w:right="6"/>
        <w:rPr>
          <w:rFonts w:ascii="Calibri" w:hAnsi="Calibri" w:cs="Calibri"/>
        </w:rPr>
      </w:pPr>
      <w:r>
        <w:rPr>
          <w:rFonts w:ascii="Calibri" w:hAnsi="Calibri" w:cs="Calibri"/>
        </w:rPr>
        <w:t xml:space="preserve">Para efectos de la evaluación, el oferente debe presentar las fichas técnicas de los elementos ofrecidos y solicitados en el formato 7 propuesta economica, los cuales serán utilizados por la Aeronáutica Civil para comprobar las características técnicas de los equipos ofertados. </w:t>
      </w:r>
    </w:p>
    <w:p w14:paraId="119797BD">
      <w:pPr>
        <w:spacing w:after="20" w:line="259" w:lineRule="auto"/>
        <w:rPr>
          <w:rFonts w:ascii="Calibri" w:hAnsi="Calibri" w:cs="Calibri"/>
        </w:rPr>
      </w:pPr>
      <w:r>
        <w:rPr>
          <w:rFonts w:ascii="Calibri" w:hAnsi="Calibri" w:cs="Calibri"/>
        </w:rPr>
        <w:t xml:space="preserve"> </w:t>
      </w:r>
    </w:p>
    <w:p w14:paraId="25639BE9">
      <w:pPr>
        <w:widowControl w:val="0"/>
        <w:overflowPunct w:val="0"/>
        <w:autoSpaceDE w:val="0"/>
        <w:autoSpaceDN w:val="0"/>
        <w:adjustRightInd w:val="0"/>
        <w:spacing w:after="0" w:line="240" w:lineRule="auto"/>
        <w:jc w:val="both"/>
        <w:rPr>
          <w:rFonts w:ascii="Arial Narrow" w:hAnsi="Arial Narrow"/>
          <w:lang/>
        </w:rPr>
      </w:pPr>
    </w:p>
    <w:p w14:paraId="4DFC6FEB">
      <w:pPr>
        <w:pStyle w:val="49"/>
        <w:jc w:val="both"/>
        <w:rPr>
          <w:rFonts w:ascii="Arial Narrow" w:hAnsi="Arial Narrow" w:cs="Arial"/>
          <w:sz w:val="22"/>
          <w:szCs w:val="22"/>
        </w:rPr>
      </w:pPr>
    </w:p>
    <w:p w14:paraId="685E6375">
      <w:pPr>
        <w:pStyle w:val="49"/>
        <w:jc w:val="both"/>
        <w:rPr>
          <w:rFonts w:ascii="Arial Narrow" w:hAnsi="Arial Narrow" w:cs="Arial"/>
          <w:sz w:val="22"/>
          <w:szCs w:val="22"/>
          <w:highlight w:val="yellow"/>
        </w:rPr>
      </w:pPr>
    </w:p>
    <w:p w14:paraId="081A7E96">
      <w:pPr>
        <w:pStyle w:val="3"/>
        <w:spacing w:before="0" w:line="240" w:lineRule="auto"/>
        <w:jc w:val="center"/>
        <w:rPr>
          <w:rFonts w:ascii="Arial Narrow" w:hAnsi="Arial Narrow" w:cs="Arial"/>
          <w:color w:val="auto"/>
          <w:sz w:val="22"/>
          <w:szCs w:val="22"/>
          <w:lang/>
        </w:rPr>
      </w:pPr>
      <w:bookmarkStart w:id="96" w:name="_Toc398128680"/>
      <w:r>
        <w:rPr>
          <w:rFonts w:ascii="Arial Narrow" w:hAnsi="Arial Narrow" w:cs="Arial"/>
          <w:color w:val="auto"/>
          <w:sz w:val="22"/>
          <w:szCs w:val="22"/>
          <w:lang/>
        </w:rPr>
        <w:br w:type="page"/>
      </w:r>
      <w:r>
        <w:rPr>
          <w:rFonts w:ascii="Arial Narrow" w:hAnsi="Arial Narrow" w:cs="Arial"/>
          <w:color w:val="auto"/>
          <w:sz w:val="22"/>
          <w:szCs w:val="22"/>
          <w:lang/>
        </w:rPr>
        <w:t>CAPITULO V</w:t>
      </w:r>
    </w:p>
    <w:p w14:paraId="7B76F65D">
      <w:pPr>
        <w:keepNext/>
        <w:keepLines/>
        <w:spacing w:after="0" w:line="240" w:lineRule="auto"/>
        <w:jc w:val="center"/>
        <w:outlineLvl w:val="0"/>
        <w:rPr>
          <w:rFonts w:ascii="Arial Narrow" w:hAnsi="Arial Narrow" w:eastAsia="Yu Gothic Light"/>
          <w:b/>
          <w:lang/>
        </w:rPr>
      </w:pPr>
      <w:bookmarkStart w:id="97" w:name="_Toc84417017"/>
      <w:r>
        <w:rPr>
          <w:rFonts w:ascii="Arial Narrow" w:hAnsi="Arial Narrow" w:eastAsia="Yu Gothic Light"/>
          <w:b/>
          <w:lang/>
        </w:rPr>
        <w:t>CRITERIOS DE EVALUACIÓN Y CRITERIOS DE DESEMPATE</w:t>
      </w:r>
      <w:bookmarkEnd w:id="97"/>
    </w:p>
    <w:p w14:paraId="1DD63EA1">
      <w:pPr>
        <w:pStyle w:val="49"/>
        <w:jc w:val="both"/>
        <w:rPr>
          <w:rFonts w:ascii="Arial Narrow" w:hAnsi="Arial Narrow" w:cs="Arial"/>
          <w:sz w:val="22"/>
          <w:szCs w:val="22"/>
        </w:rPr>
      </w:pPr>
    </w:p>
    <w:p w14:paraId="3F2D6F3E">
      <w:pPr>
        <w:pStyle w:val="52"/>
        <w:widowControl w:val="0"/>
        <w:numPr>
          <w:ilvl w:val="1"/>
          <w:numId w:val="27"/>
        </w:numPr>
        <w:overflowPunct w:val="0"/>
        <w:autoSpaceDE w:val="0"/>
        <w:autoSpaceDN w:val="0"/>
        <w:adjustRightInd w:val="0"/>
        <w:spacing w:after="0" w:line="240" w:lineRule="auto"/>
        <w:jc w:val="both"/>
        <w:rPr>
          <w:rFonts w:ascii="Arial Narrow" w:hAnsi="Arial Narrow"/>
          <w:b/>
          <w:bCs/>
          <w:lang/>
        </w:rPr>
      </w:pPr>
      <w:r>
        <w:rPr>
          <w:rFonts w:ascii="Arial Narrow" w:hAnsi="Arial Narrow"/>
          <w:b/>
          <w:bCs/>
          <w:lang/>
        </w:rPr>
        <w:t>CRITERIOS DE EVALUACIÓN</w:t>
      </w:r>
    </w:p>
    <w:p w14:paraId="4D1185AC">
      <w:pPr>
        <w:pStyle w:val="49"/>
        <w:jc w:val="both"/>
        <w:rPr>
          <w:rFonts w:ascii="Arial Narrow" w:hAnsi="Arial Narrow" w:cs="Arial"/>
          <w:sz w:val="22"/>
          <w:szCs w:val="22"/>
        </w:rPr>
      </w:pPr>
    </w:p>
    <w:p w14:paraId="344203C2">
      <w:pPr>
        <w:pStyle w:val="49"/>
        <w:jc w:val="both"/>
        <w:rPr>
          <w:rFonts w:ascii="Arial Narrow" w:hAnsi="Arial Narrow" w:cs="Arial"/>
          <w:sz w:val="22"/>
          <w:szCs w:val="22"/>
        </w:rPr>
      </w:pPr>
      <w:r>
        <w:rPr>
          <w:rFonts w:ascii="Arial Narrow" w:hAnsi="Arial Narrow" w:cs="Arial"/>
          <w:sz w:val="22"/>
          <w:szCs w:val="22"/>
        </w:rPr>
        <w:t>La Aerocivil ha determinado los siguientes factores de evaluación y ponderación, ajustados a lo dispuesto en el Decreto 1082 de 2015 y demás normas que lo modifiquen, adiciones o complementen:</w:t>
      </w:r>
    </w:p>
    <w:p w14:paraId="6396EF02">
      <w:pPr>
        <w:pStyle w:val="49"/>
        <w:jc w:val="both"/>
        <w:rPr>
          <w:rFonts w:ascii="Arial Narrow" w:hAnsi="Arial Narrow" w:cs="Arial"/>
          <w:sz w:val="22"/>
          <w:szCs w:val="22"/>
        </w:rPr>
      </w:pPr>
    </w:p>
    <w:tbl>
      <w:tblPr>
        <w:tblStyle w:val="12"/>
        <w:tblW w:w="68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70" w:type="dxa"/>
          <w:bottom w:w="0" w:type="dxa"/>
          <w:right w:w="70" w:type="dxa"/>
        </w:tblCellMar>
      </w:tblPr>
      <w:tblGrid>
        <w:gridCol w:w="5662"/>
        <w:gridCol w:w="1180"/>
      </w:tblGrid>
      <w:tr w14:paraId="574F9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70" w:type="dxa"/>
            <w:bottom w:w="0" w:type="dxa"/>
            <w:right w:w="70" w:type="dxa"/>
          </w:tblCellMar>
        </w:tblPrEx>
        <w:trPr>
          <w:trHeight w:val="284" w:hRule="atLeast"/>
          <w:jc w:val="center"/>
        </w:trPr>
        <w:tc>
          <w:tcPr>
            <w:tcW w:w="5662" w:type="dxa"/>
            <w:tcBorders>
              <w:top w:val="single" w:color="000000" w:sz="6" w:space="0"/>
              <w:left w:val="single" w:color="000000" w:sz="6" w:space="0"/>
              <w:bottom w:val="single" w:color="000000" w:sz="6" w:space="0"/>
              <w:right w:val="single" w:color="000000" w:sz="6" w:space="0"/>
            </w:tcBorders>
            <w:shd w:val="clear" w:color="auto" w:fill="D0CECE"/>
            <w:vAlign w:val="center"/>
          </w:tcPr>
          <w:p w14:paraId="305C0F25">
            <w:pPr>
              <w:pStyle w:val="100"/>
              <w:jc w:val="center"/>
              <w:rPr>
                <w:rFonts w:ascii="Arial Narrow" w:hAnsi="Arial Narrow" w:cs="Arial"/>
                <w:b/>
                <w:bCs/>
                <w:sz w:val="22"/>
                <w:szCs w:val="22"/>
              </w:rPr>
            </w:pPr>
            <w:r>
              <w:rPr>
                <w:rFonts w:ascii="Arial Narrow" w:hAnsi="Arial Narrow" w:cs="Arial"/>
                <w:b/>
                <w:bCs/>
                <w:sz w:val="22"/>
                <w:szCs w:val="22"/>
              </w:rPr>
              <w:t>Criterio de ponderación</w:t>
            </w:r>
          </w:p>
        </w:tc>
        <w:tc>
          <w:tcPr>
            <w:tcW w:w="1180" w:type="dxa"/>
            <w:tcBorders>
              <w:top w:val="single" w:color="000000" w:sz="6" w:space="0"/>
              <w:left w:val="single" w:color="000000" w:sz="6" w:space="0"/>
              <w:bottom w:val="single" w:color="000000" w:sz="6" w:space="0"/>
              <w:right w:val="single" w:color="000000" w:sz="6" w:space="0"/>
            </w:tcBorders>
            <w:shd w:val="clear" w:color="auto" w:fill="D0CECE"/>
          </w:tcPr>
          <w:p w14:paraId="56BDDC1A">
            <w:pPr>
              <w:pStyle w:val="100"/>
              <w:jc w:val="center"/>
              <w:rPr>
                <w:rFonts w:ascii="Arial Narrow" w:hAnsi="Arial Narrow" w:cs="Arial"/>
                <w:b/>
                <w:bCs/>
                <w:sz w:val="22"/>
                <w:szCs w:val="22"/>
              </w:rPr>
            </w:pPr>
            <w:r>
              <w:rPr>
                <w:rFonts w:ascii="Arial Narrow" w:hAnsi="Arial Narrow" w:cs="Arial"/>
                <w:b/>
                <w:bCs/>
                <w:sz w:val="22"/>
                <w:szCs w:val="22"/>
              </w:rPr>
              <w:t>Puntaje</w:t>
            </w:r>
          </w:p>
          <w:p w14:paraId="4CB1AD3B">
            <w:pPr>
              <w:pStyle w:val="100"/>
              <w:jc w:val="center"/>
              <w:rPr>
                <w:rFonts w:ascii="Arial Narrow" w:hAnsi="Arial Narrow" w:cs="Arial"/>
                <w:b/>
                <w:bCs/>
                <w:sz w:val="22"/>
                <w:szCs w:val="22"/>
              </w:rPr>
            </w:pPr>
          </w:p>
        </w:tc>
      </w:tr>
      <w:tr w14:paraId="4B416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70" w:type="dxa"/>
            <w:bottom w:w="0" w:type="dxa"/>
            <w:right w:w="70" w:type="dxa"/>
          </w:tblCellMar>
        </w:tblPrEx>
        <w:trPr>
          <w:trHeight w:val="74" w:hRule="atLeast"/>
          <w:jc w:val="center"/>
        </w:trPr>
        <w:tc>
          <w:tcPr>
            <w:tcW w:w="5662" w:type="dxa"/>
            <w:tcBorders>
              <w:top w:val="single" w:color="000000" w:sz="6" w:space="0"/>
              <w:left w:val="single" w:color="000000" w:sz="6" w:space="0"/>
              <w:bottom w:val="single" w:color="000000" w:sz="6" w:space="0"/>
              <w:right w:val="single" w:color="000000" w:sz="6" w:space="0"/>
            </w:tcBorders>
            <w:vAlign w:val="center"/>
          </w:tcPr>
          <w:p w14:paraId="2466AF59">
            <w:pPr>
              <w:pStyle w:val="100"/>
              <w:rPr>
                <w:rFonts w:ascii="Arial Narrow" w:hAnsi="Arial Narrow" w:cs="Arial"/>
                <w:bCs/>
                <w:sz w:val="22"/>
                <w:szCs w:val="22"/>
              </w:rPr>
            </w:pPr>
            <w:r>
              <w:rPr>
                <w:rFonts w:ascii="Arial Narrow" w:hAnsi="Arial Narrow" w:cs="Arial"/>
                <w:sz w:val="22"/>
                <w:szCs w:val="22"/>
              </w:rPr>
              <w:t>Propuesta Económica o Precio</w:t>
            </w:r>
          </w:p>
        </w:tc>
        <w:tc>
          <w:tcPr>
            <w:tcW w:w="1180" w:type="dxa"/>
            <w:tcBorders>
              <w:top w:val="single" w:color="000000" w:sz="6" w:space="0"/>
              <w:left w:val="single" w:color="000000" w:sz="6" w:space="0"/>
              <w:bottom w:val="single" w:color="000000" w:sz="6" w:space="0"/>
              <w:right w:val="single" w:color="000000" w:sz="6" w:space="0"/>
            </w:tcBorders>
          </w:tcPr>
          <w:p w14:paraId="1261C14D">
            <w:pPr>
              <w:pStyle w:val="100"/>
              <w:jc w:val="center"/>
              <w:rPr>
                <w:rFonts w:ascii="Arial Narrow" w:hAnsi="Arial Narrow" w:cs="Arial"/>
                <w:bCs/>
                <w:sz w:val="22"/>
                <w:szCs w:val="22"/>
              </w:rPr>
            </w:pPr>
            <w:r>
              <w:rPr>
                <w:rFonts w:ascii="Arial Narrow" w:hAnsi="Arial Narrow" w:cs="Arial"/>
                <w:bCs/>
                <w:sz w:val="22"/>
                <w:szCs w:val="22"/>
              </w:rPr>
              <w:t>70,00</w:t>
            </w:r>
          </w:p>
        </w:tc>
      </w:tr>
      <w:tr w14:paraId="6D765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70" w:type="dxa"/>
            <w:bottom w:w="0" w:type="dxa"/>
            <w:right w:w="70" w:type="dxa"/>
          </w:tblCellMar>
        </w:tblPrEx>
        <w:trPr>
          <w:trHeight w:val="74" w:hRule="atLeast"/>
          <w:jc w:val="center"/>
        </w:trPr>
        <w:tc>
          <w:tcPr>
            <w:tcW w:w="5662" w:type="dxa"/>
            <w:tcBorders>
              <w:top w:val="single" w:color="000000" w:sz="6" w:space="0"/>
              <w:left w:val="single" w:color="000000" w:sz="6" w:space="0"/>
              <w:bottom w:val="single" w:color="000000" w:sz="6" w:space="0"/>
              <w:right w:val="single" w:color="000000" w:sz="6" w:space="0"/>
            </w:tcBorders>
            <w:vAlign w:val="center"/>
          </w:tcPr>
          <w:p w14:paraId="26A1EF28">
            <w:pPr>
              <w:pStyle w:val="100"/>
              <w:rPr>
                <w:rFonts w:ascii="Arial Narrow" w:hAnsi="Arial Narrow" w:cs="Arial"/>
                <w:sz w:val="22"/>
                <w:szCs w:val="22"/>
              </w:rPr>
            </w:pPr>
            <w:r>
              <w:rPr>
                <w:rFonts w:ascii="Arial Narrow" w:hAnsi="Arial Narrow" w:cs="Arial"/>
                <w:bCs/>
                <w:sz w:val="22"/>
                <w:szCs w:val="22"/>
              </w:rPr>
              <w:t xml:space="preserve">Factor Técnico de Calidad </w:t>
            </w:r>
          </w:p>
        </w:tc>
        <w:tc>
          <w:tcPr>
            <w:tcW w:w="1180" w:type="dxa"/>
            <w:tcBorders>
              <w:top w:val="single" w:color="000000" w:sz="6" w:space="0"/>
              <w:left w:val="single" w:color="000000" w:sz="6" w:space="0"/>
              <w:bottom w:val="single" w:color="000000" w:sz="6" w:space="0"/>
              <w:right w:val="single" w:color="000000" w:sz="6" w:space="0"/>
            </w:tcBorders>
          </w:tcPr>
          <w:p w14:paraId="2D609664">
            <w:pPr>
              <w:pStyle w:val="100"/>
              <w:jc w:val="center"/>
              <w:rPr>
                <w:rFonts w:ascii="Arial Narrow" w:hAnsi="Arial Narrow" w:cs="Arial"/>
                <w:bCs/>
                <w:sz w:val="22"/>
                <w:szCs w:val="22"/>
              </w:rPr>
            </w:pPr>
            <w:r>
              <w:rPr>
                <w:rFonts w:ascii="Arial Narrow" w:hAnsi="Arial Narrow" w:cs="Arial"/>
                <w:bCs/>
                <w:sz w:val="22"/>
                <w:szCs w:val="22"/>
              </w:rPr>
              <w:t>19,75</w:t>
            </w:r>
          </w:p>
        </w:tc>
      </w:tr>
      <w:tr w14:paraId="54AAC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70" w:type="dxa"/>
            <w:bottom w:w="0" w:type="dxa"/>
            <w:right w:w="70" w:type="dxa"/>
          </w:tblCellMar>
        </w:tblPrEx>
        <w:trPr>
          <w:trHeight w:val="65" w:hRule="atLeast"/>
          <w:jc w:val="center"/>
        </w:trPr>
        <w:tc>
          <w:tcPr>
            <w:tcW w:w="5662" w:type="dxa"/>
            <w:tcBorders>
              <w:top w:val="single" w:color="000000" w:sz="6" w:space="0"/>
              <w:left w:val="single" w:color="000000" w:sz="6" w:space="0"/>
              <w:bottom w:val="single" w:color="000000" w:sz="6" w:space="0"/>
              <w:right w:val="single" w:color="000000" w:sz="6" w:space="0"/>
            </w:tcBorders>
            <w:vAlign w:val="center"/>
          </w:tcPr>
          <w:p w14:paraId="6F1D6C13">
            <w:pPr>
              <w:pStyle w:val="100"/>
              <w:rPr>
                <w:rFonts w:ascii="Arial Narrow" w:hAnsi="Arial Narrow" w:cs="Arial"/>
                <w:sz w:val="22"/>
                <w:szCs w:val="22"/>
              </w:rPr>
            </w:pPr>
            <w:r>
              <w:rPr>
                <w:rFonts w:ascii="Arial Narrow" w:hAnsi="Arial Narrow" w:cs="Arial"/>
                <w:sz w:val="22"/>
                <w:szCs w:val="22"/>
              </w:rPr>
              <w:t>Apoyo a la Industria Nacional</w:t>
            </w:r>
          </w:p>
        </w:tc>
        <w:tc>
          <w:tcPr>
            <w:tcW w:w="1180" w:type="dxa"/>
            <w:tcBorders>
              <w:top w:val="single" w:color="000000" w:sz="6" w:space="0"/>
              <w:left w:val="single" w:color="000000" w:sz="6" w:space="0"/>
              <w:bottom w:val="single" w:color="000000" w:sz="6" w:space="0"/>
              <w:right w:val="single" w:color="000000" w:sz="6" w:space="0"/>
            </w:tcBorders>
          </w:tcPr>
          <w:p w14:paraId="56C813C1">
            <w:pPr>
              <w:pStyle w:val="100"/>
              <w:jc w:val="center"/>
              <w:rPr>
                <w:rFonts w:ascii="Arial Narrow" w:hAnsi="Arial Narrow" w:cs="Arial"/>
                <w:bCs/>
                <w:sz w:val="22"/>
                <w:szCs w:val="22"/>
              </w:rPr>
            </w:pPr>
            <w:r>
              <w:rPr>
                <w:rFonts w:ascii="Arial Narrow" w:hAnsi="Arial Narrow" w:cs="Arial"/>
                <w:bCs/>
                <w:sz w:val="22"/>
                <w:szCs w:val="22"/>
              </w:rPr>
              <w:t>10,00</w:t>
            </w:r>
          </w:p>
        </w:tc>
      </w:tr>
      <w:tr w14:paraId="4B57D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70" w:type="dxa"/>
            <w:bottom w:w="0" w:type="dxa"/>
            <w:right w:w="70" w:type="dxa"/>
          </w:tblCellMar>
        </w:tblPrEx>
        <w:trPr>
          <w:trHeight w:val="284" w:hRule="atLeast"/>
          <w:jc w:val="center"/>
        </w:trPr>
        <w:tc>
          <w:tcPr>
            <w:tcW w:w="5662" w:type="dxa"/>
            <w:tcBorders>
              <w:top w:val="single" w:color="000000" w:sz="6" w:space="0"/>
              <w:left w:val="single" w:color="000000" w:sz="6" w:space="0"/>
              <w:bottom w:val="single" w:color="000000" w:sz="6" w:space="0"/>
              <w:right w:val="single" w:color="000000" w:sz="6" w:space="0"/>
            </w:tcBorders>
            <w:vAlign w:val="center"/>
          </w:tcPr>
          <w:p w14:paraId="46E1760E">
            <w:pPr>
              <w:pStyle w:val="100"/>
              <w:rPr>
                <w:rFonts w:ascii="Arial Narrow" w:hAnsi="Arial Narrow" w:cs="Arial"/>
                <w:bCs/>
                <w:sz w:val="22"/>
                <w:szCs w:val="22"/>
              </w:rPr>
            </w:pPr>
            <w:r>
              <w:rPr>
                <w:rFonts w:ascii="Arial Narrow" w:hAnsi="Arial Narrow" w:cs="Arial"/>
                <w:bCs/>
                <w:sz w:val="22"/>
                <w:szCs w:val="22"/>
              </w:rPr>
              <w:t>Emprendimiento o Empresas de Mujeres (Decreto 1860 de 2021)</w:t>
            </w:r>
          </w:p>
        </w:tc>
        <w:tc>
          <w:tcPr>
            <w:tcW w:w="1180" w:type="dxa"/>
            <w:tcBorders>
              <w:top w:val="single" w:color="000000" w:sz="6" w:space="0"/>
              <w:left w:val="single" w:color="000000" w:sz="6" w:space="0"/>
              <w:bottom w:val="single" w:color="000000" w:sz="6" w:space="0"/>
              <w:right w:val="single" w:color="000000" w:sz="6" w:space="0"/>
            </w:tcBorders>
          </w:tcPr>
          <w:p w14:paraId="527AC802">
            <w:pPr>
              <w:pStyle w:val="100"/>
              <w:jc w:val="center"/>
              <w:rPr>
                <w:rFonts w:ascii="Arial Narrow" w:hAnsi="Arial Narrow" w:cs="Arial"/>
                <w:bCs/>
                <w:sz w:val="22"/>
                <w:szCs w:val="22"/>
              </w:rPr>
            </w:pPr>
            <w:r>
              <w:rPr>
                <w:rFonts w:ascii="Arial Narrow" w:hAnsi="Arial Narrow" w:cs="Arial"/>
                <w:bCs/>
                <w:sz w:val="22"/>
                <w:szCs w:val="22"/>
              </w:rPr>
              <w:t>0,25</w:t>
            </w:r>
          </w:p>
        </w:tc>
      </w:tr>
      <w:tr w14:paraId="18041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70" w:type="dxa"/>
            <w:bottom w:w="0" w:type="dxa"/>
            <w:right w:w="70" w:type="dxa"/>
          </w:tblCellMar>
        </w:tblPrEx>
        <w:trPr>
          <w:trHeight w:val="284" w:hRule="atLeast"/>
          <w:jc w:val="center"/>
        </w:trPr>
        <w:tc>
          <w:tcPr>
            <w:tcW w:w="5662" w:type="dxa"/>
            <w:tcBorders>
              <w:top w:val="single" w:color="000000" w:sz="6" w:space="0"/>
              <w:left w:val="single" w:color="000000" w:sz="6" w:space="0"/>
              <w:bottom w:val="single" w:color="000000" w:sz="6" w:space="0"/>
              <w:right w:val="single" w:color="000000" w:sz="6" w:space="0"/>
            </w:tcBorders>
            <w:vAlign w:val="center"/>
          </w:tcPr>
          <w:p w14:paraId="039956F9">
            <w:pPr>
              <w:pStyle w:val="100"/>
              <w:jc w:val="center"/>
              <w:rPr>
                <w:rFonts w:ascii="Arial Narrow" w:hAnsi="Arial Narrow" w:cs="Arial"/>
                <w:bCs/>
                <w:sz w:val="22"/>
                <w:szCs w:val="22"/>
              </w:rPr>
            </w:pPr>
            <w:r>
              <w:rPr>
                <w:rFonts w:ascii="Arial Narrow" w:hAnsi="Arial Narrow" w:cs="Arial"/>
                <w:b/>
                <w:sz w:val="22"/>
                <w:szCs w:val="22"/>
              </w:rPr>
              <w:t>TOTAL PUNTOS</w:t>
            </w:r>
          </w:p>
        </w:tc>
        <w:tc>
          <w:tcPr>
            <w:tcW w:w="1180" w:type="dxa"/>
            <w:tcBorders>
              <w:top w:val="single" w:color="000000" w:sz="6" w:space="0"/>
              <w:left w:val="single" w:color="000000" w:sz="6" w:space="0"/>
              <w:bottom w:val="single" w:color="000000" w:sz="6" w:space="0"/>
              <w:right w:val="single" w:color="000000" w:sz="6" w:space="0"/>
            </w:tcBorders>
          </w:tcPr>
          <w:p w14:paraId="2CAA301A">
            <w:pPr>
              <w:pStyle w:val="100"/>
              <w:jc w:val="center"/>
              <w:rPr>
                <w:rFonts w:ascii="Arial Narrow" w:hAnsi="Arial Narrow" w:cs="Arial"/>
                <w:bCs/>
                <w:sz w:val="22"/>
                <w:szCs w:val="22"/>
              </w:rPr>
            </w:pPr>
            <w:r>
              <w:rPr>
                <w:rFonts w:ascii="Arial Narrow" w:hAnsi="Arial Narrow" w:cs="Arial"/>
                <w:bCs/>
                <w:sz w:val="22"/>
                <w:szCs w:val="22"/>
              </w:rPr>
              <w:t>100,00</w:t>
            </w:r>
          </w:p>
        </w:tc>
      </w:tr>
    </w:tbl>
    <w:p w14:paraId="710A528C">
      <w:pPr>
        <w:pStyle w:val="3"/>
        <w:spacing w:before="0" w:line="240" w:lineRule="auto"/>
        <w:jc w:val="both"/>
        <w:rPr>
          <w:rFonts w:ascii="Arial Narrow" w:hAnsi="Arial Narrow" w:cs="Arial"/>
          <w:color w:val="auto"/>
          <w:sz w:val="22"/>
          <w:szCs w:val="22"/>
          <w:lang/>
        </w:rPr>
      </w:pPr>
    </w:p>
    <w:p w14:paraId="340DAD03">
      <w:pPr>
        <w:pStyle w:val="49"/>
        <w:jc w:val="both"/>
        <w:rPr>
          <w:rFonts w:ascii="Arial Narrow" w:hAnsi="Arial Narrow" w:cs="Arial"/>
          <w:sz w:val="22"/>
          <w:szCs w:val="22"/>
        </w:rPr>
      </w:pPr>
      <w:r>
        <w:rPr>
          <w:rFonts w:ascii="Arial Narrow" w:hAnsi="Arial Narrow" w:cs="Arial"/>
          <w:sz w:val="22"/>
          <w:szCs w:val="22"/>
        </w:rPr>
        <w:t>Por tratarse de criterios de ponderación, los mismos no serán objeto de subsanabilidad, por lo tanto, se recomienda a los proponentes leer detenidamente todos y cada uno de los requisitos establecidos con el fin de obtener el puntaje.</w:t>
      </w:r>
    </w:p>
    <w:p w14:paraId="0BB31227">
      <w:pPr>
        <w:pStyle w:val="49"/>
        <w:jc w:val="both"/>
        <w:rPr>
          <w:rFonts w:ascii="Arial Narrow" w:hAnsi="Arial Narrow" w:cs="Arial"/>
          <w:sz w:val="22"/>
          <w:szCs w:val="22"/>
        </w:rPr>
      </w:pPr>
    </w:p>
    <w:p w14:paraId="6FCC0F46">
      <w:pPr>
        <w:pStyle w:val="52"/>
        <w:widowControl w:val="0"/>
        <w:numPr>
          <w:ilvl w:val="2"/>
          <w:numId w:val="27"/>
        </w:numPr>
        <w:overflowPunct w:val="0"/>
        <w:autoSpaceDE w:val="0"/>
        <w:autoSpaceDN w:val="0"/>
        <w:adjustRightInd w:val="0"/>
        <w:spacing w:after="0" w:line="240" w:lineRule="auto"/>
        <w:jc w:val="both"/>
        <w:rPr>
          <w:rFonts w:ascii="Arial Narrow" w:hAnsi="Arial Narrow" w:cs="Arial"/>
          <w:b/>
          <w:bCs/>
          <w:lang/>
        </w:rPr>
      </w:pPr>
      <w:r>
        <w:rPr>
          <w:rFonts w:ascii="Arial Narrow" w:hAnsi="Arial Narrow"/>
          <w:b/>
          <w:bCs/>
          <w:lang/>
        </w:rPr>
        <w:t>PROPUESTA</w:t>
      </w:r>
      <w:r>
        <w:rPr>
          <w:rFonts w:ascii="Arial Narrow" w:hAnsi="Arial Narrow" w:cs="Arial"/>
          <w:b/>
          <w:bCs/>
          <w:lang/>
        </w:rPr>
        <w:t xml:space="preserve"> ECONÓMICA O PRECIO (70 PUNTOS)</w:t>
      </w:r>
    </w:p>
    <w:p w14:paraId="0272D79C">
      <w:pPr>
        <w:spacing w:after="0" w:line="240" w:lineRule="auto"/>
        <w:jc w:val="both"/>
        <w:rPr>
          <w:rFonts w:ascii="Arial Narrow" w:hAnsi="Arial Narrow" w:cs="Arial"/>
          <w:lang/>
        </w:rPr>
      </w:pPr>
    </w:p>
    <w:p w14:paraId="1EF48AEE">
      <w:pPr>
        <w:widowControl w:val="0"/>
        <w:overflowPunct w:val="0"/>
        <w:autoSpaceDE w:val="0"/>
        <w:autoSpaceDN w:val="0"/>
        <w:adjustRightInd w:val="0"/>
        <w:spacing w:after="0" w:line="240" w:lineRule="auto"/>
        <w:jc w:val="both"/>
        <w:rPr>
          <w:rFonts w:ascii="Arial Narrow" w:hAnsi="Arial Narrow" w:cs="Arial"/>
          <w:lang/>
        </w:rPr>
      </w:pPr>
      <w:bookmarkStart w:id="98" w:name="_Hlk520467935"/>
      <w:r>
        <w:rPr>
          <w:rFonts w:ascii="Arial Narrow" w:hAnsi="Arial Narrow" w:cs="Arial"/>
          <w:lang/>
        </w:rPr>
        <w:t xml:space="preserve">La Entidad seleccionará el método de ponderación de la propuesta económica de acuerdo con los siguientes </w:t>
      </w:r>
      <w:r>
        <w:rPr>
          <w:rFonts w:ascii="Arial Narrow" w:hAnsi="Arial Narrow" w:cs="Arial"/>
          <w:lang w:eastAsia="es-CO"/>
        </w:rPr>
        <w:t>métodos de evaluación de la oferta económica:</w:t>
      </w:r>
      <w:bookmarkStart w:id="99" w:name="_Hlk511666073"/>
    </w:p>
    <w:bookmarkEnd w:id="98"/>
    <w:bookmarkEnd w:id="99"/>
    <w:p w14:paraId="72F6E6B8">
      <w:pPr>
        <w:widowControl w:val="0"/>
        <w:overflowPunct w:val="0"/>
        <w:autoSpaceDE w:val="0"/>
        <w:autoSpaceDN w:val="0"/>
        <w:adjustRightInd w:val="0"/>
        <w:spacing w:after="0" w:line="240" w:lineRule="auto"/>
        <w:jc w:val="both"/>
        <w:rPr>
          <w:rFonts w:ascii="Arial Narrow" w:hAnsi="Arial Narrow" w:cs="Arial"/>
          <w:lang w:eastAsia="es-CO"/>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7"/>
      </w:tblGrid>
      <w:tr w14:paraId="2332A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blHeader/>
          <w:jc w:val="center"/>
        </w:trPr>
        <w:tc>
          <w:tcPr>
            <w:tcW w:w="5837" w:type="dxa"/>
            <w:shd w:val="clear" w:color="auto" w:fill="D8D8D8" w:themeFill="background1" w:themeFillShade="D9"/>
          </w:tcPr>
          <w:p w14:paraId="04FE19DB">
            <w:pPr>
              <w:autoSpaceDE w:val="0"/>
              <w:autoSpaceDN w:val="0"/>
              <w:adjustRightInd w:val="0"/>
              <w:spacing w:after="0" w:line="240" w:lineRule="auto"/>
              <w:jc w:val="center"/>
              <w:rPr>
                <w:rFonts w:ascii="Arial Narrow" w:hAnsi="Arial Narrow" w:cs="Arial"/>
                <w:lang/>
              </w:rPr>
            </w:pPr>
            <w:r>
              <w:rPr>
                <w:rFonts w:ascii="Arial Narrow" w:hAnsi="Arial Narrow" w:cs="Arial"/>
                <w:b/>
                <w:bCs/>
                <w:lang/>
              </w:rPr>
              <w:t>Método</w:t>
            </w:r>
          </w:p>
        </w:tc>
      </w:tr>
      <w:tr w14:paraId="77819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5837" w:type="dxa"/>
          </w:tcPr>
          <w:p w14:paraId="695185A9">
            <w:pPr>
              <w:numPr>
                <w:ilvl w:val="0"/>
                <w:numId w:val="28"/>
              </w:numPr>
              <w:autoSpaceDE w:val="0"/>
              <w:autoSpaceDN w:val="0"/>
              <w:adjustRightInd w:val="0"/>
              <w:spacing w:after="0" w:line="240" w:lineRule="auto"/>
              <w:ind w:left="1080"/>
              <w:jc w:val="both"/>
              <w:rPr>
                <w:rFonts w:ascii="Arial Narrow" w:hAnsi="Arial Narrow" w:cs="Arial"/>
                <w:lang/>
              </w:rPr>
            </w:pPr>
            <w:r>
              <w:rPr>
                <w:rFonts w:ascii="Arial Narrow" w:hAnsi="Arial Narrow" w:cs="Arial"/>
                <w:lang/>
              </w:rPr>
              <w:t xml:space="preserve">Media aritmética </w:t>
            </w:r>
          </w:p>
        </w:tc>
      </w:tr>
      <w:tr w14:paraId="7F551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5837" w:type="dxa"/>
          </w:tcPr>
          <w:p w14:paraId="4194AA46">
            <w:pPr>
              <w:numPr>
                <w:ilvl w:val="0"/>
                <w:numId w:val="28"/>
              </w:numPr>
              <w:autoSpaceDE w:val="0"/>
              <w:autoSpaceDN w:val="0"/>
              <w:adjustRightInd w:val="0"/>
              <w:spacing w:after="0" w:line="240" w:lineRule="auto"/>
              <w:ind w:left="1080"/>
              <w:jc w:val="both"/>
              <w:rPr>
                <w:rFonts w:ascii="Arial Narrow" w:hAnsi="Arial Narrow" w:cs="Arial"/>
                <w:lang/>
              </w:rPr>
            </w:pPr>
            <w:r>
              <w:rPr>
                <w:rFonts w:ascii="Arial Narrow" w:hAnsi="Arial Narrow" w:cs="Arial"/>
                <w:lang/>
              </w:rPr>
              <w:t xml:space="preserve">Media aritmética alta </w:t>
            </w:r>
          </w:p>
        </w:tc>
      </w:tr>
      <w:tr w14:paraId="762F7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5837" w:type="dxa"/>
          </w:tcPr>
          <w:p w14:paraId="7F58367E">
            <w:pPr>
              <w:numPr>
                <w:ilvl w:val="0"/>
                <w:numId w:val="28"/>
              </w:numPr>
              <w:autoSpaceDE w:val="0"/>
              <w:autoSpaceDN w:val="0"/>
              <w:adjustRightInd w:val="0"/>
              <w:spacing w:after="0" w:line="240" w:lineRule="auto"/>
              <w:ind w:left="1080"/>
              <w:jc w:val="both"/>
              <w:rPr>
                <w:rFonts w:ascii="Arial Narrow" w:hAnsi="Arial Narrow" w:cs="Arial"/>
                <w:lang/>
              </w:rPr>
            </w:pPr>
            <w:r>
              <w:rPr>
                <w:rFonts w:ascii="Arial Narrow" w:hAnsi="Arial Narrow" w:cs="Arial"/>
                <w:lang/>
              </w:rPr>
              <w:t xml:space="preserve">Media geométrica con presupuesto oficial </w:t>
            </w:r>
          </w:p>
        </w:tc>
      </w:tr>
      <w:tr w14:paraId="64D78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5837" w:type="dxa"/>
          </w:tcPr>
          <w:p w14:paraId="172AED1F">
            <w:pPr>
              <w:numPr>
                <w:ilvl w:val="0"/>
                <w:numId w:val="28"/>
              </w:numPr>
              <w:autoSpaceDE w:val="0"/>
              <w:autoSpaceDN w:val="0"/>
              <w:adjustRightInd w:val="0"/>
              <w:spacing w:after="0" w:line="240" w:lineRule="auto"/>
              <w:ind w:left="1080"/>
              <w:jc w:val="both"/>
              <w:rPr>
                <w:rFonts w:ascii="Arial Narrow" w:hAnsi="Arial Narrow" w:cs="Arial"/>
                <w:lang/>
              </w:rPr>
            </w:pPr>
            <w:r>
              <w:rPr>
                <w:rFonts w:ascii="Arial Narrow" w:hAnsi="Arial Narrow" w:cs="Arial"/>
                <w:lang/>
              </w:rPr>
              <w:t xml:space="preserve">Menor valor </w:t>
            </w:r>
          </w:p>
        </w:tc>
      </w:tr>
    </w:tbl>
    <w:p w14:paraId="3AD992D0">
      <w:pPr>
        <w:widowControl w:val="0"/>
        <w:overflowPunct w:val="0"/>
        <w:autoSpaceDE w:val="0"/>
        <w:autoSpaceDN w:val="0"/>
        <w:adjustRightInd w:val="0"/>
        <w:spacing w:after="0" w:line="240" w:lineRule="auto"/>
        <w:jc w:val="both"/>
        <w:rPr>
          <w:rFonts w:ascii="Arial Narrow" w:hAnsi="Arial Narrow" w:cs="Arial"/>
          <w:lang w:eastAsia="es-CO"/>
        </w:rPr>
      </w:pPr>
      <w:bookmarkStart w:id="100" w:name="_Hlk512620473"/>
    </w:p>
    <w:p w14:paraId="445F0C25">
      <w:pPr>
        <w:widowControl w:val="0"/>
        <w:overflowPunct w:val="0"/>
        <w:autoSpaceDE w:val="0"/>
        <w:autoSpaceDN w:val="0"/>
        <w:adjustRightInd w:val="0"/>
        <w:spacing w:after="0" w:line="240" w:lineRule="auto"/>
        <w:jc w:val="both"/>
        <w:rPr>
          <w:rFonts w:ascii="Arial Narrow" w:hAnsi="Arial Narrow" w:cs="Arial"/>
          <w:lang w:eastAsia="es-CO"/>
        </w:rPr>
      </w:pPr>
      <w:r>
        <w:rPr>
          <w:rFonts w:ascii="Arial Narrow" w:hAnsi="Arial Narrow" w:cs="Arial"/>
          <w:lang w:eastAsia="es-CO"/>
        </w:rPr>
        <w:t>Para la determinación del método se tomarán los primeros dos decimales de la TRM que rija el día anterior para la publicación del informe de evaluación definitivo del  cronograma vigente al momento del cierre, así éste se modifique. El método debe ser escogido de acuerdo con los rangos establecidos en la tabla que se presenta a continuación.</w:t>
      </w:r>
      <w:bookmarkEnd w:id="100"/>
    </w:p>
    <w:p w14:paraId="20B9DBAC">
      <w:pPr>
        <w:widowControl w:val="0"/>
        <w:overflowPunct w:val="0"/>
        <w:autoSpaceDE w:val="0"/>
        <w:autoSpaceDN w:val="0"/>
        <w:adjustRightInd w:val="0"/>
        <w:spacing w:after="0" w:line="240" w:lineRule="auto"/>
        <w:ind w:left="1416" w:firstLine="708"/>
        <w:jc w:val="both"/>
        <w:rPr>
          <w:rFonts w:ascii="Arial Narrow" w:hAnsi="Arial Narrow" w:cs="Arial"/>
          <w:lang w:eastAsia="es-CO"/>
        </w:rPr>
      </w:pPr>
    </w:p>
    <w:p w14:paraId="0D61C016">
      <w:pPr>
        <w:widowControl w:val="0"/>
        <w:overflowPunct w:val="0"/>
        <w:autoSpaceDE w:val="0"/>
        <w:autoSpaceDN w:val="0"/>
        <w:adjustRightInd w:val="0"/>
        <w:spacing w:after="0" w:line="240" w:lineRule="auto"/>
        <w:ind w:left="1416" w:firstLine="708"/>
        <w:jc w:val="both"/>
        <w:rPr>
          <w:rFonts w:ascii="Arial Narrow" w:hAnsi="Arial Narrow" w:cs="Arial"/>
          <w:b/>
          <w:bCs/>
          <w:lang w:eastAsia="es-CO"/>
        </w:rPr>
      </w:pPr>
      <w:r>
        <w:rPr>
          <w:rFonts w:ascii="Arial Narrow" w:hAnsi="Arial Narrow" w:cs="Arial"/>
          <w:b/>
          <w:bCs/>
          <w:lang w:eastAsia="es-CO"/>
        </w:rPr>
        <w:t xml:space="preserve">Asignación de método de evaluación según TRM </w:t>
      </w:r>
    </w:p>
    <w:p w14:paraId="7A12BAE5">
      <w:pPr>
        <w:widowControl w:val="0"/>
        <w:overflowPunct w:val="0"/>
        <w:autoSpaceDE w:val="0"/>
        <w:autoSpaceDN w:val="0"/>
        <w:adjustRightInd w:val="0"/>
        <w:spacing w:after="0" w:line="240" w:lineRule="auto"/>
        <w:jc w:val="both"/>
        <w:rPr>
          <w:rFonts w:ascii="Arial Narrow" w:hAnsi="Arial Narrow" w:cs="Arial"/>
          <w:b/>
          <w:lang w:eastAsia="es-CO"/>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3"/>
        <w:gridCol w:w="951"/>
        <w:gridCol w:w="3659"/>
      </w:tblGrid>
      <w:tr w14:paraId="199F0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853" w:type="dxa"/>
            <w:shd w:val="clear" w:color="auto" w:fill="D8D8D8" w:themeFill="background1" w:themeFillShade="D9"/>
          </w:tcPr>
          <w:p w14:paraId="3B98D828">
            <w:pPr>
              <w:widowControl w:val="0"/>
              <w:overflowPunct w:val="0"/>
              <w:autoSpaceDE w:val="0"/>
              <w:autoSpaceDN w:val="0"/>
              <w:adjustRightInd w:val="0"/>
              <w:spacing w:after="0" w:line="240" w:lineRule="auto"/>
              <w:jc w:val="center"/>
              <w:rPr>
                <w:rFonts w:ascii="Arial Narrow" w:hAnsi="Arial Narrow" w:cs="Arial"/>
                <w:b/>
                <w:lang w:eastAsia="es-CO"/>
              </w:rPr>
            </w:pPr>
            <w:r>
              <w:rPr>
                <w:rFonts w:ascii="Arial Narrow" w:hAnsi="Arial Narrow" w:cs="Arial"/>
                <w:b/>
                <w:lang w:eastAsia="es-CO"/>
              </w:rPr>
              <w:t>Rango  (inclusive)</w:t>
            </w:r>
          </w:p>
        </w:tc>
        <w:tc>
          <w:tcPr>
            <w:tcW w:w="951" w:type="dxa"/>
            <w:shd w:val="clear" w:color="auto" w:fill="D8D8D8" w:themeFill="background1" w:themeFillShade="D9"/>
          </w:tcPr>
          <w:p w14:paraId="71A93ED6">
            <w:pPr>
              <w:widowControl w:val="0"/>
              <w:overflowPunct w:val="0"/>
              <w:autoSpaceDE w:val="0"/>
              <w:autoSpaceDN w:val="0"/>
              <w:adjustRightInd w:val="0"/>
              <w:spacing w:after="0" w:line="240" w:lineRule="auto"/>
              <w:jc w:val="center"/>
              <w:rPr>
                <w:rFonts w:ascii="Arial Narrow" w:hAnsi="Arial Narrow" w:cs="Arial"/>
                <w:b/>
                <w:lang w:eastAsia="es-CO"/>
              </w:rPr>
            </w:pPr>
            <w:r>
              <w:rPr>
                <w:rFonts w:ascii="Arial Narrow" w:hAnsi="Arial Narrow" w:cs="Arial"/>
                <w:b/>
                <w:lang w:eastAsia="es-CO"/>
              </w:rPr>
              <w:t>Número</w:t>
            </w:r>
          </w:p>
        </w:tc>
        <w:tc>
          <w:tcPr>
            <w:tcW w:w="3659" w:type="dxa"/>
            <w:shd w:val="clear" w:color="auto" w:fill="D8D8D8" w:themeFill="background1" w:themeFillShade="D9"/>
          </w:tcPr>
          <w:p w14:paraId="04DC7C73">
            <w:pPr>
              <w:widowControl w:val="0"/>
              <w:overflowPunct w:val="0"/>
              <w:autoSpaceDE w:val="0"/>
              <w:autoSpaceDN w:val="0"/>
              <w:adjustRightInd w:val="0"/>
              <w:spacing w:after="0" w:line="240" w:lineRule="auto"/>
              <w:jc w:val="center"/>
              <w:rPr>
                <w:rFonts w:ascii="Arial Narrow" w:hAnsi="Arial Narrow" w:cs="Arial"/>
                <w:b/>
                <w:lang w:eastAsia="es-CO"/>
              </w:rPr>
            </w:pPr>
            <w:r>
              <w:rPr>
                <w:rFonts w:ascii="Arial Narrow" w:hAnsi="Arial Narrow" w:cs="Arial"/>
                <w:b/>
                <w:lang w:eastAsia="es-CO"/>
              </w:rPr>
              <w:t>Método</w:t>
            </w:r>
          </w:p>
        </w:tc>
      </w:tr>
      <w:tr w14:paraId="4B0C6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1853" w:type="dxa"/>
          </w:tcPr>
          <w:p w14:paraId="03D1B603">
            <w:pPr>
              <w:widowControl w:val="0"/>
              <w:overflowPunct w:val="0"/>
              <w:autoSpaceDE w:val="0"/>
              <w:autoSpaceDN w:val="0"/>
              <w:adjustRightInd w:val="0"/>
              <w:spacing w:after="0" w:line="240" w:lineRule="auto"/>
              <w:jc w:val="both"/>
              <w:rPr>
                <w:rFonts w:ascii="Arial Narrow" w:hAnsi="Arial Narrow" w:cs="Arial"/>
                <w:lang w:eastAsia="es-CO"/>
              </w:rPr>
            </w:pPr>
            <w:r>
              <w:rPr>
                <w:rFonts w:ascii="Arial Narrow" w:hAnsi="Arial Narrow" w:cs="Arial"/>
                <w:lang w:eastAsia="es-CO"/>
              </w:rPr>
              <w:t>De  0.00  a  0.24</w:t>
            </w:r>
          </w:p>
        </w:tc>
        <w:tc>
          <w:tcPr>
            <w:tcW w:w="951" w:type="dxa"/>
          </w:tcPr>
          <w:p w14:paraId="1F4048EA">
            <w:pPr>
              <w:widowControl w:val="0"/>
              <w:overflowPunct w:val="0"/>
              <w:autoSpaceDE w:val="0"/>
              <w:autoSpaceDN w:val="0"/>
              <w:adjustRightInd w:val="0"/>
              <w:spacing w:after="0" w:line="240" w:lineRule="auto"/>
              <w:jc w:val="center"/>
              <w:rPr>
                <w:rFonts w:ascii="Arial Narrow" w:hAnsi="Arial Narrow" w:cs="Arial"/>
                <w:lang w:eastAsia="es-CO"/>
              </w:rPr>
            </w:pPr>
            <w:r>
              <w:rPr>
                <w:rFonts w:ascii="Arial Narrow" w:hAnsi="Arial Narrow" w:cs="Arial"/>
                <w:lang w:eastAsia="es-CO"/>
              </w:rPr>
              <w:t>1</w:t>
            </w:r>
          </w:p>
        </w:tc>
        <w:tc>
          <w:tcPr>
            <w:tcW w:w="3659" w:type="dxa"/>
          </w:tcPr>
          <w:p w14:paraId="0039F8DA">
            <w:pPr>
              <w:widowControl w:val="0"/>
              <w:overflowPunct w:val="0"/>
              <w:autoSpaceDE w:val="0"/>
              <w:autoSpaceDN w:val="0"/>
              <w:adjustRightInd w:val="0"/>
              <w:spacing w:after="0" w:line="240" w:lineRule="auto"/>
              <w:jc w:val="both"/>
              <w:rPr>
                <w:rFonts w:ascii="Arial Narrow" w:hAnsi="Arial Narrow" w:cs="Arial"/>
                <w:lang w:eastAsia="es-CO"/>
              </w:rPr>
            </w:pPr>
            <w:r>
              <w:rPr>
                <w:rFonts w:ascii="Arial Narrow" w:hAnsi="Arial Narrow" w:cs="Arial"/>
                <w:lang w:eastAsia="es-CO"/>
              </w:rPr>
              <w:t>Media aritmética</w:t>
            </w:r>
          </w:p>
        </w:tc>
      </w:tr>
      <w:tr w14:paraId="33A77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853" w:type="dxa"/>
          </w:tcPr>
          <w:p w14:paraId="36CD0632">
            <w:pPr>
              <w:widowControl w:val="0"/>
              <w:overflowPunct w:val="0"/>
              <w:autoSpaceDE w:val="0"/>
              <w:autoSpaceDN w:val="0"/>
              <w:adjustRightInd w:val="0"/>
              <w:spacing w:after="0" w:line="240" w:lineRule="auto"/>
              <w:jc w:val="both"/>
              <w:rPr>
                <w:rFonts w:ascii="Arial Narrow" w:hAnsi="Arial Narrow" w:cs="Arial"/>
                <w:lang w:eastAsia="es-CO"/>
              </w:rPr>
            </w:pPr>
            <w:r>
              <w:rPr>
                <w:rFonts w:ascii="Arial Narrow" w:hAnsi="Arial Narrow" w:cs="Arial"/>
                <w:lang w:eastAsia="es-CO"/>
              </w:rPr>
              <w:t>De  0.25  a  0.49</w:t>
            </w:r>
          </w:p>
        </w:tc>
        <w:tc>
          <w:tcPr>
            <w:tcW w:w="951" w:type="dxa"/>
          </w:tcPr>
          <w:p w14:paraId="727379DD">
            <w:pPr>
              <w:widowControl w:val="0"/>
              <w:overflowPunct w:val="0"/>
              <w:autoSpaceDE w:val="0"/>
              <w:autoSpaceDN w:val="0"/>
              <w:adjustRightInd w:val="0"/>
              <w:spacing w:after="0" w:line="240" w:lineRule="auto"/>
              <w:jc w:val="center"/>
              <w:rPr>
                <w:rFonts w:ascii="Arial Narrow" w:hAnsi="Arial Narrow" w:cs="Arial"/>
                <w:lang w:eastAsia="es-CO"/>
              </w:rPr>
            </w:pPr>
            <w:r>
              <w:rPr>
                <w:rFonts w:ascii="Arial Narrow" w:hAnsi="Arial Narrow" w:cs="Arial"/>
                <w:lang w:eastAsia="es-CO"/>
              </w:rPr>
              <w:t>2</w:t>
            </w:r>
          </w:p>
        </w:tc>
        <w:tc>
          <w:tcPr>
            <w:tcW w:w="3659" w:type="dxa"/>
          </w:tcPr>
          <w:p w14:paraId="5316FAFC">
            <w:pPr>
              <w:widowControl w:val="0"/>
              <w:overflowPunct w:val="0"/>
              <w:autoSpaceDE w:val="0"/>
              <w:autoSpaceDN w:val="0"/>
              <w:adjustRightInd w:val="0"/>
              <w:spacing w:after="0" w:line="240" w:lineRule="auto"/>
              <w:jc w:val="both"/>
              <w:rPr>
                <w:rFonts w:ascii="Arial Narrow" w:hAnsi="Arial Narrow" w:cs="Arial"/>
                <w:lang w:eastAsia="es-CO"/>
              </w:rPr>
            </w:pPr>
            <w:r>
              <w:rPr>
                <w:rFonts w:ascii="Arial Narrow" w:hAnsi="Arial Narrow" w:cs="Arial"/>
                <w:lang w:eastAsia="es-CO"/>
              </w:rPr>
              <w:t>Media aritmética alta</w:t>
            </w:r>
          </w:p>
        </w:tc>
      </w:tr>
      <w:tr w14:paraId="3D5F5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1853" w:type="dxa"/>
          </w:tcPr>
          <w:p w14:paraId="3BA7E0C6">
            <w:pPr>
              <w:widowControl w:val="0"/>
              <w:overflowPunct w:val="0"/>
              <w:autoSpaceDE w:val="0"/>
              <w:autoSpaceDN w:val="0"/>
              <w:adjustRightInd w:val="0"/>
              <w:spacing w:after="0" w:line="240" w:lineRule="auto"/>
              <w:jc w:val="both"/>
              <w:rPr>
                <w:rFonts w:ascii="Arial Narrow" w:hAnsi="Arial Narrow" w:cs="Arial"/>
                <w:lang w:eastAsia="es-CO"/>
              </w:rPr>
            </w:pPr>
            <w:r>
              <w:rPr>
                <w:rFonts w:ascii="Arial Narrow" w:hAnsi="Arial Narrow" w:cs="Arial"/>
                <w:lang w:eastAsia="es-CO"/>
              </w:rPr>
              <w:t>De  0.50  a  0.74</w:t>
            </w:r>
          </w:p>
        </w:tc>
        <w:tc>
          <w:tcPr>
            <w:tcW w:w="951" w:type="dxa"/>
          </w:tcPr>
          <w:p w14:paraId="3266D2BD">
            <w:pPr>
              <w:widowControl w:val="0"/>
              <w:overflowPunct w:val="0"/>
              <w:autoSpaceDE w:val="0"/>
              <w:autoSpaceDN w:val="0"/>
              <w:adjustRightInd w:val="0"/>
              <w:spacing w:after="0" w:line="240" w:lineRule="auto"/>
              <w:jc w:val="center"/>
              <w:rPr>
                <w:rFonts w:ascii="Arial Narrow" w:hAnsi="Arial Narrow" w:cs="Arial"/>
                <w:lang w:eastAsia="es-CO"/>
              </w:rPr>
            </w:pPr>
            <w:r>
              <w:rPr>
                <w:rFonts w:ascii="Arial Narrow" w:hAnsi="Arial Narrow" w:cs="Arial"/>
                <w:lang w:eastAsia="es-CO"/>
              </w:rPr>
              <w:t>3</w:t>
            </w:r>
          </w:p>
        </w:tc>
        <w:tc>
          <w:tcPr>
            <w:tcW w:w="3659" w:type="dxa"/>
          </w:tcPr>
          <w:p w14:paraId="2DAF6917">
            <w:pPr>
              <w:widowControl w:val="0"/>
              <w:overflowPunct w:val="0"/>
              <w:autoSpaceDE w:val="0"/>
              <w:autoSpaceDN w:val="0"/>
              <w:adjustRightInd w:val="0"/>
              <w:spacing w:after="0" w:line="240" w:lineRule="auto"/>
              <w:jc w:val="both"/>
              <w:rPr>
                <w:rFonts w:ascii="Arial Narrow" w:hAnsi="Arial Narrow" w:cs="Arial"/>
                <w:lang w:eastAsia="es-CO"/>
              </w:rPr>
            </w:pPr>
            <w:r>
              <w:rPr>
                <w:rFonts w:ascii="Arial Narrow" w:hAnsi="Arial Narrow" w:cs="Arial"/>
                <w:lang w:eastAsia="es-CO"/>
              </w:rPr>
              <w:t>Media geométrica con presupuesto oficial</w:t>
            </w:r>
          </w:p>
        </w:tc>
      </w:tr>
      <w:tr w14:paraId="6F51E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853" w:type="dxa"/>
          </w:tcPr>
          <w:p w14:paraId="0D590CF3">
            <w:pPr>
              <w:widowControl w:val="0"/>
              <w:overflowPunct w:val="0"/>
              <w:autoSpaceDE w:val="0"/>
              <w:autoSpaceDN w:val="0"/>
              <w:adjustRightInd w:val="0"/>
              <w:spacing w:after="0" w:line="240" w:lineRule="auto"/>
              <w:jc w:val="both"/>
              <w:rPr>
                <w:rFonts w:ascii="Arial Narrow" w:hAnsi="Arial Narrow" w:cs="Arial"/>
                <w:lang w:eastAsia="es-CO"/>
              </w:rPr>
            </w:pPr>
            <w:r>
              <w:rPr>
                <w:rFonts w:ascii="Arial Narrow" w:hAnsi="Arial Narrow" w:cs="Arial"/>
                <w:lang w:eastAsia="es-CO"/>
              </w:rPr>
              <w:t>De  0.75  a  0.99</w:t>
            </w:r>
          </w:p>
        </w:tc>
        <w:tc>
          <w:tcPr>
            <w:tcW w:w="951" w:type="dxa"/>
          </w:tcPr>
          <w:p w14:paraId="2C5277CE">
            <w:pPr>
              <w:widowControl w:val="0"/>
              <w:overflowPunct w:val="0"/>
              <w:autoSpaceDE w:val="0"/>
              <w:autoSpaceDN w:val="0"/>
              <w:adjustRightInd w:val="0"/>
              <w:spacing w:after="0" w:line="240" w:lineRule="auto"/>
              <w:jc w:val="center"/>
              <w:rPr>
                <w:rFonts w:ascii="Arial Narrow" w:hAnsi="Arial Narrow" w:cs="Arial"/>
                <w:lang w:eastAsia="es-CO"/>
              </w:rPr>
            </w:pPr>
            <w:r>
              <w:rPr>
                <w:rFonts w:ascii="Arial Narrow" w:hAnsi="Arial Narrow" w:cs="Arial"/>
                <w:lang w:eastAsia="es-CO"/>
              </w:rPr>
              <w:t>4</w:t>
            </w:r>
          </w:p>
        </w:tc>
        <w:tc>
          <w:tcPr>
            <w:tcW w:w="3659" w:type="dxa"/>
          </w:tcPr>
          <w:p w14:paraId="72CAF625">
            <w:pPr>
              <w:widowControl w:val="0"/>
              <w:overflowPunct w:val="0"/>
              <w:autoSpaceDE w:val="0"/>
              <w:autoSpaceDN w:val="0"/>
              <w:adjustRightInd w:val="0"/>
              <w:spacing w:after="0" w:line="240" w:lineRule="auto"/>
              <w:jc w:val="both"/>
              <w:rPr>
                <w:rFonts w:ascii="Arial Narrow" w:hAnsi="Arial Narrow" w:cs="Arial"/>
                <w:lang w:eastAsia="es-CO"/>
              </w:rPr>
            </w:pPr>
            <w:r>
              <w:rPr>
                <w:rFonts w:ascii="Arial Narrow" w:hAnsi="Arial Narrow" w:cs="Arial"/>
                <w:lang w:eastAsia="es-CO"/>
              </w:rPr>
              <w:t>Menor valor</w:t>
            </w:r>
          </w:p>
        </w:tc>
      </w:tr>
    </w:tbl>
    <w:p w14:paraId="333B3F2C">
      <w:pPr>
        <w:tabs>
          <w:tab w:val="left" w:pos="-720"/>
        </w:tabs>
        <w:suppressAutoHyphens/>
        <w:spacing w:after="0" w:line="240" w:lineRule="auto"/>
        <w:jc w:val="both"/>
        <w:rPr>
          <w:rFonts w:ascii="Arial Narrow" w:hAnsi="Arial Narrow" w:eastAsia="Arial Unicode MS" w:cs="Arial"/>
          <w:b/>
          <w:bCs/>
          <w:lang/>
        </w:rPr>
      </w:pPr>
    </w:p>
    <w:p w14:paraId="4887B17F">
      <w:pPr>
        <w:tabs>
          <w:tab w:val="left" w:pos="-720"/>
        </w:tabs>
        <w:suppressAutoHyphens/>
        <w:spacing w:after="0" w:line="240" w:lineRule="auto"/>
        <w:jc w:val="both"/>
        <w:rPr>
          <w:rFonts w:ascii="Arial Narrow" w:hAnsi="Arial Narrow" w:eastAsia="Arial Unicode MS" w:cs="Arial"/>
          <w:b/>
          <w:bCs/>
          <w:lang/>
        </w:rPr>
      </w:pPr>
    </w:p>
    <w:p w14:paraId="2F39AB1E">
      <w:pPr>
        <w:tabs>
          <w:tab w:val="left" w:pos="-720"/>
        </w:tabs>
        <w:suppressAutoHyphens/>
        <w:spacing w:after="0" w:line="240" w:lineRule="auto"/>
        <w:jc w:val="both"/>
        <w:rPr>
          <w:rFonts w:ascii="Arial Narrow" w:hAnsi="Arial Narrow" w:eastAsia="Arial Unicode MS" w:cs="Arial"/>
          <w:b/>
          <w:bCs/>
          <w:lang/>
        </w:rPr>
      </w:pPr>
    </w:p>
    <w:p w14:paraId="3EF58BE1">
      <w:pPr>
        <w:tabs>
          <w:tab w:val="left" w:pos="-720"/>
        </w:tabs>
        <w:suppressAutoHyphens/>
        <w:spacing w:after="0" w:line="240" w:lineRule="auto"/>
        <w:jc w:val="both"/>
        <w:rPr>
          <w:rFonts w:ascii="Arial Narrow" w:hAnsi="Arial Narrow" w:eastAsia="Arial Unicode MS" w:cs="Arial"/>
          <w:b/>
          <w:bCs/>
          <w:lang/>
        </w:rPr>
      </w:pPr>
    </w:p>
    <w:p w14:paraId="02F35C9F">
      <w:pPr>
        <w:pStyle w:val="52"/>
        <w:widowControl w:val="0"/>
        <w:numPr>
          <w:ilvl w:val="3"/>
          <w:numId w:val="27"/>
        </w:numPr>
        <w:overflowPunct w:val="0"/>
        <w:autoSpaceDE w:val="0"/>
        <w:autoSpaceDN w:val="0"/>
        <w:adjustRightInd w:val="0"/>
        <w:spacing w:after="0" w:line="240" w:lineRule="auto"/>
        <w:jc w:val="both"/>
        <w:rPr>
          <w:rFonts w:ascii="Arial Narrow" w:hAnsi="Arial Narrow" w:cs="Arial"/>
          <w:b/>
          <w:lang w:eastAsia="es-CO"/>
        </w:rPr>
      </w:pPr>
      <w:r>
        <w:rPr>
          <w:rFonts w:ascii="Arial Narrow" w:hAnsi="Arial Narrow" w:cs="Arial"/>
          <w:b/>
          <w:lang w:eastAsia="es-CO"/>
        </w:rPr>
        <w:t>Media Aritmética</w:t>
      </w:r>
    </w:p>
    <w:p w14:paraId="43868018">
      <w:pPr>
        <w:tabs>
          <w:tab w:val="left" w:pos="0"/>
        </w:tabs>
        <w:autoSpaceDE w:val="0"/>
        <w:autoSpaceDN w:val="0"/>
        <w:adjustRightInd w:val="0"/>
        <w:spacing w:after="0" w:line="240" w:lineRule="auto"/>
        <w:jc w:val="both"/>
        <w:rPr>
          <w:rFonts w:ascii="Arial Narrow" w:hAnsi="Arial Narrow" w:cs="Arial"/>
          <w:lang/>
        </w:rPr>
      </w:pPr>
    </w:p>
    <w:p w14:paraId="4D34E6E0">
      <w:pPr>
        <w:tabs>
          <w:tab w:val="left" w:pos="0"/>
        </w:tabs>
        <w:autoSpaceDE w:val="0"/>
        <w:autoSpaceDN w:val="0"/>
        <w:adjustRightInd w:val="0"/>
        <w:spacing w:after="0" w:line="240" w:lineRule="auto"/>
        <w:jc w:val="both"/>
        <w:rPr>
          <w:rFonts w:ascii="Arial Narrow" w:hAnsi="Arial Narrow" w:cs="Arial"/>
          <w:lang/>
        </w:rPr>
      </w:pPr>
      <w:r>
        <w:rPr>
          <w:rFonts w:ascii="Arial Narrow" w:hAnsi="Arial Narrow" w:cs="Arial"/>
          <w:lang/>
        </w:rPr>
        <w:t>Consiste en la determinación del promedio aritmético de las propuestas que no han sido rechazadas y se encuentran válidas, para esto se aplicará la siguiente fórmula:</w:t>
      </w:r>
    </w:p>
    <w:p w14:paraId="0189F22D">
      <w:pPr>
        <w:tabs>
          <w:tab w:val="left" w:pos="-142"/>
        </w:tabs>
        <w:autoSpaceDE w:val="0"/>
        <w:autoSpaceDN w:val="0"/>
        <w:adjustRightInd w:val="0"/>
        <w:spacing w:after="0" w:line="240" w:lineRule="auto"/>
        <w:jc w:val="center"/>
        <w:rPr>
          <w:rFonts w:ascii="Arial Narrow" w:hAnsi="Arial Narrow" w:cs="Arial"/>
          <w:lang/>
        </w:rPr>
      </w:pPr>
      <w:r>
        <w:rPr>
          <w:rFonts w:ascii="Arial Narrow" w:hAnsi="Arial Narrow" w:cs="Arial"/>
          <w:position w:val="-28"/>
          <w:lang w:eastAsia="es-CO"/>
        </w:rPr>
        <w:drawing>
          <wp:inline distT="0" distB="0" distL="0" distR="0">
            <wp:extent cx="647700" cy="4572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647700" cy="457200"/>
                    </a:xfrm>
                    <a:prstGeom prst="rect">
                      <a:avLst/>
                    </a:prstGeom>
                    <a:noFill/>
                    <a:ln>
                      <a:noFill/>
                    </a:ln>
                  </pic:spPr>
                </pic:pic>
              </a:graphicData>
            </a:graphic>
          </wp:inline>
        </w:drawing>
      </w:r>
    </w:p>
    <w:p w14:paraId="70C76AA1">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Donde,</w:t>
      </w:r>
    </w:p>
    <w:tbl>
      <w:tblPr>
        <w:tblStyle w:val="12"/>
        <w:tblW w:w="0" w:type="auto"/>
        <w:jc w:val="center"/>
        <w:tblLayout w:type="autofit"/>
        <w:tblCellMar>
          <w:top w:w="0" w:type="dxa"/>
          <w:left w:w="108" w:type="dxa"/>
          <w:bottom w:w="0" w:type="dxa"/>
          <w:right w:w="108" w:type="dxa"/>
        </w:tblCellMar>
      </w:tblPr>
      <w:tblGrid>
        <w:gridCol w:w="891"/>
        <w:gridCol w:w="411"/>
        <w:gridCol w:w="7419"/>
      </w:tblGrid>
      <w:tr w14:paraId="3B0B7256">
        <w:trPr>
          <w:jc w:val="center"/>
        </w:trPr>
        <w:tc>
          <w:tcPr>
            <w:tcW w:w="946" w:type="dxa"/>
          </w:tcPr>
          <w:p w14:paraId="2D52A68D">
            <w:pPr>
              <w:spacing w:after="0" w:line="240" w:lineRule="auto"/>
              <w:jc w:val="both"/>
              <w:rPr>
                <w:rFonts w:ascii="Arial Narrow" w:hAnsi="Arial Narrow" w:eastAsia="Calibri" w:cs="Arial"/>
                <w:b/>
                <w:lang/>
              </w:rPr>
            </w:pPr>
            <w:r>
              <w:rPr>
                <w:rFonts w:ascii="Arial Narrow" w:hAnsi="Arial Narrow" w:cs="Arial"/>
                <w:b/>
                <w:position w:val="-4"/>
                <w:lang w:eastAsia="es-CO"/>
              </w:rPr>
              <w:drawing>
                <wp:inline distT="0" distB="0" distL="0" distR="0">
                  <wp:extent cx="171450" cy="2667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171450" cy="266700"/>
                          </a:xfrm>
                          <a:prstGeom prst="rect">
                            <a:avLst/>
                          </a:prstGeom>
                          <a:noFill/>
                          <a:ln>
                            <a:noFill/>
                          </a:ln>
                        </pic:spPr>
                      </pic:pic>
                    </a:graphicData>
                  </a:graphic>
                </wp:inline>
              </w:drawing>
            </w:r>
          </w:p>
        </w:tc>
        <w:tc>
          <w:tcPr>
            <w:tcW w:w="423" w:type="dxa"/>
          </w:tcPr>
          <w:p w14:paraId="56CC3B6C">
            <w:pPr>
              <w:spacing w:after="0" w:line="240" w:lineRule="auto"/>
              <w:jc w:val="both"/>
              <w:rPr>
                <w:rFonts w:ascii="Arial Narrow" w:hAnsi="Arial Narrow" w:eastAsia="Calibri" w:cs="Arial"/>
                <w:b/>
                <w:lang/>
              </w:rPr>
            </w:pPr>
            <w:r>
              <w:rPr>
                <w:rFonts w:ascii="Arial Narrow" w:hAnsi="Arial Narrow" w:eastAsia="Calibri" w:cs="Arial"/>
                <w:b/>
                <w:lang/>
              </w:rPr>
              <w:t>=</w:t>
            </w:r>
          </w:p>
        </w:tc>
        <w:tc>
          <w:tcPr>
            <w:tcW w:w="8252" w:type="dxa"/>
          </w:tcPr>
          <w:p w14:paraId="74109405">
            <w:pPr>
              <w:spacing w:after="0" w:line="240" w:lineRule="auto"/>
              <w:jc w:val="both"/>
              <w:rPr>
                <w:rFonts w:ascii="Arial Narrow" w:hAnsi="Arial Narrow" w:eastAsia="Calibri" w:cs="Arial"/>
                <w:lang/>
              </w:rPr>
            </w:pPr>
            <w:r>
              <w:rPr>
                <w:rFonts w:ascii="Arial Narrow" w:hAnsi="Arial Narrow" w:eastAsia="Calibri" w:cs="Arial"/>
                <w:lang/>
              </w:rPr>
              <w:t>Media aritmética.</w:t>
            </w:r>
          </w:p>
        </w:tc>
      </w:tr>
      <w:tr w14:paraId="58FEDEE6">
        <w:tblPrEx>
          <w:tblCellMar>
            <w:top w:w="0" w:type="dxa"/>
            <w:left w:w="108" w:type="dxa"/>
            <w:bottom w:w="0" w:type="dxa"/>
            <w:right w:w="108" w:type="dxa"/>
          </w:tblCellMar>
        </w:tblPrEx>
        <w:trPr>
          <w:jc w:val="center"/>
        </w:trPr>
        <w:tc>
          <w:tcPr>
            <w:tcW w:w="946" w:type="dxa"/>
          </w:tcPr>
          <w:p w14:paraId="412E2416">
            <w:pPr>
              <w:spacing w:after="0" w:line="240" w:lineRule="auto"/>
              <w:jc w:val="both"/>
              <w:rPr>
                <w:rFonts w:ascii="Arial Narrow" w:hAnsi="Arial Narrow" w:eastAsia="Calibri" w:cs="Arial"/>
                <w:b/>
                <w:vertAlign w:val="subscript"/>
                <w:lang/>
              </w:rPr>
            </w:pPr>
            <w:r>
              <w:rPr>
                <w:rFonts w:ascii="Arial Narrow" w:hAnsi="Arial Narrow" w:eastAsia="Calibri" w:cs="Arial"/>
                <w:b/>
                <w:lang/>
              </w:rPr>
              <w:t>x</w:t>
            </w:r>
            <w:r>
              <w:rPr>
                <w:rFonts w:ascii="Arial Narrow" w:hAnsi="Arial Narrow" w:eastAsia="Calibri" w:cs="Arial"/>
                <w:b/>
                <w:vertAlign w:val="subscript"/>
                <w:lang/>
              </w:rPr>
              <w:t>i</w:t>
            </w:r>
          </w:p>
        </w:tc>
        <w:tc>
          <w:tcPr>
            <w:tcW w:w="423" w:type="dxa"/>
          </w:tcPr>
          <w:p w14:paraId="222B277A">
            <w:pPr>
              <w:spacing w:after="0" w:line="240" w:lineRule="auto"/>
              <w:jc w:val="both"/>
              <w:rPr>
                <w:rFonts w:ascii="Arial Narrow" w:hAnsi="Arial Narrow" w:eastAsia="Calibri" w:cs="Arial"/>
                <w:b/>
                <w:lang/>
              </w:rPr>
            </w:pPr>
            <w:r>
              <w:rPr>
                <w:rFonts w:ascii="Arial Narrow" w:hAnsi="Arial Narrow" w:eastAsia="Calibri" w:cs="Arial"/>
                <w:b/>
                <w:lang/>
              </w:rPr>
              <w:t>=</w:t>
            </w:r>
          </w:p>
        </w:tc>
        <w:tc>
          <w:tcPr>
            <w:tcW w:w="8252" w:type="dxa"/>
          </w:tcPr>
          <w:p w14:paraId="6C9631BC">
            <w:pPr>
              <w:spacing w:after="0" w:line="240" w:lineRule="auto"/>
              <w:jc w:val="both"/>
              <w:rPr>
                <w:rFonts w:ascii="Arial Narrow" w:hAnsi="Arial Narrow" w:eastAsia="Calibri" w:cs="Arial"/>
                <w:lang/>
              </w:rPr>
            </w:pPr>
            <w:r>
              <w:rPr>
                <w:rFonts w:ascii="Arial Narrow" w:hAnsi="Arial Narrow" w:eastAsia="Calibri" w:cs="Arial"/>
                <w:lang/>
              </w:rPr>
              <w:t>Valor total corregido de la propuesta i</w:t>
            </w:r>
          </w:p>
        </w:tc>
      </w:tr>
      <w:tr w14:paraId="2FD428B8">
        <w:tblPrEx>
          <w:tblCellMar>
            <w:top w:w="0" w:type="dxa"/>
            <w:left w:w="108" w:type="dxa"/>
            <w:bottom w:w="0" w:type="dxa"/>
            <w:right w:w="108" w:type="dxa"/>
          </w:tblCellMar>
        </w:tblPrEx>
        <w:trPr>
          <w:jc w:val="center"/>
        </w:trPr>
        <w:tc>
          <w:tcPr>
            <w:tcW w:w="946" w:type="dxa"/>
          </w:tcPr>
          <w:p w14:paraId="44BA0315">
            <w:pPr>
              <w:spacing w:after="0" w:line="240" w:lineRule="auto"/>
              <w:jc w:val="both"/>
              <w:rPr>
                <w:rFonts w:ascii="Arial Narrow" w:hAnsi="Arial Narrow" w:eastAsia="Calibri" w:cs="Arial"/>
                <w:b/>
                <w:lang/>
              </w:rPr>
            </w:pPr>
            <w:r>
              <w:rPr>
                <w:rFonts w:ascii="Arial Narrow" w:hAnsi="Arial Narrow" w:eastAsia="Calibri" w:cs="Arial"/>
                <w:b/>
                <w:lang/>
              </w:rPr>
              <w:t>N</w:t>
            </w:r>
          </w:p>
        </w:tc>
        <w:tc>
          <w:tcPr>
            <w:tcW w:w="423" w:type="dxa"/>
          </w:tcPr>
          <w:p w14:paraId="2F151B31">
            <w:pPr>
              <w:spacing w:after="0" w:line="240" w:lineRule="auto"/>
              <w:jc w:val="both"/>
              <w:rPr>
                <w:rFonts w:ascii="Arial Narrow" w:hAnsi="Arial Narrow" w:eastAsia="Calibri" w:cs="Arial"/>
                <w:b/>
                <w:lang/>
              </w:rPr>
            </w:pPr>
            <w:r>
              <w:rPr>
                <w:rFonts w:ascii="Arial Narrow" w:hAnsi="Arial Narrow" w:eastAsia="Calibri" w:cs="Arial"/>
                <w:b/>
                <w:lang/>
              </w:rPr>
              <w:t>=</w:t>
            </w:r>
          </w:p>
        </w:tc>
        <w:tc>
          <w:tcPr>
            <w:tcW w:w="8252" w:type="dxa"/>
          </w:tcPr>
          <w:p w14:paraId="1DD5D835">
            <w:pPr>
              <w:spacing w:after="0" w:line="240" w:lineRule="auto"/>
              <w:jc w:val="both"/>
              <w:rPr>
                <w:rFonts w:ascii="Arial Narrow" w:hAnsi="Arial Narrow" w:eastAsia="Calibri" w:cs="Arial"/>
                <w:lang/>
              </w:rPr>
            </w:pPr>
            <w:r>
              <w:rPr>
                <w:rFonts w:ascii="Arial Narrow" w:hAnsi="Arial Narrow" w:eastAsia="Calibri" w:cs="Arial"/>
                <w:lang/>
              </w:rPr>
              <w:t>Número total de las propuestas válidas presentadas.</w:t>
            </w:r>
          </w:p>
        </w:tc>
      </w:tr>
    </w:tbl>
    <w:p w14:paraId="5E1CBCA4">
      <w:pPr>
        <w:spacing w:after="0" w:line="240" w:lineRule="auto"/>
        <w:jc w:val="both"/>
        <w:rPr>
          <w:rFonts w:ascii="Arial Narrow" w:hAnsi="Arial Narrow" w:cs="Arial"/>
          <w:b/>
          <w:lang/>
        </w:rPr>
      </w:pPr>
    </w:p>
    <w:p w14:paraId="792AEEE9">
      <w:pPr>
        <w:spacing w:after="0" w:line="240" w:lineRule="auto"/>
        <w:jc w:val="both"/>
        <w:rPr>
          <w:rFonts w:ascii="Arial Narrow" w:hAnsi="Arial Narrow" w:cs="Arial"/>
          <w:b/>
          <w:lang/>
        </w:rPr>
      </w:pPr>
      <w:r>
        <w:rPr>
          <w:rFonts w:ascii="Arial Narrow" w:hAnsi="Arial Narrow" w:cs="Arial"/>
          <w:b/>
          <w:lang/>
        </w:rPr>
        <w:t>Ponderación de las propuestas por el método de la Media Aritmética.</w:t>
      </w:r>
    </w:p>
    <w:p w14:paraId="7F1C5933">
      <w:pPr>
        <w:tabs>
          <w:tab w:val="left" w:pos="-142"/>
        </w:tabs>
        <w:autoSpaceDE w:val="0"/>
        <w:autoSpaceDN w:val="0"/>
        <w:adjustRightInd w:val="0"/>
        <w:spacing w:after="0" w:line="240" w:lineRule="auto"/>
        <w:jc w:val="both"/>
        <w:rPr>
          <w:rFonts w:ascii="Arial Narrow" w:hAnsi="Arial Narrow" w:cs="Arial"/>
          <w:lang/>
        </w:rPr>
      </w:pPr>
    </w:p>
    <w:p w14:paraId="7D9703C4">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Obtenida la media aritmética se procederá a ponderar las propuestas de acuerdo con la siguiente formula.</w:t>
      </w:r>
    </w:p>
    <w:p w14:paraId="25787B5A">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w:t>
      </w:r>
      <w:r>
        <w:rPr>
          <w:rFonts w:ascii="Arial Narrow" w:hAnsi="Arial Narrow" w:eastAsia="Calibri" w:cs="Arial"/>
          <w:lang w:eastAsia="es-ES"/>
        </w:rPr>
        <w:tab/>
      </w:r>
      <w:r>
        <w:rPr>
          <w:rFonts w:ascii="Arial Narrow" w:hAnsi="Arial Narrow" w:eastAsia="Calibri" w:cs="Arial"/>
          <w:lang w:eastAsia="es-ES"/>
        </w:rPr>
        <w:t>[</w:t>
      </w:r>
      <w:r>
        <w:rPr>
          <w:rFonts w:ascii="Arial Narrow" w:hAnsi="Arial Narrow" w:eastAsia="Calibri" w:cs="Arial"/>
          <w:b/>
          <w:bCs/>
          <w:lang w:eastAsia="es-ES"/>
        </w:rPr>
        <w:t>70Puntos</w:t>
      </w:r>
      <w:r>
        <w:rPr>
          <w:rFonts w:ascii="Arial Narrow" w:hAnsi="Arial Narrow" w:eastAsia="Calibri" w:cs="Arial"/>
          <w:lang w:eastAsia="es-ES"/>
        </w:rPr>
        <w:t xml:space="preserve">] x </w:t>
      </w:r>
      <w:r>
        <w:rPr>
          <w:rFonts w:ascii="Arial Narrow" w:hAnsi="Arial Narrow" w:eastAsia="Calibri" w:cs="Arial"/>
          <w:lang w:eastAsia="es-CO"/>
        </w:rPr>
        <w:drawing>
          <wp:inline distT="0" distB="0" distL="0" distR="0">
            <wp:extent cx="838200" cy="276225"/>
            <wp:effectExtent l="0" t="0" r="0" b="9525"/>
            <wp:docPr id="65" name="Imagen 10" descr="cid:image003.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n 10" descr="cid:image003.jpg@01D3D0AD.1E246E60"/>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a:xfrm>
                      <a:off x="0" y="0"/>
                      <a:ext cx="838200" cy="276225"/>
                    </a:xfrm>
                    <a:prstGeom prst="rect">
                      <a:avLst/>
                    </a:prstGeom>
                    <a:noFill/>
                    <a:ln>
                      <a:noFill/>
                    </a:ln>
                  </pic:spPr>
                </pic:pic>
              </a:graphicData>
            </a:graphic>
          </wp:inline>
        </w:drawing>
      </w:r>
      <w:r>
        <w:rPr>
          <w:rFonts w:ascii="Arial Narrow" w:hAnsi="Arial Narrow" w:eastAsia="Calibri" w:cs="Arial"/>
          <w:lang w:eastAsia="es-ES"/>
        </w:rPr>
        <w:t xml:space="preserve">para valores menores o iguales a  </w:t>
      </w:r>
      <w:r>
        <w:rPr>
          <w:rFonts w:ascii="Arial" w:hAnsi="Arial" w:eastAsia="Calibri" w:cs="Arial"/>
          <w:lang w:eastAsia="es-ES"/>
        </w:rPr>
        <w:t>̅</w:t>
      </w:r>
      <w:r>
        <w:rPr>
          <w:rFonts w:ascii="Arial Narrow" w:hAnsi="Arial Narrow" w:eastAsia="Calibri" w:cs="Arial"/>
          <w:lang w:eastAsia="es-ES"/>
        </w:rPr>
        <w:t xml:space="preserve">X </w:t>
      </w:r>
    </w:p>
    <w:p w14:paraId="1A20FCFF">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Puntaje i = </w:t>
      </w:r>
    </w:p>
    <w:p w14:paraId="7E96792E">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w:t>
      </w:r>
      <w:r>
        <w:rPr>
          <w:rFonts w:ascii="Arial Narrow" w:hAnsi="Arial Narrow" w:eastAsia="Calibri" w:cs="Arial"/>
          <w:lang w:eastAsia="es-ES"/>
        </w:rPr>
        <w:tab/>
      </w:r>
      <w:r>
        <w:rPr>
          <w:rFonts w:ascii="Arial Narrow" w:hAnsi="Arial Narrow" w:eastAsia="Calibri" w:cs="Arial"/>
          <w:lang w:eastAsia="es-ES"/>
        </w:rPr>
        <w:t>[</w:t>
      </w:r>
      <w:r>
        <w:rPr>
          <w:rFonts w:ascii="Arial Narrow" w:hAnsi="Arial Narrow" w:eastAsia="Calibri" w:cs="Arial"/>
          <w:b/>
          <w:bCs/>
          <w:lang w:eastAsia="es-ES"/>
        </w:rPr>
        <w:t>70 Puntos</w:t>
      </w:r>
      <w:r>
        <w:rPr>
          <w:rFonts w:ascii="Arial Narrow" w:hAnsi="Arial Narrow" w:eastAsia="Calibri" w:cs="Arial"/>
          <w:lang w:eastAsia="es-ES"/>
        </w:rPr>
        <w:t xml:space="preserve">] x </w:t>
      </w:r>
      <w:r>
        <w:rPr>
          <w:rFonts w:ascii="Arial Narrow" w:hAnsi="Arial Narrow" w:eastAsia="Calibri" w:cs="Arial"/>
          <w:lang w:eastAsia="es-CO"/>
        </w:rPr>
        <w:drawing>
          <wp:inline distT="0" distB="0" distL="0" distR="0">
            <wp:extent cx="1057275" cy="295275"/>
            <wp:effectExtent l="0" t="0" r="9525" b="9525"/>
            <wp:docPr id="66" name="Imagen 9" descr="cid:image004.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n 9" descr="cid:image004.jpg@01D3D0AD.1E246E60"/>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a:xfrm>
                      <a:off x="0" y="0"/>
                      <a:ext cx="1057275" cy="295275"/>
                    </a:xfrm>
                    <a:prstGeom prst="rect">
                      <a:avLst/>
                    </a:prstGeom>
                    <a:noFill/>
                    <a:ln>
                      <a:noFill/>
                    </a:ln>
                  </pic:spPr>
                </pic:pic>
              </a:graphicData>
            </a:graphic>
          </wp:inline>
        </w:drawing>
      </w:r>
      <w:r>
        <w:rPr>
          <w:rFonts w:ascii="Arial Narrow" w:hAnsi="Arial Narrow" w:eastAsia="Calibri" w:cs="Arial"/>
          <w:lang w:eastAsia="es-ES"/>
        </w:rPr>
        <w:t xml:space="preserve">para valores mayores a  </w:t>
      </w:r>
      <w:r>
        <w:rPr>
          <w:rFonts w:ascii="Arial" w:hAnsi="Arial" w:eastAsia="Calibri" w:cs="Arial"/>
          <w:lang w:eastAsia="es-ES"/>
        </w:rPr>
        <w:t>̅</w:t>
      </w:r>
      <w:r>
        <w:rPr>
          <w:rFonts w:ascii="Arial Narrow" w:hAnsi="Arial Narrow" w:eastAsia="Calibri" w:cs="Arial"/>
          <w:lang w:eastAsia="es-ES"/>
        </w:rPr>
        <w:t xml:space="preserve">X </w:t>
      </w:r>
    </w:p>
    <w:p w14:paraId="6DB3E2E7">
      <w:pPr>
        <w:overflowPunct w:val="0"/>
        <w:autoSpaceDE w:val="0"/>
        <w:autoSpaceDN w:val="0"/>
        <w:spacing w:after="0" w:line="240" w:lineRule="auto"/>
        <w:jc w:val="both"/>
        <w:rPr>
          <w:rFonts w:ascii="Arial Narrow" w:hAnsi="Arial Narrow" w:eastAsia="Calibri" w:cs="Arial"/>
          <w:lang w:eastAsia="es-ES"/>
        </w:rPr>
      </w:pPr>
    </w:p>
    <w:p w14:paraId="2914A83D">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Donde,</w:t>
      </w:r>
    </w:p>
    <w:tbl>
      <w:tblPr>
        <w:tblStyle w:val="12"/>
        <w:tblW w:w="0" w:type="auto"/>
        <w:jc w:val="center"/>
        <w:tblLayout w:type="autofit"/>
        <w:tblCellMar>
          <w:top w:w="0" w:type="dxa"/>
          <w:left w:w="108" w:type="dxa"/>
          <w:bottom w:w="0" w:type="dxa"/>
          <w:right w:w="108" w:type="dxa"/>
        </w:tblCellMar>
      </w:tblPr>
      <w:tblGrid>
        <w:gridCol w:w="879"/>
        <w:gridCol w:w="408"/>
        <w:gridCol w:w="7208"/>
      </w:tblGrid>
      <w:tr w14:paraId="01CD0EFC">
        <w:tblPrEx>
          <w:tblCellMar>
            <w:top w:w="0" w:type="dxa"/>
            <w:left w:w="108" w:type="dxa"/>
            <w:bottom w:w="0" w:type="dxa"/>
            <w:right w:w="108" w:type="dxa"/>
          </w:tblCellMar>
        </w:tblPrEx>
        <w:trPr>
          <w:jc w:val="center"/>
        </w:trPr>
        <w:tc>
          <w:tcPr>
            <w:tcW w:w="879" w:type="dxa"/>
          </w:tcPr>
          <w:p w14:paraId="1886EA6E">
            <w:pPr>
              <w:spacing w:after="0" w:line="240" w:lineRule="auto"/>
              <w:jc w:val="both"/>
              <w:rPr>
                <w:rFonts w:ascii="Arial Narrow" w:hAnsi="Arial Narrow" w:eastAsia="Calibri" w:cs="Arial"/>
                <w:b/>
                <w:lang/>
              </w:rPr>
            </w:pPr>
            <w:r>
              <w:rPr>
                <w:rFonts w:ascii="Arial Narrow" w:hAnsi="Arial Narrow" w:cs="Arial"/>
                <w:b/>
                <w:position w:val="-4"/>
                <w:lang w:eastAsia="es-CO"/>
              </w:rPr>
              <w:drawing>
                <wp:inline distT="0" distB="0" distL="0" distR="0">
                  <wp:extent cx="171450" cy="2667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171450" cy="266700"/>
                          </a:xfrm>
                          <a:prstGeom prst="rect">
                            <a:avLst/>
                          </a:prstGeom>
                          <a:noFill/>
                          <a:ln>
                            <a:noFill/>
                          </a:ln>
                        </pic:spPr>
                      </pic:pic>
                    </a:graphicData>
                  </a:graphic>
                </wp:inline>
              </w:drawing>
            </w:r>
          </w:p>
        </w:tc>
        <w:tc>
          <w:tcPr>
            <w:tcW w:w="408" w:type="dxa"/>
            <w:vAlign w:val="bottom"/>
          </w:tcPr>
          <w:p w14:paraId="0ADC2F44">
            <w:pPr>
              <w:spacing w:after="0" w:line="240" w:lineRule="auto"/>
              <w:jc w:val="both"/>
              <w:rPr>
                <w:rFonts w:ascii="Arial Narrow" w:hAnsi="Arial Narrow" w:eastAsia="Calibri" w:cs="Arial"/>
                <w:b/>
                <w:lang/>
              </w:rPr>
            </w:pPr>
            <w:r>
              <w:rPr>
                <w:rFonts w:ascii="Arial Narrow" w:hAnsi="Arial Narrow" w:eastAsia="Calibri" w:cs="Arial"/>
                <w:b/>
                <w:lang/>
              </w:rPr>
              <w:t>=</w:t>
            </w:r>
          </w:p>
        </w:tc>
        <w:tc>
          <w:tcPr>
            <w:tcW w:w="7208" w:type="dxa"/>
            <w:vAlign w:val="bottom"/>
          </w:tcPr>
          <w:p w14:paraId="3C0E0B1C">
            <w:pPr>
              <w:spacing w:after="0" w:line="240" w:lineRule="auto"/>
              <w:jc w:val="both"/>
              <w:rPr>
                <w:rFonts w:ascii="Arial Narrow" w:hAnsi="Arial Narrow" w:eastAsia="Calibri" w:cs="Arial"/>
                <w:lang/>
              </w:rPr>
            </w:pPr>
            <w:r>
              <w:rPr>
                <w:rFonts w:ascii="Arial Narrow" w:hAnsi="Arial Narrow" w:eastAsia="Calibri" w:cs="Arial"/>
                <w:lang/>
              </w:rPr>
              <w:t>Media aritmética.</w:t>
            </w:r>
          </w:p>
        </w:tc>
      </w:tr>
      <w:tr w14:paraId="24C79001">
        <w:tblPrEx>
          <w:tblCellMar>
            <w:top w:w="0" w:type="dxa"/>
            <w:left w:w="108" w:type="dxa"/>
            <w:bottom w:w="0" w:type="dxa"/>
            <w:right w:w="108" w:type="dxa"/>
          </w:tblCellMar>
        </w:tblPrEx>
        <w:trPr>
          <w:jc w:val="center"/>
        </w:trPr>
        <w:tc>
          <w:tcPr>
            <w:tcW w:w="879" w:type="dxa"/>
          </w:tcPr>
          <w:p w14:paraId="32C49CE9">
            <w:pPr>
              <w:spacing w:after="0" w:line="240" w:lineRule="auto"/>
              <w:jc w:val="both"/>
              <w:rPr>
                <w:rFonts w:ascii="Arial Narrow" w:hAnsi="Arial Narrow" w:eastAsia="Calibri" w:cs="Arial"/>
                <w:b/>
                <w:lang/>
              </w:rPr>
            </w:pPr>
            <w:r>
              <w:rPr>
                <w:rFonts w:ascii="Arial Narrow" w:hAnsi="Arial Narrow" w:eastAsia="Calibri" w:cs="Arial"/>
                <w:b/>
                <w:i/>
                <w:lang/>
              </w:rPr>
              <w:t>Vi</w:t>
            </w:r>
          </w:p>
        </w:tc>
        <w:tc>
          <w:tcPr>
            <w:tcW w:w="408" w:type="dxa"/>
          </w:tcPr>
          <w:p w14:paraId="3BC45570">
            <w:pPr>
              <w:spacing w:after="0" w:line="240" w:lineRule="auto"/>
              <w:jc w:val="both"/>
              <w:rPr>
                <w:rFonts w:ascii="Arial Narrow" w:hAnsi="Arial Narrow" w:eastAsia="Calibri" w:cs="Arial"/>
                <w:b/>
                <w:lang/>
              </w:rPr>
            </w:pPr>
            <w:r>
              <w:rPr>
                <w:rFonts w:ascii="Arial Narrow" w:hAnsi="Arial Narrow" w:eastAsia="Calibri" w:cs="Arial"/>
                <w:b/>
                <w:lang/>
              </w:rPr>
              <w:t>=</w:t>
            </w:r>
          </w:p>
        </w:tc>
        <w:tc>
          <w:tcPr>
            <w:tcW w:w="7208" w:type="dxa"/>
          </w:tcPr>
          <w:p w14:paraId="760E7C68">
            <w:pPr>
              <w:spacing w:after="0" w:line="240" w:lineRule="auto"/>
              <w:jc w:val="both"/>
              <w:rPr>
                <w:rFonts w:ascii="Arial Narrow" w:hAnsi="Arial Narrow" w:eastAsia="Calibri" w:cs="Arial"/>
                <w:lang/>
              </w:rPr>
            </w:pPr>
            <w:r>
              <w:rPr>
                <w:rFonts w:ascii="Arial Narrow" w:hAnsi="Arial Narrow" w:eastAsia="Calibri" w:cs="Arial"/>
                <w:lang/>
              </w:rPr>
              <w:t>Valor total corregido de cada una de las propuestas i.</w:t>
            </w:r>
          </w:p>
        </w:tc>
      </w:tr>
      <w:tr w14:paraId="237E5927">
        <w:tblPrEx>
          <w:tblCellMar>
            <w:top w:w="0" w:type="dxa"/>
            <w:left w:w="108" w:type="dxa"/>
            <w:bottom w:w="0" w:type="dxa"/>
            <w:right w:w="108" w:type="dxa"/>
          </w:tblCellMar>
        </w:tblPrEx>
        <w:trPr>
          <w:jc w:val="center"/>
        </w:trPr>
        <w:tc>
          <w:tcPr>
            <w:tcW w:w="879" w:type="dxa"/>
          </w:tcPr>
          <w:p w14:paraId="16EC3156">
            <w:pPr>
              <w:spacing w:after="0" w:line="240" w:lineRule="auto"/>
              <w:jc w:val="both"/>
              <w:rPr>
                <w:rFonts w:ascii="Arial Narrow" w:hAnsi="Arial Narrow" w:eastAsia="Calibri" w:cs="Arial"/>
                <w:b/>
                <w:lang/>
              </w:rPr>
            </w:pPr>
            <w:r>
              <w:rPr>
                <w:rFonts w:ascii="Arial Narrow" w:hAnsi="Arial Narrow" w:eastAsia="Calibri" w:cs="Arial"/>
                <w:b/>
                <w:lang/>
              </w:rPr>
              <w:t>I</w:t>
            </w:r>
          </w:p>
        </w:tc>
        <w:tc>
          <w:tcPr>
            <w:tcW w:w="408" w:type="dxa"/>
          </w:tcPr>
          <w:p w14:paraId="7E2D61D7">
            <w:pPr>
              <w:spacing w:after="0" w:line="240" w:lineRule="auto"/>
              <w:jc w:val="both"/>
              <w:rPr>
                <w:rFonts w:ascii="Arial Narrow" w:hAnsi="Arial Narrow" w:eastAsia="Calibri" w:cs="Arial"/>
                <w:b/>
                <w:lang/>
              </w:rPr>
            </w:pPr>
            <w:r>
              <w:rPr>
                <w:rFonts w:ascii="Arial Narrow" w:hAnsi="Arial Narrow" w:eastAsia="Calibri" w:cs="Arial"/>
                <w:b/>
                <w:lang/>
              </w:rPr>
              <w:t>=</w:t>
            </w:r>
          </w:p>
        </w:tc>
        <w:tc>
          <w:tcPr>
            <w:tcW w:w="7208" w:type="dxa"/>
          </w:tcPr>
          <w:p w14:paraId="2E0F7EC0">
            <w:pPr>
              <w:spacing w:after="0" w:line="240" w:lineRule="auto"/>
              <w:jc w:val="both"/>
              <w:rPr>
                <w:rFonts w:ascii="Arial Narrow" w:hAnsi="Arial Narrow" w:eastAsia="Calibri" w:cs="Arial"/>
                <w:lang/>
              </w:rPr>
            </w:pPr>
            <w:r>
              <w:rPr>
                <w:rFonts w:ascii="Arial Narrow" w:hAnsi="Arial Narrow" w:eastAsia="Calibri" w:cs="Arial"/>
                <w:lang/>
              </w:rPr>
              <w:t>Número de propuesta.</w:t>
            </w:r>
          </w:p>
        </w:tc>
      </w:tr>
    </w:tbl>
    <w:p w14:paraId="1134C6E8">
      <w:pPr>
        <w:tabs>
          <w:tab w:val="left" w:pos="-142"/>
        </w:tabs>
        <w:autoSpaceDE w:val="0"/>
        <w:autoSpaceDN w:val="0"/>
        <w:adjustRightInd w:val="0"/>
        <w:spacing w:after="0" w:line="240" w:lineRule="auto"/>
        <w:jc w:val="both"/>
        <w:rPr>
          <w:rFonts w:ascii="Arial Narrow" w:hAnsi="Arial Narrow" w:cs="Arial"/>
          <w:lang/>
        </w:rPr>
      </w:pPr>
    </w:p>
    <w:p w14:paraId="7D4D8366">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En el caso de propuestas económicas con valores mayores a la media aritmética, se tomara el valor absoluto de la diferencia entre la media aritmética y el valor de la propuesta, como se observa en la fórmula de ponderación.</w:t>
      </w:r>
    </w:p>
    <w:p w14:paraId="21B6EA3A">
      <w:pPr>
        <w:tabs>
          <w:tab w:val="left" w:pos="-142"/>
        </w:tabs>
        <w:autoSpaceDE w:val="0"/>
        <w:autoSpaceDN w:val="0"/>
        <w:adjustRightInd w:val="0"/>
        <w:spacing w:after="0" w:line="240" w:lineRule="auto"/>
        <w:jc w:val="both"/>
        <w:rPr>
          <w:rFonts w:ascii="Arial Narrow" w:hAnsi="Arial Narrow" w:cs="Arial"/>
          <w:lang/>
        </w:rPr>
      </w:pPr>
    </w:p>
    <w:p w14:paraId="01446474">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Las propuestas que no estén definidas como válidas no se les tendrá en cuenta puntaje alguno, por concepto de Apoyo a la Industria Nacional y Factor de Calidad.</w:t>
      </w:r>
    </w:p>
    <w:p w14:paraId="37CE5E27">
      <w:pPr>
        <w:tabs>
          <w:tab w:val="left" w:pos="-142"/>
        </w:tabs>
        <w:autoSpaceDE w:val="0"/>
        <w:autoSpaceDN w:val="0"/>
        <w:adjustRightInd w:val="0"/>
        <w:spacing w:after="0" w:line="240" w:lineRule="auto"/>
        <w:jc w:val="both"/>
        <w:rPr>
          <w:rFonts w:ascii="Arial Narrow" w:hAnsi="Arial Narrow" w:cs="Arial"/>
          <w:lang/>
        </w:rPr>
      </w:pPr>
    </w:p>
    <w:p w14:paraId="02FED7DD">
      <w:pPr>
        <w:pStyle w:val="52"/>
        <w:widowControl w:val="0"/>
        <w:numPr>
          <w:ilvl w:val="3"/>
          <w:numId w:val="27"/>
        </w:numPr>
        <w:overflowPunct w:val="0"/>
        <w:autoSpaceDE w:val="0"/>
        <w:autoSpaceDN w:val="0"/>
        <w:adjustRightInd w:val="0"/>
        <w:spacing w:after="0" w:line="240" w:lineRule="auto"/>
        <w:jc w:val="both"/>
        <w:rPr>
          <w:rFonts w:ascii="Arial Narrow" w:hAnsi="Arial Narrow" w:cs="Arial"/>
          <w:b/>
          <w:lang w:eastAsia="es-CO"/>
        </w:rPr>
      </w:pPr>
      <w:r>
        <w:rPr>
          <w:rFonts w:ascii="Arial Narrow" w:hAnsi="Arial Narrow" w:cs="Arial"/>
          <w:b/>
          <w:lang w:eastAsia="es-CO"/>
        </w:rPr>
        <w:t>Media Aritmética Alta</w:t>
      </w:r>
    </w:p>
    <w:p w14:paraId="05ABE220">
      <w:pPr>
        <w:keepNext/>
        <w:spacing w:after="0" w:line="240" w:lineRule="auto"/>
        <w:jc w:val="both"/>
        <w:outlineLvl w:val="3"/>
        <w:rPr>
          <w:rFonts w:ascii="Arial Narrow" w:hAnsi="Arial Narrow" w:cs="Arial"/>
          <w:b/>
          <w:lang w:eastAsia="es-CO"/>
        </w:rPr>
      </w:pPr>
    </w:p>
    <w:p w14:paraId="2E0E98E1">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Consiste en la determinación de la media aritmética entre el valor total corregido de la propuesta válida más alta y el promedio aritmético de las propuestas que no han sido rechazadas y se encuentran válidas, para esto se aplicará la siguiente fórmula:</w:t>
      </w:r>
    </w:p>
    <w:p w14:paraId="010BC381">
      <w:pPr>
        <w:tabs>
          <w:tab w:val="left" w:pos="-142"/>
        </w:tabs>
        <w:autoSpaceDE w:val="0"/>
        <w:autoSpaceDN w:val="0"/>
        <w:adjustRightInd w:val="0"/>
        <w:spacing w:after="0" w:line="240" w:lineRule="auto"/>
        <w:jc w:val="center"/>
        <w:rPr>
          <w:rFonts w:ascii="Arial Narrow" w:hAnsi="Arial Narrow" w:cs="Arial"/>
          <w:position w:val="-24"/>
          <w:lang/>
        </w:rPr>
      </w:pPr>
      <w:r>
        <w:rPr>
          <w:rFonts w:ascii="Arial Narrow" w:hAnsi="Arial Narrow" w:cs="Arial"/>
          <w:position w:val="-24"/>
          <w:lang w:eastAsia="es-CO"/>
        </w:rPr>
        <w:drawing>
          <wp:inline distT="0" distB="0" distL="0" distR="0">
            <wp:extent cx="914400" cy="36195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914400" cy="361950"/>
                    </a:xfrm>
                    <a:prstGeom prst="rect">
                      <a:avLst/>
                    </a:prstGeom>
                    <a:noFill/>
                    <a:ln>
                      <a:noFill/>
                    </a:ln>
                  </pic:spPr>
                </pic:pic>
              </a:graphicData>
            </a:graphic>
          </wp:inline>
        </w:drawing>
      </w:r>
    </w:p>
    <w:p w14:paraId="3B57D2F0">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Donde,</w:t>
      </w:r>
    </w:p>
    <w:tbl>
      <w:tblPr>
        <w:tblStyle w:val="12"/>
        <w:tblW w:w="0" w:type="auto"/>
        <w:jc w:val="center"/>
        <w:tblLayout w:type="autofit"/>
        <w:tblCellMar>
          <w:top w:w="0" w:type="dxa"/>
          <w:left w:w="108" w:type="dxa"/>
          <w:bottom w:w="0" w:type="dxa"/>
          <w:right w:w="108" w:type="dxa"/>
        </w:tblCellMar>
      </w:tblPr>
      <w:tblGrid>
        <w:gridCol w:w="920"/>
        <w:gridCol w:w="410"/>
        <w:gridCol w:w="7391"/>
      </w:tblGrid>
      <w:tr w14:paraId="260172BC">
        <w:tblPrEx>
          <w:tblCellMar>
            <w:top w:w="0" w:type="dxa"/>
            <w:left w:w="108" w:type="dxa"/>
            <w:bottom w:w="0" w:type="dxa"/>
            <w:right w:w="108" w:type="dxa"/>
          </w:tblCellMar>
        </w:tblPrEx>
        <w:trPr>
          <w:jc w:val="center"/>
        </w:trPr>
        <w:tc>
          <w:tcPr>
            <w:tcW w:w="953" w:type="dxa"/>
          </w:tcPr>
          <w:p w14:paraId="334423AF">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eastAsia="es-CO"/>
              </w:rPr>
              <w:drawing>
                <wp:inline distT="0" distB="0" distL="0" distR="0">
                  <wp:extent cx="266700" cy="2667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266700" cy="266700"/>
                          </a:xfrm>
                          <a:prstGeom prst="rect">
                            <a:avLst/>
                          </a:prstGeom>
                          <a:noFill/>
                          <a:ln>
                            <a:noFill/>
                          </a:ln>
                        </pic:spPr>
                      </pic:pic>
                    </a:graphicData>
                  </a:graphic>
                </wp:inline>
              </w:drawing>
            </w:r>
          </w:p>
        </w:tc>
        <w:tc>
          <w:tcPr>
            <w:tcW w:w="422" w:type="dxa"/>
          </w:tcPr>
          <w:p w14:paraId="5819B9C7">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w:t>
            </w:r>
          </w:p>
        </w:tc>
        <w:tc>
          <w:tcPr>
            <w:tcW w:w="8246" w:type="dxa"/>
          </w:tcPr>
          <w:p w14:paraId="6DF8F2E3">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Media aritmética alta.</w:t>
            </w:r>
          </w:p>
          <w:p w14:paraId="028AE861">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b/>
                <w:position w:val="-4"/>
                <w:lang w:eastAsia="es-CO"/>
              </w:rPr>
              <w:drawing>
                <wp:inline distT="0" distB="0" distL="0" distR="0">
                  <wp:extent cx="171450" cy="2667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171450" cy="266700"/>
                          </a:xfrm>
                          <a:prstGeom prst="rect">
                            <a:avLst/>
                          </a:prstGeom>
                          <a:noFill/>
                          <a:ln>
                            <a:noFill/>
                          </a:ln>
                        </pic:spPr>
                      </pic:pic>
                    </a:graphicData>
                  </a:graphic>
                </wp:inline>
              </w:drawing>
            </w:r>
            <w:r>
              <w:rPr>
                <w:rFonts w:ascii="Arial Narrow" w:hAnsi="Arial Narrow" w:cs="Arial"/>
                <w:b/>
                <w:lang/>
              </w:rPr>
              <w:t>=</w:t>
            </w:r>
            <w:r>
              <w:rPr>
                <w:rFonts w:ascii="Arial Narrow" w:hAnsi="Arial Narrow" w:cs="Arial"/>
                <w:lang/>
              </w:rPr>
              <w:t xml:space="preserve"> Media aritmética.</w:t>
            </w:r>
          </w:p>
        </w:tc>
      </w:tr>
      <w:tr w14:paraId="65FE5CF9">
        <w:tblPrEx>
          <w:tblCellMar>
            <w:top w:w="0" w:type="dxa"/>
            <w:left w:w="108" w:type="dxa"/>
            <w:bottom w:w="0" w:type="dxa"/>
            <w:right w:w="108" w:type="dxa"/>
          </w:tblCellMar>
        </w:tblPrEx>
        <w:trPr>
          <w:jc w:val="center"/>
        </w:trPr>
        <w:tc>
          <w:tcPr>
            <w:tcW w:w="953" w:type="dxa"/>
          </w:tcPr>
          <w:p w14:paraId="209B5132">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Vmax</w:t>
            </w:r>
          </w:p>
        </w:tc>
        <w:tc>
          <w:tcPr>
            <w:tcW w:w="422" w:type="dxa"/>
          </w:tcPr>
          <w:p w14:paraId="0186ACCE">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w:t>
            </w:r>
          </w:p>
        </w:tc>
        <w:tc>
          <w:tcPr>
            <w:tcW w:w="8246" w:type="dxa"/>
          </w:tcPr>
          <w:p w14:paraId="26A012CF">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Valor  total corregido de la propuesta válida más alta</w:t>
            </w:r>
          </w:p>
        </w:tc>
      </w:tr>
    </w:tbl>
    <w:p w14:paraId="6A41B6A0">
      <w:pPr>
        <w:spacing w:after="0" w:line="240" w:lineRule="auto"/>
        <w:jc w:val="both"/>
        <w:rPr>
          <w:rFonts w:ascii="Arial Narrow" w:hAnsi="Arial Narrow" w:cs="Arial"/>
          <w:b/>
          <w:lang/>
        </w:rPr>
      </w:pPr>
    </w:p>
    <w:p w14:paraId="76080B83">
      <w:pPr>
        <w:spacing w:after="0" w:line="240" w:lineRule="auto"/>
        <w:jc w:val="both"/>
        <w:rPr>
          <w:rFonts w:ascii="Arial Narrow" w:hAnsi="Arial Narrow" w:cs="Arial"/>
          <w:b/>
          <w:lang/>
        </w:rPr>
      </w:pPr>
      <w:r>
        <w:rPr>
          <w:rFonts w:ascii="Arial Narrow" w:hAnsi="Arial Narrow" w:cs="Arial"/>
          <w:b/>
          <w:lang/>
        </w:rPr>
        <w:t>Ponderación de las propuestas por el método de la Media Aritmética Alta.</w:t>
      </w:r>
    </w:p>
    <w:p w14:paraId="2DAE964E">
      <w:pPr>
        <w:tabs>
          <w:tab w:val="left" w:pos="-142"/>
        </w:tabs>
        <w:autoSpaceDE w:val="0"/>
        <w:autoSpaceDN w:val="0"/>
        <w:adjustRightInd w:val="0"/>
        <w:spacing w:after="0" w:line="240" w:lineRule="auto"/>
        <w:jc w:val="both"/>
        <w:rPr>
          <w:rFonts w:ascii="Arial Narrow" w:hAnsi="Arial Narrow" w:cs="Arial"/>
          <w:lang/>
        </w:rPr>
      </w:pPr>
    </w:p>
    <w:p w14:paraId="1DC8EF9A">
      <w:pPr>
        <w:tabs>
          <w:tab w:val="left" w:pos="-142"/>
        </w:tabs>
        <w:autoSpaceDE w:val="0"/>
        <w:autoSpaceDN w:val="0"/>
        <w:adjustRightInd w:val="0"/>
        <w:spacing w:after="0" w:line="240" w:lineRule="auto"/>
        <w:jc w:val="both"/>
        <w:rPr>
          <w:rFonts w:ascii="Arial Narrow" w:hAnsi="Arial Narrow" w:cs="Arial"/>
          <w:position w:val="-122"/>
          <w:lang/>
        </w:rPr>
      </w:pPr>
      <w:r>
        <w:rPr>
          <w:rFonts w:ascii="Arial Narrow" w:hAnsi="Arial Narrow" w:cs="Arial"/>
          <w:lang/>
        </w:rPr>
        <w:t>Obtenida la media aritmética alta se procederá a ponderar las propuestas de acuerdo con la siguiente formula.</w:t>
      </w:r>
    </w:p>
    <w:p w14:paraId="409CA270">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w:t>
      </w:r>
      <w:r>
        <w:rPr>
          <w:rFonts w:ascii="Arial Narrow" w:hAnsi="Arial Narrow" w:eastAsia="Calibri" w:cs="Arial"/>
          <w:b/>
          <w:bCs/>
          <w:lang w:eastAsia="es-ES"/>
        </w:rPr>
        <w:t>70 Puntos</w:t>
      </w:r>
      <w:r>
        <w:rPr>
          <w:rFonts w:ascii="Arial Narrow" w:hAnsi="Arial Narrow" w:eastAsia="Calibri" w:cs="Arial"/>
          <w:lang w:eastAsia="es-ES"/>
        </w:rPr>
        <w:t xml:space="preserve">] x </w:t>
      </w:r>
      <w:r>
        <w:rPr>
          <w:rFonts w:ascii="Arial Narrow" w:hAnsi="Arial Narrow" w:eastAsia="Calibri" w:cs="Arial"/>
          <w:lang w:eastAsia="es-CO"/>
        </w:rPr>
        <w:drawing>
          <wp:inline distT="0" distB="0" distL="0" distR="0">
            <wp:extent cx="885825" cy="314325"/>
            <wp:effectExtent l="0" t="0" r="9525" b="9525"/>
            <wp:docPr id="68" name="Imagen 7" descr="cid:image007.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n 7" descr="cid:image007.jpg@01D3D0AD.1E246E60"/>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a:xfrm>
                      <a:off x="0" y="0"/>
                      <a:ext cx="885825" cy="314325"/>
                    </a:xfrm>
                    <a:prstGeom prst="rect">
                      <a:avLst/>
                    </a:prstGeom>
                    <a:noFill/>
                    <a:ln>
                      <a:noFill/>
                    </a:ln>
                  </pic:spPr>
                </pic:pic>
              </a:graphicData>
            </a:graphic>
          </wp:inline>
        </w:drawing>
      </w:r>
      <w:r>
        <w:rPr>
          <w:rFonts w:ascii="Arial Narrow" w:hAnsi="Arial Narrow" w:eastAsia="Calibri" w:cs="Arial"/>
          <w:lang w:eastAsia="es-ES"/>
        </w:rPr>
        <w:t xml:space="preserve"> para valores menores o iguales a </w:t>
      </w:r>
      <w:r>
        <w:rPr>
          <w:rFonts w:ascii="Arial Narrow" w:hAnsi="Arial Narrow" w:eastAsia="Calibri" w:cs="Arial"/>
          <w:b/>
          <w:bCs/>
          <w:lang w:eastAsia="es-ES"/>
        </w:rPr>
        <w:t>XA</w:t>
      </w:r>
      <w:r>
        <w:rPr>
          <w:rFonts w:ascii="Arial Narrow" w:hAnsi="Arial Narrow" w:eastAsia="Calibri" w:cs="Arial"/>
          <w:lang w:eastAsia="es-ES"/>
        </w:rPr>
        <w:t xml:space="preserve">   </w:t>
      </w:r>
    </w:p>
    <w:p w14:paraId="54108511">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Puntaje i =         </w:t>
      </w:r>
    </w:p>
    <w:p w14:paraId="18CDC9F9">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eastAsia="Calibri" w:cs="Arial"/>
          <w:lang w:eastAsia="es-ES"/>
        </w:rPr>
        <w:tab/>
      </w:r>
      <w:r>
        <w:rPr>
          <w:rFonts w:ascii="Arial Narrow" w:hAnsi="Arial Narrow" w:eastAsia="Calibri" w:cs="Arial"/>
          <w:lang w:eastAsia="es-ES"/>
        </w:rPr>
        <w:tab/>
      </w:r>
      <w:r>
        <w:rPr>
          <w:rFonts w:ascii="Arial Narrow" w:hAnsi="Arial Narrow" w:eastAsia="Calibri" w:cs="Arial"/>
          <w:lang w:eastAsia="es-ES"/>
        </w:rPr>
        <w:t xml:space="preserve"> [</w:t>
      </w:r>
      <w:r>
        <w:rPr>
          <w:rFonts w:ascii="Arial Narrow" w:hAnsi="Arial Narrow" w:eastAsia="Calibri" w:cs="Arial"/>
          <w:b/>
          <w:bCs/>
          <w:lang w:eastAsia="es-ES"/>
        </w:rPr>
        <w:t>70 Puntos</w:t>
      </w:r>
      <w:r>
        <w:rPr>
          <w:rFonts w:ascii="Arial Narrow" w:hAnsi="Arial Narrow" w:eastAsia="Calibri" w:cs="Arial"/>
          <w:lang w:eastAsia="es-ES"/>
        </w:rPr>
        <w:t xml:space="preserve">] x </w:t>
      </w:r>
      <w:r>
        <w:rPr>
          <w:rFonts w:ascii="Arial Narrow" w:hAnsi="Arial Narrow" w:eastAsia="Calibri" w:cs="Arial"/>
          <w:lang w:eastAsia="es-CO"/>
        </w:rPr>
        <w:drawing>
          <wp:inline distT="0" distB="0" distL="0" distR="0">
            <wp:extent cx="1076325" cy="314325"/>
            <wp:effectExtent l="0" t="0" r="9525" b="9525"/>
            <wp:docPr id="69" name="Imagen 6" descr="cid:image008.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n 6" descr="cid:image008.jpg@01D3D0AD.1E246E60"/>
                    <pic:cNvPicPr>
                      <a:picLocks noChangeAspect="1" noChangeArrowheads="1"/>
                    </pic:cNvPicPr>
                  </pic:nvPicPr>
                  <pic:blipFill>
                    <a:blip r:embed="rId20" r:link="rId21" cstate="print">
                      <a:extLst>
                        <a:ext uri="{28A0092B-C50C-407E-A947-70E740481C1C}">
                          <a14:useLocalDpi xmlns:a14="http://schemas.microsoft.com/office/drawing/2010/main" val="0"/>
                        </a:ext>
                      </a:extLst>
                    </a:blip>
                    <a:srcRect/>
                    <a:stretch>
                      <a:fillRect/>
                    </a:stretch>
                  </pic:blipFill>
                  <pic:spPr>
                    <a:xfrm>
                      <a:off x="0" y="0"/>
                      <a:ext cx="1076325" cy="314325"/>
                    </a:xfrm>
                    <a:prstGeom prst="rect">
                      <a:avLst/>
                    </a:prstGeom>
                    <a:noFill/>
                    <a:ln>
                      <a:noFill/>
                    </a:ln>
                  </pic:spPr>
                </pic:pic>
              </a:graphicData>
            </a:graphic>
          </wp:inline>
        </w:drawing>
      </w:r>
      <w:r>
        <w:rPr>
          <w:rFonts w:ascii="Arial Narrow" w:hAnsi="Arial Narrow" w:eastAsia="Calibri" w:cs="Arial"/>
          <w:lang w:eastAsia="es-ES"/>
        </w:rPr>
        <w:t xml:space="preserve">para valores mayores a  </w:t>
      </w:r>
      <w:r>
        <w:rPr>
          <w:rFonts w:ascii="Arial Narrow" w:hAnsi="Arial Narrow" w:eastAsia="Calibri" w:cs="Arial"/>
          <w:b/>
          <w:bCs/>
          <w:lang w:eastAsia="es-ES"/>
        </w:rPr>
        <w:t>XA</w:t>
      </w:r>
    </w:p>
    <w:p w14:paraId="29CA2568">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Donde,</w:t>
      </w:r>
    </w:p>
    <w:tbl>
      <w:tblPr>
        <w:tblStyle w:val="12"/>
        <w:tblW w:w="0" w:type="auto"/>
        <w:jc w:val="center"/>
        <w:tblLayout w:type="autofit"/>
        <w:tblCellMar>
          <w:top w:w="0" w:type="dxa"/>
          <w:left w:w="108" w:type="dxa"/>
          <w:bottom w:w="0" w:type="dxa"/>
          <w:right w:w="108" w:type="dxa"/>
        </w:tblCellMar>
      </w:tblPr>
      <w:tblGrid>
        <w:gridCol w:w="912"/>
        <w:gridCol w:w="411"/>
        <w:gridCol w:w="7398"/>
      </w:tblGrid>
      <w:tr w14:paraId="5BFD7309">
        <w:trPr>
          <w:jc w:val="center"/>
        </w:trPr>
        <w:tc>
          <w:tcPr>
            <w:tcW w:w="949" w:type="dxa"/>
          </w:tcPr>
          <w:p w14:paraId="4B09D95A">
            <w:pPr>
              <w:spacing w:after="0" w:line="240" w:lineRule="auto"/>
              <w:jc w:val="both"/>
              <w:rPr>
                <w:rFonts w:ascii="Arial Narrow" w:hAnsi="Arial Narrow" w:eastAsia="Calibri" w:cs="Arial"/>
                <w:b/>
                <w:lang/>
              </w:rPr>
            </w:pPr>
            <w:r>
              <w:rPr>
                <w:rFonts w:ascii="Arial Narrow" w:hAnsi="Arial Narrow" w:cs="Arial"/>
                <w:b/>
                <w:position w:val="-6"/>
                <w:lang w:eastAsia="es-CO"/>
              </w:rPr>
              <w:drawing>
                <wp:inline distT="0" distB="0" distL="0" distR="0">
                  <wp:extent cx="266700" cy="2667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266700" cy="266700"/>
                          </a:xfrm>
                          <a:prstGeom prst="rect">
                            <a:avLst/>
                          </a:prstGeom>
                          <a:noFill/>
                          <a:ln>
                            <a:noFill/>
                          </a:ln>
                        </pic:spPr>
                      </pic:pic>
                    </a:graphicData>
                  </a:graphic>
                </wp:inline>
              </w:drawing>
            </w:r>
          </w:p>
        </w:tc>
        <w:tc>
          <w:tcPr>
            <w:tcW w:w="423" w:type="dxa"/>
            <w:vAlign w:val="bottom"/>
          </w:tcPr>
          <w:p w14:paraId="53E431FA">
            <w:pPr>
              <w:spacing w:after="0" w:line="240" w:lineRule="auto"/>
              <w:jc w:val="both"/>
              <w:rPr>
                <w:rFonts w:ascii="Arial Narrow" w:hAnsi="Arial Narrow" w:eastAsia="Calibri" w:cs="Arial"/>
                <w:b/>
                <w:lang/>
              </w:rPr>
            </w:pPr>
            <w:r>
              <w:rPr>
                <w:rFonts w:ascii="Arial Narrow" w:hAnsi="Arial Narrow" w:eastAsia="Calibri" w:cs="Arial"/>
                <w:b/>
                <w:lang/>
              </w:rPr>
              <w:t>=</w:t>
            </w:r>
          </w:p>
        </w:tc>
        <w:tc>
          <w:tcPr>
            <w:tcW w:w="8249" w:type="dxa"/>
            <w:vAlign w:val="bottom"/>
          </w:tcPr>
          <w:p w14:paraId="745E2D51">
            <w:pPr>
              <w:spacing w:after="0" w:line="240" w:lineRule="auto"/>
              <w:jc w:val="both"/>
              <w:rPr>
                <w:rFonts w:ascii="Arial Narrow" w:hAnsi="Arial Narrow" w:eastAsia="Calibri" w:cs="Arial"/>
                <w:lang/>
              </w:rPr>
            </w:pPr>
            <w:r>
              <w:rPr>
                <w:rFonts w:ascii="Arial Narrow" w:hAnsi="Arial Narrow" w:eastAsia="Calibri" w:cs="Arial"/>
                <w:lang/>
              </w:rPr>
              <w:t>Media aritmética alta.</w:t>
            </w:r>
          </w:p>
        </w:tc>
      </w:tr>
      <w:tr w14:paraId="66EC761C">
        <w:tblPrEx>
          <w:tblCellMar>
            <w:top w:w="0" w:type="dxa"/>
            <w:left w:w="108" w:type="dxa"/>
            <w:bottom w:w="0" w:type="dxa"/>
            <w:right w:w="108" w:type="dxa"/>
          </w:tblCellMar>
        </w:tblPrEx>
        <w:trPr>
          <w:jc w:val="center"/>
        </w:trPr>
        <w:tc>
          <w:tcPr>
            <w:tcW w:w="949" w:type="dxa"/>
          </w:tcPr>
          <w:p w14:paraId="25330ECA">
            <w:pPr>
              <w:spacing w:after="0" w:line="240" w:lineRule="auto"/>
              <w:jc w:val="both"/>
              <w:rPr>
                <w:rFonts w:ascii="Arial Narrow" w:hAnsi="Arial Narrow" w:eastAsia="Calibri" w:cs="Arial"/>
                <w:b/>
                <w:lang/>
              </w:rPr>
            </w:pPr>
            <w:r>
              <w:rPr>
                <w:rFonts w:ascii="Arial Narrow" w:hAnsi="Arial Narrow" w:eastAsia="Calibri" w:cs="Arial"/>
                <w:b/>
                <w:i/>
                <w:lang/>
              </w:rPr>
              <w:t>Vi</w:t>
            </w:r>
          </w:p>
        </w:tc>
        <w:tc>
          <w:tcPr>
            <w:tcW w:w="423" w:type="dxa"/>
          </w:tcPr>
          <w:p w14:paraId="32CB3227">
            <w:pPr>
              <w:spacing w:after="0" w:line="240" w:lineRule="auto"/>
              <w:jc w:val="both"/>
              <w:rPr>
                <w:rFonts w:ascii="Arial Narrow" w:hAnsi="Arial Narrow" w:eastAsia="Calibri" w:cs="Arial"/>
                <w:b/>
                <w:lang/>
              </w:rPr>
            </w:pPr>
            <w:r>
              <w:rPr>
                <w:rFonts w:ascii="Arial Narrow" w:hAnsi="Arial Narrow" w:eastAsia="Calibri" w:cs="Arial"/>
                <w:b/>
                <w:lang/>
              </w:rPr>
              <w:t>=</w:t>
            </w:r>
          </w:p>
        </w:tc>
        <w:tc>
          <w:tcPr>
            <w:tcW w:w="8249" w:type="dxa"/>
          </w:tcPr>
          <w:p w14:paraId="384FC2AF">
            <w:pPr>
              <w:spacing w:after="0" w:line="240" w:lineRule="auto"/>
              <w:jc w:val="both"/>
              <w:rPr>
                <w:rFonts w:ascii="Arial Narrow" w:hAnsi="Arial Narrow" w:eastAsia="Calibri" w:cs="Arial"/>
                <w:lang/>
              </w:rPr>
            </w:pPr>
            <w:r>
              <w:rPr>
                <w:rFonts w:ascii="Arial Narrow" w:hAnsi="Arial Narrow" w:eastAsia="Calibri" w:cs="Arial"/>
                <w:lang/>
              </w:rPr>
              <w:t xml:space="preserve">Valor total corregido de cada una de las propuestas i </w:t>
            </w:r>
          </w:p>
        </w:tc>
      </w:tr>
      <w:tr w14:paraId="1933C47B">
        <w:tblPrEx>
          <w:tblCellMar>
            <w:top w:w="0" w:type="dxa"/>
            <w:left w:w="108" w:type="dxa"/>
            <w:bottom w:w="0" w:type="dxa"/>
            <w:right w:w="108" w:type="dxa"/>
          </w:tblCellMar>
        </w:tblPrEx>
        <w:trPr>
          <w:jc w:val="center"/>
        </w:trPr>
        <w:tc>
          <w:tcPr>
            <w:tcW w:w="949" w:type="dxa"/>
          </w:tcPr>
          <w:p w14:paraId="187BF567">
            <w:pPr>
              <w:spacing w:after="0" w:line="240" w:lineRule="auto"/>
              <w:jc w:val="both"/>
              <w:rPr>
                <w:rFonts w:ascii="Arial Narrow" w:hAnsi="Arial Narrow" w:eastAsia="Calibri" w:cs="Arial"/>
                <w:b/>
                <w:lang/>
              </w:rPr>
            </w:pPr>
            <w:r>
              <w:rPr>
                <w:rFonts w:ascii="Arial Narrow" w:hAnsi="Arial Narrow" w:eastAsia="Calibri" w:cs="Arial"/>
                <w:b/>
                <w:lang/>
              </w:rPr>
              <w:t>I</w:t>
            </w:r>
          </w:p>
        </w:tc>
        <w:tc>
          <w:tcPr>
            <w:tcW w:w="423" w:type="dxa"/>
          </w:tcPr>
          <w:p w14:paraId="6682331A">
            <w:pPr>
              <w:spacing w:after="0" w:line="240" w:lineRule="auto"/>
              <w:jc w:val="both"/>
              <w:rPr>
                <w:rFonts w:ascii="Arial Narrow" w:hAnsi="Arial Narrow" w:eastAsia="Calibri" w:cs="Arial"/>
                <w:b/>
                <w:lang/>
              </w:rPr>
            </w:pPr>
            <w:r>
              <w:rPr>
                <w:rFonts w:ascii="Arial Narrow" w:hAnsi="Arial Narrow" w:eastAsia="Calibri" w:cs="Arial"/>
                <w:b/>
                <w:lang/>
              </w:rPr>
              <w:t>=</w:t>
            </w:r>
          </w:p>
        </w:tc>
        <w:tc>
          <w:tcPr>
            <w:tcW w:w="8249" w:type="dxa"/>
          </w:tcPr>
          <w:p w14:paraId="2BEF5F9D">
            <w:pPr>
              <w:spacing w:after="0" w:line="240" w:lineRule="auto"/>
              <w:jc w:val="both"/>
              <w:rPr>
                <w:rFonts w:ascii="Arial Narrow" w:hAnsi="Arial Narrow" w:eastAsia="Calibri" w:cs="Arial"/>
                <w:lang/>
              </w:rPr>
            </w:pPr>
            <w:r>
              <w:rPr>
                <w:rFonts w:ascii="Arial Narrow" w:hAnsi="Arial Narrow" w:eastAsia="Calibri" w:cs="Arial"/>
                <w:lang/>
              </w:rPr>
              <w:t>Número de propuesta.</w:t>
            </w:r>
          </w:p>
        </w:tc>
      </w:tr>
    </w:tbl>
    <w:p w14:paraId="7205703B">
      <w:pPr>
        <w:tabs>
          <w:tab w:val="left" w:pos="-142"/>
        </w:tabs>
        <w:autoSpaceDE w:val="0"/>
        <w:autoSpaceDN w:val="0"/>
        <w:adjustRightInd w:val="0"/>
        <w:spacing w:after="0" w:line="240" w:lineRule="auto"/>
        <w:jc w:val="both"/>
        <w:rPr>
          <w:rFonts w:ascii="Arial Narrow" w:hAnsi="Arial Narrow" w:cs="Arial"/>
          <w:lang/>
        </w:rPr>
      </w:pPr>
    </w:p>
    <w:p w14:paraId="55AF878F">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En el caso de propuestas económicas con valores mayores a la media aritmética alta se tomara el valor absoluto de la diferencia entre la media aritmética alta y el valor de la propuesta, como se observa en la fórmula de ponderación.</w:t>
      </w:r>
    </w:p>
    <w:p w14:paraId="49F06A2A">
      <w:pPr>
        <w:tabs>
          <w:tab w:val="left" w:pos="-142"/>
        </w:tabs>
        <w:autoSpaceDE w:val="0"/>
        <w:autoSpaceDN w:val="0"/>
        <w:adjustRightInd w:val="0"/>
        <w:spacing w:after="0" w:line="240" w:lineRule="auto"/>
        <w:jc w:val="both"/>
        <w:rPr>
          <w:rFonts w:ascii="Arial Narrow" w:hAnsi="Arial Narrow" w:cs="Arial"/>
          <w:lang/>
        </w:rPr>
      </w:pPr>
    </w:p>
    <w:p w14:paraId="2725B8B5">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Las propuestas que no estén definidas como válidas no se les tendrá en cuenta puntaje alguno, por concepto de Apoyo a la Industria Nacional y Factor de Calidad.</w:t>
      </w:r>
    </w:p>
    <w:p w14:paraId="6D2BBD5C">
      <w:pPr>
        <w:tabs>
          <w:tab w:val="left" w:pos="-142"/>
        </w:tabs>
        <w:autoSpaceDE w:val="0"/>
        <w:autoSpaceDN w:val="0"/>
        <w:adjustRightInd w:val="0"/>
        <w:spacing w:after="0" w:line="240" w:lineRule="auto"/>
        <w:jc w:val="both"/>
        <w:rPr>
          <w:rFonts w:ascii="Arial Narrow" w:hAnsi="Arial Narrow" w:cs="Arial"/>
          <w:lang/>
        </w:rPr>
      </w:pPr>
    </w:p>
    <w:p w14:paraId="420C68CF">
      <w:pPr>
        <w:pStyle w:val="52"/>
        <w:widowControl w:val="0"/>
        <w:numPr>
          <w:ilvl w:val="3"/>
          <w:numId w:val="27"/>
        </w:numPr>
        <w:overflowPunct w:val="0"/>
        <w:autoSpaceDE w:val="0"/>
        <w:autoSpaceDN w:val="0"/>
        <w:adjustRightInd w:val="0"/>
        <w:spacing w:after="0" w:line="240" w:lineRule="auto"/>
        <w:jc w:val="both"/>
        <w:rPr>
          <w:rFonts w:ascii="Arial Narrow" w:hAnsi="Arial Narrow" w:cs="Arial"/>
          <w:b/>
          <w:lang w:eastAsia="es-CO"/>
        </w:rPr>
      </w:pPr>
      <w:r>
        <w:rPr>
          <w:rFonts w:ascii="Arial Narrow" w:hAnsi="Arial Narrow" w:cs="Arial"/>
          <w:b/>
          <w:lang w:eastAsia="es-CO"/>
        </w:rPr>
        <w:t>Media Geométrica con Presupuesto Oficial</w:t>
      </w:r>
    </w:p>
    <w:p w14:paraId="711DA6BC">
      <w:pPr>
        <w:keepNext/>
        <w:spacing w:after="0" w:line="240" w:lineRule="auto"/>
        <w:jc w:val="both"/>
        <w:outlineLvl w:val="3"/>
        <w:rPr>
          <w:rFonts w:ascii="Arial Narrow" w:hAnsi="Arial Narrow" w:cs="Arial"/>
          <w:b/>
          <w:lang w:eastAsia="es-CO"/>
        </w:rPr>
      </w:pPr>
    </w:p>
    <w:p w14:paraId="19927CD3">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Para el cálculo de la media geométrica con presupuesto oficial se tendrá en cuenta el número de propuestas válidas y se incluirá el presupuesto oficial del proceso de acuerdo al siguiente cuadro:</w:t>
      </w:r>
    </w:p>
    <w:p w14:paraId="23CB6E51">
      <w:pPr>
        <w:tabs>
          <w:tab w:val="left" w:pos="-142"/>
        </w:tabs>
        <w:autoSpaceDE w:val="0"/>
        <w:autoSpaceDN w:val="0"/>
        <w:adjustRightInd w:val="0"/>
        <w:spacing w:after="0" w:line="240" w:lineRule="auto"/>
        <w:jc w:val="both"/>
        <w:rPr>
          <w:rFonts w:ascii="Arial Narrow" w:hAnsi="Arial Narrow" w:cs="Arial"/>
          <w:lang/>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28"/>
        <w:gridCol w:w="3216"/>
      </w:tblGrid>
      <w:tr w14:paraId="4B78D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blHeader/>
          <w:jc w:val="center"/>
        </w:trPr>
        <w:tc>
          <w:tcPr>
            <w:tcW w:w="1628" w:type="dxa"/>
            <w:shd w:val="clear" w:color="auto" w:fill="D8D8D8" w:themeFill="background1" w:themeFillShade="D9"/>
            <w:vAlign w:val="center"/>
          </w:tcPr>
          <w:p w14:paraId="4E53CDBA">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Número de propuestas (n)</w:t>
            </w:r>
          </w:p>
          <w:p w14:paraId="00082A2C">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[número]</w:t>
            </w:r>
          </w:p>
        </w:tc>
        <w:tc>
          <w:tcPr>
            <w:tcW w:w="3216" w:type="dxa"/>
            <w:shd w:val="clear" w:color="auto" w:fill="D8D8D8" w:themeFill="background1" w:themeFillShade="D9"/>
            <w:vAlign w:val="center"/>
          </w:tcPr>
          <w:p w14:paraId="5446860B">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Número de veces en las que se incluye el presupuesto oficial</w:t>
            </w:r>
          </w:p>
          <w:p w14:paraId="30912658">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(nv) [veces]</w:t>
            </w:r>
          </w:p>
        </w:tc>
      </w:tr>
      <w:tr w14:paraId="2778B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exact"/>
          <w:jc w:val="center"/>
        </w:trPr>
        <w:tc>
          <w:tcPr>
            <w:tcW w:w="1628" w:type="dxa"/>
            <w:vAlign w:val="center"/>
          </w:tcPr>
          <w:p w14:paraId="75DC534A">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1 – 3</w:t>
            </w:r>
          </w:p>
        </w:tc>
        <w:tc>
          <w:tcPr>
            <w:tcW w:w="3216" w:type="dxa"/>
            <w:vAlign w:val="center"/>
          </w:tcPr>
          <w:p w14:paraId="2074449B">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1</w:t>
            </w:r>
          </w:p>
        </w:tc>
      </w:tr>
      <w:tr w14:paraId="0937A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exact"/>
          <w:jc w:val="center"/>
        </w:trPr>
        <w:tc>
          <w:tcPr>
            <w:tcW w:w="1628" w:type="dxa"/>
            <w:vAlign w:val="center"/>
          </w:tcPr>
          <w:p w14:paraId="5D4D4660">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4 – 6</w:t>
            </w:r>
          </w:p>
        </w:tc>
        <w:tc>
          <w:tcPr>
            <w:tcW w:w="3216" w:type="dxa"/>
            <w:vAlign w:val="center"/>
          </w:tcPr>
          <w:p w14:paraId="7891B773">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2</w:t>
            </w:r>
          </w:p>
        </w:tc>
      </w:tr>
      <w:tr w14:paraId="6C1F5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exact"/>
          <w:jc w:val="center"/>
        </w:trPr>
        <w:tc>
          <w:tcPr>
            <w:tcW w:w="1628" w:type="dxa"/>
            <w:vAlign w:val="center"/>
          </w:tcPr>
          <w:p w14:paraId="378802F9">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7 – 9</w:t>
            </w:r>
          </w:p>
        </w:tc>
        <w:tc>
          <w:tcPr>
            <w:tcW w:w="3216" w:type="dxa"/>
            <w:vAlign w:val="center"/>
          </w:tcPr>
          <w:p w14:paraId="77E6CBA4">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3</w:t>
            </w:r>
          </w:p>
        </w:tc>
      </w:tr>
      <w:tr w14:paraId="22C3C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exact"/>
          <w:jc w:val="center"/>
        </w:trPr>
        <w:tc>
          <w:tcPr>
            <w:tcW w:w="1628" w:type="dxa"/>
            <w:vAlign w:val="center"/>
          </w:tcPr>
          <w:p w14:paraId="08DFD299">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10 – 12</w:t>
            </w:r>
          </w:p>
        </w:tc>
        <w:tc>
          <w:tcPr>
            <w:tcW w:w="3216" w:type="dxa"/>
            <w:vAlign w:val="center"/>
          </w:tcPr>
          <w:p w14:paraId="0D9EDE53">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4</w:t>
            </w:r>
          </w:p>
        </w:tc>
      </w:tr>
      <w:tr w14:paraId="1A363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exact"/>
          <w:jc w:val="center"/>
        </w:trPr>
        <w:tc>
          <w:tcPr>
            <w:tcW w:w="1628" w:type="dxa"/>
            <w:vAlign w:val="center"/>
          </w:tcPr>
          <w:p w14:paraId="4B93DD3D">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13 – 15</w:t>
            </w:r>
          </w:p>
        </w:tc>
        <w:tc>
          <w:tcPr>
            <w:tcW w:w="3216" w:type="dxa"/>
            <w:vAlign w:val="center"/>
          </w:tcPr>
          <w:p w14:paraId="029B486D">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5</w:t>
            </w:r>
          </w:p>
        </w:tc>
      </w:tr>
      <w:tr w14:paraId="1C0CB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exact"/>
          <w:jc w:val="center"/>
        </w:trPr>
        <w:tc>
          <w:tcPr>
            <w:tcW w:w="1628" w:type="dxa"/>
            <w:vAlign w:val="center"/>
          </w:tcPr>
          <w:p w14:paraId="2D6427CD">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w:t>
            </w:r>
          </w:p>
        </w:tc>
        <w:tc>
          <w:tcPr>
            <w:tcW w:w="3216" w:type="dxa"/>
            <w:vAlign w:val="center"/>
          </w:tcPr>
          <w:p w14:paraId="7657A974">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w:t>
            </w:r>
          </w:p>
        </w:tc>
      </w:tr>
    </w:tbl>
    <w:p w14:paraId="2F48A3BD">
      <w:pPr>
        <w:tabs>
          <w:tab w:val="left" w:pos="-142"/>
        </w:tabs>
        <w:autoSpaceDE w:val="0"/>
        <w:autoSpaceDN w:val="0"/>
        <w:adjustRightInd w:val="0"/>
        <w:spacing w:after="0" w:line="240" w:lineRule="auto"/>
        <w:jc w:val="both"/>
        <w:rPr>
          <w:rFonts w:ascii="Arial Narrow" w:hAnsi="Arial Narrow" w:cs="Arial"/>
          <w:lang/>
        </w:rPr>
      </w:pPr>
    </w:p>
    <w:p w14:paraId="10BE484E">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Y así sucesivamente por cada tres propuestas válidas se incluirá una vez el presupuesto oficial.</w:t>
      </w:r>
    </w:p>
    <w:p w14:paraId="6EE8861D">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 xml:space="preserve"> </w:t>
      </w:r>
    </w:p>
    <w:p w14:paraId="696E0610">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Seguidamente se determinará la media geométrica con la inclusión del presupuesto oficial de acuerdo a lo establecido en el cuadro anterior mediante la siguiente fórmula:</w:t>
      </w:r>
    </w:p>
    <w:p w14:paraId="3CEB73A5">
      <w:pPr>
        <w:tabs>
          <w:tab w:val="left" w:pos="-142"/>
        </w:tabs>
        <w:autoSpaceDE w:val="0"/>
        <w:autoSpaceDN w:val="0"/>
        <w:adjustRightInd w:val="0"/>
        <w:spacing w:after="0" w:line="240" w:lineRule="auto"/>
        <w:jc w:val="center"/>
        <w:rPr>
          <w:rFonts w:ascii="Arial Narrow" w:hAnsi="Arial Narrow" w:cs="Arial"/>
          <w:position w:val="-24"/>
          <w:lang/>
        </w:rPr>
      </w:pPr>
      <w:r>
        <w:rPr>
          <w:rFonts w:ascii="Arial Narrow" w:hAnsi="Arial Narrow" w:cs="Arial"/>
          <w:position w:val="-14"/>
          <w:lang w:eastAsia="es-CO"/>
        </w:rPr>
        <w:drawing>
          <wp:inline distT="0" distB="0" distL="0" distR="0">
            <wp:extent cx="3105150" cy="36195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3105150" cy="361950"/>
                    </a:xfrm>
                    <a:prstGeom prst="rect">
                      <a:avLst/>
                    </a:prstGeom>
                    <a:noFill/>
                    <a:ln>
                      <a:noFill/>
                    </a:ln>
                  </pic:spPr>
                </pic:pic>
              </a:graphicData>
            </a:graphic>
          </wp:inline>
        </w:drawing>
      </w:r>
    </w:p>
    <w:p w14:paraId="2FC066FF">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Donde,</w:t>
      </w:r>
    </w:p>
    <w:p w14:paraId="033C0741">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Gpo     =          Media geométrica con presupuesto oficial. </w:t>
      </w:r>
    </w:p>
    <w:p w14:paraId="30EEE816">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nv        =          Número de veces que se incluye el presupuesto oficial (PO). </w:t>
      </w:r>
    </w:p>
    <w:p w14:paraId="584A528F">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n          =          Número de Ofertas válidas. </w:t>
      </w:r>
    </w:p>
    <w:p w14:paraId="364E1C21">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PO       =          Presupuesto oficial del Proceso de Contratación. </w:t>
      </w:r>
    </w:p>
    <w:p w14:paraId="6D99F235">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eastAsia="Calibri" w:cs="Arial"/>
          <w:lang w:eastAsia="es-ES"/>
        </w:rPr>
        <w:t xml:space="preserve">Pi         =          Valor de la oferta económica sin decimales del Proponente i. </w:t>
      </w:r>
      <w:r>
        <w:rPr>
          <w:rFonts w:ascii="Arial Narrow" w:hAnsi="Arial Narrow" w:cs="Arial"/>
          <w:lang/>
        </w:rPr>
        <w:t xml:space="preserve"> </w:t>
      </w:r>
    </w:p>
    <w:p w14:paraId="45EDBB63">
      <w:pPr>
        <w:tabs>
          <w:tab w:val="left" w:pos="-142"/>
        </w:tabs>
        <w:autoSpaceDE w:val="0"/>
        <w:autoSpaceDN w:val="0"/>
        <w:adjustRightInd w:val="0"/>
        <w:spacing w:after="0" w:line="240" w:lineRule="auto"/>
        <w:jc w:val="both"/>
        <w:rPr>
          <w:rFonts w:ascii="Arial Narrow" w:hAnsi="Arial Narrow" w:cs="Arial"/>
          <w:lang/>
        </w:rPr>
      </w:pPr>
    </w:p>
    <w:p w14:paraId="4C3AA09A">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Establecida la media geométrica se procederá a determinar el puntaje para cada proponente mediante el siguiente procedimiento:</w:t>
      </w:r>
    </w:p>
    <w:p w14:paraId="00301368">
      <w:pPr>
        <w:tabs>
          <w:tab w:val="left" w:pos="-142"/>
        </w:tabs>
        <w:autoSpaceDE w:val="0"/>
        <w:autoSpaceDN w:val="0"/>
        <w:adjustRightInd w:val="0"/>
        <w:spacing w:after="0" w:line="240" w:lineRule="auto"/>
        <w:jc w:val="both"/>
        <w:rPr>
          <w:rFonts w:ascii="Arial Narrow" w:hAnsi="Arial Narrow" w:cs="Arial"/>
          <w:lang/>
        </w:rPr>
      </w:pPr>
    </w:p>
    <w:p w14:paraId="4F653FFE">
      <w:pPr>
        <w:spacing w:after="0" w:line="240" w:lineRule="auto"/>
        <w:jc w:val="both"/>
        <w:rPr>
          <w:rFonts w:ascii="Arial Narrow" w:hAnsi="Arial Narrow" w:cs="Arial"/>
          <w:b/>
          <w:lang/>
        </w:rPr>
      </w:pPr>
      <w:r>
        <w:rPr>
          <w:rFonts w:ascii="Arial Narrow" w:hAnsi="Arial Narrow" w:cs="Arial"/>
          <w:b/>
          <w:lang/>
        </w:rPr>
        <w:t>Ponderación de las propuestas por el método de la Media Geométrica con Presupuesto Oficial.</w:t>
      </w:r>
    </w:p>
    <w:p w14:paraId="7A54CA7D">
      <w:pPr>
        <w:spacing w:after="0" w:line="240" w:lineRule="auto"/>
        <w:ind w:left="360"/>
        <w:jc w:val="both"/>
        <w:rPr>
          <w:rFonts w:ascii="Arial Narrow" w:hAnsi="Arial Narrow" w:cs="Arial"/>
          <w:b/>
          <w:lang/>
        </w:rPr>
      </w:pPr>
    </w:p>
    <w:p w14:paraId="21E9161F">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Obtenida la media geométrica con presupuesto oficial se procederá a ponderar las propuestas de acuerdo con la siguiente formula.</w:t>
      </w:r>
    </w:p>
    <w:p w14:paraId="06026EB8">
      <w:pPr>
        <w:tabs>
          <w:tab w:val="left" w:pos="-142"/>
        </w:tabs>
        <w:autoSpaceDE w:val="0"/>
        <w:autoSpaceDN w:val="0"/>
        <w:adjustRightInd w:val="0"/>
        <w:spacing w:after="0" w:line="240" w:lineRule="auto"/>
        <w:jc w:val="both"/>
        <w:rPr>
          <w:rFonts w:ascii="Arial Narrow" w:hAnsi="Arial Narrow" w:cs="Arial"/>
          <w:lang/>
        </w:rPr>
      </w:pPr>
    </w:p>
    <w:p w14:paraId="265E38F3">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w:t>
      </w:r>
      <w:r>
        <w:rPr>
          <w:rFonts w:ascii="Arial Narrow" w:hAnsi="Arial Narrow" w:eastAsia="Calibri" w:cs="Arial"/>
          <w:b/>
          <w:bCs/>
          <w:lang w:eastAsia="es-ES"/>
        </w:rPr>
        <w:t>70 Puntos</w:t>
      </w:r>
      <w:r>
        <w:rPr>
          <w:rFonts w:ascii="Arial Narrow" w:hAnsi="Arial Narrow" w:eastAsia="Calibri" w:cs="Arial"/>
          <w:lang w:eastAsia="es-ES"/>
        </w:rPr>
        <w:t xml:space="preserve">] x </w:t>
      </w:r>
      <w:r>
        <w:rPr>
          <w:rFonts w:ascii="Arial Narrow" w:hAnsi="Arial Narrow" w:eastAsia="Calibri" w:cs="Arial"/>
          <w:lang w:eastAsia="es-CO"/>
        </w:rPr>
        <w:drawing>
          <wp:inline distT="0" distB="0" distL="0" distR="0">
            <wp:extent cx="923925" cy="314325"/>
            <wp:effectExtent l="0" t="0" r="9525" b="9525"/>
            <wp:docPr id="71" name="Imagen 4" descr="cid:image010.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n 4" descr="cid:image010.jpg@01D3D0AD.1E246E60"/>
                    <pic:cNvPicPr>
                      <a:picLocks noChangeAspect="1" noChangeArrowheads="1"/>
                    </pic:cNvPicPr>
                  </pic:nvPicPr>
                  <pic:blipFill>
                    <a:blip r:embed="rId24" r:link="rId25" cstate="print">
                      <a:extLst>
                        <a:ext uri="{28A0092B-C50C-407E-A947-70E740481C1C}">
                          <a14:useLocalDpi xmlns:a14="http://schemas.microsoft.com/office/drawing/2010/main" val="0"/>
                        </a:ext>
                      </a:extLst>
                    </a:blip>
                    <a:srcRect/>
                    <a:stretch>
                      <a:fillRect/>
                    </a:stretch>
                  </pic:blipFill>
                  <pic:spPr>
                    <a:xfrm>
                      <a:off x="0" y="0"/>
                      <a:ext cx="923925" cy="314325"/>
                    </a:xfrm>
                    <a:prstGeom prst="rect">
                      <a:avLst/>
                    </a:prstGeom>
                    <a:noFill/>
                    <a:ln>
                      <a:noFill/>
                    </a:ln>
                  </pic:spPr>
                </pic:pic>
              </a:graphicData>
            </a:graphic>
          </wp:inline>
        </w:drawing>
      </w:r>
      <w:r>
        <w:rPr>
          <w:rFonts w:ascii="Arial Narrow" w:hAnsi="Arial Narrow" w:eastAsia="Calibri" w:cs="Arial"/>
          <w:lang w:eastAsia="es-ES"/>
        </w:rPr>
        <w:t xml:space="preserve">para valores menores o iguales a </w:t>
      </w:r>
      <w:r>
        <w:rPr>
          <w:rFonts w:ascii="Arial Narrow" w:hAnsi="Arial Narrow" w:eastAsia="Calibri" w:cs="Arial"/>
          <w:b/>
          <w:bCs/>
          <w:lang w:eastAsia="es-ES"/>
        </w:rPr>
        <w:t>Gpo</w:t>
      </w:r>
      <w:r>
        <w:rPr>
          <w:rFonts w:ascii="Arial Narrow" w:hAnsi="Arial Narrow" w:eastAsia="Calibri" w:cs="Arial"/>
          <w:lang w:eastAsia="es-ES"/>
        </w:rPr>
        <w:t xml:space="preserve">    </w:t>
      </w:r>
    </w:p>
    <w:p w14:paraId="07BB8D49">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Puntaje i =        </w:t>
      </w:r>
    </w:p>
    <w:p w14:paraId="4127D62D">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eastAsia="Calibri" w:cs="Arial"/>
          <w:lang w:eastAsia="es-ES"/>
        </w:rPr>
        <w:tab/>
      </w:r>
      <w:r>
        <w:rPr>
          <w:rFonts w:ascii="Arial Narrow" w:hAnsi="Arial Narrow" w:eastAsia="Calibri" w:cs="Arial"/>
          <w:lang w:eastAsia="es-ES"/>
        </w:rPr>
        <w:tab/>
      </w:r>
      <w:r>
        <w:rPr>
          <w:rFonts w:ascii="Arial Narrow" w:hAnsi="Arial Narrow" w:eastAsia="Calibri" w:cs="Arial"/>
          <w:lang w:eastAsia="es-ES"/>
        </w:rPr>
        <w:t>[</w:t>
      </w:r>
      <w:r>
        <w:rPr>
          <w:rFonts w:ascii="Arial Narrow" w:hAnsi="Arial Narrow" w:eastAsia="Calibri" w:cs="Arial"/>
          <w:b/>
          <w:bCs/>
          <w:lang w:eastAsia="es-ES"/>
        </w:rPr>
        <w:t>70 Puntos</w:t>
      </w:r>
      <w:r>
        <w:rPr>
          <w:rFonts w:ascii="Arial Narrow" w:hAnsi="Arial Narrow" w:eastAsia="Calibri" w:cs="Arial"/>
          <w:lang w:eastAsia="es-ES"/>
        </w:rPr>
        <w:t xml:space="preserve">] x </w:t>
      </w:r>
      <w:r>
        <w:rPr>
          <w:rFonts w:ascii="Arial Narrow" w:hAnsi="Arial Narrow" w:eastAsia="Calibri" w:cs="Arial"/>
          <w:lang w:eastAsia="es-CO"/>
        </w:rPr>
        <w:drawing>
          <wp:inline distT="0" distB="0" distL="0" distR="0">
            <wp:extent cx="1181100" cy="352425"/>
            <wp:effectExtent l="0" t="0" r="0" b="9525"/>
            <wp:docPr id="72" name="Imagen 3" descr="cid:image011.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n 3" descr="cid:image011.jpg@01D3D0AD.1E246E6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a:xfrm>
                      <a:off x="0" y="0"/>
                      <a:ext cx="1181100" cy="352425"/>
                    </a:xfrm>
                    <a:prstGeom prst="rect">
                      <a:avLst/>
                    </a:prstGeom>
                    <a:noFill/>
                    <a:ln>
                      <a:noFill/>
                    </a:ln>
                  </pic:spPr>
                </pic:pic>
              </a:graphicData>
            </a:graphic>
          </wp:inline>
        </w:drawing>
      </w:r>
      <w:r>
        <w:rPr>
          <w:rFonts w:ascii="Arial Narrow" w:hAnsi="Arial Narrow" w:eastAsia="Calibri" w:cs="Arial"/>
          <w:lang w:eastAsia="es-ES"/>
        </w:rPr>
        <w:t xml:space="preserve">para valores mayores a </w:t>
      </w:r>
      <w:r>
        <w:rPr>
          <w:rFonts w:ascii="Arial Narrow" w:hAnsi="Arial Narrow" w:eastAsia="Calibri" w:cs="Arial"/>
          <w:b/>
          <w:bCs/>
          <w:lang w:eastAsia="es-ES"/>
        </w:rPr>
        <w:t>Gpo</w:t>
      </w:r>
    </w:p>
    <w:p w14:paraId="30506014">
      <w:pPr>
        <w:tabs>
          <w:tab w:val="left" w:pos="-142"/>
        </w:tabs>
        <w:autoSpaceDE w:val="0"/>
        <w:autoSpaceDN w:val="0"/>
        <w:adjustRightInd w:val="0"/>
        <w:spacing w:after="0" w:line="240" w:lineRule="auto"/>
        <w:jc w:val="both"/>
        <w:rPr>
          <w:rFonts w:ascii="Arial Narrow" w:hAnsi="Arial Narrow" w:cs="Arial"/>
          <w:lang/>
        </w:rPr>
      </w:pPr>
    </w:p>
    <w:p w14:paraId="1682B00B">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Donde, </w:t>
      </w:r>
    </w:p>
    <w:p w14:paraId="2EA84221">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Gpo    =          Media geométrica con presupuesto oficial. </w:t>
      </w:r>
    </w:p>
    <w:p w14:paraId="07FDC54E">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Vi         =          Valor total sin decimales de cada una de las Ofertas i </w:t>
      </w:r>
    </w:p>
    <w:p w14:paraId="2D870898">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eastAsia="Calibri" w:cs="Arial"/>
          <w:lang w:eastAsia="es-ES"/>
        </w:rPr>
        <w:t>i           =          Número de oferta.</w:t>
      </w:r>
    </w:p>
    <w:p w14:paraId="30617F18">
      <w:pPr>
        <w:tabs>
          <w:tab w:val="left" w:pos="-142"/>
        </w:tabs>
        <w:autoSpaceDE w:val="0"/>
        <w:autoSpaceDN w:val="0"/>
        <w:adjustRightInd w:val="0"/>
        <w:spacing w:after="0" w:line="240" w:lineRule="auto"/>
        <w:jc w:val="both"/>
        <w:rPr>
          <w:rFonts w:ascii="Arial Narrow" w:hAnsi="Arial Narrow" w:cs="Arial"/>
          <w:lang/>
        </w:rPr>
      </w:pPr>
    </w:p>
    <w:p w14:paraId="27558753">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En el caso de propuestas económicas con valores mayores a la media geométrica con presupuesto oficial se tomará el valor absoluto de la diferencia entre la media geométrica con presupuesto oficial y el valor de la propuesta, como se observa en la fórmula de ponderación.</w:t>
      </w:r>
    </w:p>
    <w:p w14:paraId="17353932">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Las propuestas que no estén definidas como válidas no se les tendrá en cuenta puntaje alguno, por concepto de Apoyo a la Industria Nacional y Factor de Calidad.</w:t>
      </w:r>
    </w:p>
    <w:p w14:paraId="6FDFF5EC">
      <w:pPr>
        <w:tabs>
          <w:tab w:val="left" w:pos="-142"/>
        </w:tabs>
        <w:autoSpaceDE w:val="0"/>
        <w:autoSpaceDN w:val="0"/>
        <w:adjustRightInd w:val="0"/>
        <w:spacing w:after="0" w:line="240" w:lineRule="auto"/>
        <w:jc w:val="both"/>
        <w:rPr>
          <w:rFonts w:ascii="Arial Narrow" w:hAnsi="Arial Narrow" w:cs="Arial"/>
          <w:lang/>
        </w:rPr>
      </w:pPr>
    </w:p>
    <w:p w14:paraId="7DEA58DD">
      <w:pPr>
        <w:pStyle w:val="52"/>
        <w:widowControl w:val="0"/>
        <w:numPr>
          <w:ilvl w:val="3"/>
          <w:numId w:val="27"/>
        </w:numPr>
        <w:overflowPunct w:val="0"/>
        <w:autoSpaceDE w:val="0"/>
        <w:autoSpaceDN w:val="0"/>
        <w:adjustRightInd w:val="0"/>
        <w:spacing w:after="0" w:line="240" w:lineRule="auto"/>
        <w:jc w:val="both"/>
        <w:rPr>
          <w:rFonts w:ascii="Arial Narrow" w:hAnsi="Arial Narrow" w:cs="Arial"/>
          <w:b/>
          <w:lang w:eastAsia="es-CO"/>
        </w:rPr>
      </w:pPr>
      <w:r>
        <w:rPr>
          <w:rFonts w:ascii="Arial Narrow" w:hAnsi="Arial Narrow" w:cs="Arial"/>
          <w:b/>
          <w:lang w:eastAsia="es-CO"/>
        </w:rPr>
        <w:t>Menor Valor</w:t>
      </w:r>
    </w:p>
    <w:p w14:paraId="2260197D">
      <w:pPr>
        <w:keepNext/>
        <w:spacing w:after="0" w:line="240" w:lineRule="auto"/>
        <w:jc w:val="both"/>
        <w:outlineLvl w:val="3"/>
        <w:rPr>
          <w:rFonts w:ascii="Arial Narrow" w:hAnsi="Arial Narrow" w:cs="Arial"/>
          <w:b/>
          <w:lang w:eastAsia="es-CO"/>
        </w:rPr>
      </w:pPr>
    </w:p>
    <w:p w14:paraId="5BBE85FC">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Para la aplicación de este método se procederá a determinar el menor valor de las propuestas válidas y se procederá a la ponderación.</w:t>
      </w:r>
    </w:p>
    <w:p w14:paraId="3726E984">
      <w:pPr>
        <w:tabs>
          <w:tab w:val="left" w:pos="-142"/>
          <w:tab w:val="left" w:pos="1830"/>
        </w:tabs>
        <w:autoSpaceDE w:val="0"/>
        <w:autoSpaceDN w:val="0"/>
        <w:adjustRightInd w:val="0"/>
        <w:spacing w:after="0" w:line="240" w:lineRule="auto"/>
        <w:jc w:val="both"/>
        <w:rPr>
          <w:rFonts w:ascii="Arial Narrow" w:hAnsi="Arial Narrow" w:cs="Arial"/>
          <w:lang/>
        </w:rPr>
      </w:pPr>
      <w:r>
        <w:rPr>
          <w:rFonts w:ascii="Arial Narrow" w:hAnsi="Arial Narrow" w:cs="Arial"/>
          <w:lang/>
        </w:rPr>
        <w:tab/>
      </w:r>
    </w:p>
    <w:p w14:paraId="6AD9460A">
      <w:pPr>
        <w:spacing w:after="0" w:line="240" w:lineRule="auto"/>
        <w:jc w:val="both"/>
        <w:rPr>
          <w:rFonts w:ascii="Arial Narrow" w:hAnsi="Arial Narrow" w:cs="Arial"/>
          <w:b/>
          <w:lang/>
        </w:rPr>
      </w:pPr>
      <w:r>
        <w:rPr>
          <w:rFonts w:ascii="Arial Narrow" w:hAnsi="Arial Narrow" w:cs="Arial"/>
          <w:b/>
          <w:lang/>
        </w:rPr>
        <w:t>Ponderación de las propuestas por el método del Menor Valor</w:t>
      </w:r>
    </w:p>
    <w:p w14:paraId="2C60ECB6">
      <w:pPr>
        <w:spacing w:after="0" w:line="240" w:lineRule="auto"/>
        <w:ind w:left="360"/>
        <w:jc w:val="both"/>
        <w:rPr>
          <w:rFonts w:ascii="Arial Narrow" w:hAnsi="Arial Narrow" w:cs="Arial"/>
          <w:b/>
          <w:lang/>
        </w:rPr>
      </w:pPr>
    </w:p>
    <w:p w14:paraId="1D65DE5B">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Obtenido el menor valor se procederá a ponderar las propuestas de acuerdo con la siguiente formula.</w:t>
      </w:r>
    </w:p>
    <w:p w14:paraId="68101389">
      <w:pPr>
        <w:overflowPunct w:val="0"/>
        <w:autoSpaceDE w:val="0"/>
        <w:autoSpaceDN w:val="0"/>
        <w:spacing w:after="0" w:line="240" w:lineRule="auto"/>
        <w:jc w:val="center"/>
        <w:rPr>
          <w:rFonts w:ascii="Arial Narrow" w:hAnsi="Arial Narrow" w:eastAsia="Calibri" w:cs="Arial"/>
          <w:lang w:eastAsia="es-ES"/>
        </w:rPr>
      </w:pPr>
    </w:p>
    <w:p w14:paraId="4BCA5DBD">
      <w:pPr>
        <w:overflowPunct w:val="0"/>
        <w:autoSpaceDE w:val="0"/>
        <w:autoSpaceDN w:val="0"/>
        <w:spacing w:after="0" w:line="240" w:lineRule="auto"/>
        <w:jc w:val="center"/>
        <w:rPr>
          <w:rFonts w:ascii="Arial Narrow" w:hAnsi="Arial Narrow" w:eastAsia="Calibri" w:cs="Arial"/>
          <w:lang w:eastAsia="es-ES"/>
        </w:rPr>
      </w:pPr>
      <w:r>
        <w:rPr>
          <w:rFonts w:ascii="Arial Narrow" w:hAnsi="Arial Narrow" w:eastAsia="Calibri" w:cs="Arial"/>
          <w:lang w:eastAsia="es-ES"/>
        </w:rPr>
        <w:t xml:space="preserve">Puntaje X= </w:t>
      </w:r>
      <w:r>
        <w:rPr>
          <w:rFonts w:ascii="Arial Narrow" w:hAnsi="Arial Narrow" w:eastAsia="Calibri" w:cs="Arial"/>
          <w:b/>
          <w:bCs/>
          <w:lang w:eastAsia="es-ES"/>
        </w:rPr>
        <w:t>70</w:t>
      </w:r>
      <w:r>
        <w:rPr>
          <w:rFonts w:ascii="Arial Narrow" w:hAnsi="Arial Narrow" w:eastAsia="Calibri" w:cs="Arial"/>
          <w:lang w:eastAsia="es-ES"/>
        </w:rPr>
        <w:t xml:space="preserve">* (Vmin/Vi)    </w:t>
      </w:r>
    </w:p>
    <w:p w14:paraId="5FA3C3F0">
      <w:pPr>
        <w:overflowPunct w:val="0"/>
        <w:autoSpaceDE w:val="0"/>
        <w:autoSpaceDN w:val="0"/>
        <w:spacing w:after="0" w:line="240" w:lineRule="auto"/>
        <w:jc w:val="both"/>
        <w:rPr>
          <w:rFonts w:ascii="Arial Narrow" w:hAnsi="Arial Narrow" w:eastAsia="Calibri" w:cs="Arial"/>
          <w:lang w:eastAsia="es-ES"/>
        </w:rPr>
      </w:pPr>
    </w:p>
    <w:p w14:paraId="61376086">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Donde, </w:t>
      </w:r>
    </w:p>
    <w:p w14:paraId="247EDFD4">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Vmin   =          Menor valor de las Ofertas válidas. </w:t>
      </w:r>
    </w:p>
    <w:p w14:paraId="325D981D">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Vi         =          Valor total sin decimales de cada una de las Ofertas i </w:t>
      </w:r>
    </w:p>
    <w:p w14:paraId="4BA1710B">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i           =          Número de oferta. </w:t>
      </w:r>
    </w:p>
    <w:p w14:paraId="0B7A8B0A">
      <w:pPr>
        <w:tabs>
          <w:tab w:val="left" w:pos="-142"/>
        </w:tabs>
        <w:autoSpaceDE w:val="0"/>
        <w:autoSpaceDN w:val="0"/>
        <w:adjustRightInd w:val="0"/>
        <w:spacing w:after="0" w:line="240" w:lineRule="auto"/>
        <w:jc w:val="both"/>
        <w:rPr>
          <w:rFonts w:ascii="Arial Narrow" w:hAnsi="Arial Narrow" w:cs="Arial"/>
          <w:lang/>
        </w:rPr>
      </w:pPr>
    </w:p>
    <w:p w14:paraId="7734C284">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En este caso se tomará el valor absoluto de la diferencia entre el menor valor y el valor de la propuesta, como se observa en la fórmula de ponderación.</w:t>
      </w:r>
    </w:p>
    <w:p w14:paraId="3E173186">
      <w:pPr>
        <w:tabs>
          <w:tab w:val="left" w:pos="-142"/>
        </w:tabs>
        <w:autoSpaceDE w:val="0"/>
        <w:autoSpaceDN w:val="0"/>
        <w:adjustRightInd w:val="0"/>
        <w:spacing w:after="0" w:line="240" w:lineRule="auto"/>
        <w:jc w:val="both"/>
        <w:rPr>
          <w:rFonts w:ascii="Arial Narrow" w:hAnsi="Arial Narrow" w:eastAsia="Calibri" w:cs="Arial"/>
          <w:lang/>
        </w:rPr>
      </w:pPr>
    </w:p>
    <w:p w14:paraId="3A7E18B5">
      <w:pPr>
        <w:tabs>
          <w:tab w:val="left" w:pos="-142"/>
        </w:tabs>
        <w:autoSpaceDE w:val="0"/>
        <w:autoSpaceDN w:val="0"/>
        <w:adjustRightInd w:val="0"/>
        <w:spacing w:after="0" w:line="240" w:lineRule="auto"/>
        <w:jc w:val="both"/>
        <w:rPr>
          <w:rFonts w:ascii="Arial Narrow" w:hAnsi="Arial Narrow" w:eastAsia="Calibri" w:cs="Arial"/>
          <w:lang/>
        </w:rPr>
      </w:pPr>
      <w:r>
        <w:rPr>
          <w:rFonts w:ascii="Arial Narrow" w:hAnsi="Arial Narrow" w:eastAsia="Calibri" w:cs="Arial"/>
          <w:lang/>
        </w:rPr>
        <w:t>Para todos los métodos descritos se tendrá en cuenta hasta el segundo (2°) decimal del valor obtenido como puntaje.</w:t>
      </w:r>
    </w:p>
    <w:p w14:paraId="159D4B23">
      <w:pPr>
        <w:tabs>
          <w:tab w:val="left" w:pos="-142"/>
        </w:tabs>
        <w:autoSpaceDE w:val="0"/>
        <w:autoSpaceDN w:val="0"/>
        <w:adjustRightInd w:val="0"/>
        <w:spacing w:after="0" w:line="240" w:lineRule="auto"/>
        <w:jc w:val="both"/>
        <w:rPr>
          <w:rFonts w:ascii="Arial Narrow" w:hAnsi="Arial Narrow" w:cs="Arial"/>
          <w:lang/>
        </w:rPr>
      </w:pPr>
    </w:p>
    <w:p w14:paraId="74E8CDEC">
      <w:pPr>
        <w:pStyle w:val="52"/>
        <w:widowControl w:val="0"/>
        <w:numPr>
          <w:ilvl w:val="2"/>
          <w:numId w:val="27"/>
        </w:numPr>
        <w:overflowPunct w:val="0"/>
        <w:autoSpaceDE w:val="0"/>
        <w:autoSpaceDN w:val="0"/>
        <w:adjustRightInd w:val="0"/>
        <w:spacing w:after="0" w:line="240" w:lineRule="auto"/>
        <w:jc w:val="both"/>
        <w:rPr>
          <w:rFonts w:ascii="Arial Narrow" w:hAnsi="Arial Narrow" w:cs="Arial"/>
          <w:b/>
          <w:bCs/>
          <w:lang/>
        </w:rPr>
      </w:pPr>
      <w:r>
        <w:rPr>
          <w:rFonts w:ascii="Arial Narrow" w:hAnsi="Arial Narrow" w:cs="Arial"/>
          <w:b/>
          <w:bCs/>
          <w:lang/>
        </w:rPr>
        <w:t xml:space="preserve">FACTOR TECNICO DE CALIDAD </w:t>
      </w:r>
    </w:p>
    <w:p w14:paraId="27C6CA26">
      <w:pPr>
        <w:tabs>
          <w:tab w:val="left" w:pos="-720"/>
        </w:tabs>
        <w:suppressAutoHyphens/>
        <w:jc w:val="both"/>
        <w:rPr>
          <w:rFonts w:ascii="Arial Narrow" w:hAnsi="Arial Narrow" w:eastAsia="Arial Unicode MS" w:cs="Arial"/>
          <w:bCs/>
          <w:lang w:val="es-ES" w:eastAsia="es-ES"/>
        </w:rPr>
      </w:pPr>
      <w:r>
        <w:rPr>
          <w:rFonts w:ascii="Arial Narrow" w:hAnsi="Arial Narrow" w:eastAsia="Arial Unicode MS" w:cs="Arial"/>
          <w:bCs/>
          <w:lang w:val="es-ES" w:eastAsia="es-ES"/>
        </w:rPr>
        <w:t>Mediante certificación expedida por el representante legal el factor Técnico de calidad será otorgado al proponente que ofrezca dos elementos del item 10 del formato 7 Propuesta económica adicionales al ya establecido:</w:t>
      </w:r>
    </w:p>
    <w:p w14:paraId="4433A49C">
      <w:pPr>
        <w:tabs>
          <w:tab w:val="left" w:pos="-720"/>
        </w:tabs>
        <w:suppressAutoHyphens/>
        <w:jc w:val="both"/>
        <w:rPr>
          <w:rFonts w:ascii="Arial Narrow" w:hAnsi="Arial Narrow" w:eastAsia="Arial Unicode MS" w:cs="Arial"/>
          <w:b/>
        </w:rPr>
      </w:pPr>
      <w:r>
        <w:rPr>
          <w:rFonts w:ascii="Arial Narrow" w:hAnsi="Arial Narrow" w:eastAsia="Arial Unicode MS" w:cs="Arial"/>
          <w:b/>
          <w:lang w:val="es-ES" w:eastAsia="es-ES"/>
        </w:rPr>
        <w:t>ITEM 10. FORMATO 7 PROPUESTA ECONOMICA.</w:t>
      </w:r>
    </w:p>
    <w:p w14:paraId="5965348A">
      <w:pPr>
        <w:spacing w:after="0" w:line="240" w:lineRule="auto"/>
        <w:jc w:val="both"/>
        <w:rPr>
          <w:rFonts w:ascii="Arial Narrow" w:hAnsi="Arial Narrow" w:cs="Arial"/>
          <w:b/>
          <w:bCs/>
          <w:highlight w:val="lightGray"/>
          <w:lang/>
        </w:rPr>
      </w:pPr>
      <w:r>
        <w:rPr>
          <w:rFonts w:ascii="Arial Narrow" w:hAnsi="Arial Narrow" w:cs="Arial"/>
          <w:color w:val="000000"/>
          <w:lang w:eastAsia="es-CO"/>
        </w:rPr>
        <w:t>BALIZA COMPLETA DE TAXEO ELEVADA FAA L-861T, 6,6A, TIPO LED FILTRO AZUL OMNIDIRECCIONAL.</w:t>
      </w:r>
    </w:p>
    <w:p w14:paraId="213A205A">
      <w:pPr>
        <w:spacing w:after="0" w:line="240" w:lineRule="auto"/>
        <w:jc w:val="both"/>
        <w:rPr>
          <w:rFonts w:ascii="Arial Narrow" w:hAnsi="Arial Narrow" w:cs="Arial"/>
          <w:lang/>
        </w:rPr>
      </w:pPr>
    </w:p>
    <w:p w14:paraId="54AE2203">
      <w:pPr>
        <w:pStyle w:val="52"/>
        <w:widowControl w:val="0"/>
        <w:numPr>
          <w:ilvl w:val="2"/>
          <w:numId w:val="27"/>
        </w:numPr>
        <w:overflowPunct w:val="0"/>
        <w:autoSpaceDE w:val="0"/>
        <w:autoSpaceDN w:val="0"/>
        <w:adjustRightInd w:val="0"/>
        <w:spacing w:after="0" w:line="240" w:lineRule="auto"/>
        <w:jc w:val="both"/>
        <w:rPr>
          <w:rFonts w:ascii="Arial Narrow" w:hAnsi="Arial Narrow" w:cs="Arial"/>
          <w:b/>
          <w:bCs/>
          <w:lang/>
        </w:rPr>
      </w:pPr>
      <w:r>
        <w:rPr>
          <w:rFonts w:ascii="Arial Narrow" w:hAnsi="Arial Narrow" w:cs="Arial"/>
          <w:b/>
          <w:bCs/>
          <w:lang/>
        </w:rPr>
        <w:t xml:space="preserve">APOYO A LA INDUSTRIA NACIONAL – LEY 816 DE 2003 (10 PUNTOS) </w:t>
      </w:r>
    </w:p>
    <w:p w14:paraId="375B9DF0">
      <w:pPr>
        <w:pStyle w:val="52"/>
        <w:widowControl w:val="0"/>
        <w:overflowPunct w:val="0"/>
        <w:autoSpaceDE w:val="0"/>
        <w:autoSpaceDN w:val="0"/>
        <w:adjustRightInd w:val="0"/>
        <w:spacing w:after="0" w:line="240" w:lineRule="auto"/>
        <w:jc w:val="both"/>
        <w:rPr>
          <w:rFonts w:ascii="Arial Narrow" w:hAnsi="Arial Narrow" w:cs="Arial"/>
          <w:b/>
          <w:bCs/>
          <w:lang/>
        </w:rPr>
      </w:pPr>
    </w:p>
    <w:p w14:paraId="50C6D9A7">
      <w:pPr>
        <w:widowControl w:val="0"/>
        <w:overflowPunct w:val="0"/>
        <w:autoSpaceDE w:val="0"/>
        <w:autoSpaceDN w:val="0"/>
        <w:adjustRightInd w:val="0"/>
        <w:spacing w:after="0" w:line="240" w:lineRule="auto"/>
        <w:jc w:val="both"/>
        <w:rPr>
          <w:rFonts w:ascii="Arial Narrow" w:hAnsi="Arial Narrow" w:cs="Arial"/>
          <w:b/>
          <w:bCs/>
          <w:highlight w:val="lightGray"/>
          <w:lang/>
        </w:rPr>
      </w:pPr>
      <w:r>
        <w:rPr>
          <w:rFonts w:ascii="Arial Narrow" w:hAnsi="Arial Narrow" w:cs="Arial"/>
          <w:b/>
          <w:bCs/>
          <w:highlight w:val="lightGray"/>
          <w:lang/>
        </w:rPr>
        <w:t>(INDICAR “APLICA” FRENTE AL NUMERAL CORRESPONDIENTE, SERVICIOS O BIENES)</w:t>
      </w:r>
    </w:p>
    <w:p w14:paraId="7798B0DC">
      <w:pPr>
        <w:pStyle w:val="49"/>
        <w:rPr>
          <w:rFonts w:ascii="Arial Narrow" w:hAnsi="Arial Narrow"/>
          <w:sz w:val="22"/>
          <w:szCs w:val="22"/>
        </w:rPr>
      </w:pPr>
    </w:p>
    <w:p w14:paraId="37C5D5EB">
      <w:pPr>
        <w:pStyle w:val="52"/>
        <w:widowControl w:val="0"/>
        <w:numPr>
          <w:ilvl w:val="3"/>
          <w:numId w:val="27"/>
        </w:numPr>
        <w:overflowPunct w:val="0"/>
        <w:autoSpaceDE w:val="0"/>
        <w:autoSpaceDN w:val="0"/>
        <w:adjustRightInd w:val="0"/>
        <w:spacing w:after="0" w:line="240" w:lineRule="auto"/>
        <w:jc w:val="both"/>
        <w:rPr>
          <w:rFonts w:ascii="Arial Narrow" w:hAnsi="Arial Narrow" w:eastAsia="Yu Gothic Light"/>
          <w:b/>
          <w:lang/>
        </w:rPr>
      </w:pPr>
      <w:r>
        <w:rPr>
          <w:rFonts w:ascii="Arial Narrow" w:hAnsi="Arial Narrow" w:eastAsia="Yu Gothic Light"/>
          <w:b/>
          <w:lang/>
        </w:rPr>
        <w:t>Cuando se trata de servicios: Aplica.</w:t>
      </w:r>
    </w:p>
    <w:p w14:paraId="3BAC64B9">
      <w:pPr>
        <w:spacing w:after="0" w:line="240" w:lineRule="auto"/>
        <w:jc w:val="both"/>
        <w:rPr>
          <w:rFonts w:ascii="Arial Narrow" w:hAnsi="Arial Narrow" w:cs="Arial"/>
          <w:lang/>
        </w:rPr>
      </w:pPr>
    </w:p>
    <w:p w14:paraId="5FA0EA91">
      <w:pPr>
        <w:spacing w:after="0" w:line="240" w:lineRule="auto"/>
        <w:jc w:val="both"/>
        <w:rPr>
          <w:rFonts w:ascii="Arial Narrow" w:hAnsi="Arial Narrow" w:cs="Arial"/>
          <w:lang/>
        </w:rPr>
      </w:pPr>
      <w:r>
        <w:rPr>
          <w:rFonts w:ascii="Arial Narrow" w:hAnsi="Arial Narrow" w:cs="Arial"/>
          <w:lang/>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3B53A2F4">
      <w:pPr>
        <w:spacing w:after="0" w:line="240" w:lineRule="auto"/>
        <w:jc w:val="both"/>
        <w:rPr>
          <w:rFonts w:ascii="Arial Narrow" w:hAnsi="Arial Narrow" w:cs="Arial"/>
          <w:lang/>
        </w:rPr>
      </w:pPr>
    </w:p>
    <w:p w14:paraId="129F4229">
      <w:pPr>
        <w:spacing w:after="0" w:line="240" w:lineRule="auto"/>
        <w:jc w:val="both"/>
        <w:rPr>
          <w:rFonts w:ascii="Arial Narrow" w:hAnsi="Arial Narrow" w:cs="Arial"/>
          <w:lang/>
        </w:rPr>
      </w:pPr>
      <w:r>
        <w:rPr>
          <w:rFonts w:ascii="Arial Narrow" w:hAnsi="Arial Narrow" w:cs="Arial"/>
          <w:lang/>
        </w:rPr>
        <w:t>Los puntajes para estimular a la industria nacional se relacionan en la siguiente tabla:</w:t>
      </w:r>
    </w:p>
    <w:p w14:paraId="02B9D85E">
      <w:pPr>
        <w:spacing w:after="0" w:line="240" w:lineRule="auto"/>
        <w:jc w:val="both"/>
        <w:rPr>
          <w:rFonts w:ascii="Arial Narrow" w:hAnsi="Arial Narrow" w:cs="Arial"/>
          <w:lang/>
        </w:rPr>
      </w:pPr>
    </w:p>
    <w:tbl>
      <w:tblPr>
        <w:tblStyle w:val="12"/>
        <w:tblW w:w="7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5387"/>
        <w:gridCol w:w="1701"/>
      </w:tblGrid>
      <w:tr w14:paraId="704EB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0" w:hRule="atLeast"/>
          <w:tblHeader/>
          <w:jc w:val="center"/>
        </w:trPr>
        <w:tc>
          <w:tcPr>
            <w:tcW w:w="5387" w:type="dxa"/>
            <w:shd w:val="clear" w:color="auto" w:fill="D0CECE"/>
            <w:vAlign w:val="center"/>
          </w:tcPr>
          <w:p w14:paraId="2EAE4DD7">
            <w:pPr>
              <w:spacing w:after="0" w:line="240" w:lineRule="auto"/>
              <w:jc w:val="center"/>
              <w:rPr>
                <w:rFonts w:ascii="Arial Narrow" w:hAnsi="Arial Narrow" w:cs="Arial"/>
                <w:b/>
                <w:caps/>
                <w:lang/>
              </w:rPr>
            </w:pPr>
            <w:r>
              <w:rPr>
                <w:rFonts w:ascii="Arial Narrow" w:hAnsi="Arial Narrow" w:cs="Arial"/>
                <w:b/>
                <w:bCs/>
                <w:lang/>
              </w:rPr>
              <w:t>Concepto</w:t>
            </w:r>
          </w:p>
        </w:tc>
        <w:tc>
          <w:tcPr>
            <w:tcW w:w="1701" w:type="dxa"/>
            <w:shd w:val="clear" w:color="auto" w:fill="D0CECE"/>
            <w:vAlign w:val="center"/>
          </w:tcPr>
          <w:p w14:paraId="6FECF3B7">
            <w:pPr>
              <w:spacing w:after="0" w:line="240" w:lineRule="auto"/>
              <w:jc w:val="center"/>
              <w:rPr>
                <w:rFonts w:ascii="Arial Narrow" w:hAnsi="Arial Narrow" w:cs="Arial"/>
                <w:b/>
                <w:caps/>
                <w:lang/>
              </w:rPr>
            </w:pPr>
            <w:r>
              <w:rPr>
                <w:rFonts w:ascii="Arial Narrow" w:hAnsi="Arial Narrow" w:cs="Arial"/>
                <w:b/>
                <w:bCs/>
                <w:lang/>
              </w:rPr>
              <w:t>Puntaje</w:t>
            </w:r>
          </w:p>
        </w:tc>
      </w:tr>
      <w:tr w14:paraId="438A4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0" w:hRule="atLeast"/>
          <w:jc w:val="center"/>
        </w:trPr>
        <w:tc>
          <w:tcPr>
            <w:tcW w:w="5387" w:type="dxa"/>
            <w:vAlign w:val="center"/>
          </w:tcPr>
          <w:p w14:paraId="16C30D27">
            <w:pPr>
              <w:spacing w:after="0" w:line="240" w:lineRule="auto"/>
              <w:jc w:val="both"/>
              <w:rPr>
                <w:rFonts w:ascii="Arial Narrow" w:hAnsi="Arial Narrow" w:cs="Arial"/>
                <w:caps/>
                <w:lang/>
              </w:rPr>
            </w:pPr>
            <w:r>
              <w:rPr>
                <w:rFonts w:ascii="Arial Narrow" w:hAnsi="Arial Narrow" w:cs="Arial"/>
                <w:lang/>
              </w:rPr>
              <w:t>Promoción de Servicios Nacionales o con Trato Nacional</w:t>
            </w:r>
          </w:p>
        </w:tc>
        <w:tc>
          <w:tcPr>
            <w:tcW w:w="1701" w:type="dxa"/>
            <w:vAlign w:val="center"/>
          </w:tcPr>
          <w:p w14:paraId="53DC3FD9">
            <w:pPr>
              <w:spacing w:after="0" w:line="240" w:lineRule="auto"/>
              <w:jc w:val="center"/>
              <w:rPr>
                <w:rFonts w:ascii="Arial Narrow" w:hAnsi="Arial Narrow" w:cs="Arial"/>
                <w:caps/>
                <w:lang/>
              </w:rPr>
            </w:pPr>
            <w:r>
              <w:rPr>
                <w:rFonts w:ascii="Arial Narrow" w:hAnsi="Arial Narrow" w:cs="Arial"/>
                <w:lang/>
              </w:rPr>
              <w:t>10</w:t>
            </w:r>
          </w:p>
        </w:tc>
      </w:tr>
      <w:tr w14:paraId="6DB0E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0" w:hRule="atLeast"/>
          <w:jc w:val="center"/>
        </w:trPr>
        <w:tc>
          <w:tcPr>
            <w:tcW w:w="5387" w:type="dxa"/>
            <w:vAlign w:val="center"/>
          </w:tcPr>
          <w:p w14:paraId="2AF4CA6C">
            <w:pPr>
              <w:spacing w:after="0" w:line="240" w:lineRule="auto"/>
              <w:jc w:val="both"/>
              <w:rPr>
                <w:rFonts w:ascii="Arial Narrow" w:hAnsi="Arial Narrow" w:cs="Arial"/>
                <w:caps/>
                <w:lang/>
              </w:rPr>
            </w:pPr>
            <w:r>
              <w:rPr>
                <w:rFonts w:ascii="Arial Narrow" w:hAnsi="Arial Narrow" w:cs="Arial"/>
                <w:lang/>
              </w:rPr>
              <w:t>Incorporación de componente nacional en servicios extranjeros</w:t>
            </w:r>
          </w:p>
        </w:tc>
        <w:tc>
          <w:tcPr>
            <w:tcW w:w="1701" w:type="dxa"/>
            <w:vAlign w:val="center"/>
          </w:tcPr>
          <w:p w14:paraId="0C066DD9">
            <w:pPr>
              <w:spacing w:after="0" w:line="240" w:lineRule="auto"/>
              <w:jc w:val="center"/>
              <w:rPr>
                <w:rFonts w:ascii="Arial Narrow" w:hAnsi="Arial Narrow" w:cs="Arial"/>
                <w:caps/>
                <w:lang/>
              </w:rPr>
            </w:pPr>
            <w:r>
              <w:rPr>
                <w:rFonts w:ascii="Arial Narrow" w:hAnsi="Arial Narrow" w:cs="Arial"/>
                <w:lang/>
              </w:rPr>
              <w:t>5</w:t>
            </w:r>
          </w:p>
        </w:tc>
      </w:tr>
    </w:tbl>
    <w:p w14:paraId="3645F3BF">
      <w:pPr>
        <w:spacing w:after="0" w:line="240" w:lineRule="auto"/>
        <w:jc w:val="both"/>
        <w:rPr>
          <w:rFonts w:ascii="Arial Narrow" w:hAnsi="Arial Narrow" w:cs="Arial"/>
          <w:lang/>
        </w:rPr>
      </w:pPr>
    </w:p>
    <w:p w14:paraId="34A4C2A0">
      <w:pPr>
        <w:pStyle w:val="52"/>
        <w:widowControl w:val="0"/>
        <w:numPr>
          <w:ilvl w:val="0"/>
          <w:numId w:val="29"/>
        </w:numPr>
        <w:overflowPunct w:val="0"/>
        <w:autoSpaceDE w:val="0"/>
        <w:autoSpaceDN w:val="0"/>
        <w:adjustRightInd w:val="0"/>
        <w:spacing w:after="0" w:line="240" w:lineRule="auto"/>
        <w:jc w:val="both"/>
        <w:rPr>
          <w:rFonts w:ascii="Arial Narrow" w:hAnsi="Arial Narrow" w:eastAsia="Yu Gothic Light" w:cs="Arial"/>
          <w:b/>
          <w:lang/>
        </w:rPr>
      </w:pPr>
      <w:bookmarkStart w:id="101" w:name="_Toc84417025"/>
      <w:r>
        <w:rPr>
          <w:rFonts w:ascii="Arial Narrow" w:hAnsi="Arial Narrow" w:eastAsia="Yu Gothic Light" w:cs="Arial"/>
          <w:b/>
          <w:lang/>
        </w:rPr>
        <w:t>Promoción de Servicios Nacionales o con Trato Nacional</w:t>
      </w:r>
      <w:bookmarkEnd w:id="101"/>
      <w:r>
        <w:rPr>
          <w:rFonts w:ascii="Arial Narrow" w:hAnsi="Arial Narrow" w:eastAsia="Yu Gothic Light" w:cs="Arial"/>
          <w:b/>
          <w:lang/>
        </w:rPr>
        <w:t xml:space="preserve"> </w:t>
      </w:r>
    </w:p>
    <w:p w14:paraId="2FCB3E9B">
      <w:pPr>
        <w:spacing w:after="0" w:line="240" w:lineRule="auto"/>
        <w:jc w:val="both"/>
        <w:rPr>
          <w:rFonts w:ascii="Arial Narrow" w:hAnsi="Arial Narrow" w:cs="Arial"/>
          <w:lang/>
        </w:rPr>
      </w:pPr>
    </w:p>
    <w:p w14:paraId="30C83FF4">
      <w:pPr>
        <w:spacing w:after="0" w:line="240" w:lineRule="auto"/>
        <w:jc w:val="both"/>
        <w:rPr>
          <w:rFonts w:ascii="Arial Narrow" w:hAnsi="Arial Narrow" w:eastAsia="Yu Mincho" w:cs="Arial"/>
          <w:iCs/>
          <w:color w:val="000000"/>
        </w:rPr>
      </w:pPr>
      <w:bookmarkStart w:id="102" w:name="_Hlk104922175"/>
      <w:r>
        <w:rPr>
          <w:rFonts w:ascii="Arial Narrow" w:hAnsi="Arial Narrow" w:eastAsia="Yu Mincho" w:cs="Arial"/>
          <w:iCs/>
          <w:color w:val="000000"/>
          <w:lang w:val="es-MX"/>
        </w:rPr>
        <w:t xml:space="preserve">En los contratos que deban cumplirse en Colombia, el servicio es nacional cuando </w:t>
      </w:r>
      <w:r>
        <w:rPr>
          <w:rFonts w:ascii="Arial Narrow" w:hAnsi="Arial Narrow" w:eastAsia="Yu Mincho" w:cs="Arial"/>
          <w:iCs/>
          <w:color w:val="000000"/>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AEROCIVIL</w:t>
      </w:r>
      <w:r>
        <w:t xml:space="preserve"> </w:t>
      </w:r>
      <w:r>
        <w:rPr>
          <w:rFonts w:ascii="Arial Narrow" w:hAnsi="Arial Narrow" w:eastAsia="Yu Mincho" w:cs="Arial"/>
          <w:iCs/>
          <w:color w:val="000000"/>
        </w:rPr>
        <w:t>para el desarrollo del contrato o (ii) vincula el porcentaje mínimo de personal colombiano, según corresponda.</w:t>
      </w:r>
    </w:p>
    <w:p w14:paraId="0D4A51FB">
      <w:pPr>
        <w:pStyle w:val="52"/>
        <w:widowControl w:val="0"/>
        <w:overflowPunct w:val="0"/>
        <w:autoSpaceDE w:val="0"/>
        <w:autoSpaceDN w:val="0"/>
        <w:adjustRightInd w:val="0"/>
        <w:spacing w:after="0" w:line="240" w:lineRule="auto"/>
        <w:ind w:left="0" w:right="142"/>
        <w:jc w:val="both"/>
        <w:rPr>
          <w:rFonts w:ascii="Arial Narrow" w:hAnsi="Arial Narrow" w:eastAsia="Yu Gothic Light" w:cs="Arial"/>
          <w:b/>
        </w:rPr>
      </w:pPr>
    </w:p>
    <w:p w14:paraId="7737B198">
      <w:pPr>
        <w:spacing w:after="0" w:line="240" w:lineRule="auto"/>
        <w:jc w:val="both"/>
        <w:rPr>
          <w:rFonts w:ascii="Arial Narrow" w:hAnsi="Arial Narrow" w:eastAsia="Yu Mincho" w:cs="Arial"/>
          <w:iCs/>
          <w:color w:val="000000"/>
        </w:rPr>
      </w:pPr>
      <w:r>
        <w:rPr>
          <w:rFonts w:ascii="Arial Narrow" w:hAnsi="Arial Narrow" w:eastAsia="Yu Mincho" w:cs="Arial"/>
          <w:iCs/>
          <w:color w:val="00000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w:t>
      </w:r>
      <w:r>
        <w:rPr>
          <w:rFonts w:ascii="Arial Narrow" w:hAnsi="Arial Narrow" w:eastAsia="Yu Mincho" w:cs="Arial"/>
          <w:iCs/>
          <w:color w:val="000000"/>
        </w:rPr>
        <w:t xml:space="preserve">regla aplicable al proceso, el Proponente extranjero con trato nacional así lo manifestará con el diligenciamiento del Formato 18A – Promoción de Servicios Nacionales o con Trato Nacional. En el caso que no se diligencie el Formato 18B – Promoción de Servicios Nacionales o con Trato Nacional, La AEROCIVIL evaluará la oferta de acuerdo con las reglas previstas en este numeral. </w:t>
      </w:r>
    </w:p>
    <w:p w14:paraId="2EA502E4">
      <w:pPr>
        <w:spacing w:after="0" w:line="240" w:lineRule="auto"/>
        <w:jc w:val="both"/>
        <w:rPr>
          <w:rFonts w:ascii="Arial Narrow" w:hAnsi="Arial Narrow" w:eastAsia="Yu Mincho" w:cs="Arial"/>
          <w:iCs/>
          <w:color w:val="000000"/>
        </w:rPr>
      </w:pPr>
    </w:p>
    <w:p w14:paraId="0B6CA33F">
      <w:pPr>
        <w:spacing w:after="0" w:line="240" w:lineRule="auto"/>
        <w:jc w:val="both"/>
        <w:rPr>
          <w:rFonts w:ascii="Arial Narrow" w:hAnsi="Arial Narrow" w:eastAsia="Yu Mincho" w:cs="Arial"/>
          <w:iCs/>
          <w:color w:val="000000"/>
        </w:rPr>
      </w:pPr>
      <w:r>
        <w:rPr>
          <w:rFonts w:ascii="Arial Narrow" w:hAnsi="Arial Narrow" w:eastAsia="Yu Mincho" w:cs="Arial"/>
          <w:iCs/>
          <w:color w:val="000000"/>
        </w:rPr>
        <w:t xml:space="preserve">Debido a la especialidad del contrato, en este Proceso de Contratación </w:t>
      </w:r>
      <w:r>
        <w:rPr>
          <w:rFonts w:ascii="Arial Narrow" w:hAnsi="Arial Narrow" w:eastAsia="Yu Mincho" w:cs="Arial"/>
          <w:iCs/>
          <w:color w:val="000000"/>
          <w:u w:val="single"/>
        </w:rPr>
        <w:t xml:space="preserve">para el otorgamiento de puntaje no habrá bienes nacionales relevantes </w:t>
      </w:r>
      <w:r>
        <w:rPr>
          <w:rFonts w:ascii="Arial Narrow" w:hAnsi="Arial Narrow" w:eastAsia="Yu Mincho" w:cs="Arial"/>
          <w:iCs/>
          <w:color w:val="000000"/>
        </w:rPr>
        <w:t xml:space="preserve">y, por tanto, en todos los casos se otorgará el puntaje de apoyo a la industria nacional a los Proponentes que se comprometan a vincular durante el desarrollo del objeto contractual un porcentaje de empleados o contratistas por prestación de servicios colombianos, de al menos el </w:t>
      </w:r>
      <w:r>
        <w:rPr>
          <w:rFonts w:ascii="Arial Narrow" w:hAnsi="Arial Narrow" w:eastAsia="Yu Mincho" w:cs="Arial"/>
          <w:b/>
          <w:bCs/>
          <w:iCs/>
          <w:color w:val="000000"/>
        </w:rPr>
        <w:t>80% del personal</w:t>
      </w:r>
      <w:r>
        <w:rPr>
          <w:rFonts w:ascii="Arial Narrow" w:hAnsi="Arial Narrow" w:eastAsia="Yu Mincho" w:cs="Arial"/>
          <w:iCs/>
          <w:color w:val="000000"/>
        </w:rPr>
        <w:t xml:space="preserve"> requerido para el cumplimiento del contrato.</w:t>
      </w:r>
    </w:p>
    <w:p w14:paraId="61BF6720">
      <w:pPr>
        <w:spacing w:after="0" w:line="240" w:lineRule="auto"/>
        <w:ind w:right="142"/>
        <w:jc w:val="both"/>
        <w:rPr>
          <w:rFonts w:ascii="Arial Narrow" w:hAnsi="Arial Narrow" w:eastAsia="Yu Mincho" w:cs="Arial"/>
          <w:iCs/>
          <w:color w:val="000000"/>
        </w:rPr>
      </w:pPr>
    </w:p>
    <w:p w14:paraId="06E41C28">
      <w:pPr>
        <w:spacing w:after="0" w:line="240" w:lineRule="auto"/>
        <w:jc w:val="both"/>
        <w:rPr>
          <w:rFonts w:ascii="Arial Narrow" w:hAnsi="Arial Narrow" w:eastAsia="Yu Mincho" w:cs="Arial"/>
          <w:iCs/>
          <w:color w:val="000000"/>
        </w:rPr>
      </w:pPr>
      <w:r>
        <w:rPr>
          <w:rFonts w:ascii="Arial Narrow" w:hAnsi="Arial Narrow" w:eastAsia="Yu Mincho" w:cs="Arial"/>
          <w:iCs/>
          <w:color w:val="000000"/>
        </w:rPr>
        <w:t xml:space="preserve">En el caso de Proponentes Plurales todos, varios o cualquiera de sus integrantes podrá vincular un porcentaje de empleados o contratistas por prestación de servicios colombianos, el </w:t>
      </w:r>
      <w:r>
        <w:rPr>
          <w:rFonts w:ascii="Arial Narrow" w:hAnsi="Arial Narrow" w:eastAsia="Yu Mincho" w:cs="Arial"/>
          <w:b/>
          <w:bCs/>
          <w:iCs/>
          <w:color w:val="000000"/>
        </w:rPr>
        <w:t>80% del personal</w:t>
      </w:r>
      <w:r>
        <w:rPr>
          <w:rFonts w:ascii="Arial Narrow" w:hAnsi="Arial Narrow" w:eastAsia="Yu Mincho" w:cs="Arial"/>
          <w:iCs/>
          <w:color w:val="000000"/>
        </w:rPr>
        <w:t xml:space="preserve"> requerido para el cumplimiento del contrato. </w:t>
      </w:r>
    </w:p>
    <w:p w14:paraId="7818E2B9">
      <w:pPr>
        <w:spacing w:after="0" w:line="240" w:lineRule="auto"/>
        <w:jc w:val="both"/>
        <w:rPr>
          <w:rFonts w:ascii="Arial Narrow" w:hAnsi="Arial Narrow" w:eastAsia="Yu Mincho" w:cs="Arial"/>
          <w:iCs/>
          <w:color w:val="000000"/>
        </w:rPr>
      </w:pPr>
    </w:p>
    <w:p w14:paraId="6DBEDC40">
      <w:pPr>
        <w:spacing w:after="0" w:line="240" w:lineRule="auto"/>
        <w:jc w:val="both"/>
        <w:rPr>
          <w:rFonts w:ascii="Arial Narrow" w:hAnsi="Arial Narrow" w:eastAsia="Yu Mincho" w:cs="Arial"/>
          <w:iCs/>
          <w:color w:val="000000"/>
        </w:rPr>
      </w:pPr>
      <w:r>
        <w:rPr>
          <w:rFonts w:ascii="Arial Narrow" w:hAnsi="Arial Narrow" w:eastAsia="Yu Mincho" w:cs="Arial"/>
          <w:iCs/>
          <w:color w:val="000000"/>
        </w:rPr>
        <w:t>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4E1465A1">
      <w:pPr>
        <w:spacing w:after="0" w:line="240" w:lineRule="auto"/>
        <w:jc w:val="both"/>
        <w:rPr>
          <w:rFonts w:ascii="Arial Narrow" w:hAnsi="Arial Narrow" w:eastAsia="Yu Mincho" w:cs="Arial"/>
          <w:iCs/>
          <w:color w:val="000000"/>
        </w:rPr>
      </w:pPr>
      <w:r>
        <w:rPr>
          <w:rFonts w:ascii="Arial Narrow" w:hAnsi="Arial Narrow" w:eastAsia="Yu Mincho" w:cs="Arial"/>
          <w:iCs/>
          <w:color w:val="000000"/>
        </w:rPr>
        <w:t xml:space="preserve">  </w:t>
      </w:r>
    </w:p>
    <w:p w14:paraId="7F8BBE5B">
      <w:pPr>
        <w:spacing w:after="0" w:line="240" w:lineRule="auto"/>
        <w:jc w:val="both"/>
        <w:rPr>
          <w:rFonts w:ascii="Arial Narrow" w:hAnsi="Arial Narrow" w:cs="Arial"/>
          <w:iCs/>
          <w:color w:val="000000"/>
        </w:rPr>
      </w:pPr>
      <w:r>
        <w:rPr>
          <w:rFonts w:ascii="Arial Narrow" w:hAnsi="Arial Narrow" w:eastAsia="Yu Mincho" w:cs="Arial"/>
          <w:iCs/>
          <w:color w:val="000000"/>
        </w:rPr>
        <w:t>A tales efectos en la siguiente tabla</w:t>
      </w:r>
      <w:r>
        <w:rPr>
          <w:rFonts w:ascii="Arial Narrow" w:hAnsi="Arial Narrow" w:cs="Arial"/>
          <w:iCs/>
          <w:color w:val="000000"/>
        </w:rPr>
        <w:t xml:space="preserve"> se indican las posibles composiciones de Proponentes Plurales, la regla de origen que les aplica en virtud de dicha conformación, así como la franja de puntaje correspondiente</w:t>
      </w:r>
      <w:bookmarkEnd w:id="102"/>
      <w:r>
        <w:rPr>
          <w:rFonts w:ascii="Arial Narrow" w:hAnsi="Arial Narrow" w:cs="Arial"/>
          <w:iCs/>
          <w:color w:val="000000"/>
        </w:rPr>
        <w:t xml:space="preserve">: </w:t>
      </w:r>
    </w:p>
    <w:p w14:paraId="07D49E48">
      <w:pPr>
        <w:spacing w:after="0" w:line="240" w:lineRule="auto"/>
        <w:jc w:val="both"/>
        <w:rPr>
          <w:rFonts w:ascii="Arial Narrow" w:hAnsi="Arial Narrow" w:cs="Arial"/>
          <w:iCs/>
          <w:color w:val="000000"/>
          <w:lang/>
        </w:rPr>
      </w:pPr>
    </w:p>
    <w:tbl>
      <w:tblPr>
        <w:tblStyle w:val="12"/>
        <w:tblW w:w="86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652"/>
        <w:gridCol w:w="2585"/>
        <w:gridCol w:w="3175"/>
        <w:gridCol w:w="2275"/>
      </w:tblGrid>
      <w:tr w14:paraId="6B54C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1" w:hRule="atLeast"/>
          <w:tblHeader/>
          <w:jc w:val="center"/>
        </w:trPr>
        <w:tc>
          <w:tcPr>
            <w:tcW w:w="652" w:type="dxa"/>
            <w:shd w:val="clear" w:color="auto" w:fill="D0CECE"/>
            <w:vAlign w:val="center"/>
          </w:tcPr>
          <w:p w14:paraId="02C8DD0B">
            <w:pPr>
              <w:spacing w:after="0" w:line="240" w:lineRule="auto"/>
              <w:jc w:val="center"/>
              <w:rPr>
                <w:rFonts w:ascii="Arial Narrow" w:hAnsi="Arial Narrow" w:eastAsia="Yu Gothic Light" w:cs="Arial"/>
                <w:b/>
                <w:iCs/>
                <w:sz w:val="20"/>
                <w:szCs w:val="20"/>
                <w:lang/>
              </w:rPr>
            </w:pPr>
            <w:r>
              <w:rPr>
                <w:rFonts w:ascii="Arial Narrow" w:hAnsi="Arial Narrow" w:eastAsia="Yu Gothic Light" w:cs="Arial"/>
                <w:b/>
                <w:iCs/>
                <w:sz w:val="20"/>
                <w:szCs w:val="20"/>
                <w:lang/>
              </w:rPr>
              <w:t>No.</w:t>
            </w:r>
          </w:p>
        </w:tc>
        <w:tc>
          <w:tcPr>
            <w:tcW w:w="2585" w:type="dxa"/>
            <w:shd w:val="clear" w:color="auto" w:fill="D0CECE"/>
            <w:vAlign w:val="center"/>
          </w:tcPr>
          <w:p w14:paraId="6ED49AE7">
            <w:pPr>
              <w:spacing w:after="0" w:line="240" w:lineRule="auto"/>
              <w:jc w:val="center"/>
              <w:rPr>
                <w:rFonts w:ascii="Arial Narrow" w:hAnsi="Arial Narrow" w:eastAsia="Yu Gothic Light" w:cs="Arial"/>
                <w:b/>
                <w:iCs/>
                <w:sz w:val="20"/>
                <w:szCs w:val="20"/>
                <w:lang/>
              </w:rPr>
            </w:pPr>
            <w:r>
              <w:rPr>
                <w:rFonts w:ascii="Arial Narrow" w:hAnsi="Arial Narrow" w:eastAsia="Yu Gothic Light" w:cs="Arial"/>
                <w:b/>
                <w:iCs/>
                <w:sz w:val="20"/>
                <w:szCs w:val="20"/>
                <w:lang/>
              </w:rPr>
              <w:t>Composición del Proponente Plural</w:t>
            </w:r>
          </w:p>
        </w:tc>
        <w:tc>
          <w:tcPr>
            <w:tcW w:w="3175" w:type="dxa"/>
            <w:shd w:val="clear" w:color="auto" w:fill="D0CECE"/>
            <w:vAlign w:val="center"/>
          </w:tcPr>
          <w:p w14:paraId="6D477AB1">
            <w:pPr>
              <w:tabs>
                <w:tab w:val="left" w:pos="2087"/>
              </w:tabs>
              <w:spacing w:after="0" w:line="240" w:lineRule="auto"/>
              <w:jc w:val="center"/>
              <w:rPr>
                <w:rFonts w:ascii="Arial Narrow" w:hAnsi="Arial Narrow" w:eastAsia="Yu Gothic Light" w:cs="Arial"/>
                <w:b/>
                <w:iCs/>
                <w:sz w:val="20"/>
                <w:szCs w:val="20"/>
                <w:lang/>
              </w:rPr>
            </w:pPr>
            <w:r>
              <w:rPr>
                <w:rFonts w:ascii="Arial Narrow" w:hAnsi="Arial Narrow" w:eastAsia="Yu Gothic Light" w:cs="Arial"/>
                <w:b/>
                <w:iCs/>
                <w:sz w:val="20"/>
                <w:szCs w:val="20"/>
                <w:lang/>
              </w:rPr>
              <w:t>Regla de origen aplicable</w:t>
            </w:r>
          </w:p>
        </w:tc>
        <w:tc>
          <w:tcPr>
            <w:tcW w:w="2275" w:type="dxa"/>
            <w:shd w:val="clear" w:color="auto" w:fill="D0CECE"/>
            <w:vAlign w:val="center"/>
          </w:tcPr>
          <w:p w14:paraId="6A3AC2EC">
            <w:pPr>
              <w:spacing w:after="0" w:line="240" w:lineRule="auto"/>
              <w:jc w:val="center"/>
              <w:rPr>
                <w:rFonts w:ascii="Arial Narrow" w:hAnsi="Arial Narrow" w:eastAsia="Yu Gothic Light" w:cs="Arial"/>
                <w:b/>
                <w:iCs/>
                <w:sz w:val="20"/>
                <w:szCs w:val="20"/>
                <w:lang/>
              </w:rPr>
            </w:pPr>
            <w:r>
              <w:rPr>
                <w:rFonts w:ascii="Arial Narrow" w:hAnsi="Arial Narrow" w:eastAsia="Yu Gothic Light" w:cs="Arial"/>
                <w:b/>
                <w:iCs/>
                <w:sz w:val="20"/>
                <w:szCs w:val="20"/>
                <w:lang/>
              </w:rPr>
              <w:t>Puntaje aplicable</w:t>
            </w:r>
          </w:p>
        </w:tc>
      </w:tr>
      <w:tr w14:paraId="7A26B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756" w:hRule="atLeast"/>
          <w:jc w:val="center"/>
        </w:trPr>
        <w:tc>
          <w:tcPr>
            <w:tcW w:w="652" w:type="dxa"/>
            <w:vAlign w:val="center"/>
          </w:tcPr>
          <w:p w14:paraId="2DEA8685">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1.</w:t>
            </w:r>
          </w:p>
        </w:tc>
        <w:tc>
          <w:tcPr>
            <w:tcW w:w="2585" w:type="dxa"/>
            <w:vAlign w:val="center"/>
          </w:tcPr>
          <w:p w14:paraId="19376DC4">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Únicamente integrantes colombianos</w:t>
            </w:r>
          </w:p>
        </w:tc>
        <w:tc>
          <w:tcPr>
            <w:tcW w:w="3175" w:type="dxa"/>
            <w:vAlign w:val="center"/>
          </w:tcPr>
          <w:p w14:paraId="7E7ABCAF">
            <w:pPr>
              <w:tabs>
                <w:tab w:val="left" w:pos="2087"/>
              </w:tabs>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Decreto 1082 de 2015</w:t>
            </w:r>
          </w:p>
        </w:tc>
        <w:tc>
          <w:tcPr>
            <w:tcW w:w="2275" w:type="dxa"/>
            <w:vAlign w:val="center"/>
          </w:tcPr>
          <w:p w14:paraId="45A58687">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Promoción de Servicios Nacionales o con Trato Nacional</w:t>
            </w:r>
          </w:p>
        </w:tc>
      </w:tr>
      <w:tr w14:paraId="21478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3" w:hRule="atLeast"/>
          <w:jc w:val="center"/>
        </w:trPr>
        <w:tc>
          <w:tcPr>
            <w:tcW w:w="652" w:type="dxa"/>
            <w:vAlign w:val="center"/>
          </w:tcPr>
          <w:p w14:paraId="39CA83E6">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2.</w:t>
            </w:r>
          </w:p>
        </w:tc>
        <w:tc>
          <w:tcPr>
            <w:tcW w:w="2585" w:type="dxa"/>
            <w:vAlign w:val="center"/>
          </w:tcPr>
          <w:p w14:paraId="2932DC68">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Colombianos en asocio con extranjeros con trato nacional</w:t>
            </w:r>
          </w:p>
        </w:tc>
        <w:tc>
          <w:tcPr>
            <w:tcW w:w="3175" w:type="dxa"/>
            <w:vAlign w:val="center"/>
          </w:tcPr>
          <w:p w14:paraId="1F3E510F">
            <w:pPr>
              <w:tabs>
                <w:tab w:val="left" w:pos="2087"/>
              </w:tabs>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Decreto 1082 de 2015</w:t>
            </w:r>
          </w:p>
        </w:tc>
        <w:tc>
          <w:tcPr>
            <w:tcW w:w="2275" w:type="dxa"/>
            <w:vAlign w:val="center"/>
          </w:tcPr>
          <w:p w14:paraId="34B866AB">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 xml:space="preserve">Promoción de Servicios Nacionales o con Trato Nacional </w:t>
            </w:r>
          </w:p>
        </w:tc>
      </w:tr>
      <w:tr w14:paraId="17318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3" w:hRule="atLeast"/>
          <w:jc w:val="center"/>
        </w:trPr>
        <w:tc>
          <w:tcPr>
            <w:tcW w:w="652" w:type="dxa"/>
            <w:vAlign w:val="center"/>
          </w:tcPr>
          <w:p w14:paraId="50FE111D">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3.</w:t>
            </w:r>
          </w:p>
        </w:tc>
        <w:tc>
          <w:tcPr>
            <w:tcW w:w="2585" w:type="dxa"/>
            <w:vAlign w:val="center"/>
          </w:tcPr>
          <w:p w14:paraId="3DE3757A">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Únicamente integrado por extranjeros con trato nacional</w:t>
            </w:r>
          </w:p>
        </w:tc>
        <w:tc>
          <w:tcPr>
            <w:tcW w:w="3175" w:type="dxa"/>
          </w:tcPr>
          <w:p w14:paraId="5A1EB165">
            <w:pPr>
              <w:tabs>
                <w:tab w:val="left" w:pos="2087"/>
              </w:tabs>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La regla de origen del país con el que se tenga acuerdo comercial o la del Decreto 1082 de 2015. Si el Proponente Plural no especifica a cuál regla se acoge, se aplicará la del Decreto 1082 de 2015.</w:t>
            </w:r>
          </w:p>
        </w:tc>
        <w:tc>
          <w:tcPr>
            <w:tcW w:w="2275" w:type="dxa"/>
            <w:vAlign w:val="center"/>
          </w:tcPr>
          <w:p w14:paraId="668854FE">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 xml:space="preserve">Promoción de Servicios Nacionales o con Trato Nacional </w:t>
            </w:r>
          </w:p>
        </w:tc>
      </w:tr>
      <w:tr w14:paraId="0DEF8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3" w:hRule="atLeast"/>
          <w:jc w:val="center"/>
        </w:trPr>
        <w:tc>
          <w:tcPr>
            <w:tcW w:w="652" w:type="dxa"/>
            <w:vAlign w:val="center"/>
          </w:tcPr>
          <w:p w14:paraId="61ACF9ED">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4.</w:t>
            </w:r>
          </w:p>
        </w:tc>
        <w:tc>
          <w:tcPr>
            <w:tcW w:w="2585" w:type="dxa"/>
            <w:vAlign w:val="center"/>
          </w:tcPr>
          <w:p w14:paraId="43FCDA48">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Proponente plural en el que al menos uno de los integrantes es extranjero sin trato nacional.</w:t>
            </w:r>
          </w:p>
        </w:tc>
        <w:tc>
          <w:tcPr>
            <w:tcW w:w="3175" w:type="dxa"/>
            <w:vAlign w:val="center"/>
          </w:tcPr>
          <w:p w14:paraId="564EC62F">
            <w:pPr>
              <w:tabs>
                <w:tab w:val="left" w:pos="2087"/>
              </w:tabs>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No aplica la regla de origen del Decreto 1082 de 2015, ni la de los países de origen.</w:t>
            </w:r>
          </w:p>
        </w:tc>
        <w:tc>
          <w:tcPr>
            <w:tcW w:w="2275" w:type="dxa"/>
          </w:tcPr>
          <w:p w14:paraId="2715E499">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Incorporación de componente nacional en servicios extranjeros</w:t>
            </w:r>
          </w:p>
        </w:tc>
      </w:tr>
    </w:tbl>
    <w:p w14:paraId="2F8830D2">
      <w:pPr>
        <w:pStyle w:val="52"/>
        <w:widowControl w:val="0"/>
        <w:overflowPunct w:val="0"/>
        <w:autoSpaceDE w:val="0"/>
        <w:autoSpaceDN w:val="0"/>
        <w:adjustRightInd w:val="0"/>
        <w:spacing w:after="0" w:line="240" w:lineRule="auto"/>
        <w:jc w:val="both"/>
        <w:rPr>
          <w:rFonts w:ascii="Arial Narrow" w:hAnsi="Arial Narrow" w:eastAsia="Yu Gothic Light" w:cs="Arial"/>
          <w:b/>
          <w:lang/>
        </w:rPr>
      </w:pPr>
      <w:bookmarkStart w:id="103" w:name="_Toc84417026"/>
    </w:p>
    <w:p w14:paraId="16C5BDA3">
      <w:pPr>
        <w:pStyle w:val="52"/>
        <w:widowControl w:val="0"/>
        <w:numPr>
          <w:ilvl w:val="0"/>
          <w:numId w:val="29"/>
        </w:numPr>
        <w:overflowPunct w:val="0"/>
        <w:autoSpaceDE w:val="0"/>
        <w:autoSpaceDN w:val="0"/>
        <w:adjustRightInd w:val="0"/>
        <w:spacing w:after="0" w:line="240" w:lineRule="auto"/>
        <w:jc w:val="both"/>
        <w:rPr>
          <w:rFonts w:ascii="Arial Narrow" w:hAnsi="Arial Narrow" w:eastAsia="Yu Gothic Light" w:cs="Arial"/>
          <w:b/>
          <w:lang/>
        </w:rPr>
      </w:pPr>
      <w:r>
        <w:rPr>
          <w:rFonts w:ascii="Arial Narrow" w:hAnsi="Arial Narrow" w:eastAsia="Yu Gothic Light" w:cs="Arial"/>
          <w:b/>
          <w:lang/>
        </w:rPr>
        <w:t>Acreditación por Servicios Nacionales o con Trato Nacional</w:t>
      </w:r>
      <w:bookmarkEnd w:id="103"/>
      <w:r>
        <w:rPr>
          <w:rFonts w:ascii="Arial Narrow" w:hAnsi="Arial Narrow" w:eastAsia="Yu Gothic Light" w:cs="Arial"/>
          <w:b/>
          <w:lang/>
        </w:rPr>
        <w:t xml:space="preserve"> </w:t>
      </w:r>
    </w:p>
    <w:p w14:paraId="3B08C56C">
      <w:pPr>
        <w:spacing w:after="0" w:line="240" w:lineRule="auto"/>
        <w:jc w:val="both"/>
        <w:rPr>
          <w:rFonts w:ascii="Arial Narrow" w:hAnsi="Arial Narrow" w:cs="Arial"/>
          <w:lang/>
        </w:rPr>
      </w:pPr>
    </w:p>
    <w:p w14:paraId="5E50D667">
      <w:pPr>
        <w:spacing w:after="0" w:line="240" w:lineRule="auto"/>
        <w:jc w:val="both"/>
        <w:rPr>
          <w:rFonts w:ascii="Arial Narrow" w:hAnsi="Arial Narrow" w:eastAsia="Yu Mincho" w:cs="Arial"/>
          <w:iCs/>
          <w:color w:val="000000"/>
        </w:rPr>
      </w:pPr>
      <w:r>
        <w:rPr>
          <w:rFonts w:ascii="Arial Narrow" w:hAnsi="Arial Narrow" w:cs="Arial"/>
          <w:iCs/>
          <w:color w:val="000000"/>
        </w:rPr>
        <w:t>La Entidad asignará hasta diez (10</w:t>
      </w:r>
      <w:r>
        <w:rPr>
          <w:rFonts w:ascii="Arial Narrow" w:hAnsi="Arial Narrow" w:eastAsia="Yu Mincho" w:cs="Arial"/>
          <w:iCs/>
          <w:color w:val="000000"/>
        </w:rPr>
        <w:t xml:space="preserve">) puntos a la oferta de: i) Servicios Nacionales o ii) con Trato Nacional. </w:t>
      </w:r>
    </w:p>
    <w:p w14:paraId="5E3E078E">
      <w:pPr>
        <w:spacing w:after="0" w:line="240" w:lineRule="auto"/>
        <w:jc w:val="both"/>
        <w:rPr>
          <w:rFonts w:ascii="Arial Narrow" w:hAnsi="Arial Narrow" w:eastAsia="Yu Mincho" w:cs="Arial"/>
          <w:iCs/>
          <w:color w:val="000000"/>
        </w:rPr>
      </w:pPr>
    </w:p>
    <w:p w14:paraId="0CB4C022">
      <w:pPr>
        <w:spacing w:after="0" w:line="240" w:lineRule="auto"/>
        <w:jc w:val="both"/>
        <w:rPr>
          <w:rFonts w:ascii="Arial Narrow" w:hAnsi="Arial Narrow" w:cs="Arial"/>
          <w:iCs/>
          <w:color w:val="000000"/>
        </w:rPr>
      </w:pPr>
      <w:r>
        <w:rPr>
          <w:rFonts w:ascii="Arial Narrow" w:hAnsi="Arial Narrow" w:eastAsia="Yu Mincho" w:cs="Arial"/>
          <w:iCs/>
          <w:color w:val="000000"/>
        </w:rPr>
        <w:t>Para que el Proponente nacional obtenga puntaje por Servicios Nacionales debe presentar, además del Formato 18A – Promoción de Servicios</w:t>
      </w:r>
      <w:r>
        <w:rPr>
          <w:rFonts w:ascii="Arial Narrow" w:hAnsi="Arial Narrow" w:cs="Arial"/>
          <w:iCs/>
          <w:color w:val="000000"/>
        </w:rPr>
        <w:t xml:space="preserve"> Nacionales o con Trato Nacional, alguno de los siguientes documentos, según corresponda: </w:t>
      </w:r>
    </w:p>
    <w:p w14:paraId="0D3BA143">
      <w:pPr>
        <w:spacing w:after="0" w:line="240" w:lineRule="auto"/>
        <w:ind w:right="142"/>
        <w:jc w:val="both"/>
        <w:rPr>
          <w:rFonts w:ascii="Arial Narrow" w:hAnsi="Arial Narrow" w:cs="Arial"/>
          <w:iCs/>
          <w:color w:val="000000"/>
        </w:rPr>
      </w:pPr>
    </w:p>
    <w:p w14:paraId="43A630B3">
      <w:pPr>
        <w:numPr>
          <w:ilvl w:val="0"/>
          <w:numId w:val="30"/>
        </w:numPr>
        <w:spacing w:after="0" w:line="240" w:lineRule="auto"/>
        <w:ind w:left="567" w:hanging="426"/>
        <w:contextualSpacing/>
        <w:jc w:val="both"/>
        <w:rPr>
          <w:rFonts w:ascii="Arial Narrow" w:hAnsi="Arial Narrow" w:cs="Arial"/>
          <w:iCs/>
          <w:color w:val="000000"/>
        </w:rPr>
      </w:pPr>
      <w:r>
        <w:rPr>
          <w:rFonts w:ascii="Arial Narrow" w:hAnsi="Arial Narrow" w:cs="Arial"/>
          <w:iCs/>
          <w:color w:val="000000"/>
        </w:rPr>
        <w:t>Persona natural colombiana: La cédula de ciudadanía del Proponente.</w:t>
      </w:r>
    </w:p>
    <w:p w14:paraId="59A7270E">
      <w:pPr>
        <w:numPr>
          <w:ilvl w:val="0"/>
          <w:numId w:val="30"/>
        </w:numPr>
        <w:spacing w:after="0" w:line="240" w:lineRule="auto"/>
        <w:ind w:left="567" w:hanging="426"/>
        <w:contextualSpacing/>
        <w:jc w:val="both"/>
        <w:rPr>
          <w:rFonts w:ascii="Arial Narrow" w:hAnsi="Arial Narrow" w:cs="Arial"/>
          <w:iCs/>
          <w:color w:val="000000"/>
        </w:rPr>
      </w:pPr>
      <w:bookmarkStart w:id="104" w:name="_Hlk80648891"/>
      <w:r>
        <w:rPr>
          <w:rFonts w:ascii="Arial Narrow" w:hAnsi="Arial Narrow" w:cs="Arial"/>
          <w:iCs/>
          <w:color w:val="000000"/>
        </w:rPr>
        <w:t xml:space="preserve">Persona natural extranjera residente en Colombia: La visa de residencia que le permita la ejecución del objeto contractual de conformidad con la ley. </w:t>
      </w:r>
    </w:p>
    <w:bookmarkEnd w:id="104"/>
    <w:p w14:paraId="7C9230BB">
      <w:pPr>
        <w:numPr>
          <w:ilvl w:val="0"/>
          <w:numId w:val="30"/>
        </w:numPr>
        <w:spacing w:after="0" w:line="240" w:lineRule="auto"/>
        <w:ind w:left="567" w:hanging="426"/>
        <w:contextualSpacing/>
        <w:jc w:val="both"/>
        <w:rPr>
          <w:rFonts w:ascii="Arial Narrow" w:hAnsi="Arial Narrow" w:cs="Arial"/>
          <w:iCs/>
          <w:color w:val="000000"/>
        </w:rPr>
      </w:pPr>
      <w:r>
        <w:rPr>
          <w:rFonts w:ascii="Arial Narrow" w:hAnsi="Arial Narrow" w:cs="Arial"/>
          <w:iCs/>
          <w:color w:val="000000"/>
        </w:rPr>
        <w:t xml:space="preserve">Persona jurídica constituida en Colombia: El certificado de existencia y representación legal emitido por alguna de las cámaras de comercio del país. </w:t>
      </w:r>
    </w:p>
    <w:p w14:paraId="0F645E50">
      <w:pPr>
        <w:spacing w:after="0" w:line="240" w:lineRule="auto"/>
        <w:ind w:right="142"/>
        <w:contextualSpacing/>
        <w:jc w:val="both"/>
        <w:rPr>
          <w:rFonts w:ascii="Arial Narrow" w:hAnsi="Arial Narrow" w:eastAsia="Times New Roman" w:cs="Arial"/>
          <w:iCs/>
          <w:color w:val="000000"/>
        </w:rPr>
      </w:pPr>
    </w:p>
    <w:p w14:paraId="1882D797">
      <w:pPr>
        <w:spacing w:after="0" w:line="240" w:lineRule="auto"/>
        <w:jc w:val="both"/>
        <w:rPr>
          <w:rFonts w:ascii="Arial Narrow" w:hAnsi="Arial Narrow" w:eastAsia="Times New Roman" w:cs="Arial"/>
          <w:iCs/>
          <w:color w:val="000000"/>
        </w:rPr>
      </w:pPr>
      <w:r>
        <w:rPr>
          <w:rFonts w:ascii="Arial Narrow" w:hAnsi="Arial Narrow" w:eastAsia="Times New Roman" w:cs="Arial"/>
          <w:iCs/>
          <w:color w:val="000000"/>
        </w:rPr>
        <w:t xml:space="preserve">Para que el Proponente extranjero con trato nacional obtenga el puntaje por apoyo a la industria nacional por promoción de Servicios Nacionales o con Trato Nacional solo deberá presentar el Formato 18A – Promoción de Servicios Nacionales o con </w:t>
      </w:r>
      <w:r>
        <w:rPr>
          <w:rFonts w:ascii="Arial Narrow" w:hAnsi="Arial Narrow" w:eastAsia="Yu Mincho" w:cs="Arial"/>
          <w:iCs/>
          <w:color w:val="000000"/>
        </w:rPr>
        <w:t>Trato</w:t>
      </w:r>
      <w:r>
        <w:rPr>
          <w:rFonts w:ascii="Arial Narrow" w:hAnsi="Arial Narrow" w:eastAsia="Times New Roman" w:cs="Arial"/>
          <w:iCs/>
          <w:color w:val="000000"/>
        </w:rPr>
        <w:t xml:space="preserve"> Nacional. </w:t>
      </w:r>
    </w:p>
    <w:p w14:paraId="6E957BFE">
      <w:pPr>
        <w:spacing w:after="0" w:line="240" w:lineRule="auto"/>
        <w:ind w:right="142"/>
        <w:contextualSpacing/>
        <w:jc w:val="both"/>
        <w:rPr>
          <w:rFonts w:ascii="Arial Narrow" w:hAnsi="Arial Narrow" w:cs="Arial"/>
          <w:iCs/>
          <w:color w:val="000000"/>
        </w:rPr>
      </w:pPr>
    </w:p>
    <w:p w14:paraId="77C2ABB1">
      <w:pPr>
        <w:spacing w:after="0" w:line="240" w:lineRule="auto"/>
        <w:jc w:val="both"/>
        <w:rPr>
          <w:rFonts w:ascii="Arial Narrow" w:hAnsi="Arial Narrow" w:eastAsia="Yu Mincho" w:cs="Arial"/>
          <w:iCs/>
          <w:color w:val="000000"/>
        </w:rPr>
      </w:pPr>
      <w:r>
        <w:rPr>
          <w:rFonts w:ascii="Arial Narrow" w:hAnsi="Arial Narrow" w:eastAsia="Times New Roman" w:cs="Arial"/>
          <w:iCs/>
          <w:color w:val="000000"/>
        </w:rPr>
        <w:t xml:space="preserve">Para el Proponente extranjero con trato nacional que diligencie el Formato 18A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w:t>
      </w:r>
      <w:r>
        <w:rPr>
          <w:rFonts w:ascii="Arial Narrow" w:hAnsi="Arial Narrow" w:eastAsia="Yu Mincho" w:cs="Arial"/>
          <w:iCs/>
          <w:color w:val="000000"/>
        </w:rPr>
        <w:t>la regla de origen contemplada para los Servicios Nacionales del respectivo país, allegando la información y/o documentación que sea requerida.</w:t>
      </w:r>
    </w:p>
    <w:p w14:paraId="02419F37">
      <w:pPr>
        <w:spacing w:after="0" w:line="240" w:lineRule="auto"/>
        <w:jc w:val="both"/>
        <w:rPr>
          <w:rFonts w:ascii="Arial Narrow" w:hAnsi="Arial Narrow" w:eastAsia="Yu Mincho" w:cs="Arial"/>
          <w:iCs/>
          <w:color w:val="000000"/>
        </w:rPr>
      </w:pPr>
    </w:p>
    <w:p w14:paraId="2A85A27A">
      <w:pPr>
        <w:spacing w:after="0" w:line="240" w:lineRule="auto"/>
        <w:jc w:val="both"/>
        <w:rPr>
          <w:rFonts w:ascii="Arial Narrow" w:hAnsi="Arial Narrow" w:eastAsia="Yu Mincho" w:cs="Arial"/>
          <w:iCs/>
          <w:color w:val="000000"/>
        </w:rPr>
      </w:pPr>
      <w:r>
        <w:rPr>
          <w:rFonts w:ascii="Arial Narrow" w:hAnsi="Arial Narrow" w:eastAsia="Yu Mincho" w:cs="Arial"/>
          <w:iCs/>
          <w:color w:val="00000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63B6DD37">
      <w:pPr>
        <w:spacing w:after="0" w:line="240" w:lineRule="auto"/>
        <w:jc w:val="both"/>
        <w:rPr>
          <w:rFonts w:ascii="Arial Narrow" w:hAnsi="Arial Narrow" w:eastAsia="Yu Mincho" w:cs="Arial"/>
          <w:iCs/>
          <w:color w:val="000000"/>
        </w:rPr>
      </w:pPr>
    </w:p>
    <w:p w14:paraId="79516EFA">
      <w:pPr>
        <w:spacing w:after="0" w:line="240" w:lineRule="auto"/>
        <w:jc w:val="both"/>
        <w:rPr>
          <w:rFonts w:ascii="Arial Narrow" w:hAnsi="Arial Narrow" w:cs="Arial"/>
          <w:color w:val="000000"/>
        </w:rPr>
      </w:pPr>
      <w:r>
        <w:rPr>
          <w:rFonts w:ascii="Arial Narrow" w:hAnsi="Arial Narrow" w:eastAsia="Yu Mincho" w:cs="Arial"/>
          <w:iCs/>
          <w:color w:val="000000"/>
        </w:rPr>
        <w:t>La AEROCIVIL asignará el puntaje por apoyo a la industria nacional por promoción de Servicios Nacionales o con Trato Nacional al Proponente Plural conformado por nacionales cuando cada uno de sus integrantes presente alguno de los documentos indicados en</w:t>
      </w:r>
      <w:r>
        <w:rPr>
          <w:rFonts w:ascii="Arial Narrow" w:hAnsi="Arial Narrow" w:cs="Arial"/>
          <w:color w:val="000000"/>
        </w:rPr>
        <w:t xml:space="preserve"> este numeral, según corresponda. A su vez, el representante del Proponente Plural deberá diligenciar el Formato 18A – Promoción de Servicios Nacionales o con Trato Nacional. Cuando uno o varios de sus integrantes no cumplan con las condiciones descritas, el Proponente Plural no obtendrá puntaje por Promoción de Servicios Nacionales o Trato Nacional.</w:t>
      </w:r>
    </w:p>
    <w:p w14:paraId="441B7185">
      <w:pPr>
        <w:spacing w:after="0" w:line="240" w:lineRule="auto"/>
        <w:ind w:right="142"/>
        <w:jc w:val="both"/>
        <w:rPr>
          <w:rFonts w:ascii="Arial Narrow" w:hAnsi="Arial Narrow" w:cs="Arial"/>
          <w:color w:val="000000"/>
        </w:rPr>
      </w:pPr>
    </w:p>
    <w:p w14:paraId="6BDEC92A">
      <w:pPr>
        <w:pStyle w:val="52"/>
        <w:widowControl w:val="0"/>
        <w:numPr>
          <w:ilvl w:val="0"/>
          <w:numId w:val="29"/>
        </w:numPr>
        <w:overflowPunct w:val="0"/>
        <w:autoSpaceDE w:val="0"/>
        <w:autoSpaceDN w:val="0"/>
        <w:adjustRightInd w:val="0"/>
        <w:spacing w:after="0" w:line="240" w:lineRule="auto"/>
        <w:ind w:right="142"/>
        <w:jc w:val="both"/>
        <w:rPr>
          <w:rFonts w:ascii="Arial Narrow" w:hAnsi="Arial Narrow" w:eastAsia="Yu Gothic Light" w:cs="Arial"/>
          <w:b/>
        </w:rPr>
      </w:pPr>
      <w:bookmarkStart w:id="105" w:name="_Toc84417027"/>
      <w:r>
        <w:rPr>
          <w:rFonts w:ascii="Arial Narrow" w:hAnsi="Arial Narrow" w:eastAsia="Yu Gothic Light" w:cs="Arial"/>
          <w:b/>
        </w:rPr>
        <w:t>Incorporación de Componente Nacional en Servicios Extranjeros</w:t>
      </w:r>
      <w:bookmarkEnd w:id="105"/>
    </w:p>
    <w:p w14:paraId="5CD845E5">
      <w:pPr>
        <w:spacing w:after="0" w:line="240" w:lineRule="auto"/>
        <w:ind w:right="142"/>
        <w:jc w:val="both"/>
        <w:rPr>
          <w:rFonts w:ascii="Arial Narrow" w:hAnsi="Arial Narrow" w:cs="Arial"/>
        </w:rPr>
      </w:pPr>
    </w:p>
    <w:p w14:paraId="6FFE42EC">
      <w:pPr>
        <w:spacing w:after="0" w:line="240" w:lineRule="auto"/>
        <w:jc w:val="both"/>
        <w:rPr>
          <w:rFonts w:ascii="Arial Narrow" w:hAnsi="Arial Narrow" w:cs="Arial"/>
          <w:color w:val="000000"/>
        </w:rPr>
      </w:pPr>
      <w:bookmarkStart w:id="106" w:name="_Hlk104922098"/>
      <w:r>
        <w:rPr>
          <w:rFonts w:ascii="Arial Narrow" w:hAnsi="Arial Narrow" w:eastAsia="Arial" w:cs="Arial"/>
          <w:lang w:val="es-ES" w:eastAsia="es-ES"/>
        </w:rPr>
        <w:t xml:space="preserve">La Entidad Estatal asignará cinco (5) puntos a los Proponentes extranjeros sin derecho a Trato Nacional o a Proponentes Plurales en los que al menos uno de sus integrantes sea un extranjero sin derecho a Trato Nacional, que incorporen a la ejecución del contrato más del </w:t>
      </w:r>
      <w:r>
        <w:rPr>
          <w:rFonts w:ascii="Arial Narrow" w:hAnsi="Arial Narrow" w:eastAsia="Arial" w:cs="Arial"/>
          <w:b/>
          <w:bCs/>
          <w:lang w:val="es-ES" w:eastAsia="es-ES"/>
        </w:rPr>
        <w:t xml:space="preserve">noventa </w:t>
      </w:r>
      <w:r>
        <w:rPr>
          <w:rFonts w:ascii="Arial Narrow" w:hAnsi="Arial Narrow" w:cs="Arial"/>
          <w:b/>
          <w:bCs/>
          <w:color w:val="000000"/>
        </w:rPr>
        <w:t>por ciento (90%) del personal técnico, operativo y profesional de origen colombiano.</w:t>
      </w:r>
    </w:p>
    <w:p w14:paraId="085A44AF">
      <w:pPr>
        <w:spacing w:after="0" w:line="240" w:lineRule="auto"/>
        <w:jc w:val="both"/>
        <w:rPr>
          <w:rFonts w:ascii="Arial Narrow" w:hAnsi="Arial Narrow" w:cs="Arial"/>
          <w:color w:val="000000"/>
        </w:rPr>
      </w:pPr>
    </w:p>
    <w:p w14:paraId="0A09A540">
      <w:pPr>
        <w:spacing w:after="0" w:line="240" w:lineRule="auto"/>
        <w:jc w:val="both"/>
        <w:rPr>
          <w:rFonts w:ascii="Arial Narrow" w:hAnsi="Arial Narrow" w:cs="Arial"/>
          <w:color w:val="000000"/>
        </w:rPr>
      </w:pPr>
      <w:r>
        <w:rPr>
          <w:rFonts w:ascii="Arial Narrow" w:hAnsi="Arial Narrow" w:cs="Arial"/>
          <w:color w:val="00000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F153A27">
      <w:pPr>
        <w:spacing w:after="0" w:line="240" w:lineRule="auto"/>
        <w:jc w:val="both"/>
        <w:rPr>
          <w:rFonts w:ascii="Arial Narrow" w:hAnsi="Arial Narrow" w:cs="Arial"/>
          <w:color w:val="000000"/>
        </w:rPr>
      </w:pPr>
    </w:p>
    <w:p w14:paraId="5C64C2F5">
      <w:pPr>
        <w:spacing w:after="0" w:line="240" w:lineRule="auto"/>
        <w:jc w:val="both"/>
        <w:rPr>
          <w:rFonts w:ascii="Arial Narrow" w:hAnsi="Arial Narrow" w:cs="Arial"/>
          <w:color w:val="000000"/>
        </w:rPr>
      </w:pPr>
      <w:r>
        <w:rPr>
          <w:rFonts w:ascii="Arial Narrow" w:hAnsi="Arial Narrow" w:cs="Arial"/>
          <w:color w:val="000000"/>
        </w:rPr>
        <w:t xml:space="preserve">Para recibir el puntaje por incorporación de componente colombiano, el representante legal o el apoderado del Proponente deberá diligenciar el Formato 18B – Incorporación de Componente Nacional en Servicios Extranjeros el cual manifieste bajo la gravedad de juramento que incorporará en la ejecución del contrato más del </w:t>
      </w:r>
      <w:r>
        <w:rPr>
          <w:rFonts w:ascii="Arial Narrow" w:hAnsi="Arial Narrow" w:cs="Arial"/>
          <w:b/>
          <w:bCs/>
          <w:color w:val="000000"/>
        </w:rPr>
        <w:t>noventa por ciento (90%) de personal técnico, operativo y profesional de origen colombiano</w:t>
      </w:r>
      <w:r>
        <w:rPr>
          <w:rFonts w:ascii="Arial Narrow" w:hAnsi="Arial Narrow" w:cs="Arial"/>
          <w:color w:val="000000"/>
        </w:rPr>
        <w:t>, en caso de resultar adjudicatario del Proceso de Contratación.</w:t>
      </w:r>
    </w:p>
    <w:p w14:paraId="20981436">
      <w:pPr>
        <w:spacing w:after="0" w:line="240" w:lineRule="auto"/>
        <w:jc w:val="both"/>
        <w:rPr>
          <w:rFonts w:ascii="Arial Narrow" w:hAnsi="Arial Narrow" w:cs="Arial"/>
          <w:color w:val="000000"/>
        </w:rPr>
      </w:pPr>
    </w:p>
    <w:p w14:paraId="054C21FB">
      <w:pPr>
        <w:spacing w:after="0" w:line="240" w:lineRule="auto"/>
        <w:jc w:val="both"/>
        <w:rPr>
          <w:rFonts w:ascii="Arial Narrow" w:hAnsi="Arial Narrow" w:eastAsia="Arial" w:cs="Arial"/>
          <w:lang w:val="es-ES" w:eastAsia="es-ES"/>
        </w:rPr>
      </w:pPr>
      <w:r>
        <w:rPr>
          <w:rFonts w:ascii="Arial Narrow" w:hAnsi="Arial Narrow" w:cs="Arial"/>
          <w:color w:val="000000"/>
        </w:rPr>
        <w:t>La Entidad Estatal únicamente otorgará el puntaje por promoción de la incorporación de componente nacional cuando el Proponente que presente el Formato 18B – Incorporación de Componente Nacional en Servicios Extranjeros no haya recibido puntaje alguno por promoción de</w:t>
      </w:r>
      <w:r>
        <w:rPr>
          <w:rFonts w:ascii="Arial Narrow" w:hAnsi="Arial Narrow" w:eastAsia="Arial" w:cs="Arial"/>
          <w:lang w:val="es-ES" w:eastAsia="es-ES"/>
        </w:rPr>
        <w:t xml:space="preserve"> Servicios Nacionales o con Trato Nacional.</w:t>
      </w:r>
    </w:p>
    <w:p w14:paraId="54C03CCD">
      <w:pPr>
        <w:spacing w:after="0" w:line="240" w:lineRule="auto"/>
        <w:ind w:right="142"/>
        <w:jc w:val="both"/>
        <w:rPr>
          <w:rFonts w:ascii="Arial Narrow" w:hAnsi="Arial Narrow" w:eastAsia="Arial" w:cs="Arial"/>
          <w:lang w:val="es-ES" w:eastAsia="es-ES"/>
        </w:rPr>
      </w:pPr>
    </w:p>
    <w:p w14:paraId="6DE95B2A">
      <w:pPr>
        <w:spacing w:after="0" w:line="240" w:lineRule="auto"/>
        <w:jc w:val="both"/>
        <w:rPr>
          <w:rFonts w:ascii="Arial Narrow" w:hAnsi="Arial Narrow" w:cs="Arial"/>
          <w:color w:val="000000"/>
        </w:rPr>
      </w:pPr>
      <w:r>
        <w:rPr>
          <w:rFonts w:ascii="Arial Narrow" w:hAnsi="Arial Narrow" w:eastAsia="Arial" w:cs="Arial"/>
          <w:lang w:val="es-ES" w:eastAsia="es-ES"/>
        </w:rPr>
        <w:t xml:space="preserve">El Formato 18B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18B – Incorporación de </w:t>
      </w:r>
      <w:r>
        <w:rPr>
          <w:rFonts w:ascii="Arial Narrow" w:hAnsi="Arial Narrow" w:cs="Arial"/>
          <w:color w:val="000000"/>
        </w:rPr>
        <w:t xml:space="preserve">Componente Nacional en Servicios Extranjeros, presente el Formato 18B – Promoción de Servicios Nacionales o con Trato Nacional, no habrá lugar a otorgar puntaje por el factor del literal (i) del presente documento ni por el regulado en este literal. </w:t>
      </w:r>
    </w:p>
    <w:p w14:paraId="2C5B3A2B">
      <w:pPr>
        <w:spacing w:after="0" w:line="240" w:lineRule="auto"/>
        <w:jc w:val="both"/>
        <w:rPr>
          <w:rFonts w:ascii="Arial Narrow" w:hAnsi="Arial Narrow" w:cs="Arial"/>
          <w:color w:val="000000"/>
        </w:rPr>
      </w:pPr>
    </w:p>
    <w:p w14:paraId="42D34A47">
      <w:pPr>
        <w:spacing w:after="0" w:line="240" w:lineRule="auto"/>
        <w:jc w:val="both"/>
        <w:rPr>
          <w:rFonts w:ascii="Arial Narrow" w:hAnsi="Arial Narrow" w:eastAsia="Arial" w:cs="Arial"/>
          <w:lang w:val="es-ES" w:eastAsia="es-ES"/>
        </w:rPr>
      </w:pPr>
      <w:r>
        <w:rPr>
          <w:rFonts w:ascii="Arial Narrow" w:hAnsi="Arial Narrow" w:cs="Arial"/>
          <w:color w:val="000000"/>
        </w:rPr>
        <w:t>En caso de no efectuar ningún ofrecimiento</w:t>
      </w:r>
      <w:r>
        <w:rPr>
          <w:rFonts w:ascii="Arial Narrow" w:hAnsi="Arial Narrow" w:eastAsia="Arial" w:cs="Arial"/>
          <w:lang w:val="es-ES" w:eastAsia="es-ES"/>
        </w:rPr>
        <w:t>, el puntaje por este factor será de cero (0).</w:t>
      </w:r>
    </w:p>
    <w:bookmarkEnd w:id="106"/>
    <w:p w14:paraId="7729EBBB">
      <w:pPr>
        <w:spacing w:after="0" w:line="240" w:lineRule="auto"/>
        <w:jc w:val="both"/>
        <w:rPr>
          <w:rFonts w:ascii="Arial Narrow" w:hAnsi="Arial Narrow" w:eastAsia="Arial" w:cs="Arial"/>
          <w:lang w:eastAsia="es-ES"/>
        </w:rPr>
      </w:pPr>
    </w:p>
    <w:p w14:paraId="1E4564EA">
      <w:pPr>
        <w:pStyle w:val="52"/>
        <w:widowControl w:val="0"/>
        <w:numPr>
          <w:ilvl w:val="3"/>
          <w:numId w:val="27"/>
        </w:numPr>
        <w:overflowPunct w:val="0"/>
        <w:autoSpaceDE w:val="0"/>
        <w:autoSpaceDN w:val="0"/>
        <w:adjustRightInd w:val="0"/>
        <w:spacing w:after="0" w:line="240" w:lineRule="auto"/>
        <w:jc w:val="both"/>
        <w:rPr>
          <w:rFonts w:ascii="Arial Narrow" w:hAnsi="Arial Narrow" w:eastAsia="Yu Gothic Light"/>
          <w:b/>
          <w:lang/>
        </w:rPr>
      </w:pPr>
      <w:r>
        <w:rPr>
          <w:rFonts w:ascii="Arial Narrow" w:hAnsi="Arial Narrow" w:eastAsia="Yu Gothic Light"/>
          <w:b/>
          <w:lang/>
        </w:rPr>
        <w:t>Cuando se trata de bienes: NO APLICA</w:t>
      </w:r>
    </w:p>
    <w:p w14:paraId="673D21C6">
      <w:pPr>
        <w:spacing w:after="0" w:line="240" w:lineRule="auto"/>
        <w:jc w:val="both"/>
        <w:rPr>
          <w:rFonts w:ascii="Arial Narrow" w:hAnsi="Arial Narrow" w:cs="Arial"/>
          <w:lang/>
        </w:rPr>
      </w:pPr>
    </w:p>
    <w:p w14:paraId="4421A010">
      <w:pPr>
        <w:spacing w:after="0" w:line="240" w:lineRule="auto"/>
        <w:jc w:val="both"/>
        <w:rPr>
          <w:rFonts w:ascii="Arial Narrow" w:hAnsi="Arial Narrow" w:cs="Arial"/>
          <w:iCs/>
          <w:color w:val="000000"/>
          <w:lang w:val="es-MX"/>
        </w:rPr>
      </w:pPr>
      <w:r>
        <w:rPr>
          <w:rFonts w:ascii="Arial Narrow" w:hAnsi="Arial Narrow" w:cs="Arial"/>
          <w:lang w:val="es-MX"/>
        </w:rPr>
        <w:t xml:space="preserve">Los Proponentes pueden obtener puntaje de apoyo a la industria nacional por: i) Bienes Nacionales o con Trato Nacional o por ii) la incorporación de componente nacional </w:t>
      </w:r>
      <w:r>
        <w:rPr>
          <w:rFonts w:ascii="Arial Narrow" w:hAnsi="Arial Narrow" w:cs="Arial"/>
          <w:iCs/>
          <w:color w:val="000000"/>
          <w:lang w:val="es-MX"/>
        </w:rPr>
        <w:t>en bienes extranjeros. La Entidad en ningún caso otorgará simultáneamente el puntaje por ambos aspectos.</w:t>
      </w:r>
    </w:p>
    <w:p w14:paraId="59064EA4">
      <w:pPr>
        <w:spacing w:after="0" w:line="240" w:lineRule="auto"/>
        <w:jc w:val="both"/>
        <w:rPr>
          <w:rFonts w:ascii="Arial Narrow" w:hAnsi="Arial Narrow" w:cs="Arial"/>
          <w:iCs/>
          <w:color w:val="000000"/>
          <w:lang w:val="es-MX"/>
        </w:rPr>
      </w:pPr>
    </w:p>
    <w:p w14:paraId="6203D8B2">
      <w:pPr>
        <w:spacing w:after="0" w:line="240" w:lineRule="auto"/>
        <w:jc w:val="both"/>
        <w:rPr>
          <w:rFonts w:ascii="Arial Narrow" w:hAnsi="Arial Narrow" w:cs="Arial"/>
          <w:lang w:val="es-MX"/>
        </w:rPr>
      </w:pPr>
      <w:r>
        <w:rPr>
          <w:rFonts w:ascii="Arial Narrow" w:hAnsi="Arial Narrow" w:cs="Arial"/>
          <w:iCs/>
          <w:color w:val="000000"/>
          <w:lang w:val="es-MX"/>
        </w:rPr>
        <w:t>Los puntajes para estimular a la industria nacional se relacionan en la</w:t>
      </w:r>
      <w:r>
        <w:rPr>
          <w:rFonts w:ascii="Arial Narrow" w:hAnsi="Arial Narrow" w:cs="Arial"/>
          <w:lang w:val="es-MX"/>
        </w:rPr>
        <w:t xml:space="preserve"> siguiente tabla:</w:t>
      </w:r>
    </w:p>
    <w:p w14:paraId="489D0CD0">
      <w:pPr>
        <w:spacing w:after="0" w:line="240" w:lineRule="auto"/>
        <w:ind w:right="142"/>
        <w:jc w:val="both"/>
        <w:rPr>
          <w:rFonts w:ascii="Arial Narrow" w:hAnsi="Arial Narrow" w:cs="Arial"/>
          <w:lang w:val="es-MX"/>
        </w:rPr>
      </w:pPr>
    </w:p>
    <w:tbl>
      <w:tblPr>
        <w:tblStyle w:val="12"/>
        <w:tblW w:w="7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5387"/>
        <w:gridCol w:w="1701"/>
      </w:tblGrid>
      <w:tr w14:paraId="2E55D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0" w:hRule="atLeast"/>
          <w:tblHeader/>
          <w:jc w:val="center"/>
        </w:trPr>
        <w:tc>
          <w:tcPr>
            <w:tcW w:w="5387" w:type="dxa"/>
            <w:shd w:val="clear" w:color="auto" w:fill="D0CECE"/>
            <w:vAlign w:val="center"/>
          </w:tcPr>
          <w:p w14:paraId="4C0173D5">
            <w:pPr>
              <w:spacing w:after="0" w:line="240" w:lineRule="auto"/>
              <w:ind w:right="142"/>
              <w:jc w:val="center"/>
              <w:rPr>
                <w:rFonts w:ascii="Arial Narrow" w:hAnsi="Arial Narrow" w:cs="Arial"/>
                <w:b/>
                <w:caps/>
                <w:lang w:val="es-ES"/>
              </w:rPr>
            </w:pPr>
            <w:r>
              <w:rPr>
                <w:rFonts w:ascii="Arial Narrow" w:hAnsi="Arial Narrow" w:cs="Arial"/>
                <w:b/>
                <w:bCs/>
                <w:lang w:val="es-ES"/>
              </w:rPr>
              <w:t>Concepto</w:t>
            </w:r>
          </w:p>
        </w:tc>
        <w:tc>
          <w:tcPr>
            <w:tcW w:w="1701" w:type="dxa"/>
            <w:shd w:val="clear" w:color="auto" w:fill="D0CECE"/>
            <w:vAlign w:val="center"/>
          </w:tcPr>
          <w:p w14:paraId="6EC59E46">
            <w:pPr>
              <w:spacing w:after="0" w:line="240" w:lineRule="auto"/>
              <w:ind w:right="142"/>
              <w:jc w:val="center"/>
              <w:rPr>
                <w:rFonts w:ascii="Arial Narrow" w:hAnsi="Arial Narrow" w:cs="Arial"/>
                <w:b/>
                <w:caps/>
                <w:lang w:val="es-ES"/>
              </w:rPr>
            </w:pPr>
            <w:r>
              <w:rPr>
                <w:rFonts w:ascii="Arial Narrow" w:hAnsi="Arial Narrow" w:cs="Arial"/>
                <w:b/>
                <w:bCs/>
                <w:lang w:val="es-ES"/>
              </w:rPr>
              <w:t>Puntaje</w:t>
            </w:r>
          </w:p>
        </w:tc>
      </w:tr>
      <w:tr w14:paraId="19B77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0" w:hRule="atLeast"/>
          <w:jc w:val="center"/>
        </w:trPr>
        <w:tc>
          <w:tcPr>
            <w:tcW w:w="5387" w:type="dxa"/>
            <w:vAlign w:val="center"/>
          </w:tcPr>
          <w:p w14:paraId="2D86AC92">
            <w:pPr>
              <w:spacing w:after="0" w:line="240" w:lineRule="auto"/>
              <w:ind w:right="142"/>
              <w:jc w:val="both"/>
              <w:rPr>
                <w:rFonts w:ascii="Arial Narrow" w:hAnsi="Arial Narrow" w:cs="Arial"/>
                <w:caps/>
                <w:lang w:val="es-ES"/>
              </w:rPr>
            </w:pPr>
            <w:r>
              <w:rPr>
                <w:rFonts w:ascii="Arial Narrow" w:hAnsi="Arial Narrow" w:cs="Arial"/>
                <w:lang w:val="es-ES"/>
              </w:rPr>
              <w:t>Promoción de Bienes Nacionales o con Trato Nacional</w:t>
            </w:r>
          </w:p>
        </w:tc>
        <w:tc>
          <w:tcPr>
            <w:tcW w:w="1701" w:type="dxa"/>
            <w:vAlign w:val="center"/>
          </w:tcPr>
          <w:p w14:paraId="2297196F">
            <w:pPr>
              <w:spacing w:after="0" w:line="240" w:lineRule="auto"/>
              <w:ind w:right="142"/>
              <w:jc w:val="center"/>
              <w:rPr>
                <w:rFonts w:ascii="Arial Narrow" w:hAnsi="Arial Narrow" w:cs="Arial"/>
                <w:caps/>
                <w:lang w:val="es-ES"/>
              </w:rPr>
            </w:pPr>
            <w:r>
              <w:rPr>
                <w:rFonts w:ascii="Arial Narrow" w:hAnsi="Arial Narrow" w:cs="Arial"/>
                <w:lang w:val="es-ES"/>
              </w:rPr>
              <w:t>10</w:t>
            </w:r>
          </w:p>
        </w:tc>
      </w:tr>
      <w:tr w14:paraId="6C920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0" w:hRule="atLeast"/>
          <w:jc w:val="center"/>
        </w:trPr>
        <w:tc>
          <w:tcPr>
            <w:tcW w:w="5387" w:type="dxa"/>
            <w:vAlign w:val="center"/>
          </w:tcPr>
          <w:p w14:paraId="2ED93181">
            <w:pPr>
              <w:spacing w:after="0" w:line="240" w:lineRule="auto"/>
              <w:ind w:right="142"/>
              <w:jc w:val="both"/>
              <w:rPr>
                <w:rFonts w:ascii="Arial Narrow" w:hAnsi="Arial Narrow" w:cs="Arial"/>
                <w:caps/>
                <w:lang w:val="es-ES"/>
              </w:rPr>
            </w:pPr>
            <w:r>
              <w:rPr>
                <w:rFonts w:ascii="Arial Narrow" w:hAnsi="Arial Narrow" w:cs="Arial"/>
                <w:lang w:val="es-ES"/>
              </w:rPr>
              <w:t>Incorporación de componente nacional en Bienes extranjeros</w:t>
            </w:r>
          </w:p>
        </w:tc>
        <w:tc>
          <w:tcPr>
            <w:tcW w:w="1701" w:type="dxa"/>
            <w:vAlign w:val="center"/>
          </w:tcPr>
          <w:p w14:paraId="5D4CF64E">
            <w:pPr>
              <w:spacing w:after="0" w:line="240" w:lineRule="auto"/>
              <w:ind w:right="142"/>
              <w:jc w:val="center"/>
              <w:rPr>
                <w:rFonts w:ascii="Arial Narrow" w:hAnsi="Arial Narrow" w:cs="Arial"/>
                <w:caps/>
                <w:lang w:val="es-ES"/>
              </w:rPr>
            </w:pPr>
            <w:r>
              <w:rPr>
                <w:rFonts w:ascii="Arial Narrow" w:hAnsi="Arial Narrow" w:cs="Arial"/>
                <w:lang w:val="es-ES"/>
              </w:rPr>
              <w:t>5</w:t>
            </w:r>
          </w:p>
        </w:tc>
      </w:tr>
    </w:tbl>
    <w:p w14:paraId="38984913">
      <w:pPr>
        <w:spacing w:after="0" w:line="240" w:lineRule="auto"/>
        <w:ind w:right="142"/>
        <w:jc w:val="both"/>
        <w:rPr>
          <w:rFonts w:ascii="Arial Narrow" w:hAnsi="Arial Narrow" w:cs="Arial"/>
          <w:iCs/>
          <w:color w:val="000000"/>
          <w:lang w:val="es-MX"/>
        </w:rPr>
      </w:pPr>
    </w:p>
    <w:p w14:paraId="45383797">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Dentro del análisis del sector se verificó que existen bienes que pueden ser de origen nacional, efectuada la calificación económica y técnica y, al puntaje obtenido por cada oferente se le asignará el 10% del puntaje para oferentes de bienes de origen 100% nacional, oferentes de bienes provenientes de estados con los cuales Colombia tenga acuerdos comerciales y proponentes de bienes y/o servicios extranjeros que acrediten reciprocidad, o 5% para oferentes de extranjeros acreditados (con componente nacional), constituyéndose este puntaje en el final para determinar el orden de elegibilidad de las propuestas. </w:t>
      </w:r>
    </w:p>
    <w:p w14:paraId="18B985F5">
      <w:pPr>
        <w:spacing w:after="0" w:line="240" w:lineRule="auto"/>
        <w:jc w:val="both"/>
        <w:rPr>
          <w:rFonts w:ascii="Arial Narrow" w:hAnsi="Arial Narrow" w:cs="Arial"/>
          <w:iCs/>
          <w:color w:val="000000"/>
          <w:lang w:val="es-MX"/>
        </w:rPr>
      </w:pPr>
    </w:p>
    <w:p w14:paraId="2054C346">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El puntaje señalado en el párrafo anterior, se aplicará cuando se cumpla con alguna de estas condiciones: </w:t>
      </w:r>
    </w:p>
    <w:p w14:paraId="6ED421E7">
      <w:pPr>
        <w:spacing w:after="0" w:line="240" w:lineRule="auto"/>
        <w:jc w:val="both"/>
        <w:rPr>
          <w:rFonts w:ascii="Arial Narrow" w:hAnsi="Arial Narrow" w:cs="Arial"/>
          <w:iCs/>
          <w:color w:val="000000"/>
          <w:lang w:val="es-MX"/>
        </w:rPr>
      </w:pPr>
    </w:p>
    <w:p w14:paraId="5B259413">
      <w:pPr>
        <w:numPr>
          <w:ilvl w:val="0"/>
          <w:numId w:val="31"/>
        </w:num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Proponentes de bienes provenientes de Estados con los cuales Colombia tenga acuerdos, en los términos establecidos en tales Acuerdos Comerciales. </w:t>
      </w:r>
    </w:p>
    <w:p w14:paraId="4BAE922A">
      <w:pPr>
        <w:numPr>
          <w:ilvl w:val="0"/>
          <w:numId w:val="31"/>
        </w:num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Los bienes de Estados con los cuales no exista un acuerdo comercial pero respecto de los cuales el Gobierno nacional haya certificado que los oferentes de bienes y/o servicios nacionales gozan de trato nacional, con base en la revisión y comparación de la normativa en materia de compras y contratación pública de dicho Estado. </w:t>
      </w:r>
    </w:p>
    <w:p w14:paraId="032A395E">
      <w:pPr>
        <w:numPr>
          <w:ilvl w:val="0"/>
          <w:numId w:val="31"/>
        </w:num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Los bienes de proponentes miembros de la Comunidad Andina de Naciones teniendo en cuenta la regulación andina aplicable a la materia. </w:t>
      </w:r>
    </w:p>
    <w:p w14:paraId="05E7720A">
      <w:pPr>
        <w:spacing w:after="0" w:line="240" w:lineRule="auto"/>
        <w:jc w:val="both"/>
        <w:rPr>
          <w:rFonts w:ascii="Arial Narrow" w:hAnsi="Arial Narrow" w:cs="Arial"/>
          <w:iCs/>
          <w:color w:val="000000"/>
          <w:lang w:val="es-MX"/>
        </w:rPr>
      </w:pPr>
    </w:p>
    <w:p w14:paraId="1B0EA787">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El Ministerio de Relaciones Exteriores debe expedir el certificado por medio del cual se acredite la situación mencionada en el literal b) anterior en relación con un Estado en particular. </w:t>
      </w:r>
    </w:p>
    <w:p w14:paraId="1C3DB1DD">
      <w:pPr>
        <w:spacing w:after="0" w:line="240" w:lineRule="auto"/>
        <w:jc w:val="both"/>
        <w:rPr>
          <w:rFonts w:ascii="Arial Narrow" w:hAnsi="Arial Narrow" w:cs="Arial"/>
          <w:iCs/>
          <w:color w:val="000000"/>
          <w:lang w:val="es-MX"/>
        </w:rPr>
      </w:pPr>
    </w:p>
    <w:p w14:paraId="05DD2EFD">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La vigencia de los certificados será de dos (2) años contados a partir de la fecha de su expedición. Se entenderá como bienes la definición contenida en el Decreto 2680 de 2009. </w:t>
      </w:r>
    </w:p>
    <w:p w14:paraId="11604484">
      <w:pPr>
        <w:spacing w:after="0" w:line="240" w:lineRule="auto"/>
        <w:jc w:val="both"/>
        <w:rPr>
          <w:rFonts w:ascii="Arial Narrow" w:hAnsi="Arial Narrow" w:cs="Arial"/>
          <w:iCs/>
          <w:color w:val="000000"/>
          <w:lang w:val="es-MX"/>
        </w:rPr>
      </w:pPr>
    </w:p>
    <w:p w14:paraId="3531384F">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Entiéndase por bienes acreditados, aquellos bienes importados que cuentan con componente nacional en bienes o servicios profesionales, técnicos y operativos. El proponente indicará en su oferta si incluirá componente nacional. </w:t>
      </w:r>
    </w:p>
    <w:p w14:paraId="3C4A014F">
      <w:pPr>
        <w:spacing w:after="0" w:line="240" w:lineRule="auto"/>
        <w:jc w:val="both"/>
        <w:rPr>
          <w:rFonts w:ascii="Arial Narrow" w:hAnsi="Arial Narrow" w:cs="Arial"/>
          <w:iCs/>
          <w:color w:val="000000"/>
          <w:lang w:val="es-MX"/>
        </w:rPr>
      </w:pPr>
    </w:p>
    <w:p w14:paraId="7E210448">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En el evento en que exista dicho ofrecimiento por parte del proponente, éste tendrá la obligación de cumplir con el mismo en la ejecución del contrato, so pena de hacerse acreedor a las sanciones de Ley contempladas en el contrato. El mínimo exigido de componente nacional será del 10% del valor en fábrica ofertado. </w:t>
      </w:r>
    </w:p>
    <w:p w14:paraId="53AE38BD">
      <w:pPr>
        <w:spacing w:after="0" w:line="240" w:lineRule="auto"/>
        <w:jc w:val="both"/>
        <w:rPr>
          <w:rFonts w:ascii="Arial Narrow" w:hAnsi="Arial Narrow" w:cs="Arial"/>
          <w:iCs/>
          <w:color w:val="000000"/>
          <w:lang w:val="es-MX"/>
        </w:rPr>
      </w:pPr>
    </w:p>
    <w:p w14:paraId="5DC38ACB">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La asignación del puntaje en este aspecto corresponde al comité técnico evaluador. </w:t>
      </w:r>
    </w:p>
    <w:p w14:paraId="31B0694F">
      <w:pPr>
        <w:spacing w:after="0" w:line="240" w:lineRule="auto"/>
        <w:jc w:val="both"/>
        <w:rPr>
          <w:rFonts w:ascii="Arial Narrow" w:hAnsi="Arial Narrow" w:cs="Arial"/>
          <w:iCs/>
          <w:color w:val="000000"/>
          <w:lang w:val="es-MX"/>
        </w:rPr>
      </w:pPr>
    </w:p>
    <w:p w14:paraId="57C4D430">
      <w:pPr>
        <w:spacing w:after="0" w:line="240" w:lineRule="auto"/>
        <w:jc w:val="both"/>
        <w:rPr>
          <w:rFonts w:ascii="Arial Narrow" w:hAnsi="Arial Narrow" w:cs="Arial"/>
          <w:iCs/>
          <w:color w:val="000000"/>
          <w:lang w:val="es-MX"/>
        </w:rPr>
      </w:pPr>
      <w:r>
        <w:rPr>
          <w:rFonts w:ascii="Arial Narrow" w:hAnsi="Arial Narrow" w:cs="Arial"/>
          <w:iCs/>
          <w:color w:val="000000"/>
          <w:lang w:val="es-MX"/>
        </w:rPr>
        <w:t>Para el caso de bienes de origen nacional, el proponente deberá aportar:</w:t>
      </w:r>
    </w:p>
    <w:p w14:paraId="350D2322">
      <w:pPr>
        <w:spacing w:after="0" w:line="240" w:lineRule="auto"/>
        <w:jc w:val="both"/>
        <w:rPr>
          <w:rFonts w:ascii="Arial Narrow" w:hAnsi="Arial Narrow" w:cs="Arial"/>
          <w:iCs/>
          <w:color w:val="000000"/>
          <w:lang w:val="es-MX"/>
        </w:rPr>
      </w:pPr>
    </w:p>
    <w:p w14:paraId="5409A631">
      <w:pPr>
        <w:numPr>
          <w:ilvl w:val="0"/>
          <w:numId w:val="32"/>
        </w:num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Copia del Registro de Productores de Bienes Nacionales expedido por el Ministerio de Comercio, Industria y Turismo para acreditar que sus bienes son de origen nacional, so pena de no otorgarse puntaje. </w:t>
      </w:r>
    </w:p>
    <w:p w14:paraId="113993A6">
      <w:pPr>
        <w:numPr>
          <w:ilvl w:val="0"/>
          <w:numId w:val="32"/>
        </w:num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Para el caso de bienes con tratado o convenio entre Colombia y el país de origen, debe enunciar el tratado o convenio entre Colombia y el país de origen y allegar soporte del aparte en el que se encuentra relacionado el bien o servicio a acreditar. </w:t>
      </w:r>
    </w:p>
    <w:p w14:paraId="68E205B8">
      <w:pPr>
        <w:numPr>
          <w:ilvl w:val="0"/>
          <w:numId w:val="32"/>
        </w:numPr>
        <w:spacing w:after="0" w:line="240" w:lineRule="auto"/>
        <w:jc w:val="both"/>
        <w:rPr>
          <w:rFonts w:ascii="Arial Narrow" w:hAnsi="Arial Narrow" w:cs="Arial"/>
          <w:iCs/>
          <w:color w:val="000000"/>
          <w:lang w:val="es-MX"/>
        </w:rPr>
      </w:pPr>
      <w:r>
        <w:rPr>
          <w:rFonts w:ascii="Arial Narrow" w:hAnsi="Arial Narrow" w:cs="Arial"/>
          <w:iCs/>
          <w:color w:val="000000"/>
          <w:lang w:val="es-MX"/>
        </w:rPr>
        <w:t>Para el caso de los bienes con reciprocidad, el proponente deberá adjuntar acreditación del trato nacional otorgado a bienes y servicios nacionales en países con los cuales Colombia ha negociado trato nacional en materia de compras públicas, mediante certificación expedida por el Ministerio de Relaciones Exteriores de la República de Colombia, so pena de no otorgar puntaje.</w:t>
      </w:r>
    </w:p>
    <w:p w14:paraId="42024972">
      <w:pPr>
        <w:spacing w:after="0" w:line="240" w:lineRule="auto"/>
        <w:ind w:left="720"/>
        <w:jc w:val="both"/>
        <w:rPr>
          <w:rFonts w:ascii="Arial Narrow" w:hAnsi="Arial Narrow" w:cs="Arial"/>
          <w:iCs/>
          <w:color w:val="000000"/>
          <w:lang w:val="es-MX"/>
        </w:rPr>
      </w:pPr>
    </w:p>
    <w:p w14:paraId="6CC87FF1">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Considerando que el porcentaje asignado para la acreditación de los bienes tiene el carácter de comparación de propuestas y asignación de puntaje, la certificación expedida por el Ministerio de Relaciones Exteriores y demás documentos requeridos para acreditar el factor ponderable, se presentarán con la oferta y no serán susceptibles de subsanabilidad. </w:t>
      </w:r>
    </w:p>
    <w:p w14:paraId="62E11F1C">
      <w:pPr>
        <w:spacing w:after="0" w:line="240" w:lineRule="auto"/>
        <w:jc w:val="both"/>
        <w:rPr>
          <w:rFonts w:ascii="Arial Narrow" w:hAnsi="Arial Narrow" w:cs="Arial"/>
          <w:iCs/>
          <w:color w:val="000000"/>
          <w:lang w:val="es-MX"/>
        </w:rPr>
      </w:pPr>
    </w:p>
    <w:p w14:paraId="71735800">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El proponente seleccionado con productos de origen nacional o acreditado no podrá cambiar el origen de los bienes al momento de la entrega, salvo circunstancias de fuerza mayor o caso fortuito, éstos últimos debidamente acreditados. </w:t>
      </w:r>
    </w:p>
    <w:p w14:paraId="7103E83D">
      <w:pPr>
        <w:spacing w:after="0" w:line="240" w:lineRule="auto"/>
        <w:jc w:val="both"/>
        <w:rPr>
          <w:rFonts w:ascii="Arial Narrow" w:hAnsi="Arial Narrow" w:cs="Arial"/>
          <w:iCs/>
          <w:color w:val="000000"/>
          <w:lang w:val="es-MX"/>
        </w:rPr>
      </w:pPr>
    </w:p>
    <w:p w14:paraId="3DF17042">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La AEROCIVIL se reserva el derecho de verificar durante la ejecución del contrato lo afirmado en la oferta en relación con el origen de los bienes, so pena de declarar el incumplimiento del contrato. </w:t>
      </w:r>
    </w:p>
    <w:p w14:paraId="726C76CE">
      <w:pPr>
        <w:spacing w:after="0" w:line="240" w:lineRule="auto"/>
        <w:jc w:val="both"/>
        <w:rPr>
          <w:rFonts w:ascii="Arial Narrow" w:hAnsi="Arial Narrow" w:cs="Arial"/>
          <w:iCs/>
          <w:color w:val="000000"/>
          <w:lang w:val="es-MX"/>
        </w:rPr>
      </w:pPr>
    </w:p>
    <w:p w14:paraId="4616AD14">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Para los Consorcios, Uniones Temporales o Promesas de Sociedad Futura, el puntaje adicional se dará en forma proporcional al porcentaje de participación, para lo cual se tendrán en cuenta las siguientes reglas: </w:t>
      </w:r>
    </w:p>
    <w:p w14:paraId="6EFAB600">
      <w:pPr>
        <w:spacing w:after="0" w:line="240" w:lineRule="auto"/>
        <w:jc w:val="both"/>
        <w:rPr>
          <w:rFonts w:ascii="Arial Narrow" w:hAnsi="Arial Narrow" w:cs="Arial"/>
          <w:iCs/>
          <w:color w:val="000000"/>
          <w:lang w:val="es-MX"/>
        </w:rPr>
      </w:pPr>
    </w:p>
    <w:p w14:paraId="232500C2">
      <w:pPr>
        <w:numPr>
          <w:ilvl w:val="1"/>
          <w:numId w:val="33"/>
        </w:numPr>
        <w:spacing w:after="0" w:line="240" w:lineRule="auto"/>
        <w:ind w:left="709"/>
        <w:jc w:val="both"/>
        <w:rPr>
          <w:rFonts w:ascii="Arial Narrow" w:hAnsi="Arial Narrow" w:cs="Arial"/>
          <w:iCs/>
          <w:color w:val="000000"/>
          <w:lang w:val="es-MX"/>
        </w:rPr>
      </w:pPr>
      <w:r>
        <w:rPr>
          <w:rFonts w:ascii="Arial Narrow" w:hAnsi="Arial Narrow" w:cs="Arial"/>
          <w:iCs/>
          <w:color w:val="000000"/>
          <w:lang w:val="es-MX"/>
        </w:rPr>
        <w:t xml:space="preserve">Acreditación mayoritaria de componente colombiano: Para acceder a la ponderación adicional prevista en la Ley 816 de 2003, en este escenario se requiere que el proponente plural este conformado por persona nacional y extranjera, en donde el porcentaje de participación de la persona colombiana sea igual a superior al 50%, evento en el cual, la Administración otorgará el 10% del puntaje total obtenido. </w:t>
      </w:r>
    </w:p>
    <w:p w14:paraId="5D9AD589">
      <w:pPr>
        <w:numPr>
          <w:ilvl w:val="1"/>
          <w:numId w:val="33"/>
        </w:numPr>
        <w:spacing w:after="0" w:line="240" w:lineRule="auto"/>
        <w:ind w:left="709"/>
        <w:jc w:val="both"/>
        <w:rPr>
          <w:rFonts w:ascii="Arial Narrow" w:hAnsi="Arial Narrow" w:cs="Arial"/>
          <w:iCs/>
          <w:color w:val="000000"/>
          <w:lang w:val="es-MX"/>
        </w:rPr>
      </w:pPr>
      <w:r>
        <w:rPr>
          <w:rFonts w:ascii="Arial Narrow" w:hAnsi="Arial Narrow" w:cs="Arial"/>
          <w:iCs/>
          <w:color w:val="000000"/>
          <w:lang w:val="es-MX"/>
        </w:rPr>
        <w:t xml:space="preserve">Acreditación mayoritaria de componente extranjero: Para acceder a la ponderación adicional prevista en la Ley 816 de 2003, en este escenario se requiere que el proponente plural este conformado por persona nacional y extranjera, en donde el porcentaje de participación de la persona extranjera sea igual a superior al 50%, evento en el cual, la AEROCIVIL otorgará el 5% adicional del puntaje total obtenido. </w:t>
      </w:r>
    </w:p>
    <w:p w14:paraId="62BF2747">
      <w:pPr>
        <w:spacing w:after="0" w:line="240" w:lineRule="auto"/>
        <w:jc w:val="both"/>
        <w:rPr>
          <w:rFonts w:ascii="Arial Narrow" w:hAnsi="Arial Narrow" w:cs="Arial"/>
          <w:lang/>
        </w:rPr>
      </w:pPr>
    </w:p>
    <w:p w14:paraId="5A52B6B8">
      <w:pPr>
        <w:pStyle w:val="52"/>
        <w:widowControl w:val="0"/>
        <w:numPr>
          <w:ilvl w:val="2"/>
          <w:numId w:val="27"/>
        </w:numPr>
        <w:overflowPunct w:val="0"/>
        <w:autoSpaceDE w:val="0"/>
        <w:autoSpaceDN w:val="0"/>
        <w:adjustRightInd w:val="0"/>
        <w:spacing w:after="0" w:line="240" w:lineRule="auto"/>
        <w:jc w:val="both"/>
        <w:rPr>
          <w:rFonts w:ascii="Arial Narrow" w:hAnsi="Arial Narrow" w:cs="Arial"/>
          <w:b/>
          <w:bCs/>
          <w:iCs/>
          <w:lang/>
        </w:rPr>
      </w:pPr>
      <w:bookmarkStart w:id="107" w:name="_Toc99029315"/>
      <w:r>
        <w:rPr>
          <w:rFonts w:ascii="Arial Narrow" w:hAnsi="Arial Narrow" w:cs="Arial"/>
          <w:b/>
          <w:bCs/>
          <w:lang/>
        </w:rPr>
        <w:t>EMPRENDIMIENTO</w:t>
      </w:r>
      <w:r>
        <w:rPr>
          <w:rFonts w:ascii="Arial Narrow" w:hAnsi="Arial Narrow" w:cs="Arial"/>
          <w:b/>
          <w:bCs/>
          <w:iCs/>
          <w:lang/>
        </w:rPr>
        <w:t xml:space="preserve"> Y EMPRESAS DE MUJERES</w:t>
      </w:r>
      <w:bookmarkEnd w:id="107"/>
    </w:p>
    <w:p w14:paraId="32388836">
      <w:pPr>
        <w:spacing w:after="0" w:line="240" w:lineRule="auto"/>
        <w:jc w:val="both"/>
        <w:rPr>
          <w:rFonts w:ascii="Arial Narrow" w:hAnsi="Arial Narrow" w:cs="Arial"/>
          <w:color w:val="000000"/>
          <w:lang/>
        </w:rPr>
      </w:pPr>
    </w:p>
    <w:p w14:paraId="4CF960A7">
      <w:pPr>
        <w:spacing w:after="0" w:line="240" w:lineRule="auto"/>
        <w:ind w:right="-142"/>
        <w:jc w:val="both"/>
        <w:rPr>
          <w:rFonts w:ascii="Arial Narrow" w:hAnsi="Arial Narrow" w:cs="Arial"/>
          <w:color w:val="000000"/>
        </w:rPr>
      </w:pPr>
      <w:r>
        <w:rPr>
          <w:rFonts w:ascii="Arial Narrow" w:hAnsi="Arial Narrow" w:cs="Arial"/>
          <w:color w:val="000000"/>
        </w:rPr>
        <w:t xml:space="preserve">La AEROCIVIL asignará un puntaje de cero punto veinticinco (0,25) al Proponente que acredite la calidad de emprendimiento y empresa de mujeres con domicilio en el territorio nacional de conformidad con la previsto en el artículo 2.2.1.2.4.2.14. del Decreto 1082 de 2015 o a quien acredite la calidad de Mipyme domiciliada en Colombia de conformidad con el tamaño empresarial previsto en el artículo 2.2.1.13.2.2 del Decreto 1074 de 2015 o la norma que lo modifique, sustituya o complemente. </w:t>
      </w:r>
      <w:r>
        <w:rPr>
          <w:rFonts w:ascii="Arial Narrow" w:hAnsi="Arial Narrow" w:cs="Arial"/>
          <w:color w:val="000000"/>
          <w:u w:val="single"/>
        </w:rPr>
        <w:t>La asignación del puntaje (0,25 puntos) se dará si el proponente acredita una de las dos condiciones o las dos condiciones.</w:t>
      </w:r>
    </w:p>
    <w:p w14:paraId="15FDB1E6">
      <w:pPr>
        <w:spacing w:after="0" w:line="240" w:lineRule="auto"/>
        <w:ind w:right="-142"/>
        <w:jc w:val="both"/>
        <w:rPr>
          <w:rFonts w:ascii="Arial Narrow" w:hAnsi="Arial Narrow" w:cs="Arial"/>
          <w:color w:val="000000"/>
        </w:rPr>
      </w:pPr>
    </w:p>
    <w:p w14:paraId="409E861E">
      <w:pPr>
        <w:pStyle w:val="52"/>
        <w:widowControl w:val="0"/>
        <w:numPr>
          <w:ilvl w:val="3"/>
          <w:numId w:val="27"/>
        </w:numPr>
        <w:overflowPunct w:val="0"/>
        <w:autoSpaceDE w:val="0"/>
        <w:autoSpaceDN w:val="0"/>
        <w:adjustRightInd w:val="0"/>
        <w:spacing w:after="0" w:line="240" w:lineRule="auto"/>
        <w:ind w:right="-142"/>
        <w:jc w:val="both"/>
        <w:rPr>
          <w:rFonts w:ascii="Arial Narrow" w:hAnsi="Arial Narrow" w:cs="Arial"/>
          <w:b/>
          <w:bCs/>
          <w:iCs/>
        </w:rPr>
      </w:pPr>
      <w:r>
        <w:rPr>
          <w:rFonts w:ascii="Arial Narrow" w:hAnsi="Arial Narrow" w:cs="Arial"/>
          <w:b/>
          <w:bCs/>
          <w:iCs/>
        </w:rPr>
        <w:t>Emprendimiento y Empresas de Mujeres</w:t>
      </w:r>
    </w:p>
    <w:p w14:paraId="1C8C0444">
      <w:pPr>
        <w:spacing w:after="0" w:line="240" w:lineRule="auto"/>
        <w:ind w:right="-142"/>
        <w:jc w:val="both"/>
        <w:rPr>
          <w:rFonts w:ascii="Arial Narrow" w:hAnsi="Arial Narrow" w:cs="Arial"/>
          <w:color w:val="000000"/>
        </w:rPr>
      </w:pPr>
    </w:p>
    <w:p w14:paraId="428C769A">
      <w:pPr>
        <w:spacing w:after="0" w:line="240" w:lineRule="auto"/>
        <w:ind w:right="-142"/>
        <w:jc w:val="both"/>
        <w:rPr>
          <w:rFonts w:ascii="Arial Narrow" w:hAnsi="Arial Narrow" w:cs="Arial"/>
          <w:color w:val="000000"/>
        </w:rPr>
      </w:pPr>
      <w:r>
        <w:rPr>
          <w:rFonts w:ascii="Arial Narrow" w:hAnsi="Arial Narrow" w:cs="Arial"/>
          <w:color w:val="000000"/>
        </w:rPr>
        <w:t>La AEROCIVIL asignará un puntaje de cero punto veinticinco (0,25) al Proponente que acredite la calidad de emprendimiento y empresa de mujeres con domicilio en el territorio nacional de conformidad con la previsto en el artículo 2.2.1.2.4.2.14. del Decreto 1082 de 2015 o la norma que lo modifique, sustituya o complemente.</w:t>
      </w:r>
    </w:p>
    <w:p w14:paraId="21AEB9E1">
      <w:pPr>
        <w:spacing w:after="0" w:line="240" w:lineRule="auto"/>
        <w:ind w:right="-142"/>
        <w:jc w:val="both"/>
        <w:rPr>
          <w:rFonts w:ascii="Arial Narrow" w:hAnsi="Arial Narrow" w:cs="Arial"/>
          <w:color w:val="000000"/>
        </w:rPr>
      </w:pPr>
    </w:p>
    <w:p w14:paraId="471DAE9A">
      <w:pPr>
        <w:spacing w:after="0" w:line="240" w:lineRule="auto"/>
        <w:ind w:right="-142"/>
        <w:jc w:val="both"/>
        <w:rPr>
          <w:rFonts w:ascii="Arial Narrow" w:hAnsi="Arial Narrow" w:cs="Arial"/>
          <w:color w:val="000000"/>
        </w:rPr>
      </w:pPr>
      <w:r>
        <w:rPr>
          <w:rFonts w:ascii="Arial Narrow" w:hAnsi="Arial Narrow" w:cs="Arial"/>
          <w:color w:val="000000"/>
        </w:rPr>
        <w:t xml:space="preserve">Para que el Proponente obtenga este puntaje debe presentar el “Formato 24 – Acreditación de emprendimiento y empresa de mujeres” y aportar la documentación requerida. Si el Proponente debió subsanar dicho formato y/o 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 </w:t>
      </w:r>
    </w:p>
    <w:p w14:paraId="58C016D2">
      <w:pPr>
        <w:spacing w:after="0" w:line="240" w:lineRule="auto"/>
        <w:ind w:right="-142"/>
        <w:jc w:val="both"/>
        <w:rPr>
          <w:rFonts w:ascii="Arial Narrow" w:hAnsi="Arial Narrow" w:cs="Arial"/>
          <w:color w:val="000000"/>
        </w:rPr>
      </w:pPr>
    </w:p>
    <w:p w14:paraId="5C385E10">
      <w:pPr>
        <w:spacing w:after="0" w:line="240" w:lineRule="auto"/>
        <w:ind w:right="-142"/>
        <w:jc w:val="both"/>
        <w:rPr>
          <w:rFonts w:ascii="Arial Narrow" w:hAnsi="Arial Narrow" w:cs="Arial"/>
          <w:color w:val="000000"/>
        </w:rPr>
      </w:pPr>
      <w:r>
        <w:rPr>
          <w:rFonts w:ascii="Arial Narrow" w:hAnsi="Arial Narrow" w:cs="Arial"/>
          <w:color w:val="000000"/>
        </w:rPr>
        <w:t>Tratándose de Proponentes Plurales este puntaje solo se otorgará si por lo menos uno de los integrantes acredita la calidad de emprendimiento y empresa de mujeres y tiene una participación igual o superior al diez por ciento (10%) en el Consorcio o la Unión Temporal.</w:t>
      </w:r>
    </w:p>
    <w:p w14:paraId="797D7B9A">
      <w:pPr>
        <w:spacing w:after="0" w:line="240" w:lineRule="auto"/>
        <w:ind w:right="-142"/>
        <w:jc w:val="both"/>
        <w:rPr>
          <w:rFonts w:ascii="Arial Narrow" w:hAnsi="Arial Narrow" w:cs="Arial"/>
          <w:color w:val="000000"/>
        </w:rPr>
      </w:pPr>
    </w:p>
    <w:p w14:paraId="5DFBC372">
      <w:pPr>
        <w:pStyle w:val="52"/>
        <w:widowControl w:val="0"/>
        <w:numPr>
          <w:ilvl w:val="3"/>
          <w:numId w:val="27"/>
        </w:numPr>
        <w:overflowPunct w:val="0"/>
        <w:autoSpaceDE w:val="0"/>
        <w:autoSpaceDN w:val="0"/>
        <w:adjustRightInd w:val="0"/>
        <w:spacing w:after="0" w:line="240" w:lineRule="auto"/>
        <w:ind w:right="-142"/>
        <w:jc w:val="both"/>
        <w:rPr>
          <w:rFonts w:ascii="Arial Narrow" w:hAnsi="Arial Narrow" w:cs="Arial"/>
          <w:b/>
          <w:bCs/>
          <w:iCs/>
        </w:rPr>
      </w:pPr>
      <w:bookmarkStart w:id="108" w:name="_Toc99029316"/>
      <w:r>
        <w:rPr>
          <w:rFonts w:ascii="Arial Narrow" w:hAnsi="Arial Narrow" w:cs="Arial"/>
          <w:b/>
          <w:bCs/>
          <w:iCs/>
        </w:rPr>
        <w:t>Mipyme Domiciliada en Colombia</w:t>
      </w:r>
      <w:bookmarkEnd w:id="108"/>
      <w:r>
        <w:rPr>
          <w:rFonts w:ascii="Arial Narrow" w:hAnsi="Arial Narrow" w:cs="Arial"/>
          <w:b/>
          <w:bCs/>
          <w:iCs/>
        </w:rPr>
        <w:t xml:space="preserve"> (NO APLICA)</w:t>
      </w:r>
    </w:p>
    <w:p w14:paraId="1E85DA09">
      <w:pPr>
        <w:spacing w:after="0" w:line="240" w:lineRule="auto"/>
        <w:ind w:right="-142"/>
        <w:jc w:val="both"/>
        <w:rPr>
          <w:rFonts w:ascii="Arial Narrow" w:hAnsi="Arial Narrow" w:cs="Arial"/>
          <w:color w:val="000000"/>
        </w:rPr>
      </w:pPr>
    </w:p>
    <w:p w14:paraId="100A5B25">
      <w:pPr>
        <w:spacing w:after="0" w:line="240" w:lineRule="auto"/>
        <w:ind w:right="-142"/>
        <w:jc w:val="both"/>
        <w:rPr>
          <w:rFonts w:ascii="Arial Narrow" w:hAnsi="Arial Narrow" w:cs="Arial"/>
          <w:color w:val="000000"/>
        </w:rPr>
      </w:pPr>
      <w:r>
        <w:rPr>
          <w:rFonts w:ascii="Arial Narrow" w:hAnsi="Arial Narrow" w:cs="Arial"/>
          <w:color w:val="000000"/>
        </w:rPr>
        <w:t xml:space="preserve">La Entidad asignará un puntaje de cero punto veinticinco (0,25) al Proponente que acredite la calidad de Mipyme domiciliada en Colombia de conformidad con el tamaño empresarial previsto en el artículo 2.2.1.13.2.2 del Decreto 1074 de 2015 o la norma que lo modifique, sustituya o complemente. </w:t>
      </w:r>
    </w:p>
    <w:p w14:paraId="7857660A">
      <w:pPr>
        <w:spacing w:after="0" w:line="240" w:lineRule="auto"/>
        <w:ind w:right="-142"/>
        <w:jc w:val="both"/>
        <w:rPr>
          <w:rFonts w:ascii="Arial Narrow" w:hAnsi="Arial Narrow" w:cs="Arial"/>
          <w:color w:val="000000"/>
        </w:rPr>
      </w:pPr>
    </w:p>
    <w:p w14:paraId="4BF29866">
      <w:pPr>
        <w:spacing w:after="0" w:line="240" w:lineRule="auto"/>
        <w:ind w:right="-142"/>
        <w:jc w:val="both"/>
        <w:rPr>
          <w:rFonts w:ascii="Arial Narrow" w:hAnsi="Arial Narrow" w:cs="Arial"/>
          <w:color w:val="000000"/>
        </w:rPr>
      </w:pPr>
      <w:r>
        <w:rPr>
          <w:rFonts w:ascii="Arial Narrow" w:hAnsi="Arial Narrow" w:cs="Arial"/>
          <w:color w:val="000000"/>
        </w:rPr>
        <w:t>Para que el Proponente obtenga este puntaje debe presentar el “Formato 23 - Acreditación de Mipyme” y aportar la documentación requerida en el artículo 2.2.1.2.4.2.4 del Decreto 1082 de 2015, o la norma que lo modifique, complemente o sustituya. Si el Proponente debió subsanar dicho formato y/o 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w:t>
      </w:r>
    </w:p>
    <w:p w14:paraId="34CD6A2E">
      <w:pPr>
        <w:spacing w:after="0" w:line="240" w:lineRule="auto"/>
        <w:ind w:right="-142"/>
        <w:jc w:val="both"/>
        <w:rPr>
          <w:rFonts w:ascii="Arial Narrow" w:hAnsi="Arial Narrow" w:cs="Arial"/>
          <w:color w:val="000000"/>
        </w:rPr>
      </w:pPr>
    </w:p>
    <w:p w14:paraId="476F3A7B">
      <w:pPr>
        <w:spacing w:after="0" w:line="240" w:lineRule="auto"/>
        <w:ind w:right="-142"/>
        <w:jc w:val="both"/>
        <w:rPr>
          <w:rFonts w:ascii="Arial Narrow" w:hAnsi="Arial Narrow" w:cs="Arial"/>
          <w:color w:val="000000"/>
        </w:rPr>
      </w:pPr>
      <w:r>
        <w:rPr>
          <w:rFonts w:ascii="Arial Narrow" w:hAnsi="Arial Narrow" w:cs="Arial"/>
          <w:color w:val="000000"/>
        </w:rPr>
        <w:t>Tratándose de Proponentes Plurales este puntaje se otorgará si por lo menos uno de los integrantes acredita la calidad de Mipyme y tiene una participación igual o superior al diez por ciento (10%) en el consorcio o la unión temporal</w:t>
      </w:r>
    </w:p>
    <w:p w14:paraId="540476C4">
      <w:pPr>
        <w:spacing w:after="0" w:line="240" w:lineRule="auto"/>
        <w:jc w:val="both"/>
        <w:rPr>
          <w:rFonts w:ascii="Arial Narrow" w:hAnsi="Arial Narrow" w:cs="Arial"/>
          <w:color w:val="000000"/>
          <w:lang/>
        </w:rPr>
      </w:pPr>
    </w:p>
    <w:p w14:paraId="04C1D07D">
      <w:pPr>
        <w:pStyle w:val="52"/>
        <w:widowControl w:val="0"/>
        <w:numPr>
          <w:ilvl w:val="2"/>
          <w:numId w:val="27"/>
        </w:numPr>
        <w:overflowPunct w:val="0"/>
        <w:autoSpaceDE w:val="0"/>
        <w:autoSpaceDN w:val="0"/>
        <w:adjustRightInd w:val="0"/>
        <w:spacing w:after="0" w:line="240" w:lineRule="auto"/>
        <w:jc w:val="both"/>
        <w:rPr>
          <w:rFonts w:ascii="Arial Narrow" w:hAnsi="Arial Narrow" w:cs="Arial"/>
          <w:b/>
          <w:bCs/>
          <w:iCs/>
          <w:lang/>
        </w:rPr>
      </w:pPr>
      <w:r>
        <w:rPr>
          <w:rFonts w:ascii="Arial Narrow" w:hAnsi="Arial Narrow" w:cs="Arial"/>
          <w:b/>
          <w:bCs/>
          <w:iCs/>
          <w:lang/>
        </w:rPr>
        <w:t> DESCUENTOS PUNTAJE - LEY 2195 DE 2022</w:t>
      </w:r>
    </w:p>
    <w:p w14:paraId="1A68100C">
      <w:pPr>
        <w:spacing w:after="0" w:line="240" w:lineRule="auto"/>
        <w:jc w:val="both"/>
        <w:rPr>
          <w:rFonts w:ascii="Arial Narrow" w:hAnsi="Arial Narrow" w:cs="Arial"/>
          <w:color w:val="000000"/>
          <w:lang/>
        </w:rPr>
      </w:pPr>
    </w:p>
    <w:p w14:paraId="1A9F078A">
      <w:pPr>
        <w:spacing w:after="0" w:line="240" w:lineRule="auto"/>
        <w:jc w:val="both"/>
        <w:rPr>
          <w:rFonts w:ascii="Arial Narrow" w:hAnsi="Arial Narrow" w:cs="Arial"/>
          <w:color w:val="000000"/>
        </w:rPr>
      </w:pPr>
      <w:r>
        <w:rPr>
          <w:rFonts w:ascii="Arial Narrow" w:hAnsi="Arial Narrow" w:cs="Arial"/>
          <w:color w:val="000000"/>
        </w:rPr>
        <w:t>En cumplimiento a lo establecido en el artículo 58 de la Ley 2195 del 18 de enero de 2022, en el informe de evaluación de las ofertas, la AEROCIVIL reducirá el dos por ciento (2%) del total de los puntos obtenidos por el proponente, sea individual o estructura plural, al que se le haya impuesto una o más multas o cláusulas penales durante el último año antes de la fecha prevista para la presentación de las ofertas, sin importar la cuantía y sin perjuicio de las demás consecuencias derivadas del incumplimiento.</w:t>
      </w:r>
    </w:p>
    <w:p w14:paraId="61F0EAA9">
      <w:pPr>
        <w:spacing w:after="0" w:line="240" w:lineRule="auto"/>
        <w:jc w:val="both"/>
        <w:rPr>
          <w:rFonts w:ascii="Arial Narrow" w:hAnsi="Arial Narrow" w:cs="Arial"/>
          <w:color w:val="000000"/>
        </w:rPr>
      </w:pPr>
    </w:p>
    <w:p w14:paraId="726731B4">
      <w:pPr>
        <w:spacing w:after="0" w:line="240" w:lineRule="auto"/>
        <w:jc w:val="both"/>
        <w:rPr>
          <w:rFonts w:ascii="Arial Narrow" w:hAnsi="Arial Narrow" w:cs="Arial"/>
          <w:color w:val="000000"/>
        </w:rPr>
      </w:pPr>
      <w:r>
        <w:rPr>
          <w:rFonts w:ascii="Arial Narrow" w:hAnsi="Arial Narrow" w:cs="Arial"/>
          <w:color w:val="000000"/>
        </w:rPr>
        <w:t xml:space="preserve">Para el caso de las personas naturales y jurídicas obligadas a estar inscritas en el Registro Único de Proponentes de acuerdo con el artículo 2.2.1.1.1.5.1. del Decreto 1082 de 2015, la AEROCIVIL verificará las sanciones reportadas por las entidades estatales en el certificado del Registro Único de Proponentes, que deberá ser aportado junto con su oferta por el oferente individual y por cada uno de los integrantes de la estructura plural, según aplique.  </w:t>
      </w:r>
    </w:p>
    <w:p w14:paraId="7BEABE33">
      <w:pPr>
        <w:spacing w:after="0" w:line="240" w:lineRule="auto"/>
        <w:jc w:val="both"/>
        <w:rPr>
          <w:rFonts w:ascii="Arial Narrow" w:hAnsi="Arial Narrow" w:cs="Arial"/>
          <w:color w:val="000000"/>
        </w:rPr>
      </w:pPr>
    </w:p>
    <w:p w14:paraId="778F9572">
      <w:pPr>
        <w:spacing w:after="0" w:line="240" w:lineRule="auto"/>
        <w:jc w:val="both"/>
        <w:rPr>
          <w:rFonts w:ascii="Arial Narrow" w:hAnsi="Arial Narrow" w:cs="Arial"/>
          <w:color w:val="000000"/>
        </w:rPr>
      </w:pPr>
      <w:r>
        <w:rPr>
          <w:rFonts w:ascii="Arial Narrow" w:hAnsi="Arial Narrow" w:cs="Arial"/>
          <w:color w:val="000000"/>
        </w:rPr>
        <w:t xml:space="preserve">Las personas naturales y jurídicas obligadas a estar inscritas en el Registro Único de Proponentes deberán allegar el certificado del Registro Único de Proponentes con la presentación de la oferta y una vigencia no mayor a 30 días calendario contados a partir de la fecha de cierre prevista para el presente Proceso de Selección.  </w:t>
      </w:r>
    </w:p>
    <w:p w14:paraId="5A653E68">
      <w:pPr>
        <w:spacing w:after="0" w:line="240" w:lineRule="auto"/>
        <w:jc w:val="both"/>
        <w:rPr>
          <w:rFonts w:ascii="Arial Narrow" w:hAnsi="Arial Narrow" w:cs="Arial"/>
          <w:color w:val="000000"/>
        </w:rPr>
      </w:pPr>
    </w:p>
    <w:p w14:paraId="79180FB1">
      <w:pPr>
        <w:spacing w:after="0" w:line="240" w:lineRule="auto"/>
        <w:jc w:val="both"/>
        <w:rPr>
          <w:rFonts w:ascii="Arial Narrow" w:hAnsi="Arial Narrow" w:cs="Arial"/>
          <w:color w:val="000000"/>
        </w:rPr>
      </w:pPr>
      <w:r>
        <w:rPr>
          <w:rFonts w:ascii="Arial Narrow" w:hAnsi="Arial Narrow" w:cs="Arial"/>
          <w:color w:val="000000"/>
        </w:rPr>
        <w:t xml:space="preserve">Para el caso de las personas naturales y jurídicas que no se encuentran obligadas a estar inscritas en el Registro Único de Proponentes de acuerdo con el artículo 2.2.1.1.1.5.1. del Decreto 1082 de 2015, el Oferente individual y cada uno de los integrantes de la Estructura Plural, según aplique, deberá allegar una declaración juramentada suscrita por la persona natural o por el representante legal de la persona jurídica, en la que se constate que no se le han impuesto las sanciones relacionadas anteriormente por parte de entidades del Estado colombiano durante el último año, contado a partir de la Fecha de Cierre prevista para el presente proceso de Selección. </w:t>
      </w:r>
    </w:p>
    <w:p w14:paraId="2B1EF96E">
      <w:pPr>
        <w:spacing w:after="0" w:line="240" w:lineRule="auto"/>
        <w:jc w:val="both"/>
        <w:rPr>
          <w:rFonts w:ascii="Arial Narrow" w:hAnsi="Arial Narrow" w:cs="Arial"/>
          <w:color w:val="000000"/>
        </w:rPr>
      </w:pPr>
    </w:p>
    <w:p w14:paraId="5E53BBD0">
      <w:pPr>
        <w:spacing w:after="0" w:line="240" w:lineRule="auto"/>
        <w:jc w:val="both"/>
        <w:rPr>
          <w:rFonts w:ascii="Arial Narrow" w:hAnsi="Arial Narrow" w:cs="Arial"/>
          <w:color w:val="000000"/>
        </w:rPr>
      </w:pPr>
      <w:r>
        <w:rPr>
          <w:rFonts w:ascii="Arial Narrow" w:hAnsi="Arial Narrow" w:cs="Arial"/>
          <w:color w:val="000000"/>
        </w:rPr>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4D590602">
      <w:pPr>
        <w:spacing w:after="0" w:line="240" w:lineRule="auto"/>
        <w:jc w:val="both"/>
        <w:rPr>
          <w:rFonts w:ascii="Arial Narrow" w:hAnsi="Arial Narrow" w:cs="Arial"/>
          <w:color w:val="000000"/>
        </w:rPr>
      </w:pPr>
    </w:p>
    <w:p w14:paraId="6B4866B2">
      <w:pPr>
        <w:spacing w:after="0" w:line="240" w:lineRule="auto"/>
        <w:jc w:val="both"/>
        <w:rPr>
          <w:rFonts w:ascii="Arial Narrow" w:hAnsi="Arial Narrow" w:cs="Arial"/>
          <w:color w:val="000000"/>
        </w:rPr>
      </w:pPr>
      <w:r>
        <w:rPr>
          <w:rFonts w:ascii="Arial Narrow" w:hAnsi="Arial Narrow" w:cs="Arial"/>
          <w:color w:val="000000"/>
        </w:rPr>
        <w:t xml:space="preserve">Para la verificación de esta circunstancia, el Oferente individual o el integrante de la Estructura Plural, según aplique, 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proceso de Selección. </w:t>
      </w:r>
    </w:p>
    <w:p w14:paraId="5398B10D">
      <w:pPr>
        <w:spacing w:after="0" w:line="240" w:lineRule="auto"/>
        <w:jc w:val="both"/>
        <w:rPr>
          <w:rFonts w:ascii="Arial Narrow" w:hAnsi="Arial Narrow" w:cs="Arial"/>
          <w:color w:val="000000"/>
        </w:rPr>
      </w:pPr>
    </w:p>
    <w:p w14:paraId="23CD1944">
      <w:pPr>
        <w:spacing w:after="0" w:line="240" w:lineRule="auto"/>
        <w:jc w:val="both"/>
        <w:rPr>
          <w:rFonts w:ascii="Arial Narrow" w:hAnsi="Arial Narrow" w:cs="Arial"/>
          <w:color w:val="000000"/>
        </w:rPr>
      </w:pPr>
      <w:r>
        <w:rPr>
          <w:rFonts w:ascii="Arial Narrow" w:hAnsi="Arial Narrow" w:cs="Arial"/>
          <w:color w:val="000000"/>
        </w:rPr>
        <w:t xml:space="preserve">En el caso en que mediante un mismo acto administrativo se imponga de manera conjunta una multa y la cláusula penal, y dicho acto sea objeto de medios de control jurisdiccional se aplicará la reducción mencionada. </w:t>
      </w:r>
    </w:p>
    <w:p w14:paraId="0E4EFB81">
      <w:pPr>
        <w:spacing w:after="0" w:line="240" w:lineRule="auto"/>
        <w:jc w:val="both"/>
        <w:rPr>
          <w:rFonts w:ascii="Arial Narrow" w:hAnsi="Arial Narrow" w:cs="Arial"/>
          <w:color w:val="000000"/>
        </w:rPr>
      </w:pPr>
    </w:p>
    <w:p w14:paraId="6C02CD7F">
      <w:pPr>
        <w:spacing w:after="0" w:line="240" w:lineRule="auto"/>
        <w:jc w:val="both"/>
        <w:rPr>
          <w:rFonts w:ascii="Arial Narrow" w:hAnsi="Arial Narrow" w:cs="Arial"/>
          <w:color w:val="000000"/>
        </w:rPr>
      </w:pPr>
      <w:r>
        <w:rPr>
          <w:rFonts w:ascii="Arial Narrow" w:hAnsi="Arial Narrow" w:cs="Arial"/>
          <w:color w:val="000000"/>
        </w:rPr>
        <w:t>En el caso en que el Proponente no allegue con la presentación de la oferta los documentos que permitan a la entidad verificar lo establecido en el presente numeral se procederá a la reducción del dos por ciento (2%) del total de los puntos obtenidos por el Oferente, sea individual o estructura plural.</w:t>
      </w:r>
    </w:p>
    <w:p w14:paraId="3F8BBFC9">
      <w:pPr>
        <w:spacing w:after="0" w:line="240" w:lineRule="auto"/>
        <w:jc w:val="both"/>
        <w:rPr>
          <w:rFonts w:ascii="Arial Narrow" w:hAnsi="Arial Narrow" w:cs="Arial"/>
          <w:color w:val="000000"/>
        </w:rPr>
      </w:pPr>
    </w:p>
    <w:p w14:paraId="6B1C86B0">
      <w:pPr>
        <w:spacing w:after="0" w:line="240" w:lineRule="auto"/>
        <w:jc w:val="both"/>
        <w:rPr>
          <w:rFonts w:ascii="Arial Narrow" w:hAnsi="Arial Narrow" w:cs="Arial"/>
          <w:color w:val="000000"/>
          <w:lang/>
        </w:rPr>
      </w:pPr>
    </w:p>
    <w:p w14:paraId="42927F8A">
      <w:pPr>
        <w:pStyle w:val="52"/>
        <w:widowControl w:val="0"/>
        <w:numPr>
          <w:ilvl w:val="2"/>
          <w:numId w:val="27"/>
        </w:numPr>
        <w:overflowPunct w:val="0"/>
        <w:autoSpaceDE w:val="0"/>
        <w:autoSpaceDN w:val="0"/>
        <w:adjustRightInd w:val="0"/>
        <w:spacing w:after="0" w:line="240" w:lineRule="auto"/>
        <w:jc w:val="both"/>
        <w:rPr>
          <w:rFonts w:ascii="Arial Narrow" w:hAnsi="Arial Narrow" w:cs="Arial"/>
          <w:b/>
          <w:bCs/>
          <w:iCs/>
          <w:lang/>
        </w:rPr>
      </w:pPr>
      <w:r>
        <w:rPr>
          <w:rFonts w:ascii="Arial Narrow" w:hAnsi="Arial Narrow" w:cs="Arial"/>
          <w:b/>
          <w:bCs/>
          <w:iCs/>
          <w:lang/>
        </w:rPr>
        <w:t>DESCUENTOS PUNTAJE – LEY 2020 DE 2020 (NO APLICA)</w:t>
      </w:r>
    </w:p>
    <w:p w14:paraId="0933BB76">
      <w:pPr>
        <w:spacing w:after="0" w:line="240" w:lineRule="auto"/>
        <w:jc w:val="both"/>
        <w:rPr>
          <w:rFonts w:ascii="Arial Narrow" w:hAnsi="Arial Narrow" w:cs="Arial"/>
          <w:color w:val="000000"/>
          <w:lang/>
        </w:rPr>
      </w:pPr>
    </w:p>
    <w:p w14:paraId="20AB47AE">
      <w:pPr>
        <w:spacing w:after="0" w:line="240" w:lineRule="auto"/>
        <w:jc w:val="both"/>
        <w:rPr>
          <w:rFonts w:ascii="Arial Narrow" w:hAnsi="Arial Narrow" w:cs="Arial"/>
          <w:color w:val="000000"/>
          <w:lang/>
        </w:rPr>
      </w:pPr>
      <w:r>
        <w:rPr>
          <w:rFonts w:ascii="Arial Narrow" w:hAnsi="Arial Narrow" w:cs="Arial"/>
          <w:color w:val="000000"/>
          <w:lang/>
        </w:rPr>
        <w:t xml:space="preserve">La AEROCIVIL consultará y analizará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los criterios de evaluación. </w:t>
      </w:r>
    </w:p>
    <w:p w14:paraId="65E99F52">
      <w:pPr>
        <w:spacing w:after="0" w:line="240" w:lineRule="auto"/>
        <w:jc w:val="both"/>
        <w:rPr>
          <w:rFonts w:ascii="Arial Narrow" w:hAnsi="Arial Narrow" w:cs="Arial"/>
          <w:color w:val="000000"/>
          <w:lang/>
        </w:rPr>
      </w:pPr>
    </w:p>
    <w:p w14:paraId="4E920712">
      <w:pPr>
        <w:spacing w:after="0" w:line="240" w:lineRule="auto"/>
        <w:jc w:val="both"/>
        <w:rPr>
          <w:rFonts w:ascii="Arial Narrow" w:hAnsi="Arial Narrow" w:cs="Arial"/>
          <w:color w:val="000000"/>
          <w:lang/>
        </w:rPr>
      </w:pPr>
      <w:r>
        <w:rPr>
          <w:rFonts w:ascii="Arial Narrow" w:hAnsi="Arial Narrow" w:cs="Arial"/>
          <w:color w:val="000000"/>
          <w:lang/>
        </w:rPr>
        <w:t>La reducción del puntaje antes señalada no se aplicará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p>
    <w:p w14:paraId="53262829">
      <w:pPr>
        <w:spacing w:after="0" w:line="240" w:lineRule="auto"/>
        <w:jc w:val="both"/>
        <w:rPr>
          <w:rFonts w:ascii="Arial Narrow" w:hAnsi="Arial Narrow" w:cs="Arial"/>
          <w:color w:val="000000"/>
          <w:lang/>
        </w:rPr>
      </w:pPr>
    </w:p>
    <w:p w14:paraId="79DF98F0">
      <w:pPr>
        <w:pStyle w:val="52"/>
        <w:numPr>
          <w:ilvl w:val="1"/>
          <w:numId w:val="27"/>
        </w:numPr>
        <w:autoSpaceDE w:val="0"/>
        <w:autoSpaceDN w:val="0"/>
        <w:spacing w:after="0" w:line="240" w:lineRule="auto"/>
        <w:jc w:val="both"/>
        <w:rPr>
          <w:rFonts w:ascii="Arial Narrow" w:hAnsi="Arial Narrow" w:cs="Arial"/>
          <w:b/>
          <w:bCs/>
          <w:color w:val="000000"/>
          <w:lang/>
        </w:rPr>
      </w:pPr>
      <w:r>
        <w:rPr>
          <w:rFonts w:ascii="Arial Narrow" w:hAnsi="Arial Narrow" w:cs="Arial"/>
          <w:b/>
          <w:bCs/>
          <w:color w:val="000000"/>
          <w:lang/>
        </w:rPr>
        <w:t>FACTORES DE DESEMPATE</w:t>
      </w:r>
    </w:p>
    <w:p w14:paraId="11FB2C8C">
      <w:pPr>
        <w:autoSpaceDE w:val="0"/>
        <w:autoSpaceDN w:val="0"/>
        <w:spacing w:after="0" w:line="240" w:lineRule="auto"/>
        <w:jc w:val="both"/>
        <w:rPr>
          <w:rFonts w:ascii="Arial Narrow" w:hAnsi="Arial Narrow" w:cs="Arial"/>
          <w:color w:val="000000"/>
          <w:lang/>
        </w:rPr>
      </w:pPr>
    </w:p>
    <w:p w14:paraId="216CE7DF">
      <w:pPr>
        <w:shd w:val="clear" w:color="auto" w:fill="FFFFFF"/>
        <w:spacing w:after="0" w:line="240" w:lineRule="auto"/>
        <w:jc w:val="both"/>
        <w:rPr>
          <w:rFonts w:ascii="Arial Narrow" w:hAnsi="Arial Narrow" w:cs="Arial"/>
        </w:rPr>
      </w:pPr>
      <w:r>
        <w:rPr>
          <w:rFonts w:ascii="Arial Narrow" w:hAnsi="Arial Narrow" w:cs="Arial"/>
        </w:rPr>
        <w:t>Conforme con lo dispuesto en la Ley 2069 del 2020 y el Decreto 1082 de 2015 modificado por el decreto 1860 de 2021, en caso de empate en el puntaje total de dos o más ofertas, el Comité Evaluador, analizará y definirá la aplicación de los factores de desempate conforme a las siguientes reglas de acuerdo con cada uno de los numerales, de forma sucesiva y excluyente, para seleccionar al Proponente favorecido, respetando en todo caso los compromisos internacionales vigentes:</w:t>
      </w:r>
    </w:p>
    <w:p w14:paraId="6A082343">
      <w:pPr>
        <w:shd w:val="clear" w:color="auto" w:fill="FFFFFF"/>
        <w:spacing w:after="0" w:line="240" w:lineRule="auto"/>
        <w:jc w:val="both"/>
        <w:rPr>
          <w:rFonts w:ascii="Arial Narrow" w:hAnsi="Arial Narrow" w:cs="Arial"/>
        </w:rPr>
      </w:pPr>
    </w:p>
    <w:p w14:paraId="553DA598">
      <w:pPr>
        <w:numPr>
          <w:ilvl w:val="0"/>
          <w:numId w:val="34"/>
        </w:numPr>
        <w:tabs>
          <w:tab w:val="left" w:pos="284"/>
        </w:tabs>
        <w:spacing w:after="0" w:line="240" w:lineRule="auto"/>
        <w:ind w:left="0" w:firstLine="0"/>
        <w:jc w:val="both"/>
        <w:rPr>
          <w:rFonts w:ascii="Arial Narrow" w:hAnsi="Arial Narrow" w:cs="Arial"/>
        </w:rPr>
      </w:pPr>
      <w:r>
        <w:rPr>
          <w:rFonts w:ascii="Arial Narrow" w:hAnsi="Arial Narrow" w:cs="Arial"/>
        </w:rPr>
        <w:t xml:space="preserve">Preferir la oferta de bienes o servicios nacionales frente a la oferta de bienes o servicios extranjeros. Para acreditar este factor se tendrán en cuenta las definiciones  del artículo 2.2.1.1.1.3.1. en concordancia con el artículo 2.2.1.2.4.2.9. del Decreto 1082 de 2015. El Proponente acreditará el origen de los servicios con los documentos señalados en el presente documento. Para el caso de los Proponentes Plurales, todos los integrantes deberán acreditar el origen nacional de la oferta en las condiciones señaladas en la ley. </w:t>
      </w:r>
    </w:p>
    <w:p w14:paraId="39069368">
      <w:pPr>
        <w:tabs>
          <w:tab w:val="left" w:pos="993"/>
        </w:tabs>
        <w:spacing w:after="0" w:line="240" w:lineRule="auto"/>
        <w:jc w:val="both"/>
        <w:rPr>
          <w:rFonts w:ascii="Arial Narrow" w:hAnsi="Arial Narrow" w:cs="Arial"/>
        </w:rPr>
      </w:pPr>
    </w:p>
    <w:p w14:paraId="4C51D8CB">
      <w:pPr>
        <w:numPr>
          <w:ilvl w:val="0"/>
          <w:numId w:val="34"/>
        </w:numPr>
        <w:tabs>
          <w:tab w:val="left" w:pos="284"/>
        </w:tabs>
        <w:spacing w:after="0" w:line="240" w:lineRule="auto"/>
        <w:ind w:left="0" w:firstLine="0"/>
        <w:jc w:val="both"/>
        <w:rPr>
          <w:rFonts w:ascii="Arial Narrow" w:hAnsi="Arial Narrow" w:cs="Arial"/>
        </w:rPr>
      </w:pPr>
      <w:r>
        <w:rPr>
          <w:rFonts w:ascii="Arial Narrow" w:hAnsi="Arial Narrow" w:cs="Arial"/>
        </w:rPr>
        <w:t>Preferir la propuesta de la mujer cabeza de familia. Su acreditación se realizará en los términos del artículo 1 de la Ley 1232 de 2008, o la norma que lo modifique, aclare, adicione o sustituya, es decir, la condición de mujer cabeza de familia y su cesación se adquirirá desde el momento en que ocurra el respectivo evento y se declare ante notario por cada una de ellas. Esta declaración debe tener una fecha de expedición no mayor a treinta (30) días calendarios anteriores a la fecha del cierre del Proceso de Contratación.</w:t>
      </w:r>
    </w:p>
    <w:p w14:paraId="7AF6BFAE">
      <w:pPr>
        <w:spacing w:after="0" w:line="240" w:lineRule="auto"/>
        <w:rPr>
          <w:rFonts w:ascii="Arial Narrow" w:hAnsi="Arial Narrow" w:cs="Arial"/>
        </w:rPr>
      </w:pPr>
    </w:p>
    <w:p w14:paraId="6724718A">
      <w:pPr>
        <w:tabs>
          <w:tab w:val="left" w:pos="993"/>
        </w:tabs>
        <w:spacing w:after="0" w:line="240" w:lineRule="auto"/>
        <w:jc w:val="both"/>
        <w:rPr>
          <w:rFonts w:ascii="Arial Narrow" w:hAnsi="Arial Narrow" w:cs="Arial"/>
        </w:rPr>
      </w:pPr>
      <w:r>
        <w:rPr>
          <w:rFonts w:ascii="Arial Narrow" w:hAnsi="Arial Narrow" w:cs="Arial"/>
        </w:rPr>
        <w:t>Igualmente, se preferirá la propuesta de la mujer víctima de violencia intrafamiliar, la cual se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7C24BABB">
      <w:pPr>
        <w:tabs>
          <w:tab w:val="left" w:pos="993"/>
        </w:tabs>
        <w:spacing w:after="0" w:line="240" w:lineRule="auto"/>
        <w:jc w:val="both"/>
        <w:rPr>
          <w:rFonts w:ascii="Arial Narrow" w:hAnsi="Arial Narrow" w:cs="Arial"/>
        </w:rPr>
      </w:pPr>
    </w:p>
    <w:p w14:paraId="281CA4F3">
      <w:pPr>
        <w:tabs>
          <w:tab w:val="left" w:pos="993"/>
        </w:tabs>
        <w:spacing w:after="0" w:line="240" w:lineRule="auto"/>
        <w:jc w:val="both"/>
        <w:rPr>
          <w:rFonts w:ascii="Arial Narrow" w:hAnsi="Arial Narrow" w:cs="Arial"/>
        </w:rPr>
      </w:pPr>
      <w:r>
        <w:rPr>
          <w:rFonts w:ascii="Arial Narrow" w:hAnsi="Arial Narrow" w:cs="Arial"/>
        </w:rPr>
        <w:t>En el caso de las personas jurídicas se preferirá a aquellas en las que participen mayoritariamente mujeres cabeza de familia y/o mujeres víctimas de violencia intrafamiliar, para lo cual el representante legal o el revisor fiscal, según corresponda, podrá diligenciar el formato propuesto por la entidad, Formato 25A – Participación mayoritaria de mujeres cabeza de familia y/o mujeres víctimas de violencia intrafamiliar (persona jurídica) o acreditar este requisito mediante una manifestación bajo la gravedad de juramento, en la que certifique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DF0D26B">
      <w:pPr>
        <w:tabs>
          <w:tab w:val="left" w:pos="993"/>
        </w:tabs>
        <w:spacing w:after="0" w:line="240" w:lineRule="auto"/>
        <w:jc w:val="both"/>
        <w:rPr>
          <w:rFonts w:ascii="Arial Narrow" w:hAnsi="Arial Narrow" w:cs="Arial"/>
        </w:rPr>
      </w:pPr>
    </w:p>
    <w:p w14:paraId="4AC55266">
      <w:pPr>
        <w:spacing w:after="0" w:line="240" w:lineRule="auto"/>
        <w:jc w:val="both"/>
        <w:rPr>
          <w:rFonts w:ascii="Arial Narrow" w:hAnsi="Arial Narrow" w:cs="Arial"/>
        </w:rPr>
      </w:pPr>
      <w:r>
        <w:rPr>
          <w:rFonts w:ascii="Arial Narrow" w:hAnsi="Arial Narrow" w:cs="Arial"/>
        </w:rPr>
        <w:t>Finalmente, en el caso de los Proponentes Plurales, se preferirá la oferta cuando cada uno de los integrantes acredite alguna de las condiciones señaladas en los incisos anteriores de este numeral.</w:t>
      </w:r>
    </w:p>
    <w:p w14:paraId="0EF6F2E4">
      <w:pPr>
        <w:tabs>
          <w:tab w:val="left" w:pos="993"/>
        </w:tabs>
        <w:spacing w:after="0" w:line="240" w:lineRule="auto"/>
        <w:jc w:val="both"/>
        <w:rPr>
          <w:rFonts w:ascii="Arial Narrow" w:hAnsi="Arial Narrow" w:cs="Arial"/>
        </w:rPr>
      </w:pPr>
    </w:p>
    <w:p w14:paraId="32D0D485">
      <w:pPr>
        <w:tabs>
          <w:tab w:val="left" w:pos="993"/>
        </w:tabs>
        <w:spacing w:after="0" w:line="240" w:lineRule="auto"/>
        <w:jc w:val="both"/>
        <w:rPr>
          <w:rFonts w:ascii="Arial Narrow" w:hAnsi="Arial Narrow" w:cs="Arial"/>
        </w:rPr>
      </w:pPr>
      <w:r>
        <w:rPr>
          <w:rFonts w:ascii="Arial Narrow" w:hAnsi="Arial Narrow" w:cs="Arial"/>
        </w:rPr>
        <w:t xml:space="preserve">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autorice de forma previa y expresa, como es el caso de las mujeres víctimas de violencia intrafamiliar, para ello se podrá diligenciar el formato propuesto por la entidad, Formato 11 – Autorización para el tratamiento de datos personales o acreditar este requisito mediante una manifestación bajo la gravedad de juramento como requisito para el otorgamiento del criterio de desempate. </w:t>
      </w:r>
    </w:p>
    <w:p w14:paraId="1075B4EE">
      <w:pPr>
        <w:tabs>
          <w:tab w:val="left" w:pos="993"/>
        </w:tabs>
        <w:spacing w:after="0" w:line="240" w:lineRule="auto"/>
        <w:jc w:val="both"/>
        <w:rPr>
          <w:rFonts w:ascii="Arial Narrow" w:hAnsi="Arial Narrow" w:cs="Arial"/>
        </w:rPr>
      </w:pPr>
    </w:p>
    <w:p w14:paraId="0EAAD44C">
      <w:pPr>
        <w:numPr>
          <w:ilvl w:val="0"/>
          <w:numId w:val="34"/>
        </w:numPr>
        <w:tabs>
          <w:tab w:val="left" w:pos="142"/>
          <w:tab w:val="left" w:pos="284"/>
        </w:tabs>
        <w:spacing w:after="0" w:line="240" w:lineRule="auto"/>
        <w:ind w:left="0" w:firstLine="0"/>
        <w:jc w:val="both"/>
        <w:rPr>
          <w:rFonts w:ascii="Arial Narrow" w:hAnsi="Arial Narrow" w:cs="Arial"/>
        </w:rPr>
      </w:pPr>
      <w:r>
        <w:rPr>
          <w:rFonts w:ascii="Arial Narrow" w:hAnsi="Arial Narrow" w:cs="Arial"/>
        </w:rPr>
        <w:t xml:space="preserve">Preferir la propuesta presentada del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sea inferior a un (1) año y que manifieste adicionalmente que mantendrá dicho personal por un lapso igual al término de ejecución del contrato, para lo cual el Representante Legal podrá diligenciar el formato propuesto por la entidad  Formato 25B – Vinculación de personas en condición de discapacidad o acreditar este requisito mediante una manifestación bajo la gravedad de juramento. Para aquellos eventos en los que el diez por ciento (10 %) de la nómina corresponda a un número cuyo primer dígito decimal sea 5, 6, 7, 8 o 9 deberá realizarse la aproximación decimal al número entero siguiente. </w:t>
      </w:r>
    </w:p>
    <w:p w14:paraId="4A9F262D">
      <w:pPr>
        <w:tabs>
          <w:tab w:val="left" w:pos="993"/>
        </w:tabs>
        <w:spacing w:after="0" w:line="240" w:lineRule="auto"/>
        <w:jc w:val="both"/>
        <w:rPr>
          <w:rFonts w:ascii="Arial Narrow" w:hAnsi="Arial Narrow" w:cs="Arial"/>
        </w:rPr>
      </w:pPr>
    </w:p>
    <w:p w14:paraId="56885986">
      <w:pPr>
        <w:tabs>
          <w:tab w:val="left" w:pos="993"/>
        </w:tabs>
        <w:spacing w:after="0" w:line="240" w:lineRule="auto"/>
        <w:jc w:val="both"/>
        <w:rPr>
          <w:rFonts w:ascii="Arial Narrow" w:hAnsi="Arial Narrow" w:cs="Arial"/>
        </w:rPr>
      </w:pPr>
      <w:r>
        <w:rPr>
          <w:rFonts w:ascii="Arial Narrow" w:hAnsi="Arial Narrow" w:cs="Arial"/>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general habilitante. </w:t>
      </w:r>
    </w:p>
    <w:p w14:paraId="47DF46F7">
      <w:pPr>
        <w:tabs>
          <w:tab w:val="left" w:pos="993"/>
        </w:tabs>
        <w:spacing w:after="0" w:line="240" w:lineRule="auto"/>
        <w:jc w:val="both"/>
        <w:rPr>
          <w:rFonts w:ascii="Arial Narrow" w:hAnsi="Arial Narrow" w:cs="Arial"/>
        </w:rPr>
      </w:pPr>
    </w:p>
    <w:p w14:paraId="5BB2510A">
      <w:pPr>
        <w:tabs>
          <w:tab w:val="left" w:pos="993"/>
        </w:tabs>
        <w:spacing w:after="0" w:line="240" w:lineRule="auto"/>
        <w:jc w:val="both"/>
        <w:rPr>
          <w:rFonts w:ascii="Arial Narrow" w:hAnsi="Arial Narrow" w:cs="Arial"/>
        </w:rPr>
      </w:pPr>
      <w:r>
        <w:rPr>
          <w:rFonts w:ascii="Arial Narrow" w:hAnsi="Arial Narrow" w:cs="Arial"/>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62DBC845">
      <w:pPr>
        <w:tabs>
          <w:tab w:val="left" w:pos="993"/>
        </w:tabs>
        <w:spacing w:after="0" w:line="240" w:lineRule="auto"/>
        <w:jc w:val="both"/>
        <w:rPr>
          <w:rFonts w:ascii="Arial Narrow" w:hAnsi="Arial Narrow" w:cs="Arial"/>
        </w:rPr>
      </w:pPr>
    </w:p>
    <w:p w14:paraId="249EDE87">
      <w:pPr>
        <w:numPr>
          <w:ilvl w:val="0"/>
          <w:numId w:val="34"/>
        </w:numPr>
        <w:tabs>
          <w:tab w:val="left" w:pos="284"/>
        </w:tabs>
        <w:spacing w:after="0" w:line="240" w:lineRule="auto"/>
        <w:ind w:left="0" w:firstLine="0"/>
        <w:jc w:val="both"/>
        <w:rPr>
          <w:rFonts w:ascii="Arial Narrow" w:hAnsi="Arial Narrow" w:cs="Arial"/>
        </w:rPr>
      </w:pPr>
      <w:r>
        <w:rPr>
          <w:rFonts w:ascii="Arial Narrow" w:hAnsi="Arial Narrow" w:cs="Arial"/>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podrá diligenciar el formato propuesto por la entidad Formato 25C – Vinculación de personas mayores y no beneficiarias de la pensión de vejez, familiar o sobrevivencia – (Empleador – proponente) o acreditar este requisito mediante una manifestación bajo la gravedad de juramento en la cual certifique que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societaria inferior a un (1) año se tendrá en cuenta a aquellos que hayan estado vinculados desde el momento de la constitución de la persona jurídica. </w:t>
      </w:r>
    </w:p>
    <w:p w14:paraId="7DCBA440">
      <w:pPr>
        <w:tabs>
          <w:tab w:val="left" w:pos="709"/>
          <w:tab w:val="left" w:pos="851"/>
          <w:tab w:val="left" w:pos="993"/>
        </w:tabs>
        <w:spacing w:after="0" w:line="240" w:lineRule="auto"/>
        <w:jc w:val="both"/>
        <w:rPr>
          <w:rFonts w:ascii="Arial Narrow" w:hAnsi="Arial Narrow" w:cs="Arial"/>
        </w:rPr>
      </w:pPr>
    </w:p>
    <w:p w14:paraId="086928D5">
      <w:pPr>
        <w:spacing w:after="0" w:line="240" w:lineRule="auto"/>
        <w:jc w:val="both"/>
        <w:rPr>
          <w:rFonts w:ascii="Arial Narrow" w:hAnsi="Arial Narrow" w:cs="Arial"/>
        </w:rPr>
      </w:pPr>
      <w:r>
        <w:rPr>
          <w:rFonts w:ascii="Arial Narrow" w:hAnsi="Arial Narrow" w:cs="Arial"/>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45503757">
      <w:pPr>
        <w:spacing w:after="0" w:line="240" w:lineRule="auto"/>
        <w:jc w:val="both"/>
        <w:rPr>
          <w:rFonts w:ascii="Arial Narrow" w:hAnsi="Arial Narrow" w:cs="Arial"/>
        </w:rPr>
      </w:pPr>
    </w:p>
    <w:p w14:paraId="3167D4C8">
      <w:pPr>
        <w:spacing w:after="0" w:line="240" w:lineRule="auto"/>
        <w:jc w:val="both"/>
        <w:rPr>
          <w:rFonts w:ascii="Arial Narrow" w:hAnsi="Arial Narrow" w:cs="Arial"/>
        </w:rPr>
      </w:pPr>
      <w:r>
        <w:rPr>
          <w:rFonts w:ascii="Arial Narrow" w:hAnsi="Arial Narrow" w:cs="Arial"/>
        </w:rPr>
        <w:t>En el caso de los Proponentes Plurales, su representante legal podrá diligenciar el formato propuesto por la entidad Formato 25C – Vinculación de personas mayores y no beneficiaria de pensión de vejez, familiar o sobrevivencia – (Empleador – Proponente), o acreditar este requisito mediante una certificación bajo la gravedad de juramento en la cual conste que el número de trabajadores vinculados que siendo personas mayores no beneficiarias de la pensión de vejez, familiar o de sobrevivencia y además cumplien con el requisito de edad de pensión establecido en la ley, de todos los integrantes del Consorcio o de la Unión Temporal. Las personas enunciadas anteriormente podrán estar vinculadas a cualquiera de sus integrantes.</w:t>
      </w:r>
    </w:p>
    <w:p w14:paraId="775ABDC4">
      <w:pPr>
        <w:spacing w:after="0" w:line="240" w:lineRule="auto"/>
        <w:jc w:val="both"/>
        <w:rPr>
          <w:rFonts w:ascii="Arial Narrow" w:hAnsi="Arial Narrow" w:cs="Arial"/>
        </w:rPr>
      </w:pPr>
    </w:p>
    <w:p w14:paraId="6F2F027C">
      <w:pPr>
        <w:spacing w:after="0" w:line="240" w:lineRule="auto"/>
        <w:jc w:val="both"/>
        <w:rPr>
          <w:rFonts w:ascii="Arial Narrow" w:hAnsi="Arial Narrow" w:cs="Arial"/>
        </w:rPr>
      </w:pPr>
      <w:r>
        <w:rPr>
          <w:rFonts w:ascii="Arial Narrow" w:hAnsi="Arial Narrow" w:cs="Arial"/>
        </w:rPr>
        <w:t>En cualquiera de los dos supuestos anteriores, para el otorgamiento del criterio de desempate cada uno de los trabajadores que cumpla las condiciones previstas por la ley podrá diligenciar el formato propuesto por la entidad Formato 25C – Vinculación de personas mayores y no beneficiaria de pensión de vejez, familiar o sobrevivencia (Trabajador), o acreditar este requisito mediante una manifestación bajo la gravedad de juramento en la cual certifique que no es beneficiario de pensión de vejez, familiar o sobrevivencia y cumple la edad de pensión, además, se deberá allegar el documento de identificación del trabajador que lo firma.</w:t>
      </w:r>
    </w:p>
    <w:p w14:paraId="797F39AB">
      <w:pPr>
        <w:spacing w:after="0" w:line="240" w:lineRule="auto"/>
        <w:jc w:val="both"/>
        <w:rPr>
          <w:rFonts w:ascii="Arial Narrow" w:hAnsi="Arial Narrow" w:cs="Arial"/>
        </w:rPr>
      </w:pPr>
    </w:p>
    <w:p w14:paraId="20D4413F">
      <w:pPr>
        <w:spacing w:after="0" w:line="240" w:lineRule="auto"/>
        <w:jc w:val="both"/>
        <w:rPr>
          <w:rFonts w:ascii="Arial Narrow" w:hAnsi="Arial Narrow" w:cs="Arial"/>
        </w:rPr>
      </w:pPr>
      <w:r>
        <w:rPr>
          <w:rFonts w:ascii="Arial Narrow" w:hAnsi="Arial Narrow" w:cs="Arial"/>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09D7C590">
      <w:pPr>
        <w:spacing w:after="0" w:line="240" w:lineRule="auto"/>
        <w:jc w:val="both"/>
        <w:rPr>
          <w:rFonts w:ascii="Arial Narrow" w:hAnsi="Arial Narrow" w:cs="Arial"/>
        </w:rPr>
      </w:pPr>
    </w:p>
    <w:p w14:paraId="35C2D737">
      <w:pPr>
        <w:numPr>
          <w:ilvl w:val="0"/>
          <w:numId w:val="34"/>
        </w:numPr>
        <w:tabs>
          <w:tab w:val="left" w:pos="142"/>
          <w:tab w:val="left" w:pos="284"/>
        </w:tabs>
        <w:spacing w:after="0" w:line="240" w:lineRule="auto"/>
        <w:ind w:left="0" w:firstLine="0"/>
        <w:jc w:val="both"/>
        <w:rPr>
          <w:rFonts w:ascii="Arial Narrow" w:hAnsi="Arial Narrow" w:cs="Arial"/>
        </w:rPr>
      </w:pPr>
      <w:r>
        <w:rPr>
          <w:rFonts w:ascii="Arial Narrow" w:hAnsi="Arial Narrow" w:cs="Arial"/>
        </w:rPr>
        <w:t xml:space="preserve">Preferir la propuesta presentada por el oferente que acredite, en las condiciones establecidas en la Ley 2069 de 2020 y eñ Decreto 1860 del 2021, que por lo menos el diez por ciento (10%) de su nómina pertenece a población indígena, negra, afrocolombiana, raizal, palanquera, Rrom o gitana, para lo cual, la persona natural, el representante legal o el revisor fiscal, según corresponda, podrá diligenciar el formato propuesto por la entidad Formato 25D – Vinculación de población indígena, negra, afrocolombiana, raizal, palenquera, Rrom o gitanas o acreditar este requisito mediante una manifestación bajo la gravedad de juramento en la cual certifique que las personas vinculadas a su nómina pertenecen a la población indígena, negra, afrocolombiana, raizal, palanquera, Rrom o gitana, debiendo incluir el número de identificación y el nombre de las personas que pertenecen a uno cualquiera de estos grupos étnicos.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 </w:t>
      </w:r>
    </w:p>
    <w:p w14:paraId="0EC731C6">
      <w:pPr>
        <w:tabs>
          <w:tab w:val="left" w:pos="1134"/>
        </w:tabs>
        <w:spacing w:after="0" w:line="240" w:lineRule="auto"/>
        <w:jc w:val="both"/>
        <w:rPr>
          <w:rFonts w:ascii="Arial Narrow" w:hAnsi="Arial Narrow" w:cs="Arial"/>
        </w:rPr>
      </w:pPr>
    </w:p>
    <w:p w14:paraId="0ACD35C6">
      <w:pPr>
        <w:tabs>
          <w:tab w:val="left" w:pos="1134"/>
        </w:tabs>
        <w:spacing w:after="0" w:line="240" w:lineRule="auto"/>
        <w:jc w:val="both"/>
        <w:rPr>
          <w:rFonts w:ascii="Arial Narrow" w:hAnsi="Arial Narrow" w:cs="Arial"/>
        </w:rPr>
      </w:pPr>
      <w:r>
        <w:rPr>
          <w:rFonts w:ascii="Arial Narrow" w:hAnsi="Arial Narrow" w:cs="Arial"/>
        </w:rPr>
        <w:t>El tiempo de vinculación en la planta referida de que trata el inciso anterior se acreditará con el certificado del pago de aportes efectuados al seguridad social del último año o del tiempo de su constitución cuando su conformación es inferior a un (1) año, en el que se demuestren los pagos realizados por el empleador.</w:t>
      </w:r>
    </w:p>
    <w:p w14:paraId="7D94B349">
      <w:pPr>
        <w:tabs>
          <w:tab w:val="left" w:pos="1134"/>
        </w:tabs>
        <w:spacing w:after="0" w:line="240" w:lineRule="auto"/>
        <w:jc w:val="both"/>
        <w:rPr>
          <w:rFonts w:ascii="Arial Narrow" w:hAnsi="Arial Narrow" w:cs="Arial"/>
        </w:rPr>
      </w:pPr>
    </w:p>
    <w:p w14:paraId="4CAEE6DD">
      <w:pPr>
        <w:tabs>
          <w:tab w:val="left" w:pos="1134"/>
        </w:tabs>
        <w:spacing w:after="0" w:line="240" w:lineRule="auto"/>
        <w:jc w:val="both"/>
        <w:rPr>
          <w:rFonts w:ascii="Arial Narrow" w:hAnsi="Arial Narrow" w:cs="Arial"/>
        </w:rPr>
      </w:pPr>
      <w:r>
        <w:rPr>
          <w:rFonts w:ascii="Arial Narrow" w:hAnsi="Arial Narrow" w:cs="Arial"/>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6CDB8320">
      <w:pPr>
        <w:spacing w:after="0" w:line="240" w:lineRule="auto"/>
        <w:jc w:val="both"/>
        <w:rPr>
          <w:rFonts w:ascii="Arial Narrow" w:hAnsi="Arial Narrow" w:cs="Arial"/>
        </w:rPr>
      </w:pPr>
    </w:p>
    <w:p w14:paraId="3C425078">
      <w:pPr>
        <w:spacing w:after="0" w:line="240" w:lineRule="auto"/>
        <w:jc w:val="both"/>
        <w:rPr>
          <w:rFonts w:ascii="Arial Narrow" w:hAnsi="Arial Narrow" w:cs="Arial"/>
        </w:rPr>
      </w:pPr>
      <w:r>
        <w:rPr>
          <w:rFonts w:ascii="Arial Narrow" w:hAnsi="Arial Narrow" w:cs="Arial"/>
        </w:rPr>
        <w:t>En el caso de los Proponentes Plurales, su representante legal podrá diligenciar el formato propuesto por la entidad Formato 25D – Vinculación de población indígena, negra, afrocolombiana, raizal, palenquera, Rrom o gitanas o acreditar este requisito mediante una manifestación bajo la gravedad de juramento en la cual certifique que por lo menos el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se acredite que el trabajador pertenece a la población indígena, negra, afrocolombiana, raizal, palenquera, Rrom o gitana en los términos del Decreto Ley 2893 de 2011, o la norma que lo modifique, sustituya o complemente.</w:t>
      </w:r>
    </w:p>
    <w:p w14:paraId="5715F085">
      <w:pPr>
        <w:spacing w:after="0" w:line="240" w:lineRule="auto"/>
        <w:jc w:val="both"/>
        <w:rPr>
          <w:rFonts w:ascii="Arial Narrow" w:hAnsi="Arial Narrow" w:cs="Arial"/>
        </w:rPr>
      </w:pPr>
    </w:p>
    <w:p w14:paraId="7FB911DA">
      <w:pPr>
        <w:tabs>
          <w:tab w:val="left" w:pos="993"/>
        </w:tabs>
        <w:spacing w:after="0" w:line="240" w:lineRule="auto"/>
        <w:jc w:val="both"/>
        <w:rPr>
          <w:rFonts w:ascii="Arial Narrow" w:hAnsi="Arial Narrow" w:cs="Arial"/>
        </w:rPr>
      </w:pPr>
      <w:r>
        <w:rPr>
          <w:rFonts w:ascii="Arial Narrow" w:hAnsi="Arial Narrow" w:cs="Arial"/>
        </w:rPr>
        <w:t>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de estos, como es el caso de las personas que pertenece a la población indígena, negra, afrocolombiana, raizal, palenquera, Rrom o gitana, diligencien el Formato 11 - Autorización para el tratamiento de datos personales como requisito para el otorgamiento del criterio de desempate en el que consigne su autorización previa y expresa.</w:t>
      </w:r>
    </w:p>
    <w:p w14:paraId="79EEDBD7">
      <w:pPr>
        <w:tabs>
          <w:tab w:val="left" w:pos="993"/>
        </w:tabs>
        <w:spacing w:after="0" w:line="240" w:lineRule="auto"/>
        <w:jc w:val="both"/>
        <w:rPr>
          <w:rFonts w:ascii="Arial Narrow" w:hAnsi="Arial Narrow" w:cs="Arial"/>
        </w:rPr>
      </w:pPr>
    </w:p>
    <w:p w14:paraId="5B74CCDA">
      <w:pPr>
        <w:numPr>
          <w:ilvl w:val="0"/>
          <w:numId w:val="34"/>
        </w:numPr>
        <w:tabs>
          <w:tab w:val="left" w:pos="142"/>
          <w:tab w:val="left" w:pos="284"/>
        </w:tabs>
        <w:spacing w:after="0" w:line="240" w:lineRule="auto"/>
        <w:ind w:left="0" w:firstLine="0"/>
        <w:jc w:val="both"/>
        <w:rPr>
          <w:rFonts w:ascii="Arial Narrow" w:hAnsi="Arial Narrow" w:cs="Arial"/>
        </w:rPr>
      </w:pPr>
      <w:r>
        <w:rPr>
          <w:rFonts w:ascii="Arial Narrow" w:hAnsi="Arial Narrow" w:cs="Arial"/>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de forma individual iii) Certificado expedido por la Agencia para la Reincorporación y Normalización que acredite que la persona se encuentra en proceso de reinserción o reincorporación o, iv) cualquier otro certificado que para el efecto determine la Ley. Además, se entregará copia del documento de identificación de la persona en proceso de reintegración o reincorporación.</w:t>
      </w:r>
    </w:p>
    <w:p w14:paraId="2AE3A9E1">
      <w:pPr>
        <w:tabs>
          <w:tab w:val="left" w:pos="993"/>
          <w:tab w:val="left" w:pos="1134"/>
        </w:tabs>
        <w:spacing w:after="0" w:line="240" w:lineRule="auto"/>
        <w:jc w:val="both"/>
        <w:rPr>
          <w:rFonts w:ascii="Arial Narrow" w:hAnsi="Arial Narrow" w:cs="Arial"/>
        </w:rPr>
      </w:pPr>
    </w:p>
    <w:p w14:paraId="7AF8D8AD">
      <w:pPr>
        <w:spacing w:after="0" w:line="240" w:lineRule="auto"/>
        <w:jc w:val="both"/>
        <w:rPr>
          <w:rFonts w:ascii="Arial Narrow" w:hAnsi="Arial Narrow" w:cs="Arial"/>
        </w:rPr>
      </w:pPr>
      <w:r>
        <w:rPr>
          <w:rFonts w:ascii="Arial Narrow" w:hAnsi="Arial Narrow" w:cs="Arial"/>
        </w:rPr>
        <w:t>En el caso de las personas jurídicas, el representante legal o el revisor fiscal, si están obligados a tenerlo, podrán diligenciar el formato propuesto por la entidad Formato 25E - Participación mayoritaria de personas en proceso de reincorporación y/o reintegración (personas jurídicas), o acreditar este requisito mediante una manifestación bajo la gravedad de juramento en la cual se certifique que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de reintegración.</w:t>
      </w:r>
    </w:p>
    <w:p w14:paraId="379D710A">
      <w:pPr>
        <w:spacing w:after="0" w:line="240" w:lineRule="auto"/>
        <w:jc w:val="both"/>
        <w:rPr>
          <w:rFonts w:ascii="Arial Narrow" w:hAnsi="Arial Narrow" w:cs="Arial"/>
        </w:rPr>
      </w:pPr>
    </w:p>
    <w:p w14:paraId="2E0660C7">
      <w:pPr>
        <w:spacing w:after="0" w:line="240" w:lineRule="auto"/>
        <w:jc w:val="both"/>
        <w:rPr>
          <w:rFonts w:ascii="Arial Narrow" w:hAnsi="Arial Narrow" w:cs="Arial"/>
        </w:rPr>
      </w:pPr>
      <w:r>
        <w:rPr>
          <w:rFonts w:ascii="Arial Narrow" w:hAnsi="Arial Narrow" w:cs="Arial"/>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podrán diligenciar el formato propuesto por la entidad Formato 25E - Participación mayoritaria de personas en proceso de reincorporación (persona jurídica integrante del Proponente Plural) o acreditar este requisito mediante una manifestación bajo la gravedad de juramento junto con los documentos de identificación de cada una de las personas en proceso de reincorporación.</w:t>
      </w:r>
    </w:p>
    <w:p w14:paraId="45BB8B75">
      <w:pPr>
        <w:tabs>
          <w:tab w:val="left" w:pos="993"/>
        </w:tabs>
        <w:spacing w:after="0" w:line="240" w:lineRule="auto"/>
        <w:jc w:val="both"/>
        <w:rPr>
          <w:rFonts w:ascii="Arial Narrow" w:hAnsi="Arial Narrow" w:cs="Arial"/>
        </w:rPr>
      </w:pPr>
    </w:p>
    <w:p w14:paraId="46E1E730">
      <w:pPr>
        <w:tabs>
          <w:tab w:val="left" w:pos="993"/>
        </w:tabs>
        <w:spacing w:after="0" w:line="240" w:lineRule="auto"/>
        <w:jc w:val="both"/>
        <w:rPr>
          <w:rFonts w:ascii="Arial Narrow" w:hAnsi="Arial Narrow" w:cs="Arial"/>
        </w:rPr>
      </w:pPr>
      <w:r>
        <w:rPr>
          <w:rFonts w:ascii="Arial Narrow" w:hAnsi="Arial Narrow" w:cs="Arial"/>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 Autorización para el tratamiento de datos personales como requisito para el otorgamiento del criterio de desempate. </w:t>
      </w:r>
    </w:p>
    <w:p w14:paraId="636EF48D">
      <w:pPr>
        <w:tabs>
          <w:tab w:val="left" w:pos="993"/>
        </w:tabs>
        <w:spacing w:after="0" w:line="240" w:lineRule="auto"/>
        <w:jc w:val="both"/>
        <w:rPr>
          <w:rFonts w:ascii="Arial Narrow" w:hAnsi="Arial Narrow" w:cs="Arial"/>
        </w:rPr>
      </w:pPr>
    </w:p>
    <w:p w14:paraId="32A8B671">
      <w:pPr>
        <w:numPr>
          <w:ilvl w:val="0"/>
          <w:numId w:val="34"/>
        </w:numPr>
        <w:tabs>
          <w:tab w:val="left" w:pos="284"/>
        </w:tabs>
        <w:spacing w:after="0" w:line="240" w:lineRule="auto"/>
        <w:ind w:left="0" w:firstLine="0"/>
        <w:jc w:val="both"/>
        <w:rPr>
          <w:rFonts w:ascii="Arial Narrow" w:hAnsi="Arial Narrow" w:cs="Arial"/>
        </w:rPr>
      </w:pPr>
      <w:r>
        <w:rPr>
          <w:rFonts w:ascii="Arial Narrow" w:hAnsi="Arial Narrow" w:cs="Arial"/>
        </w:rPr>
        <w:t xml:space="preserve"> Preferir la oferta presentada por un Proponente Plural siempre que se cumplan las condiciones de los siguientes literales:</w:t>
      </w:r>
    </w:p>
    <w:p w14:paraId="0D6BD223">
      <w:pPr>
        <w:tabs>
          <w:tab w:val="left" w:pos="993"/>
        </w:tabs>
        <w:spacing w:after="0" w:line="240" w:lineRule="auto"/>
        <w:jc w:val="both"/>
        <w:rPr>
          <w:rFonts w:ascii="Arial Narrow" w:hAnsi="Arial Narrow" w:cs="Arial"/>
        </w:rPr>
      </w:pPr>
    </w:p>
    <w:p w14:paraId="7C694E52">
      <w:pPr>
        <w:tabs>
          <w:tab w:val="left" w:pos="993"/>
        </w:tabs>
        <w:spacing w:after="0" w:line="240" w:lineRule="auto"/>
        <w:jc w:val="both"/>
        <w:rPr>
          <w:rFonts w:ascii="Arial Narrow" w:hAnsi="Arial Narrow" w:cs="Arial"/>
        </w:rPr>
      </w:pPr>
      <w:r>
        <w:rPr>
          <w:rFonts w:ascii="Arial Narrow" w:hAnsi="Arial Narrow" w:cs="Arial"/>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podrán diligenciar el formato propuesto por la entidad Formato 25F – Participación mayoritaria de mujeres cabeza de familia y/o personas en proceso de reincorporación o reintegración (personas jurídicas), o acreditar este requisito mediante una manifestación bajo la gravedad de juramento en el cual certifique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14:paraId="6EEE962C">
      <w:pPr>
        <w:tabs>
          <w:tab w:val="left" w:pos="993"/>
        </w:tabs>
        <w:spacing w:after="0" w:line="240" w:lineRule="auto"/>
        <w:jc w:val="both"/>
        <w:rPr>
          <w:rFonts w:ascii="Arial Narrow" w:hAnsi="Arial Narrow" w:cs="Arial"/>
        </w:rPr>
      </w:pPr>
    </w:p>
    <w:p w14:paraId="520415E3">
      <w:pPr>
        <w:tabs>
          <w:tab w:val="left" w:pos="993"/>
        </w:tabs>
        <w:spacing w:after="0" w:line="240" w:lineRule="auto"/>
        <w:jc w:val="both"/>
        <w:rPr>
          <w:rFonts w:ascii="Arial Narrow" w:hAnsi="Arial Narrow" w:cs="Arial"/>
        </w:rPr>
      </w:pPr>
      <w:r>
        <w:rPr>
          <w:rFonts w:ascii="Arial Narrow" w:hAnsi="Arial Narrow" w:cs="Arial"/>
        </w:rPr>
        <w:t>(b) El integrante del Proponente Plural debe aportar mínimo el veinticinco por ciento (25%) de la experiencia general acreditada en la oferta.</w:t>
      </w:r>
    </w:p>
    <w:p w14:paraId="01C881B5">
      <w:pPr>
        <w:tabs>
          <w:tab w:val="left" w:pos="993"/>
        </w:tabs>
        <w:spacing w:after="0" w:line="240" w:lineRule="auto"/>
        <w:jc w:val="both"/>
        <w:rPr>
          <w:rFonts w:ascii="Arial Narrow" w:hAnsi="Arial Narrow" w:cs="Arial"/>
        </w:rPr>
      </w:pPr>
    </w:p>
    <w:p w14:paraId="0424A0E0">
      <w:pPr>
        <w:tabs>
          <w:tab w:val="left" w:pos="993"/>
        </w:tabs>
        <w:spacing w:after="0" w:line="240" w:lineRule="auto"/>
        <w:jc w:val="both"/>
        <w:rPr>
          <w:rFonts w:ascii="Arial Narrow" w:hAnsi="Arial Narrow" w:cs="Arial"/>
        </w:rPr>
      </w:pPr>
      <w:r>
        <w:rPr>
          <w:rFonts w:ascii="Arial Narrow" w:hAnsi="Arial Narrow" w:cs="Arial"/>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podrá diligenciar el formato propuesto por la entidad “Formato 25F Participación mayoritaria de mujeres cabeza de familia y/o personas en proceso de reincorporación y/o reintegración” o acreditar este requisito mediante una manifestación bajo la gravedad de juramento. </w:t>
      </w:r>
    </w:p>
    <w:p w14:paraId="0C3C53A0">
      <w:pPr>
        <w:tabs>
          <w:tab w:val="left" w:pos="993"/>
        </w:tabs>
        <w:spacing w:after="0" w:line="240" w:lineRule="auto"/>
        <w:jc w:val="both"/>
        <w:rPr>
          <w:rFonts w:ascii="Arial Narrow" w:hAnsi="Arial Narrow" w:cs="Arial"/>
        </w:rPr>
      </w:pPr>
    </w:p>
    <w:p w14:paraId="0160C59C">
      <w:pPr>
        <w:tabs>
          <w:tab w:val="left" w:pos="993"/>
        </w:tabs>
        <w:spacing w:after="0" w:line="240" w:lineRule="auto"/>
        <w:jc w:val="both"/>
        <w:rPr>
          <w:rFonts w:ascii="Arial Narrow" w:hAnsi="Arial Narrow" w:cs="Arial"/>
        </w:rPr>
      </w:pPr>
      <w:r>
        <w:rPr>
          <w:rFonts w:ascii="Arial Narrow" w:hAnsi="Arial Narrow" w:cs="Arial"/>
        </w:rPr>
        <w:t xml:space="preserve">Debido a que para el otorgamiento de este criterio de desempate se entregan certificados que contienen datos sensibles, de acuerdo con el artículo 6, literal a) de la Ley 1581 de 2012, se requiere que el titular de la información, como es el caso de las personas en proceso de reincorporación y/o reintegración, diligencien el “Formato 11 - Autorización para el tratamiento de datos personales” como requisito para el otorgamiento del criterio de desempate.  </w:t>
      </w:r>
    </w:p>
    <w:p w14:paraId="7889A77F">
      <w:pPr>
        <w:spacing w:after="0" w:line="240" w:lineRule="auto"/>
        <w:rPr>
          <w:rFonts w:ascii="Arial Narrow" w:hAnsi="Arial Narrow" w:cs="Arial"/>
        </w:rPr>
      </w:pPr>
    </w:p>
    <w:p w14:paraId="53EBA46B">
      <w:pPr>
        <w:numPr>
          <w:ilvl w:val="0"/>
          <w:numId w:val="34"/>
        </w:numPr>
        <w:tabs>
          <w:tab w:val="left" w:pos="142"/>
          <w:tab w:val="left" w:pos="284"/>
        </w:tabs>
        <w:spacing w:after="0" w:line="240" w:lineRule="auto"/>
        <w:ind w:left="0" w:firstLine="0"/>
        <w:jc w:val="both"/>
        <w:rPr>
          <w:rFonts w:ascii="Arial Narrow" w:hAnsi="Arial Narrow" w:cs="Arial"/>
        </w:rPr>
      </w:pPr>
      <w:r>
        <w:rPr>
          <w:rFonts w:ascii="Arial Narrow" w:hAnsi="Arial Narrow" w:cs="Arial"/>
        </w:rPr>
        <w:t xml:space="preserve">Preferir la oferta presentada por una Mipyme, para lo cual se verificará en los términos del artículo 2.2.1.2.      4.2.4 del Decreto 1860 de 2021, en concordancia con el parágrafo del artículo 2.2.1.13.2.4 del Decreto 1074 de 2015. En este sentido, la acreditación del tamaño empresarial el proponente podrá diligenciar el formato propuesto por la entidad “Formato 25G – Acreditación Mipyme” o acreditar este requisito mediante una manifestación bajo la gravedad de juramento, en la que certifique que la Mipyme tiene el tamaño empresarial establecido de conformidad con la Ley 590 de 2000 y el Decreto 1074 de 2015, o las normas que lo modifiquen, sustituyan o complementen. </w:t>
      </w:r>
    </w:p>
    <w:p w14:paraId="120F8B8B">
      <w:pPr>
        <w:tabs>
          <w:tab w:val="left" w:pos="709"/>
          <w:tab w:val="left" w:pos="993"/>
        </w:tabs>
        <w:spacing w:after="0" w:line="240" w:lineRule="auto"/>
        <w:jc w:val="both"/>
        <w:rPr>
          <w:rFonts w:ascii="Arial Narrow" w:hAnsi="Arial Narrow" w:cs="Arial"/>
        </w:rPr>
      </w:pPr>
    </w:p>
    <w:p w14:paraId="796911D5">
      <w:pPr>
        <w:tabs>
          <w:tab w:val="left" w:pos="709"/>
          <w:tab w:val="left" w:pos="993"/>
        </w:tabs>
        <w:spacing w:after="0" w:line="240" w:lineRule="auto"/>
        <w:jc w:val="both"/>
        <w:rPr>
          <w:rFonts w:ascii="Arial Narrow" w:hAnsi="Arial Narrow" w:cs="Arial"/>
        </w:rPr>
      </w:pPr>
      <w:r>
        <w:rPr>
          <w:rFonts w:ascii="Arial Narrow" w:hAnsi="Arial Narrow"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EDE1D60">
      <w:pPr>
        <w:tabs>
          <w:tab w:val="left" w:pos="709"/>
          <w:tab w:val="left" w:pos="993"/>
        </w:tabs>
        <w:spacing w:after="0" w:line="240" w:lineRule="auto"/>
        <w:jc w:val="both"/>
        <w:rPr>
          <w:rFonts w:ascii="Arial Narrow" w:hAnsi="Arial Narrow" w:cs="Arial"/>
        </w:rPr>
      </w:pPr>
    </w:p>
    <w:p w14:paraId="3A19D599">
      <w:pPr>
        <w:tabs>
          <w:tab w:val="left" w:pos="709"/>
          <w:tab w:val="left" w:pos="993"/>
        </w:tabs>
        <w:spacing w:after="0" w:line="240" w:lineRule="auto"/>
        <w:jc w:val="both"/>
        <w:rPr>
          <w:rFonts w:ascii="Arial Narrow" w:hAnsi="Arial Narrow" w:cs="Arial"/>
        </w:rPr>
      </w:pPr>
      <w:r>
        <w:rPr>
          <w:rFonts w:ascii="Arial Narrow" w:hAnsi="Arial Narrow" w:cs="Arial"/>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C2433BD">
      <w:pPr>
        <w:tabs>
          <w:tab w:val="left" w:pos="709"/>
          <w:tab w:val="left" w:pos="993"/>
        </w:tabs>
        <w:spacing w:after="0" w:line="240" w:lineRule="auto"/>
        <w:jc w:val="both"/>
        <w:rPr>
          <w:rFonts w:ascii="Arial Narrow" w:hAnsi="Arial Narrow" w:cs="Arial"/>
        </w:rPr>
      </w:pPr>
    </w:p>
    <w:p w14:paraId="63E19560">
      <w:pPr>
        <w:numPr>
          <w:ilvl w:val="0"/>
          <w:numId w:val="34"/>
        </w:numPr>
        <w:tabs>
          <w:tab w:val="left" w:pos="142"/>
          <w:tab w:val="left" w:pos="284"/>
        </w:tabs>
        <w:spacing w:after="0" w:line="240" w:lineRule="auto"/>
        <w:ind w:left="0" w:firstLine="0"/>
        <w:jc w:val="both"/>
        <w:rPr>
          <w:rFonts w:ascii="Arial Narrow" w:hAnsi="Arial Narrow" w:cs="Arial"/>
        </w:rPr>
      </w:pPr>
      <w:r>
        <w:rPr>
          <w:rFonts w:ascii="Arial Narrow" w:hAnsi="Arial Narrow" w:cs="Arial"/>
        </w:rPr>
        <w:t>Preferir la oferta presentada por el Proponente Plural constituido en su totalidad por micro y/o pequeñas empresas, cooperativas o asociaciones mutuales.</w:t>
      </w:r>
    </w:p>
    <w:p w14:paraId="602C7B29">
      <w:pPr>
        <w:tabs>
          <w:tab w:val="left" w:pos="709"/>
          <w:tab w:val="left" w:pos="993"/>
        </w:tabs>
        <w:spacing w:after="0" w:line="240" w:lineRule="auto"/>
        <w:jc w:val="both"/>
        <w:rPr>
          <w:rFonts w:ascii="Arial Narrow" w:hAnsi="Arial Narrow" w:cs="Arial"/>
        </w:rPr>
      </w:pPr>
    </w:p>
    <w:p w14:paraId="257DB454">
      <w:pPr>
        <w:tabs>
          <w:tab w:val="left" w:pos="709"/>
          <w:tab w:val="left" w:pos="993"/>
        </w:tabs>
        <w:spacing w:after="0" w:line="240" w:lineRule="auto"/>
        <w:jc w:val="both"/>
        <w:rPr>
          <w:rFonts w:ascii="Arial Narrow" w:hAnsi="Arial Narrow" w:cs="Arial"/>
        </w:rPr>
      </w:pPr>
      <w:r>
        <w:rPr>
          <w:rFonts w:ascii="Arial Narrow" w:hAnsi="Arial Narrow" w:cs="Arial"/>
        </w:rPr>
        <w:t>La condición de micro o pequeña empresa se verificará en los términos del parágrafo del artículo 2.2.1.13.2.4 del Decreto 1074 de 2015, esto es, la acreditación del tamaño empresarial, para ello el proponente podrá diligenciar el formato propuesto por la entidad “Formato 25G – Acreditación Mipyme”, o acreditar este requisito mediante una manifestación bajo la gravedad de juramento en la que certifique la condición de micro o pequeña empresa de conformidad con la Ley 590 de 2000 y el Decreto 1074 de 2015, o las normas que lo modifiquen, sustituyan o complementen.</w:t>
      </w:r>
    </w:p>
    <w:p w14:paraId="627BCB96">
      <w:pPr>
        <w:tabs>
          <w:tab w:val="left" w:pos="709"/>
          <w:tab w:val="left" w:pos="993"/>
        </w:tabs>
        <w:spacing w:after="0" w:line="240" w:lineRule="auto"/>
        <w:jc w:val="both"/>
        <w:rPr>
          <w:rFonts w:ascii="Arial Narrow" w:hAnsi="Arial Narrow" w:cs="Arial"/>
        </w:rPr>
      </w:pPr>
    </w:p>
    <w:p w14:paraId="423E27DD">
      <w:pPr>
        <w:tabs>
          <w:tab w:val="left" w:pos="709"/>
          <w:tab w:val="left" w:pos="993"/>
        </w:tabs>
        <w:spacing w:after="0" w:line="240" w:lineRule="auto"/>
        <w:jc w:val="both"/>
        <w:rPr>
          <w:rFonts w:ascii="Arial Narrow" w:hAnsi="Arial Narrow" w:cs="Arial"/>
        </w:rPr>
      </w:pPr>
      <w:r>
        <w:rPr>
          <w:rFonts w:ascii="Arial Narrow" w:hAnsi="Arial Narrow" w:cs="Arial"/>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658C121D">
      <w:pPr>
        <w:tabs>
          <w:tab w:val="left" w:pos="709"/>
          <w:tab w:val="left" w:pos="993"/>
        </w:tabs>
        <w:spacing w:after="0" w:line="240" w:lineRule="auto"/>
        <w:jc w:val="both"/>
        <w:rPr>
          <w:rFonts w:ascii="Arial Narrow" w:hAnsi="Arial Narrow" w:cs="Arial"/>
        </w:rPr>
      </w:pPr>
    </w:p>
    <w:p w14:paraId="499FD1A7">
      <w:pPr>
        <w:numPr>
          <w:ilvl w:val="0"/>
          <w:numId w:val="34"/>
        </w:numPr>
        <w:tabs>
          <w:tab w:val="left" w:pos="142"/>
          <w:tab w:val="left" w:pos="284"/>
        </w:tabs>
        <w:spacing w:after="0" w:line="240" w:lineRule="auto"/>
        <w:ind w:left="0" w:firstLine="0"/>
        <w:jc w:val="both"/>
        <w:rPr>
          <w:rFonts w:ascii="Arial Narrow" w:hAnsi="Arial Narrow" w:cs="Arial"/>
        </w:rPr>
      </w:pPr>
      <w:r>
        <w:rPr>
          <w:rFonts w:ascii="Arial Narrow" w:hAnsi="Arial Narrow" w:cs="Arial"/>
        </w:rPr>
        <w:t>Preferir al oferente persona natural o jurídica que acredite, de acuerdo con sus estados financieros o información contable con corte al 31 de diciembre del año anterior, que por lo menos el veinticinco por ciento (25%)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podrá diligenciar el formato propuesto por la entidad “Formato 25H - Pagos realizados a Mipymes, cooperativas o asociaciones mutuales” o acreditar este requisito mediante una manifestación bajo la gravedad de juramento</w:t>
      </w:r>
    </w:p>
    <w:p w14:paraId="133ADBD2">
      <w:pPr>
        <w:tabs>
          <w:tab w:val="left" w:pos="709"/>
          <w:tab w:val="left" w:pos="993"/>
        </w:tabs>
        <w:spacing w:after="0" w:line="240" w:lineRule="auto"/>
        <w:jc w:val="both"/>
        <w:rPr>
          <w:rFonts w:ascii="Arial Narrow" w:hAnsi="Arial Narrow" w:cs="Arial"/>
        </w:rPr>
      </w:pPr>
    </w:p>
    <w:p w14:paraId="540FCD32">
      <w:pPr>
        <w:tabs>
          <w:tab w:val="left" w:pos="709"/>
          <w:tab w:val="left" w:pos="993"/>
        </w:tabs>
        <w:spacing w:after="0" w:line="240" w:lineRule="auto"/>
        <w:jc w:val="both"/>
        <w:rPr>
          <w:rFonts w:ascii="Arial Narrow" w:hAnsi="Arial Narrow" w:cs="Arial"/>
        </w:rPr>
      </w:pPr>
      <w:r>
        <w:rPr>
          <w:rFonts w:ascii="Arial Narrow" w:hAnsi="Arial Narrow" w:cs="Arial"/>
        </w:rPr>
        <w:t>Igualmente, cuando la oferta es presentada por un Proponente Plural se preferirá a este siempre que:</w:t>
      </w:r>
    </w:p>
    <w:p w14:paraId="7D3FE30F">
      <w:pPr>
        <w:tabs>
          <w:tab w:val="left" w:pos="709"/>
          <w:tab w:val="left" w:pos="993"/>
        </w:tabs>
        <w:spacing w:after="0" w:line="240" w:lineRule="auto"/>
        <w:jc w:val="both"/>
        <w:rPr>
          <w:rFonts w:ascii="Arial Narrow" w:hAnsi="Arial Narrow" w:cs="Arial"/>
        </w:rPr>
      </w:pPr>
    </w:p>
    <w:p w14:paraId="16F6A5DF">
      <w:pPr>
        <w:tabs>
          <w:tab w:val="left" w:pos="709"/>
          <w:tab w:val="left" w:pos="993"/>
        </w:tabs>
        <w:spacing w:after="0" w:line="240" w:lineRule="auto"/>
        <w:jc w:val="both"/>
        <w:rPr>
          <w:rFonts w:ascii="Arial Narrow" w:hAnsi="Arial Narrow" w:cs="Arial"/>
        </w:rPr>
      </w:pPr>
      <w:r>
        <w:rPr>
          <w:rFonts w:ascii="Arial Narrow" w:hAnsi="Arial Narrow" w:cs="Arial"/>
        </w:rPr>
        <w:t>(a)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w:t>
      </w:r>
    </w:p>
    <w:p w14:paraId="0F461363">
      <w:pPr>
        <w:tabs>
          <w:tab w:val="left" w:pos="709"/>
          <w:tab w:val="left" w:pos="993"/>
        </w:tabs>
        <w:spacing w:after="0" w:line="240" w:lineRule="auto"/>
        <w:jc w:val="both"/>
        <w:rPr>
          <w:rFonts w:ascii="Arial Narrow" w:hAnsi="Arial Narrow" w:cs="Arial"/>
        </w:rPr>
      </w:pPr>
    </w:p>
    <w:p w14:paraId="0E62795C">
      <w:pPr>
        <w:tabs>
          <w:tab w:val="left" w:pos="709"/>
          <w:tab w:val="left" w:pos="993"/>
        </w:tabs>
        <w:spacing w:after="0" w:line="240" w:lineRule="auto"/>
        <w:jc w:val="both"/>
        <w:rPr>
          <w:rFonts w:ascii="Arial Narrow" w:hAnsi="Arial Narrow" w:cs="Arial"/>
        </w:rPr>
      </w:pPr>
      <w:r>
        <w:rPr>
          <w:rFonts w:ascii="Arial Narrow" w:hAnsi="Arial Narrow" w:cs="Arial"/>
        </w:rPr>
        <w:t>(b) La Mipyme, cooperativa o asociación mutual aporte mínimo el veinticinco por ciento (25%) de la experiencia general acreditada en la oferta; y</w:t>
      </w:r>
    </w:p>
    <w:p w14:paraId="72D68154">
      <w:pPr>
        <w:tabs>
          <w:tab w:val="left" w:pos="709"/>
          <w:tab w:val="left" w:pos="993"/>
        </w:tabs>
        <w:spacing w:after="0" w:line="240" w:lineRule="auto"/>
        <w:jc w:val="both"/>
        <w:rPr>
          <w:rFonts w:ascii="Arial Narrow" w:hAnsi="Arial Narrow" w:cs="Arial"/>
        </w:rPr>
      </w:pPr>
    </w:p>
    <w:p w14:paraId="2A2C7B96">
      <w:pPr>
        <w:tabs>
          <w:tab w:val="left" w:pos="709"/>
          <w:tab w:val="left" w:pos="993"/>
        </w:tabs>
        <w:spacing w:after="0" w:line="240" w:lineRule="auto"/>
        <w:jc w:val="both"/>
        <w:rPr>
          <w:rFonts w:ascii="Arial Narrow" w:hAnsi="Arial Narrow" w:cs="Arial"/>
        </w:rPr>
      </w:pPr>
      <w:r>
        <w:rPr>
          <w:rFonts w:ascii="Arial Narrow" w:hAnsi="Arial Narrow" w:cs="Arial"/>
        </w:rPr>
        <w:t>(c) Ni la Mipyme, cooperativa o asociación mutual ni sus accionistas, socios o representantes legales sean empleados, socios o accionistas de los integrantes del Proponente Plural, para lo cual el integrante respectivo podrá diligenciar el formato propuesto por la entidad “Formato 25G – Acreditación Mipyme”, o acreditar este requisito mediante una manifestación bajo la gravedad de juramento.</w:t>
      </w:r>
    </w:p>
    <w:p w14:paraId="078DFDF1">
      <w:pPr>
        <w:tabs>
          <w:tab w:val="left" w:pos="709"/>
          <w:tab w:val="left" w:pos="993"/>
        </w:tabs>
        <w:spacing w:after="0" w:line="240" w:lineRule="auto"/>
        <w:jc w:val="both"/>
        <w:rPr>
          <w:rFonts w:ascii="Arial Narrow" w:hAnsi="Arial Narrow" w:cs="Arial"/>
        </w:rPr>
      </w:pPr>
    </w:p>
    <w:p w14:paraId="6D53AEDC">
      <w:pPr>
        <w:tabs>
          <w:tab w:val="left" w:pos="709"/>
          <w:tab w:val="left" w:pos="993"/>
        </w:tabs>
        <w:spacing w:after="0" w:line="240" w:lineRule="auto"/>
        <w:jc w:val="both"/>
        <w:rPr>
          <w:rFonts w:ascii="Arial Narrow" w:hAnsi="Arial Narrow" w:cs="Arial"/>
        </w:rPr>
      </w:pPr>
      <w:r>
        <w:rPr>
          <w:rFonts w:ascii="Arial Narrow" w:hAnsi="Arial Narrow"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las cuales al menos uno de sus integrantes sea una cooperativa o asociación mutual que cumpla con los criterios de clasificación empresarial definidos por el Decreto 1074 de 2015, que sean micro, pequeñas o medianas.</w:t>
      </w:r>
    </w:p>
    <w:p w14:paraId="3E68237C">
      <w:pPr>
        <w:tabs>
          <w:tab w:val="left" w:pos="709"/>
          <w:tab w:val="left" w:pos="993"/>
        </w:tabs>
        <w:spacing w:after="0" w:line="240" w:lineRule="auto"/>
        <w:jc w:val="both"/>
        <w:rPr>
          <w:rFonts w:ascii="Arial Narrow" w:hAnsi="Arial Narrow" w:cs="Arial"/>
        </w:rPr>
      </w:pPr>
    </w:p>
    <w:p w14:paraId="3C2625BD">
      <w:pPr>
        <w:numPr>
          <w:ilvl w:val="0"/>
          <w:numId w:val="34"/>
        </w:numPr>
        <w:tabs>
          <w:tab w:val="left" w:pos="0"/>
          <w:tab w:val="left" w:pos="142"/>
          <w:tab w:val="left" w:pos="284"/>
        </w:tabs>
        <w:spacing w:after="0" w:line="240" w:lineRule="auto"/>
        <w:ind w:left="0" w:firstLine="0"/>
        <w:jc w:val="both"/>
        <w:rPr>
          <w:rFonts w:ascii="Arial Narrow" w:hAnsi="Arial Narrow" w:cs="Arial"/>
        </w:rPr>
      </w:pPr>
      <w:r>
        <w:rPr>
          <w:rFonts w:ascii="Arial Narrow" w:hAnsi="Arial Narrow" w:cs="Arial"/>
        </w:rPr>
        <w:t>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14:paraId="1E828766">
      <w:pPr>
        <w:tabs>
          <w:tab w:val="left" w:pos="709"/>
          <w:tab w:val="left" w:pos="993"/>
        </w:tabs>
        <w:spacing w:after="0" w:line="240" w:lineRule="auto"/>
        <w:jc w:val="both"/>
        <w:rPr>
          <w:rFonts w:ascii="Arial Narrow" w:hAnsi="Arial Narrow" w:cs="Arial"/>
        </w:rPr>
      </w:pPr>
    </w:p>
    <w:p w14:paraId="10910F54">
      <w:pPr>
        <w:tabs>
          <w:tab w:val="left" w:pos="709"/>
          <w:tab w:val="left" w:pos="993"/>
        </w:tabs>
        <w:spacing w:after="0" w:line="240" w:lineRule="auto"/>
        <w:jc w:val="both"/>
        <w:rPr>
          <w:rFonts w:ascii="Arial Narrow" w:hAnsi="Arial Narrow" w:cs="Arial"/>
        </w:rPr>
      </w:pPr>
      <w:r>
        <w:rPr>
          <w:rFonts w:ascii="Arial Narrow" w:hAnsi="Arial Narrow" w:cs="Arial"/>
        </w:rPr>
        <w:t>Tratándose de Proponentes Plurales, se preferirá la oferta cuando cada uno de los integrantes acredite las condiciones señaladas en los incisos anteriores de este numeral.</w:t>
      </w:r>
    </w:p>
    <w:p w14:paraId="2805B0A1">
      <w:pPr>
        <w:tabs>
          <w:tab w:val="left" w:pos="709"/>
          <w:tab w:val="left" w:pos="993"/>
        </w:tabs>
        <w:spacing w:after="0" w:line="240" w:lineRule="auto"/>
        <w:jc w:val="both"/>
        <w:rPr>
          <w:rFonts w:ascii="Arial Narrow" w:hAnsi="Arial Narrow" w:cs="Arial"/>
        </w:rPr>
      </w:pPr>
    </w:p>
    <w:p w14:paraId="7D55E348">
      <w:pPr>
        <w:numPr>
          <w:ilvl w:val="0"/>
          <w:numId w:val="34"/>
        </w:numPr>
        <w:tabs>
          <w:tab w:val="left" w:pos="0"/>
          <w:tab w:val="left" w:pos="142"/>
          <w:tab w:val="left" w:pos="284"/>
        </w:tabs>
        <w:spacing w:after="0" w:line="240" w:lineRule="auto"/>
        <w:ind w:left="0" w:firstLine="0"/>
        <w:jc w:val="both"/>
        <w:rPr>
          <w:rFonts w:ascii="Arial Narrow" w:hAnsi="Arial Narrow" w:cs="Arial"/>
        </w:rPr>
      </w:pPr>
      <w:r>
        <w:rPr>
          <w:rFonts w:ascii="Arial Narrow" w:hAnsi="Arial Narrow" w:cs="Arial"/>
        </w:rPr>
        <w:t>Si después de aplicar los criterios anteriormente mencionados persiste el empate, se utilizará el siguiente método aleatorio:</w:t>
      </w:r>
    </w:p>
    <w:p w14:paraId="62FD3658">
      <w:pPr>
        <w:tabs>
          <w:tab w:val="left" w:pos="0"/>
          <w:tab w:val="left" w:pos="142"/>
          <w:tab w:val="left" w:pos="284"/>
        </w:tabs>
        <w:spacing w:after="0" w:line="240" w:lineRule="auto"/>
        <w:jc w:val="both"/>
        <w:rPr>
          <w:rFonts w:ascii="Arial Narrow" w:hAnsi="Arial Narrow" w:cs="Arial"/>
        </w:rPr>
      </w:pPr>
    </w:p>
    <w:p w14:paraId="271AAB1B">
      <w:pPr>
        <w:numPr>
          <w:ilvl w:val="0"/>
          <w:numId w:val="35"/>
        </w:numPr>
        <w:spacing w:after="0" w:line="240" w:lineRule="auto"/>
        <w:jc w:val="both"/>
        <w:rPr>
          <w:rFonts w:ascii="Arial Narrow" w:hAnsi="Arial Narrow" w:cs="Arial"/>
        </w:rPr>
      </w:pPr>
      <w:r>
        <w:rPr>
          <w:rFonts w:ascii="Arial Narrow" w:hAnsi="Arial Narrow" w:cs="Arial"/>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14:paraId="4522FC2E">
      <w:pPr>
        <w:numPr>
          <w:ilvl w:val="0"/>
          <w:numId w:val="35"/>
        </w:numPr>
        <w:spacing w:after="0" w:line="240" w:lineRule="auto"/>
        <w:jc w:val="both"/>
        <w:rPr>
          <w:rFonts w:ascii="Arial Narrow" w:hAnsi="Arial Narrow" w:cs="Arial"/>
        </w:rPr>
      </w:pPr>
      <w:r>
        <w:rPr>
          <w:rFonts w:ascii="Arial Narrow" w:hAnsi="Arial Narrow" w:cs="Arial"/>
        </w:rPr>
        <w:t>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14:paraId="6A315497">
      <w:pPr>
        <w:numPr>
          <w:ilvl w:val="0"/>
          <w:numId w:val="35"/>
        </w:numPr>
        <w:spacing w:after="0" w:line="240" w:lineRule="auto"/>
        <w:jc w:val="both"/>
        <w:rPr>
          <w:rFonts w:ascii="Arial Narrow" w:hAnsi="Arial Narrow" w:cs="Arial"/>
        </w:rPr>
      </w:pPr>
      <w:r>
        <w:rPr>
          <w:rFonts w:ascii="Arial Narrow" w:hAnsi="Arial Narrow" w:cs="Arial"/>
        </w:rPr>
        <w:t>Realizados estos cálculos, la Entidad Estatal seleccionará a aquel Proponente que presente coincidencia entre el número asignado y el residuo encontrado. En caso de que el residuo sea cero (0), se escogerá al Proponente con el mayor número asignado.</w:t>
      </w:r>
    </w:p>
    <w:p w14:paraId="01870392">
      <w:pPr>
        <w:spacing w:after="0" w:line="240" w:lineRule="auto"/>
        <w:jc w:val="both"/>
        <w:rPr>
          <w:rFonts w:ascii="Arial Narrow" w:hAnsi="Arial Narrow" w:cs="Arial"/>
          <w:b/>
          <w:bCs/>
        </w:rPr>
      </w:pPr>
    </w:p>
    <w:p w14:paraId="33A09BEE">
      <w:pPr>
        <w:spacing w:after="0" w:line="240" w:lineRule="auto"/>
        <w:jc w:val="both"/>
        <w:rPr>
          <w:rFonts w:ascii="Arial Narrow" w:hAnsi="Arial Narrow" w:cs="Arial"/>
        </w:rPr>
      </w:pPr>
      <w:r>
        <w:rPr>
          <w:rFonts w:ascii="Arial Narrow" w:hAnsi="Arial Narrow" w:cs="Arial"/>
          <w:b/>
          <w:bCs/>
        </w:rPr>
        <w:t>Nota 1:</w:t>
      </w:r>
      <w:r>
        <w:rPr>
          <w:rFonts w:ascii="Arial Narrow" w:hAnsi="Arial Narrow" w:cs="Arial"/>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338AD387">
      <w:pPr>
        <w:spacing w:after="0" w:line="240" w:lineRule="auto"/>
        <w:jc w:val="both"/>
        <w:rPr>
          <w:rFonts w:ascii="Arial Narrow" w:hAnsi="Arial Narrow" w:cs="Arial"/>
          <w:lang/>
        </w:rPr>
      </w:pPr>
    </w:p>
    <w:p w14:paraId="6FE1ADC1">
      <w:pPr>
        <w:spacing w:after="0" w:line="240" w:lineRule="auto"/>
        <w:jc w:val="both"/>
        <w:rPr>
          <w:rFonts w:ascii="Arial Narrow" w:hAnsi="Arial Narrow" w:cs="Arial"/>
        </w:rPr>
      </w:pPr>
      <w:r>
        <w:rPr>
          <w:rFonts w:ascii="Arial Narrow" w:hAnsi="Arial Narrow" w:cs="Arial"/>
          <w:b/>
          <w:bCs/>
        </w:rPr>
        <w:t>Nota 2:</w:t>
      </w:r>
      <w:r>
        <w:rPr>
          <w:rFonts w:ascii="Arial Narrow" w:hAnsi="Arial Narrow" w:cs="Arial"/>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FD3C727">
      <w:pPr>
        <w:spacing w:after="0" w:line="240" w:lineRule="auto"/>
        <w:jc w:val="both"/>
        <w:rPr>
          <w:rFonts w:ascii="Arial Narrow" w:hAnsi="Arial Narrow" w:cs="Arial"/>
        </w:rPr>
      </w:pPr>
    </w:p>
    <w:p w14:paraId="3A8BF2F8">
      <w:pPr>
        <w:spacing w:after="0" w:line="240" w:lineRule="auto"/>
        <w:jc w:val="both"/>
        <w:rPr>
          <w:rFonts w:ascii="Arial Narrow" w:hAnsi="Arial Narrow" w:cs="Arial"/>
        </w:rPr>
      </w:pPr>
      <w:r>
        <w:rPr>
          <w:rFonts w:ascii="Arial Narrow" w:hAnsi="Arial Narrow" w:cs="Arial"/>
          <w:b/>
          <w:bCs/>
        </w:rPr>
        <w:t>Nota 3:</w:t>
      </w:r>
      <w:r>
        <w:rPr>
          <w:rFonts w:ascii="Arial Narrow" w:hAnsi="Arial Narrow" w:cs="Arial"/>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5F4D8BB">
      <w:pPr>
        <w:spacing w:after="0" w:line="240" w:lineRule="auto"/>
        <w:jc w:val="both"/>
        <w:rPr>
          <w:rFonts w:ascii="Arial Narrow" w:hAnsi="Arial Narrow" w:cs="Arial"/>
        </w:rPr>
      </w:pPr>
    </w:p>
    <w:p w14:paraId="3D2B4019">
      <w:pPr>
        <w:spacing w:after="0" w:line="240" w:lineRule="auto"/>
        <w:jc w:val="both"/>
        <w:rPr>
          <w:rFonts w:ascii="Arial Narrow" w:hAnsi="Arial Narrow" w:cs="Arial"/>
        </w:rPr>
      </w:pPr>
      <w:r>
        <w:rPr>
          <w:rFonts w:ascii="Arial Narrow" w:hAnsi="Arial Narrow" w:cs="Arial"/>
          <w:b/>
          <w:bCs/>
        </w:rPr>
        <w:t>Nota 4:</w:t>
      </w:r>
      <w:r>
        <w:rPr>
          <w:rFonts w:ascii="Arial Narrow" w:hAnsi="Arial Narrow" w:cs="Arial"/>
        </w:rPr>
        <w:t xml:space="preserve"> Conforme con el artículo </w:t>
      </w:r>
      <w:r>
        <w:fldChar w:fldCharType="begin"/>
      </w:r>
      <w:r>
        <w:instrText xml:space="preserve"> HYPERLINK "https://www.funcionpublica.gov.co/eva/gestornormativo/norma.php?i=56882" \l "18" </w:instrText>
      </w:r>
      <w:r>
        <w:fldChar w:fldCharType="separate"/>
      </w:r>
      <w:r>
        <w:rPr>
          <w:rFonts w:ascii="Arial Narrow" w:hAnsi="Arial Narrow" w:cs="Arial"/>
        </w:rPr>
        <w:t>18 </w:t>
      </w:r>
      <w:r>
        <w:rPr>
          <w:rFonts w:ascii="Arial Narrow" w:hAnsi="Arial Narrow" w:cs="Arial"/>
        </w:rPr>
        <w:fldChar w:fldCharType="end"/>
      </w:r>
      <w:r>
        <w:rPr>
          <w:rFonts w:ascii="Arial Narrow" w:hAnsi="Arial Narrow" w:cs="Arial"/>
        </w:rPr>
        <w:t>de la Ley 1712 de 2014 y los artículos </w:t>
      </w:r>
      <w:r>
        <w:fldChar w:fldCharType="begin"/>
      </w:r>
      <w:r>
        <w:instrText xml:space="preserve"> HYPERLINK "https://www.funcionpublica.gov.co/eva/gestornormativo/norma.php?i=49981" \l "5" </w:instrText>
      </w:r>
      <w:r>
        <w:fldChar w:fldCharType="separate"/>
      </w:r>
      <w:r>
        <w:rPr>
          <w:rFonts w:ascii="Arial Narrow" w:hAnsi="Arial Narrow" w:cs="Arial"/>
        </w:rPr>
        <w:t>5 </w:t>
      </w:r>
      <w:r>
        <w:rPr>
          <w:rFonts w:ascii="Arial Narrow" w:hAnsi="Arial Narrow" w:cs="Arial"/>
        </w:rPr>
        <w:fldChar w:fldCharType="end"/>
      </w:r>
      <w:r>
        <w:rPr>
          <w:rFonts w:ascii="Arial Narrow" w:hAnsi="Arial Narrow" w:cs="Arial"/>
        </w:rPr>
        <w:t>y </w:t>
      </w:r>
      <w:r>
        <w:fldChar w:fldCharType="begin"/>
      </w:r>
      <w:r>
        <w:instrText xml:space="preserve"> HYPERLINK "https://www.funcionpublica.gov.co/eva/gestornormativo/norma.php?i=49981" \l "6" </w:instrText>
      </w:r>
      <w:r>
        <w:fldChar w:fldCharType="separate"/>
      </w:r>
      <w:r>
        <w:rPr>
          <w:rFonts w:ascii="Arial Narrow" w:hAnsi="Arial Narrow" w:cs="Arial"/>
        </w:rPr>
        <w:t>6 </w:t>
      </w:r>
      <w:r>
        <w:rPr>
          <w:rFonts w:ascii="Arial Narrow" w:hAnsi="Arial Narrow" w:cs="Arial"/>
        </w:rPr>
        <w:fldChar w:fldCharType="end"/>
      </w:r>
      <w:r>
        <w:rPr>
          <w:rFonts w:ascii="Arial Narrow" w:hAnsi="Arial Narrow" w:cs="Arial"/>
        </w:rPr>
        <w:t>de la Ley 1581 de 2012, la AEROCIVIL garantizará el derecho a la reserva legal de toda aquella información que acredite el cumplimiento de los factores de desempate de: i) las mujeres víctimas de violencia intrafamiliar, ii) las personas en proceso de reincorporación y/o reintegración y iii) la población indígena, negra, afrocolombiana, raizal, palenquera, Rrom o gitana.</w:t>
      </w:r>
    </w:p>
    <w:p w14:paraId="3F46C178">
      <w:pPr>
        <w:spacing w:after="0" w:line="240" w:lineRule="auto"/>
        <w:jc w:val="both"/>
        <w:rPr>
          <w:rFonts w:ascii="Arial Narrow" w:hAnsi="Arial Narrow" w:cs="Arial"/>
        </w:rPr>
      </w:pPr>
    </w:p>
    <w:p w14:paraId="1878EFE3">
      <w:pPr>
        <w:spacing w:after="0" w:line="240" w:lineRule="auto"/>
        <w:jc w:val="both"/>
        <w:rPr>
          <w:rFonts w:ascii="Arial Narrow" w:hAnsi="Arial Narrow" w:cs="Arial"/>
        </w:rPr>
      </w:pPr>
      <w:r>
        <w:rPr>
          <w:rFonts w:ascii="Arial Narrow" w:hAnsi="Arial Narrow" w:cs="Arial"/>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7297A264">
      <w:pPr>
        <w:spacing w:after="0" w:line="240" w:lineRule="auto"/>
        <w:jc w:val="both"/>
        <w:rPr>
          <w:rFonts w:ascii="Arial Narrow" w:hAnsi="Arial Narrow" w:cs="Arial"/>
        </w:rPr>
      </w:pPr>
    </w:p>
    <w:p w14:paraId="3E3DC8BE">
      <w:pPr>
        <w:spacing w:after="0" w:line="240" w:lineRule="auto"/>
        <w:jc w:val="both"/>
        <w:rPr>
          <w:rFonts w:ascii="Arial" w:hAnsi="Arial" w:cs="Arial"/>
          <w:sz w:val="20"/>
          <w:szCs w:val="20"/>
          <w:lang w:val="es-ES"/>
        </w:rPr>
      </w:pPr>
      <w:r>
        <w:rPr>
          <w:rFonts w:ascii="Arial Narrow" w:hAnsi="Arial Narrow" w:cs="Arial"/>
          <w:b/>
          <w:bCs/>
        </w:rPr>
        <w:t>Nota 5:</w:t>
      </w:r>
      <w:r>
        <w:rPr>
          <w:rFonts w:ascii="Arial Narrow" w:hAnsi="Arial Narrow" w:cs="Arial"/>
        </w:rPr>
        <w:t xml:space="preserve"> Para efectos de los factores de desempate dispuestos en este numeral, se entiende por experiencia acreditada en la oferta, la sumatoria de los contratos que acreditan la experiencia general de la actividad principal, expresados en salarios mínimos mensuales</w:t>
      </w:r>
      <w:r>
        <w:rPr>
          <w:rFonts w:ascii="Arial" w:hAnsi="Arial" w:cs="Arial"/>
          <w:sz w:val="20"/>
          <w:szCs w:val="20"/>
          <w:lang w:val="es-ES"/>
        </w:rPr>
        <w:t xml:space="preserve"> </w:t>
      </w:r>
      <w:r>
        <w:rPr>
          <w:rFonts w:ascii="Arial Narrow" w:hAnsi="Arial Narrow" w:cs="Arial"/>
        </w:rPr>
        <w:t>legales vigentes (SMMLV).</w:t>
      </w:r>
      <w:r>
        <w:rPr>
          <w:rFonts w:ascii="Arial" w:hAnsi="Arial" w:cs="Arial"/>
          <w:sz w:val="20"/>
          <w:szCs w:val="20"/>
          <w:lang w:val="es-ES"/>
        </w:rPr>
        <w:t xml:space="preserve"> </w:t>
      </w:r>
    </w:p>
    <w:p w14:paraId="724450AA">
      <w:pPr>
        <w:spacing w:after="0" w:line="240" w:lineRule="auto"/>
        <w:jc w:val="both"/>
        <w:rPr>
          <w:rFonts w:ascii="Arial Narrow" w:hAnsi="Arial Narrow" w:cs="Arial"/>
          <w:lang/>
        </w:rPr>
      </w:pPr>
    </w:p>
    <w:p w14:paraId="41D76E29">
      <w:pPr>
        <w:pStyle w:val="52"/>
        <w:spacing w:after="0" w:line="240" w:lineRule="auto"/>
        <w:ind w:left="0"/>
        <w:jc w:val="both"/>
        <w:rPr>
          <w:rFonts w:ascii="Arial Narrow" w:hAnsi="Arial Narrow" w:cs="Arial"/>
          <w:color w:val="000000"/>
          <w:lang/>
        </w:rPr>
      </w:pPr>
    </w:p>
    <w:bookmarkEnd w:id="96"/>
    <w:p w14:paraId="3B2734E1">
      <w:pPr>
        <w:rPr>
          <w:rFonts w:ascii="Arial Narrow" w:hAnsi="Arial Narrow" w:eastAsia="Times New Roman" w:cs="Arial"/>
          <w:b/>
          <w:lang w:eastAsia="es-ES"/>
        </w:rPr>
      </w:pPr>
      <w:bookmarkStart w:id="109" w:name="_Toc398128687"/>
      <w:r>
        <w:rPr>
          <w:rFonts w:ascii="Arial Narrow" w:hAnsi="Arial Narrow" w:cs="Arial"/>
          <w:b/>
          <w:lang/>
        </w:rPr>
        <w:br w:type="page"/>
      </w:r>
    </w:p>
    <w:p w14:paraId="00AA0406">
      <w:pPr>
        <w:pStyle w:val="49"/>
        <w:jc w:val="center"/>
        <w:rPr>
          <w:rFonts w:ascii="Arial Narrow" w:hAnsi="Arial Narrow" w:cs="Arial"/>
          <w:b/>
          <w:sz w:val="22"/>
          <w:szCs w:val="22"/>
        </w:rPr>
      </w:pPr>
      <w:r>
        <w:rPr>
          <w:rFonts w:ascii="Arial Narrow" w:hAnsi="Arial Narrow" w:cs="Arial"/>
          <w:b/>
          <w:sz w:val="22"/>
          <w:szCs w:val="22"/>
        </w:rPr>
        <w:t>CAPITULO VI</w:t>
      </w:r>
    </w:p>
    <w:p w14:paraId="15690797">
      <w:pPr>
        <w:pStyle w:val="49"/>
        <w:jc w:val="center"/>
        <w:rPr>
          <w:rFonts w:ascii="Arial Narrow" w:hAnsi="Arial Narrow" w:cs="Arial"/>
          <w:b/>
          <w:sz w:val="22"/>
          <w:szCs w:val="22"/>
        </w:rPr>
      </w:pPr>
      <w:r>
        <w:rPr>
          <w:rFonts w:ascii="Arial Narrow" w:hAnsi="Arial Narrow" w:cs="Arial"/>
          <w:b/>
          <w:sz w:val="22"/>
          <w:szCs w:val="22"/>
        </w:rPr>
        <w:t>CONDICIONES DEL CONTRATO</w:t>
      </w:r>
    </w:p>
    <w:bookmarkEnd w:id="109"/>
    <w:p w14:paraId="7954E22D">
      <w:pPr>
        <w:pStyle w:val="4"/>
        <w:spacing w:before="0" w:line="240" w:lineRule="auto"/>
        <w:jc w:val="both"/>
        <w:rPr>
          <w:rFonts w:ascii="Arial Narrow" w:hAnsi="Arial Narrow" w:cs="Arial"/>
          <w:color w:val="auto"/>
          <w:lang/>
        </w:rPr>
      </w:pPr>
    </w:p>
    <w:p w14:paraId="4875D823">
      <w:pPr>
        <w:pStyle w:val="52"/>
        <w:numPr>
          <w:ilvl w:val="1"/>
          <w:numId w:val="36"/>
        </w:numPr>
        <w:autoSpaceDE w:val="0"/>
        <w:autoSpaceDN w:val="0"/>
        <w:spacing w:after="0" w:line="240" w:lineRule="auto"/>
        <w:jc w:val="both"/>
        <w:rPr>
          <w:rFonts w:ascii="Arial Narrow" w:hAnsi="Arial Narrow" w:cs="Arial"/>
          <w:lang/>
        </w:rPr>
      </w:pPr>
      <w:r>
        <w:rPr>
          <w:rFonts w:ascii="Arial Narrow" w:hAnsi="Arial Narrow" w:cs="Arial"/>
          <w:b/>
          <w:bCs/>
          <w:color w:val="000000"/>
          <w:lang/>
        </w:rPr>
        <w:t>GARANTÍAS</w:t>
      </w:r>
    </w:p>
    <w:p w14:paraId="6BF19BA4">
      <w:pPr>
        <w:spacing w:after="0" w:line="240" w:lineRule="auto"/>
        <w:jc w:val="both"/>
        <w:rPr>
          <w:rFonts w:ascii="Arial Narrow" w:hAnsi="Arial Narrow" w:cs="Arial"/>
          <w:lang/>
        </w:rPr>
      </w:pPr>
    </w:p>
    <w:p w14:paraId="2EECD61E">
      <w:pPr>
        <w:widowControl w:val="0"/>
        <w:autoSpaceDE w:val="0"/>
        <w:autoSpaceDN w:val="0"/>
        <w:adjustRightInd w:val="0"/>
        <w:spacing w:after="0" w:line="240" w:lineRule="auto"/>
        <w:jc w:val="both"/>
        <w:rPr>
          <w:rFonts w:ascii="Arial Narrow" w:hAnsi="Arial Narrow" w:eastAsia="Times New Roman" w:cs="Arial"/>
          <w:lang w:eastAsia="es-CO"/>
        </w:rPr>
      </w:pPr>
      <w:bookmarkStart w:id="110" w:name="_Toc368749612"/>
      <w:r>
        <w:rPr>
          <w:rFonts w:ascii="Arial Narrow" w:hAnsi="Arial Narrow" w:eastAsia="Times New Roman" w:cs="Arial"/>
          <w:lang w:eastAsia="es-CO"/>
        </w:rPr>
        <w:t>Para cubrir cualquier hecho constitutivo de incumplimiento, el contratista deberá presentar la Garantía de cumplimiento dentro de los (3) días hábiles siguientes contados a partir de la firma del Contrato. Esta garantía tendrá las siguientes características:</w:t>
      </w:r>
    </w:p>
    <w:p w14:paraId="4EDF1A55">
      <w:pPr>
        <w:spacing w:after="0" w:line="240" w:lineRule="auto"/>
        <w:rPr>
          <w:rFonts w:ascii="Arial Narrow" w:hAnsi="Arial Narrow" w:cs="Arial"/>
          <w:spacing w:val="-3"/>
          <w:lang/>
        </w:rPr>
      </w:pPr>
    </w:p>
    <w:tbl>
      <w:tblPr>
        <w:tblStyle w:val="137"/>
        <w:tblW w:w="5000" w:type="pct"/>
        <w:tblInd w:w="0" w:type="dxa"/>
        <w:tblLayout w:type="autofit"/>
        <w:tblCellMar>
          <w:top w:w="0" w:type="dxa"/>
          <w:left w:w="0" w:type="dxa"/>
          <w:bottom w:w="9" w:type="dxa"/>
          <w:right w:w="0" w:type="dxa"/>
        </w:tblCellMar>
      </w:tblPr>
      <w:tblGrid>
        <w:gridCol w:w="1610"/>
        <w:gridCol w:w="1482"/>
        <w:gridCol w:w="2518"/>
        <w:gridCol w:w="1362"/>
        <w:gridCol w:w="1543"/>
      </w:tblGrid>
      <w:tr w14:paraId="17F33059">
        <w:tblPrEx>
          <w:tblCellMar>
            <w:top w:w="0" w:type="dxa"/>
            <w:left w:w="0" w:type="dxa"/>
            <w:bottom w:w="9" w:type="dxa"/>
            <w:right w:w="0" w:type="dxa"/>
          </w:tblCellMar>
        </w:tblPrEx>
        <w:trPr>
          <w:trHeight w:val="661" w:hRule="atLeast"/>
        </w:trPr>
        <w:tc>
          <w:tcPr>
            <w:tcW w:w="994" w:type="pct"/>
            <w:tcBorders>
              <w:top w:val="single" w:color="000000" w:sz="4" w:space="0"/>
              <w:left w:val="single" w:color="000000" w:sz="4" w:space="0"/>
              <w:bottom w:val="single" w:color="000000" w:sz="4" w:space="0"/>
              <w:right w:val="single" w:color="000000" w:sz="4" w:space="0"/>
            </w:tcBorders>
            <w:shd w:val="clear" w:color="auto" w:fill="D0CECE"/>
          </w:tcPr>
          <w:p w14:paraId="79E2781B">
            <w:pPr>
              <w:spacing w:after="0" w:line="259" w:lineRule="auto"/>
              <w:ind w:left="610" w:right="16" w:hanging="458"/>
              <w:jc w:val="both"/>
              <w:rPr>
                <w:rFonts w:ascii="Calibri" w:hAnsi="Calibri" w:eastAsia="Arial" w:cs="Calibri"/>
                <w:color w:val="000000"/>
                <w:kern w:val="2"/>
                <w:sz w:val="18"/>
                <w:szCs w:val="18"/>
                <w:lang w:eastAsia="es-CO"/>
                <w14:ligatures w14:val="standardContextual"/>
              </w:rPr>
            </w:pPr>
            <w:r>
              <w:rPr>
                <w:rFonts w:ascii="Calibri" w:hAnsi="Calibri" w:eastAsia="Arial" w:cs="Calibri"/>
                <w:b/>
                <w:color w:val="000000"/>
                <w:kern w:val="2"/>
                <w:sz w:val="18"/>
                <w:szCs w:val="18"/>
                <w:lang w:eastAsia="es-CO"/>
                <w14:ligatures w14:val="standardContextual"/>
              </w:rPr>
              <w:t xml:space="preserve">AMPAROS O PÓLIZAS A SOLICITAR </w:t>
            </w:r>
          </w:p>
        </w:tc>
        <w:tc>
          <w:tcPr>
            <w:tcW w:w="919" w:type="pct"/>
            <w:tcBorders>
              <w:top w:val="single" w:color="000000" w:sz="4" w:space="0"/>
              <w:left w:val="single" w:color="000000" w:sz="4" w:space="0"/>
              <w:bottom w:val="single" w:color="000000" w:sz="4" w:space="0"/>
              <w:right w:val="single" w:color="000000" w:sz="4" w:space="0"/>
            </w:tcBorders>
            <w:shd w:val="clear" w:color="auto" w:fill="D0CECE"/>
            <w:vAlign w:val="bottom"/>
          </w:tcPr>
          <w:p w14:paraId="0026AF8E">
            <w:pPr>
              <w:spacing w:after="0" w:line="259" w:lineRule="auto"/>
              <w:ind w:left="245"/>
              <w:rPr>
                <w:rFonts w:ascii="Calibri" w:hAnsi="Calibri" w:eastAsia="Arial" w:cs="Calibri"/>
                <w:color w:val="000000"/>
                <w:kern w:val="2"/>
                <w:sz w:val="18"/>
                <w:szCs w:val="18"/>
                <w:lang w:eastAsia="es-CO"/>
                <w14:ligatures w14:val="standardContextual"/>
              </w:rPr>
            </w:pPr>
            <w:r>
              <w:rPr>
                <w:rFonts w:ascii="Calibri" w:hAnsi="Calibri" w:eastAsia="Arial" w:cs="Calibri"/>
                <w:b/>
                <w:color w:val="000000"/>
                <w:kern w:val="2"/>
                <w:sz w:val="18"/>
                <w:szCs w:val="18"/>
                <w:lang w:eastAsia="es-CO"/>
                <w14:ligatures w14:val="standardContextual"/>
              </w:rPr>
              <w:t xml:space="preserve">RIESGO QUE PROTEGE </w:t>
            </w:r>
          </w:p>
        </w:tc>
        <w:tc>
          <w:tcPr>
            <w:tcW w:w="1285" w:type="pct"/>
            <w:tcBorders>
              <w:top w:val="single" w:color="000000" w:sz="4" w:space="0"/>
              <w:left w:val="single" w:color="000000" w:sz="4" w:space="0"/>
              <w:bottom w:val="single" w:color="000000" w:sz="4" w:space="0"/>
              <w:right w:val="single" w:color="000000" w:sz="4" w:space="0"/>
            </w:tcBorders>
            <w:shd w:val="clear" w:color="auto" w:fill="D0CECE"/>
          </w:tcPr>
          <w:p w14:paraId="672984EB">
            <w:pPr>
              <w:spacing w:after="0" w:line="259" w:lineRule="auto"/>
              <w:ind w:left="221"/>
              <w:rPr>
                <w:rFonts w:ascii="Calibri" w:hAnsi="Calibri" w:eastAsia="Arial" w:cs="Calibri"/>
                <w:color w:val="000000"/>
                <w:kern w:val="2"/>
                <w:sz w:val="18"/>
                <w:szCs w:val="18"/>
                <w:lang w:eastAsia="es-CO"/>
                <w14:ligatures w14:val="standardContextual"/>
              </w:rPr>
            </w:pPr>
            <w:r>
              <w:rPr>
                <w:rFonts w:ascii="Calibri" w:hAnsi="Calibri" w:eastAsia="Arial" w:cs="Calibri"/>
                <w:b/>
                <w:color w:val="000000"/>
                <w:kern w:val="2"/>
                <w:sz w:val="18"/>
                <w:szCs w:val="18"/>
                <w:lang w:eastAsia="es-CO"/>
                <w14:ligatures w14:val="standardContextual"/>
              </w:rPr>
              <w:t xml:space="preserve">CUANTÍA DE COBERTURA </w:t>
            </w:r>
          </w:p>
        </w:tc>
        <w:tc>
          <w:tcPr>
            <w:tcW w:w="848" w:type="pct"/>
            <w:tcBorders>
              <w:top w:val="single" w:color="000000" w:sz="4" w:space="0"/>
              <w:left w:val="single" w:color="000000" w:sz="4" w:space="0"/>
              <w:bottom w:val="single" w:color="000000" w:sz="4" w:space="0"/>
              <w:right w:val="single" w:color="000000" w:sz="4" w:space="0"/>
            </w:tcBorders>
            <w:shd w:val="clear" w:color="auto" w:fill="D0CECE"/>
          </w:tcPr>
          <w:p w14:paraId="3EDD1D44">
            <w:pPr>
              <w:spacing w:after="0" w:line="259" w:lineRule="auto"/>
              <w:ind w:left="457" w:hanging="89"/>
              <w:rPr>
                <w:rFonts w:ascii="Calibri" w:hAnsi="Calibri" w:eastAsia="Arial" w:cs="Calibri"/>
                <w:color w:val="000000"/>
                <w:kern w:val="2"/>
                <w:sz w:val="18"/>
                <w:szCs w:val="18"/>
                <w:lang w:eastAsia="es-CO"/>
                <w14:ligatures w14:val="standardContextual"/>
              </w:rPr>
            </w:pPr>
            <w:r>
              <w:rPr>
                <w:rFonts w:ascii="Calibri" w:hAnsi="Calibri" w:eastAsia="Arial" w:cs="Calibri"/>
                <w:b/>
                <w:color w:val="000000"/>
                <w:kern w:val="2"/>
                <w:sz w:val="18"/>
                <w:szCs w:val="18"/>
                <w:lang w:eastAsia="es-CO"/>
                <w14:ligatures w14:val="standardContextual"/>
              </w:rPr>
              <w:t xml:space="preserve">VIGENCIA INICIAL </w:t>
            </w:r>
          </w:p>
        </w:tc>
        <w:tc>
          <w:tcPr>
            <w:tcW w:w="954" w:type="pct"/>
            <w:tcBorders>
              <w:top w:val="single" w:color="000000" w:sz="4" w:space="0"/>
              <w:left w:val="single" w:color="000000" w:sz="4" w:space="0"/>
              <w:bottom w:val="single" w:color="000000" w:sz="4" w:space="0"/>
              <w:right w:val="single" w:color="000000" w:sz="4" w:space="0"/>
            </w:tcBorders>
            <w:shd w:val="clear" w:color="auto" w:fill="D0CECE"/>
          </w:tcPr>
          <w:p w14:paraId="43B87F29">
            <w:pPr>
              <w:spacing w:after="0" w:line="259" w:lineRule="auto"/>
              <w:ind w:right="91"/>
              <w:jc w:val="right"/>
              <w:rPr>
                <w:rFonts w:ascii="Calibri" w:hAnsi="Calibri" w:eastAsia="Arial" w:cs="Calibri"/>
                <w:color w:val="000000"/>
                <w:kern w:val="2"/>
                <w:sz w:val="18"/>
                <w:szCs w:val="18"/>
                <w:lang w:eastAsia="es-CO"/>
                <w14:ligatures w14:val="standardContextual"/>
              </w:rPr>
            </w:pPr>
            <w:r>
              <w:rPr>
                <w:rFonts w:ascii="Calibri" w:hAnsi="Calibri" w:eastAsia="Arial" w:cs="Calibri"/>
                <w:b/>
                <w:color w:val="000000"/>
                <w:kern w:val="2"/>
                <w:sz w:val="18"/>
                <w:szCs w:val="18"/>
                <w:lang w:eastAsia="es-CO"/>
                <w14:ligatures w14:val="standardContextual"/>
              </w:rPr>
              <w:t xml:space="preserve">VIGENCIA FINAL </w:t>
            </w:r>
          </w:p>
        </w:tc>
      </w:tr>
      <w:tr w14:paraId="4AB3DA52">
        <w:tblPrEx>
          <w:tblCellMar>
            <w:top w:w="0" w:type="dxa"/>
            <w:left w:w="0" w:type="dxa"/>
            <w:bottom w:w="9" w:type="dxa"/>
            <w:right w:w="0" w:type="dxa"/>
          </w:tblCellMar>
        </w:tblPrEx>
        <w:trPr>
          <w:trHeight w:val="3040" w:hRule="atLeast"/>
        </w:trPr>
        <w:tc>
          <w:tcPr>
            <w:tcW w:w="994" w:type="pct"/>
            <w:tcBorders>
              <w:top w:val="single" w:color="000000" w:sz="4" w:space="0"/>
              <w:left w:val="single" w:color="000000" w:sz="4" w:space="0"/>
              <w:bottom w:val="single" w:color="000000" w:sz="4" w:space="0"/>
              <w:right w:val="single" w:color="000000" w:sz="4" w:space="0"/>
            </w:tcBorders>
          </w:tcPr>
          <w:p w14:paraId="679281C0">
            <w:pPr>
              <w:spacing w:after="0" w:line="259" w:lineRule="auto"/>
              <w:ind w:left="4"/>
              <w:rPr>
                <w:rFonts w:ascii="Calibri" w:hAnsi="Calibri" w:eastAsia="Arial" w:cs="Calibri"/>
                <w:color w:val="000000"/>
                <w:kern w:val="2"/>
                <w:sz w:val="18"/>
                <w:szCs w:val="18"/>
                <w:lang w:eastAsia="es-CO"/>
                <w14:ligatures w14:val="standardContextual"/>
              </w:rPr>
            </w:pPr>
            <w:r>
              <w:rPr>
                <w:rFonts w:ascii="Calibri" w:hAnsi="Calibri" w:eastAsia="Arial" w:cs="Calibri"/>
                <w:color w:val="000000"/>
                <w:kern w:val="2"/>
                <w:sz w:val="18"/>
                <w:szCs w:val="18"/>
                <w:lang w:eastAsia="es-CO"/>
                <w14:ligatures w14:val="standardContextual"/>
              </w:rPr>
              <w:t xml:space="preserve"> </w:t>
            </w:r>
          </w:p>
          <w:p w14:paraId="7A887E29">
            <w:pPr>
              <w:spacing w:after="0" w:line="259" w:lineRule="auto"/>
              <w:ind w:left="114"/>
              <w:rPr>
                <w:rFonts w:ascii="Calibri" w:hAnsi="Calibri" w:eastAsia="Arial" w:cs="Calibri"/>
                <w:color w:val="000000"/>
                <w:kern w:val="2"/>
                <w:sz w:val="18"/>
                <w:szCs w:val="18"/>
                <w:lang w:eastAsia="es-CO"/>
                <w14:ligatures w14:val="standardContextual"/>
              </w:rPr>
            </w:pPr>
            <w:r>
              <w:rPr>
                <w:rFonts w:ascii="Calibri" w:hAnsi="Calibri" w:eastAsia="Arial" w:cs="Calibri"/>
                <w:b/>
                <w:color w:val="000000"/>
                <w:kern w:val="2"/>
                <w:sz w:val="18"/>
                <w:szCs w:val="18"/>
                <w:lang w:eastAsia="es-CO"/>
                <w14:ligatures w14:val="standardContextual"/>
              </w:rPr>
              <w:t xml:space="preserve">Cumplimiento </w:t>
            </w:r>
          </w:p>
        </w:tc>
        <w:tc>
          <w:tcPr>
            <w:tcW w:w="919" w:type="pct"/>
            <w:tcBorders>
              <w:top w:val="single" w:color="000000" w:sz="4" w:space="0"/>
              <w:left w:val="single" w:color="000000" w:sz="4" w:space="0"/>
              <w:bottom w:val="single" w:color="000000" w:sz="4" w:space="0"/>
              <w:right w:val="single" w:color="000000" w:sz="4" w:space="0"/>
            </w:tcBorders>
          </w:tcPr>
          <w:p w14:paraId="615CDBCF">
            <w:pPr>
              <w:spacing w:after="0" w:line="259" w:lineRule="auto"/>
              <w:ind w:left="5"/>
              <w:rPr>
                <w:rFonts w:ascii="Calibri" w:hAnsi="Calibri" w:eastAsia="Arial" w:cs="Calibri"/>
                <w:color w:val="000000"/>
                <w:kern w:val="2"/>
                <w:sz w:val="18"/>
                <w:szCs w:val="18"/>
                <w:lang w:eastAsia="es-CO"/>
                <w14:ligatures w14:val="standardContextual"/>
              </w:rPr>
            </w:pPr>
            <w:r>
              <w:rPr>
                <w:rFonts w:ascii="Calibri" w:hAnsi="Calibri" w:eastAsia="Arial" w:cs="Calibri"/>
                <w:color w:val="000000"/>
                <w:kern w:val="2"/>
                <w:sz w:val="18"/>
                <w:szCs w:val="18"/>
                <w:lang w:eastAsia="es-CO"/>
                <w14:ligatures w14:val="standardContextual"/>
              </w:rPr>
              <w:t>Cumplimiento</w:t>
            </w:r>
          </w:p>
          <w:p w14:paraId="42698A36">
            <w:pPr>
              <w:spacing w:after="0" w:line="259" w:lineRule="auto"/>
              <w:ind w:left="5"/>
              <w:rPr>
                <w:rFonts w:ascii="Calibri" w:hAnsi="Calibri" w:eastAsia="Arial" w:cs="Calibri"/>
                <w:color w:val="000000"/>
                <w:kern w:val="2"/>
                <w:sz w:val="18"/>
                <w:szCs w:val="18"/>
                <w:lang w:eastAsia="es-CO"/>
                <w14:ligatures w14:val="standardContextual"/>
              </w:rPr>
            </w:pPr>
            <w:r>
              <w:rPr>
                <w:rFonts w:ascii="Calibri" w:hAnsi="Calibri" w:eastAsia="Arial" w:cs="Calibri"/>
                <w:color w:val="000000"/>
                <w:kern w:val="2"/>
                <w:sz w:val="18"/>
                <w:szCs w:val="18"/>
                <w:lang w:eastAsia="es-CO"/>
                <w14:ligatures w14:val="standardContextual"/>
              </w:rPr>
              <w:t xml:space="preserve"> </w:t>
            </w:r>
            <w:r>
              <w:rPr>
                <w:rFonts w:ascii="Calibri" w:hAnsi="Calibri" w:eastAsia="Arial" w:cs="Calibri"/>
                <w:color w:val="000000"/>
                <w:kern w:val="2"/>
                <w:sz w:val="18"/>
                <w:szCs w:val="18"/>
                <w:lang w:eastAsia="es-CO"/>
                <w14:ligatures w14:val="standardContextual"/>
              </w:rPr>
              <w:tab/>
            </w:r>
            <w:r>
              <w:rPr>
                <w:rFonts w:ascii="Calibri" w:hAnsi="Calibri" w:eastAsia="Arial" w:cs="Calibri"/>
                <w:color w:val="000000"/>
                <w:kern w:val="2"/>
                <w:sz w:val="18"/>
                <w:szCs w:val="18"/>
                <w:lang w:eastAsia="es-CO"/>
                <w14:ligatures w14:val="standardContextual"/>
              </w:rPr>
              <w:t xml:space="preserve">tardío, defectuoso </w:t>
            </w:r>
            <w:r>
              <w:rPr>
                <w:rFonts w:ascii="Calibri" w:hAnsi="Calibri" w:eastAsia="Arial" w:cs="Calibri"/>
                <w:color w:val="000000"/>
                <w:kern w:val="2"/>
                <w:sz w:val="18"/>
                <w:szCs w:val="18"/>
                <w:lang w:eastAsia="es-CO"/>
                <w14:ligatures w14:val="standardContextual"/>
              </w:rPr>
              <w:tab/>
            </w:r>
            <w:r>
              <w:rPr>
                <w:rFonts w:ascii="Calibri" w:hAnsi="Calibri" w:eastAsia="Arial" w:cs="Calibri"/>
                <w:color w:val="000000"/>
                <w:kern w:val="2"/>
                <w:sz w:val="18"/>
                <w:szCs w:val="18"/>
                <w:lang w:eastAsia="es-CO"/>
                <w14:ligatures w14:val="standardContextual"/>
              </w:rPr>
              <w:t xml:space="preserve">o incompleto </w:t>
            </w:r>
            <w:r>
              <w:rPr>
                <w:rFonts w:ascii="Calibri" w:hAnsi="Calibri" w:eastAsia="Arial" w:cs="Calibri"/>
                <w:color w:val="000000"/>
                <w:kern w:val="2"/>
                <w:sz w:val="18"/>
                <w:szCs w:val="18"/>
                <w:lang w:eastAsia="es-CO"/>
                <w14:ligatures w14:val="standardContextual"/>
              </w:rPr>
              <w:tab/>
            </w:r>
            <w:r>
              <w:rPr>
                <w:rFonts w:ascii="Calibri" w:hAnsi="Calibri" w:eastAsia="Arial" w:cs="Calibri"/>
                <w:color w:val="000000"/>
                <w:kern w:val="2"/>
                <w:sz w:val="18"/>
                <w:szCs w:val="18"/>
                <w:lang w:eastAsia="es-CO"/>
                <w14:ligatures w14:val="standardContextual"/>
              </w:rPr>
              <w:t xml:space="preserve">del contrato, pago de multas </w:t>
            </w:r>
            <w:r>
              <w:rPr>
                <w:rFonts w:ascii="Calibri" w:hAnsi="Calibri" w:eastAsia="Arial" w:cs="Calibri"/>
                <w:color w:val="000000"/>
                <w:kern w:val="2"/>
                <w:sz w:val="18"/>
                <w:szCs w:val="18"/>
                <w:lang w:eastAsia="es-CO"/>
                <w14:ligatures w14:val="standardContextual"/>
              </w:rPr>
              <w:tab/>
            </w:r>
            <w:r>
              <w:rPr>
                <w:rFonts w:ascii="Calibri" w:hAnsi="Calibri" w:eastAsia="Arial" w:cs="Calibri"/>
                <w:color w:val="000000"/>
                <w:kern w:val="2"/>
                <w:sz w:val="18"/>
                <w:szCs w:val="18"/>
                <w:lang w:eastAsia="es-CO"/>
                <w14:ligatures w14:val="standardContextual"/>
              </w:rPr>
              <w:t xml:space="preserve">impuestas, de la cláusula penal pecuniaria </w:t>
            </w:r>
            <w:r>
              <w:rPr>
                <w:rFonts w:ascii="Calibri" w:hAnsi="Calibri" w:eastAsia="Arial" w:cs="Calibri"/>
                <w:color w:val="000000"/>
                <w:kern w:val="2"/>
                <w:sz w:val="18"/>
                <w:szCs w:val="18"/>
                <w:lang w:eastAsia="es-CO"/>
                <w14:ligatures w14:val="standardContextual"/>
              </w:rPr>
              <w:tab/>
            </w:r>
            <w:r>
              <w:rPr>
                <w:rFonts w:ascii="Calibri" w:hAnsi="Calibri" w:eastAsia="Arial" w:cs="Calibri"/>
                <w:color w:val="000000"/>
                <w:kern w:val="2"/>
                <w:sz w:val="18"/>
                <w:szCs w:val="18"/>
                <w:lang w:eastAsia="es-CO"/>
                <w14:ligatures w14:val="standardContextual"/>
              </w:rPr>
              <w:t xml:space="preserve">y declaración </w:t>
            </w:r>
            <w:r>
              <w:rPr>
                <w:rFonts w:ascii="Calibri" w:hAnsi="Calibri" w:eastAsia="Arial" w:cs="Calibri"/>
                <w:color w:val="000000"/>
                <w:kern w:val="2"/>
                <w:sz w:val="18"/>
                <w:szCs w:val="18"/>
                <w:lang w:eastAsia="es-CO"/>
                <w14:ligatures w14:val="standardContextual"/>
              </w:rPr>
              <w:tab/>
            </w:r>
            <w:r>
              <w:rPr>
                <w:rFonts w:ascii="Calibri" w:hAnsi="Calibri" w:eastAsia="Arial" w:cs="Calibri"/>
                <w:color w:val="000000"/>
                <w:kern w:val="2"/>
                <w:sz w:val="18"/>
                <w:szCs w:val="18"/>
                <w:lang w:eastAsia="es-CO"/>
                <w14:ligatures w14:val="standardContextual"/>
              </w:rPr>
              <w:t xml:space="preserve">de caducidad </w:t>
            </w:r>
            <w:r>
              <w:rPr>
                <w:rFonts w:ascii="Calibri" w:hAnsi="Calibri" w:eastAsia="Arial" w:cs="Calibri"/>
                <w:color w:val="000000"/>
                <w:kern w:val="2"/>
                <w:sz w:val="18"/>
                <w:szCs w:val="18"/>
                <w:lang w:eastAsia="es-CO"/>
                <w14:ligatures w14:val="standardContextual"/>
              </w:rPr>
              <w:tab/>
            </w:r>
            <w:r>
              <w:rPr>
                <w:rFonts w:ascii="Calibri" w:hAnsi="Calibri" w:eastAsia="Arial" w:cs="Calibri"/>
                <w:color w:val="000000"/>
                <w:kern w:val="2"/>
                <w:sz w:val="18"/>
                <w:szCs w:val="18"/>
                <w:lang w:eastAsia="es-CO"/>
                <w14:ligatures w14:val="standardContextual"/>
              </w:rPr>
              <w:t xml:space="preserve">del contrato. </w:t>
            </w:r>
          </w:p>
        </w:tc>
        <w:tc>
          <w:tcPr>
            <w:tcW w:w="1285" w:type="pct"/>
            <w:tcBorders>
              <w:top w:val="single" w:color="000000" w:sz="4" w:space="0"/>
              <w:left w:val="single" w:color="000000" w:sz="4" w:space="0"/>
              <w:bottom w:val="single" w:color="000000" w:sz="4" w:space="0"/>
              <w:right w:val="single" w:color="000000" w:sz="4" w:space="0"/>
            </w:tcBorders>
          </w:tcPr>
          <w:p w14:paraId="65E816AD">
            <w:pPr>
              <w:spacing w:after="0" w:line="240" w:lineRule="auto"/>
              <w:ind w:left="-7" w:right="7" w:firstLine="12"/>
              <w:jc w:val="both"/>
              <w:rPr>
                <w:rFonts w:ascii="Calibri" w:hAnsi="Calibri" w:eastAsia="Arial" w:cs="Calibri"/>
                <w:color w:val="000000"/>
                <w:kern w:val="2"/>
                <w:sz w:val="18"/>
                <w:szCs w:val="18"/>
                <w:lang w:eastAsia="es-CO"/>
                <w14:ligatures w14:val="standardContextual"/>
              </w:rPr>
            </w:pPr>
            <w:r>
              <w:rPr>
                <w:rFonts w:ascii="Calibri" w:hAnsi="Calibri" w:eastAsia="Arial" w:cs="Calibri"/>
                <w:color w:val="000000"/>
                <w:kern w:val="2"/>
                <w:sz w:val="18"/>
                <w:szCs w:val="18"/>
                <w:lang w:eastAsia="es-CO"/>
                <w14:ligatures w14:val="standardContextual"/>
              </w:rPr>
              <w:t xml:space="preserve">En una cuantía equivalente al veinte por ciento [20%] del  valor del contrato. </w:t>
            </w:r>
          </w:p>
          <w:p w14:paraId="13BADB9E">
            <w:pPr>
              <w:spacing w:after="0" w:line="259" w:lineRule="auto"/>
              <w:ind w:left="-7"/>
              <w:rPr>
                <w:rFonts w:ascii="Calibri" w:hAnsi="Calibri" w:eastAsia="Arial" w:cs="Calibri"/>
                <w:color w:val="000000"/>
                <w:kern w:val="2"/>
                <w:sz w:val="18"/>
                <w:szCs w:val="18"/>
                <w:lang w:eastAsia="es-CO"/>
                <w14:ligatures w14:val="standardContextual"/>
              </w:rPr>
            </w:pPr>
            <w:r>
              <w:rPr>
                <w:rFonts w:ascii="Calibri" w:hAnsi="Calibri" w:eastAsia="Arial" w:cs="Calibri"/>
                <w:color w:val="000000"/>
                <w:kern w:val="2"/>
                <w:sz w:val="18"/>
                <w:szCs w:val="18"/>
                <w:lang w:eastAsia="es-CO"/>
                <w14:ligatures w14:val="standardContextual"/>
              </w:rPr>
              <w:t xml:space="preserve"> </w:t>
            </w:r>
          </w:p>
          <w:p w14:paraId="0287FE0A">
            <w:pPr>
              <w:spacing w:after="0" w:line="259" w:lineRule="auto"/>
              <w:ind w:left="-8"/>
              <w:rPr>
                <w:rFonts w:ascii="Calibri" w:hAnsi="Calibri" w:eastAsia="Arial" w:cs="Calibri"/>
                <w:color w:val="000000"/>
                <w:kern w:val="2"/>
                <w:sz w:val="18"/>
                <w:szCs w:val="18"/>
                <w:lang w:eastAsia="es-CO"/>
                <w14:ligatures w14:val="standardContextual"/>
              </w:rPr>
            </w:pPr>
            <w:r>
              <w:rPr>
                <w:rFonts w:ascii="Calibri" w:hAnsi="Calibri" w:eastAsia="Arial" w:cs="Calibri"/>
                <w:color w:val="000000"/>
                <w:kern w:val="2"/>
                <w:sz w:val="18"/>
                <w:szCs w:val="18"/>
                <w:lang w:eastAsia="es-CO"/>
                <w14:ligatures w14:val="standardContextual"/>
              </w:rPr>
              <w:t xml:space="preserve"> </w:t>
            </w:r>
          </w:p>
          <w:p w14:paraId="36297D9B">
            <w:pPr>
              <w:spacing w:after="0" w:line="259" w:lineRule="auto"/>
              <w:ind w:left="-7"/>
              <w:rPr>
                <w:rFonts w:ascii="Calibri" w:hAnsi="Calibri" w:eastAsia="Arial" w:cs="Calibri"/>
                <w:color w:val="000000"/>
                <w:kern w:val="2"/>
                <w:sz w:val="18"/>
                <w:szCs w:val="18"/>
                <w:lang w:eastAsia="es-CO"/>
                <w14:ligatures w14:val="standardContextual"/>
              </w:rPr>
            </w:pPr>
            <w:r>
              <w:rPr>
                <w:rFonts w:ascii="Calibri" w:hAnsi="Calibri" w:eastAsia="Arial" w:cs="Calibri"/>
                <w:color w:val="000000"/>
                <w:kern w:val="2"/>
                <w:sz w:val="18"/>
                <w:szCs w:val="18"/>
                <w:lang w:eastAsia="es-CO"/>
                <w14:ligatures w14:val="standardContextual"/>
              </w:rPr>
              <w:t xml:space="preserve"> </w:t>
            </w:r>
          </w:p>
          <w:p w14:paraId="70C47115">
            <w:pPr>
              <w:spacing w:after="0" w:line="259" w:lineRule="auto"/>
              <w:ind w:left="-8"/>
              <w:rPr>
                <w:rFonts w:ascii="Calibri" w:hAnsi="Calibri" w:eastAsia="Arial" w:cs="Calibri"/>
                <w:color w:val="000000"/>
                <w:kern w:val="2"/>
                <w:sz w:val="18"/>
                <w:szCs w:val="18"/>
                <w:lang w:eastAsia="es-CO"/>
                <w14:ligatures w14:val="standardContextual"/>
              </w:rPr>
            </w:pPr>
            <w:r>
              <w:rPr>
                <w:rFonts w:ascii="Calibri" w:hAnsi="Calibri" w:eastAsia="Arial" w:cs="Calibri"/>
                <w:color w:val="000000"/>
                <w:kern w:val="2"/>
                <w:sz w:val="18"/>
                <w:szCs w:val="18"/>
                <w:lang w:eastAsia="es-CO"/>
                <w14:ligatures w14:val="standardContextual"/>
              </w:rPr>
              <w:t xml:space="preserve"> </w:t>
            </w:r>
          </w:p>
          <w:p w14:paraId="3B33384D">
            <w:pPr>
              <w:spacing w:after="0" w:line="240" w:lineRule="auto"/>
              <w:ind w:left="-7" w:right="2514"/>
              <w:rPr>
                <w:rFonts w:ascii="Calibri" w:hAnsi="Calibri" w:eastAsia="Arial" w:cs="Calibri"/>
                <w:color w:val="000000"/>
                <w:kern w:val="2"/>
                <w:sz w:val="18"/>
                <w:szCs w:val="18"/>
                <w:lang w:eastAsia="es-CO"/>
                <w14:ligatures w14:val="standardContextual"/>
              </w:rPr>
            </w:pPr>
            <w:r>
              <w:rPr>
                <w:rFonts w:ascii="Calibri" w:hAnsi="Calibri" w:eastAsia="Arial" w:cs="Calibri"/>
                <w:color w:val="000000"/>
                <w:kern w:val="2"/>
                <w:sz w:val="18"/>
                <w:szCs w:val="18"/>
                <w:lang w:eastAsia="es-CO"/>
                <w14:ligatures w14:val="standardContextual"/>
              </w:rPr>
              <w:t xml:space="preserve">  </w:t>
            </w:r>
          </w:p>
          <w:p w14:paraId="3703BD9C">
            <w:pPr>
              <w:spacing w:after="0" w:line="259" w:lineRule="auto"/>
              <w:ind w:left="-7"/>
              <w:rPr>
                <w:rFonts w:ascii="Calibri" w:hAnsi="Calibri" w:eastAsia="Arial" w:cs="Calibri"/>
                <w:color w:val="000000"/>
                <w:kern w:val="2"/>
                <w:sz w:val="18"/>
                <w:szCs w:val="18"/>
                <w:lang w:eastAsia="es-CO"/>
                <w14:ligatures w14:val="standardContextual"/>
              </w:rPr>
            </w:pPr>
            <w:r>
              <w:rPr>
                <w:rFonts w:ascii="Calibri" w:hAnsi="Calibri" w:eastAsia="Arial" w:cs="Calibri"/>
                <w:color w:val="000000"/>
                <w:kern w:val="2"/>
                <w:sz w:val="18"/>
                <w:szCs w:val="18"/>
                <w:lang w:eastAsia="es-CO"/>
                <w14:ligatures w14:val="standardContextual"/>
              </w:rPr>
              <w:t xml:space="preserve"> </w:t>
            </w:r>
          </w:p>
        </w:tc>
        <w:tc>
          <w:tcPr>
            <w:tcW w:w="848" w:type="pct"/>
            <w:tcBorders>
              <w:top w:val="single" w:color="000000" w:sz="4" w:space="0"/>
              <w:left w:val="single" w:color="000000" w:sz="4" w:space="0"/>
              <w:bottom w:val="single" w:color="000000" w:sz="4" w:space="0"/>
              <w:right w:val="single" w:color="000000" w:sz="4" w:space="0"/>
            </w:tcBorders>
          </w:tcPr>
          <w:p w14:paraId="258DE922">
            <w:pPr>
              <w:spacing w:after="0" w:line="259" w:lineRule="auto"/>
              <w:ind w:left="6"/>
              <w:rPr>
                <w:rFonts w:ascii="Calibri" w:hAnsi="Calibri" w:eastAsia="Arial" w:cs="Calibri"/>
                <w:color w:val="000000"/>
                <w:kern w:val="2"/>
                <w:sz w:val="18"/>
                <w:szCs w:val="18"/>
                <w:lang w:eastAsia="es-CO"/>
                <w14:ligatures w14:val="standardContextual"/>
              </w:rPr>
            </w:pPr>
            <w:r>
              <w:rPr>
                <w:rFonts w:ascii="Calibri" w:hAnsi="Calibri" w:eastAsia="Arial" w:cs="Calibri"/>
                <w:color w:val="000000"/>
                <w:kern w:val="2"/>
                <w:sz w:val="18"/>
                <w:szCs w:val="18"/>
                <w:lang w:eastAsia="es-CO"/>
                <w14:ligatures w14:val="standardContextual"/>
              </w:rPr>
              <w:t xml:space="preserve"> </w:t>
            </w:r>
          </w:p>
          <w:p w14:paraId="50358090">
            <w:pPr>
              <w:spacing w:after="0" w:line="259" w:lineRule="auto"/>
              <w:ind w:left="6" w:right="5" w:hanging="13"/>
              <w:jc w:val="both"/>
              <w:rPr>
                <w:rFonts w:ascii="Calibri" w:hAnsi="Calibri" w:eastAsia="Arial" w:cs="Calibri"/>
                <w:color w:val="000000"/>
                <w:kern w:val="2"/>
                <w:sz w:val="18"/>
                <w:szCs w:val="18"/>
                <w:lang w:eastAsia="es-CO"/>
                <w14:ligatures w14:val="standardContextual"/>
              </w:rPr>
            </w:pPr>
            <w:r>
              <w:rPr>
                <w:rFonts w:ascii="Calibri" w:hAnsi="Calibri" w:eastAsia="Arial" w:cs="Calibri"/>
                <w:color w:val="000000"/>
                <w:kern w:val="2"/>
                <w:sz w:val="18"/>
                <w:szCs w:val="18"/>
                <w:lang w:eastAsia="es-CO"/>
                <w14:ligatures w14:val="standardContextual"/>
              </w:rPr>
              <w:t xml:space="preserve"> A partir de la fecha de suscripción del contrato </w:t>
            </w:r>
          </w:p>
        </w:tc>
        <w:tc>
          <w:tcPr>
            <w:tcW w:w="954" w:type="pct"/>
            <w:tcBorders>
              <w:top w:val="single" w:color="000000" w:sz="4" w:space="0"/>
              <w:left w:val="single" w:color="000000" w:sz="4" w:space="0"/>
              <w:bottom w:val="single" w:color="000000" w:sz="4" w:space="0"/>
              <w:right w:val="single" w:color="000000" w:sz="4" w:space="0"/>
            </w:tcBorders>
          </w:tcPr>
          <w:p w14:paraId="2F91EB88">
            <w:pPr>
              <w:spacing w:after="0" w:line="259" w:lineRule="auto"/>
              <w:ind w:left="5"/>
              <w:rPr>
                <w:rFonts w:ascii="Calibri" w:hAnsi="Calibri" w:eastAsia="Arial" w:cs="Calibri"/>
                <w:color w:val="000000"/>
                <w:kern w:val="2"/>
                <w:sz w:val="18"/>
                <w:szCs w:val="18"/>
                <w:lang w:eastAsia="es-CO"/>
                <w14:ligatures w14:val="standardContextual"/>
              </w:rPr>
            </w:pPr>
            <w:r>
              <w:rPr>
                <w:rFonts w:ascii="Calibri" w:hAnsi="Calibri" w:eastAsia="Arial" w:cs="Calibri"/>
                <w:color w:val="000000"/>
                <w:kern w:val="2"/>
                <w:sz w:val="18"/>
                <w:szCs w:val="18"/>
                <w:lang w:eastAsia="es-CO"/>
                <w14:ligatures w14:val="standardContextual"/>
              </w:rPr>
              <w:t xml:space="preserve"> </w:t>
            </w:r>
          </w:p>
          <w:p w14:paraId="0C05845F">
            <w:pPr>
              <w:spacing w:after="0" w:line="259" w:lineRule="auto"/>
              <w:ind w:left="-8" w:right="3"/>
              <w:jc w:val="both"/>
              <w:rPr>
                <w:rFonts w:ascii="Calibri" w:hAnsi="Calibri" w:eastAsia="Arial" w:cs="Calibri"/>
                <w:color w:val="000000"/>
                <w:kern w:val="2"/>
                <w:sz w:val="18"/>
                <w:szCs w:val="18"/>
                <w:lang w:eastAsia="es-CO"/>
                <w14:ligatures w14:val="standardContextual"/>
              </w:rPr>
            </w:pPr>
            <w:r>
              <w:rPr>
                <w:rFonts w:ascii="Calibri" w:hAnsi="Calibri" w:eastAsia="Arial" w:cs="Calibri"/>
                <w:color w:val="000000"/>
                <w:kern w:val="2"/>
                <w:sz w:val="18"/>
                <w:szCs w:val="18"/>
                <w:lang w:eastAsia="es-CO"/>
                <w14:ligatures w14:val="standardContextual"/>
              </w:rPr>
              <w:t xml:space="preserve"> Hasta la fecha de  terminación del contrato y cuatro (4) meses más. </w:t>
            </w:r>
          </w:p>
        </w:tc>
      </w:tr>
      <w:tr w14:paraId="125BA0FA">
        <w:tblPrEx>
          <w:tblCellMar>
            <w:top w:w="0" w:type="dxa"/>
            <w:left w:w="0" w:type="dxa"/>
            <w:bottom w:w="9" w:type="dxa"/>
            <w:right w:w="0" w:type="dxa"/>
          </w:tblCellMar>
        </w:tblPrEx>
        <w:trPr>
          <w:trHeight w:val="1664" w:hRule="atLeast"/>
        </w:trPr>
        <w:tc>
          <w:tcPr>
            <w:tcW w:w="994" w:type="pct"/>
            <w:tcBorders>
              <w:top w:val="single" w:color="000000" w:sz="4" w:space="0"/>
              <w:left w:val="single" w:color="000000" w:sz="4" w:space="0"/>
              <w:bottom w:val="single" w:color="000000" w:sz="4" w:space="0"/>
              <w:right w:val="single" w:color="000000" w:sz="4" w:space="0"/>
            </w:tcBorders>
          </w:tcPr>
          <w:p w14:paraId="70CB6343">
            <w:pPr>
              <w:spacing w:after="0" w:line="259" w:lineRule="auto"/>
              <w:ind w:left="4"/>
              <w:rPr>
                <w:rFonts w:ascii="Calibri" w:hAnsi="Calibri" w:eastAsia="Arial" w:cs="Calibri"/>
                <w:color w:val="000000"/>
                <w:kern w:val="2"/>
                <w:sz w:val="18"/>
                <w:szCs w:val="18"/>
                <w:lang w:eastAsia="es-CO"/>
                <w14:ligatures w14:val="standardContextual"/>
              </w:rPr>
            </w:pPr>
            <w:r>
              <w:rPr>
                <w:rFonts w:ascii="Calibri" w:hAnsi="Calibri" w:eastAsia="Arial" w:cs="Calibri"/>
                <w:b/>
                <w:color w:val="000000"/>
                <w:kern w:val="2"/>
                <w:sz w:val="18"/>
                <w:szCs w:val="18"/>
                <w:lang w:eastAsia="es-CO"/>
                <w14:ligatures w14:val="standardContextual"/>
              </w:rPr>
              <w:t xml:space="preserve">Calidad y Correcto funcionamiento de los bienes y equipos suministrados </w:t>
            </w:r>
          </w:p>
        </w:tc>
        <w:tc>
          <w:tcPr>
            <w:tcW w:w="919" w:type="pct"/>
            <w:tcBorders>
              <w:top w:val="single" w:color="000000" w:sz="4" w:space="0"/>
              <w:left w:val="single" w:color="000000" w:sz="4" w:space="0"/>
              <w:bottom w:val="single" w:color="000000" w:sz="4" w:space="0"/>
              <w:right w:val="single" w:color="000000" w:sz="4" w:space="0"/>
            </w:tcBorders>
          </w:tcPr>
          <w:p w14:paraId="45ABFB9F">
            <w:pPr>
              <w:spacing w:after="0" w:line="259" w:lineRule="auto"/>
              <w:ind w:left="5"/>
              <w:rPr>
                <w:rFonts w:ascii="Calibri" w:hAnsi="Calibri" w:eastAsia="Arial" w:cs="Calibri"/>
                <w:color w:val="000000"/>
                <w:kern w:val="2"/>
                <w:sz w:val="18"/>
                <w:szCs w:val="18"/>
                <w:lang w:eastAsia="es-CO"/>
                <w14:ligatures w14:val="standardContextual"/>
              </w:rPr>
            </w:pPr>
            <w:r>
              <w:rPr>
                <w:rFonts w:ascii="Calibri" w:hAnsi="Calibri" w:eastAsia="Arial" w:cs="Calibri"/>
                <w:color w:val="000000"/>
                <w:kern w:val="2"/>
                <w:sz w:val="18"/>
                <w:szCs w:val="18"/>
                <w:lang w:eastAsia="es-CO"/>
                <w14:ligatures w14:val="standardContextual"/>
              </w:rPr>
              <w:t xml:space="preserve"> </w:t>
            </w:r>
          </w:p>
          <w:p w14:paraId="71E0ED62">
            <w:pPr>
              <w:spacing w:after="0" w:line="240" w:lineRule="auto"/>
              <w:jc w:val="center"/>
              <w:rPr>
                <w:rFonts w:ascii="Calibri" w:hAnsi="Calibri" w:eastAsia="Arial" w:cs="Calibri"/>
                <w:color w:val="000000"/>
                <w:kern w:val="2"/>
                <w:sz w:val="18"/>
                <w:szCs w:val="18"/>
                <w:lang w:eastAsia="es-CO"/>
                <w14:ligatures w14:val="standardContextual"/>
              </w:rPr>
            </w:pPr>
            <w:r>
              <w:rPr>
                <w:rFonts w:ascii="Calibri" w:hAnsi="Calibri" w:eastAsia="Arial" w:cs="Calibri"/>
                <w:color w:val="000000"/>
                <w:kern w:val="2"/>
                <w:sz w:val="18"/>
                <w:szCs w:val="18"/>
                <w:lang w:eastAsia="es-CO"/>
                <w14:ligatures w14:val="standardContextual"/>
              </w:rPr>
              <w:t xml:space="preserve">Mala calidad o funcionamiento </w:t>
            </w:r>
          </w:p>
          <w:p w14:paraId="5CFFB4A6">
            <w:pPr>
              <w:spacing w:after="0" w:line="259" w:lineRule="auto"/>
              <w:jc w:val="center"/>
              <w:rPr>
                <w:rFonts w:ascii="Calibri" w:hAnsi="Calibri" w:eastAsia="Arial" w:cs="Calibri"/>
                <w:color w:val="000000"/>
                <w:kern w:val="2"/>
                <w:sz w:val="18"/>
                <w:szCs w:val="18"/>
                <w:lang w:eastAsia="es-CO"/>
                <w14:ligatures w14:val="standardContextual"/>
              </w:rPr>
            </w:pPr>
            <w:r>
              <w:rPr>
                <w:rFonts w:ascii="Calibri" w:hAnsi="Calibri" w:eastAsia="Arial" w:cs="Calibri"/>
                <w:color w:val="000000"/>
                <w:kern w:val="2"/>
                <w:sz w:val="18"/>
                <w:szCs w:val="18"/>
                <w:lang w:eastAsia="es-CO"/>
                <w14:ligatures w14:val="standardContextual"/>
              </w:rPr>
              <w:t xml:space="preserve">inadecuado de los bienes contratados. </w:t>
            </w:r>
          </w:p>
        </w:tc>
        <w:tc>
          <w:tcPr>
            <w:tcW w:w="1285" w:type="pct"/>
            <w:tcBorders>
              <w:top w:val="single" w:color="000000" w:sz="4" w:space="0"/>
              <w:left w:val="single" w:color="000000" w:sz="4" w:space="0"/>
              <w:bottom w:val="single" w:color="000000" w:sz="4" w:space="0"/>
              <w:right w:val="single" w:color="000000" w:sz="4" w:space="0"/>
            </w:tcBorders>
          </w:tcPr>
          <w:p w14:paraId="58C21B72">
            <w:pPr>
              <w:spacing w:after="0" w:line="259" w:lineRule="auto"/>
              <w:ind w:left="5"/>
              <w:rPr>
                <w:rFonts w:ascii="Calibri" w:hAnsi="Calibri" w:eastAsia="Arial" w:cs="Calibri"/>
                <w:color w:val="000000"/>
                <w:kern w:val="2"/>
                <w:sz w:val="18"/>
                <w:szCs w:val="18"/>
                <w:lang w:eastAsia="es-CO"/>
                <w14:ligatures w14:val="standardContextual"/>
              </w:rPr>
            </w:pPr>
            <w:r>
              <w:rPr>
                <w:rFonts w:ascii="Calibri" w:hAnsi="Calibri" w:eastAsia="Arial" w:cs="Calibri"/>
                <w:color w:val="000000"/>
                <w:kern w:val="2"/>
                <w:sz w:val="18"/>
                <w:szCs w:val="18"/>
                <w:lang w:eastAsia="es-CO"/>
                <w14:ligatures w14:val="standardContextual"/>
              </w:rPr>
              <w:t xml:space="preserve"> </w:t>
            </w:r>
          </w:p>
          <w:p w14:paraId="29A3C7C5">
            <w:pPr>
              <w:spacing w:after="0" w:line="259" w:lineRule="auto"/>
              <w:ind w:left="43"/>
              <w:jc w:val="center"/>
              <w:rPr>
                <w:rFonts w:ascii="Calibri" w:hAnsi="Calibri" w:eastAsia="Arial" w:cs="Calibri"/>
                <w:color w:val="000000"/>
                <w:kern w:val="2"/>
                <w:sz w:val="18"/>
                <w:szCs w:val="18"/>
                <w:lang w:eastAsia="es-CO"/>
                <w14:ligatures w14:val="standardContextual"/>
              </w:rPr>
            </w:pPr>
            <w:r>
              <w:rPr>
                <w:rFonts w:ascii="Calibri" w:hAnsi="Calibri" w:eastAsia="Arial" w:cs="Calibri"/>
                <w:color w:val="000000"/>
                <w:kern w:val="2"/>
                <w:sz w:val="18"/>
                <w:szCs w:val="18"/>
                <w:lang w:eastAsia="es-CO"/>
                <w14:ligatures w14:val="standardContextual"/>
              </w:rPr>
              <w:t xml:space="preserve">En una cuantía equivalente al veinte por ciento [20%] del valor del contrato. </w:t>
            </w:r>
          </w:p>
        </w:tc>
        <w:tc>
          <w:tcPr>
            <w:tcW w:w="848" w:type="pct"/>
            <w:tcBorders>
              <w:top w:val="single" w:color="000000" w:sz="4" w:space="0"/>
              <w:left w:val="single" w:color="000000" w:sz="4" w:space="0"/>
              <w:bottom w:val="single" w:color="000000" w:sz="4" w:space="0"/>
              <w:right w:val="single" w:color="000000" w:sz="4" w:space="0"/>
            </w:tcBorders>
          </w:tcPr>
          <w:p w14:paraId="0B33A4DD">
            <w:pPr>
              <w:spacing w:after="0" w:line="259" w:lineRule="auto"/>
              <w:ind w:left="6"/>
              <w:rPr>
                <w:rFonts w:ascii="Calibri" w:hAnsi="Calibri" w:eastAsia="Arial" w:cs="Calibri"/>
                <w:color w:val="000000"/>
                <w:kern w:val="2"/>
                <w:sz w:val="18"/>
                <w:szCs w:val="18"/>
                <w:lang w:eastAsia="es-CO"/>
                <w14:ligatures w14:val="standardContextual"/>
              </w:rPr>
            </w:pPr>
            <w:r>
              <w:rPr>
                <w:rFonts w:ascii="Calibri" w:hAnsi="Calibri" w:eastAsia="Arial" w:cs="Calibri"/>
                <w:color w:val="000000"/>
                <w:kern w:val="2"/>
                <w:sz w:val="18"/>
                <w:szCs w:val="18"/>
                <w:lang w:eastAsia="es-CO"/>
                <w14:ligatures w14:val="standardContextual"/>
              </w:rPr>
              <w:t xml:space="preserve"> </w:t>
            </w:r>
          </w:p>
          <w:p w14:paraId="57487306">
            <w:pPr>
              <w:spacing w:after="4" w:line="253" w:lineRule="auto"/>
              <w:jc w:val="center"/>
              <w:rPr>
                <w:rFonts w:ascii="Calibri" w:hAnsi="Calibri" w:eastAsia="Arial" w:cs="Calibri"/>
                <w:color w:val="000000"/>
                <w:kern w:val="2"/>
                <w:sz w:val="18"/>
                <w:szCs w:val="18"/>
                <w:lang w:eastAsia="es-CO"/>
                <w14:ligatures w14:val="standardContextual"/>
              </w:rPr>
            </w:pPr>
            <w:r>
              <w:rPr>
                <w:rFonts w:ascii="Calibri" w:hAnsi="Calibri" w:eastAsia="Arial" w:cs="Calibri"/>
                <w:color w:val="000000"/>
                <w:kern w:val="2"/>
                <w:sz w:val="18"/>
                <w:szCs w:val="18"/>
                <w:lang w:eastAsia="es-CO"/>
                <w14:ligatures w14:val="standardContextual"/>
              </w:rPr>
              <w:t xml:space="preserve">A partir de la fecha de </w:t>
            </w:r>
            <w:r>
              <w:rPr>
                <w:rFonts w:ascii="Calibri" w:hAnsi="Calibri" w:eastAsia="Arial" w:cs="Calibri"/>
                <w:color w:val="000000"/>
                <w:kern w:val="2"/>
                <w:sz w:val="18"/>
                <w:szCs w:val="18"/>
                <w:lang w:eastAsia="es-CO"/>
                <w14:ligatures w14:val="standardContextual"/>
              </w:rPr>
              <w:tab/>
            </w:r>
            <w:r>
              <w:rPr>
                <w:rFonts w:ascii="Calibri" w:hAnsi="Calibri" w:eastAsia="Arial" w:cs="Calibri"/>
                <w:color w:val="000000"/>
                <w:kern w:val="2"/>
                <w:sz w:val="18"/>
                <w:szCs w:val="18"/>
                <w:lang w:eastAsia="es-CO"/>
                <w14:ligatures w14:val="standardContextual"/>
              </w:rPr>
              <w:t>recibo a satisfacción</w:t>
            </w:r>
          </w:p>
          <w:p w14:paraId="117184A0">
            <w:pPr>
              <w:spacing w:after="0" w:line="259" w:lineRule="auto"/>
              <w:ind w:left="330" w:hanging="271"/>
              <w:rPr>
                <w:rFonts w:ascii="Calibri" w:hAnsi="Calibri" w:eastAsia="Arial" w:cs="Calibri"/>
                <w:color w:val="000000"/>
                <w:kern w:val="2"/>
                <w:sz w:val="18"/>
                <w:szCs w:val="18"/>
                <w:lang w:eastAsia="es-CO"/>
                <w14:ligatures w14:val="standardContextual"/>
              </w:rPr>
            </w:pPr>
            <w:r>
              <w:rPr>
                <w:rFonts w:ascii="Calibri" w:hAnsi="Calibri" w:eastAsia="Arial" w:cs="Calibri"/>
                <w:color w:val="000000"/>
                <w:kern w:val="2"/>
                <w:sz w:val="18"/>
                <w:szCs w:val="18"/>
                <w:lang w:eastAsia="es-CO"/>
                <w14:ligatures w14:val="standardContextual"/>
              </w:rPr>
              <w:t xml:space="preserve"> </w:t>
            </w:r>
            <w:r>
              <w:rPr>
                <w:rFonts w:ascii="Calibri" w:hAnsi="Calibri" w:eastAsia="Arial" w:cs="Calibri"/>
                <w:color w:val="000000"/>
                <w:kern w:val="2"/>
                <w:sz w:val="18"/>
                <w:szCs w:val="18"/>
                <w:lang w:eastAsia="es-CO"/>
                <w14:ligatures w14:val="standardContextual"/>
              </w:rPr>
              <w:tab/>
            </w:r>
            <w:r>
              <w:rPr>
                <w:rFonts w:ascii="Calibri" w:hAnsi="Calibri" w:eastAsia="Arial" w:cs="Calibri"/>
                <w:color w:val="000000"/>
                <w:kern w:val="2"/>
                <w:sz w:val="18"/>
                <w:szCs w:val="18"/>
                <w:lang w:eastAsia="es-CO"/>
                <w14:ligatures w14:val="standardContextual"/>
              </w:rPr>
              <w:t xml:space="preserve">del objeto del contrato </w:t>
            </w:r>
          </w:p>
        </w:tc>
        <w:tc>
          <w:tcPr>
            <w:tcW w:w="954" w:type="pct"/>
            <w:tcBorders>
              <w:top w:val="single" w:color="000000" w:sz="4" w:space="0"/>
              <w:left w:val="single" w:color="000000" w:sz="4" w:space="0"/>
              <w:bottom w:val="single" w:color="000000" w:sz="4" w:space="0"/>
              <w:right w:val="single" w:color="000000" w:sz="4" w:space="0"/>
            </w:tcBorders>
          </w:tcPr>
          <w:p w14:paraId="4AF9A0A0">
            <w:pPr>
              <w:spacing w:after="0" w:line="259" w:lineRule="auto"/>
              <w:ind w:left="5"/>
              <w:rPr>
                <w:rFonts w:ascii="Calibri" w:hAnsi="Calibri" w:eastAsia="Arial" w:cs="Calibri"/>
                <w:color w:val="000000"/>
                <w:kern w:val="2"/>
                <w:sz w:val="18"/>
                <w:szCs w:val="18"/>
                <w:lang w:eastAsia="es-CO"/>
                <w14:ligatures w14:val="standardContextual"/>
              </w:rPr>
            </w:pPr>
            <w:r>
              <w:rPr>
                <w:rFonts w:ascii="Calibri" w:hAnsi="Calibri" w:eastAsia="Arial" w:cs="Calibri"/>
                <w:color w:val="000000"/>
                <w:kern w:val="2"/>
                <w:sz w:val="18"/>
                <w:szCs w:val="18"/>
                <w:lang w:eastAsia="es-CO"/>
                <w14:ligatures w14:val="standardContextual"/>
              </w:rPr>
              <w:t xml:space="preserve"> </w:t>
            </w:r>
          </w:p>
          <w:p w14:paraId="6594044C">
            <w:pPr>
              <w:spacing w:after="0" w:line="259" w:lineRule="auto"/>
              <w:ind w:left="-21"/>
              <w:jc w:val="both"/>
              <w:rPr>
                <w:rFonts w:ascii="Calibri" w:hAnsi="Calibri" w:eastAsia="Arial" w:cs="Calibri"/>
                <w:color w:val="000000"/>
                <w:kern w:val="2"/>
                <w:sz w:val="18"/>
                <w:szCs w:val="18"/>
                <w:lang w:eastAsia="es-CO"/>
                <w14:ligatures w14:val="standardContextual"/>
              </w:rPr>
            </w:pPr>
            <w:r>
              <w:rPr>
                <w:rFonts w:ascii="Calibri" w:hAnsi="Calibri" w:eastAsia="Arial" w:cs="Calibri"/>
                <w:color w:val="000000"/>
                <w:kern w:val="2"/>
                <w:sz w:val="18"/>
                <w:szCs w:val="18"/>
                <w:lang w:eastAsia="es-CO"/>
                <w14:ligatures w14:val="standardContextual"/>
              </w:rPr>
              <w:t xml:space="preserve"> Con vigencia de un </w:t>
            </w:r>
          </w:p>
          <w:p w14:paraId="7A75C035">
            <w:pPr>
              <w:spacing w:after="0" w:line="259" w:lineRule="auto"/>
              <w:jc w:val="center"/>
              <w:rPr>
                <w:rFonts w:ascii="Calibri" w:hAnsi="Calibri" w:eastAsia="Arial" w:cs="Calibri"/>
                <w:color w:val="000000"/>
                <w:kern w:val="2"/>
                <w:sz w:val="18"/>
                <w:szCs w:val="18"/>
                <w:lang w:eastAsia="es-CO"/>
                <w14:ligatures w14:val="standardContextual"/>
              </w:rPr>
            </w:pPr>
            <w:r>
              <w:rPr>
                <w:rFonts w:ascii="Calibri" w:hAnsi="Calibri" w:eastAsia="Arial" w:cs="Calibri"/>
                <w:color w:val="000000"/>
                <w:kern w:val="2"/>
                <w:sz w:val="18"/>
                <w:szCs w:val="18"/>
                <w:lang w:eastAsia="es-CO"/>
                <w14:ligatures w14:val="standardContextual"/>
              </w:rPr>
              <w:t xml:space="preserve">[1] año contado a partir del acta de recibo final. </w:t>
            </w:r>
          </w:p>
        </w:tc>
      </w:tr>
    </w:tbl>
    <w:p w14:paraId="4BFDCB05">
      <w:pPr>
        <w:spacing w:after="0" w:line="240" w:lineRule="auto"/>
        <w:contextualSpacing/>
        <w:jc w:val="both"/>
        <w:rPr>
          <w:rFonts w:ascii="Arial Narrow" w:hAnsi="Arial Narrow" w:cs="Arial"/>
          <w:lang/>
        </w:rPr>
      </w:pPr>
    </w:p>
    <w:p w14:paraId="62625F06">
      <w:pPr>
        <w:pStyle w:val="52"/>
        <w:numPr>
          <w:ilvl w:val="1"/>
          <w:numId w:val="36"/>
        </w:numPr>
        <w:autoSpaceDE w:val="0"/>
        <w:autoSpaceDN w:val="0"/>
        <w:spacing w:after="0" w:line="240" w:lineRule="auto"/>
        <w:jc w:val="both"/>
        <w:rPr>
          <w:rFonts w:ascii="Arial Narrow" w:hAnsi="Arial Narrow" w:cs="Arial"/>
          <w:b/>
          <w:bCs/>
          <w:lang/>
        </w:rPr>
      </w:pPr>
      <w:r>
        <w:rPr>
          <w:rFonts w:ascii="Arial Narrow" w:hAnsi="Arial Narrow" w:cs="Arial"/>
          <w:b/>
          <w:bCs/>
          <w:lang/>
        </w:rPr>
        <w:t>PRESENTACIÓN</w:t>
      </w:r>
      <w:r>
        <w:rPr>
          <w:rFonts w:ascii="Arial Narrow" w:hAnsi="Arial Narrow" w:eastAsia="Times New Roman" w:cs="Arial"/>
          <w:b/>
          <w:bCs/>
          <w:lang w:eastAsia="es-ES"/>
        </w:rPr>
        <w:t xml:space="preserve"> FORMATO INGRESO DE PROVEEDORES</w:t>
      </w:r>
    </w:p>
    <w:p w14:paraId="72E44BB5">
      <w:pPr>
        <w:widowControl w:val="0"/>
        <w:tabs>
          <w:tab w:val="left" w:pos="3612"/>
        </w:tabs>
        <w:overflowPunct w:val="0"/>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ab/>
      </w:r>
    </w:p>
    <w:p w14:paraId="3B39597D">
      <w:pPr>
        <w:spacing w:after="0" w:line="240" w:lineRule="auto"/>
        <w:contextualSpacing/>
        <w:jc w:val="both"/>
        <w:rPr>
          <w:rFonts w:ascii="Arial Narrow" w:hAnsi="Arial Narrow" w:eastAsia="Times New Roman" w:cs="Arial"/>
          <w:spacing w:val="-3"/>
          <w:lang w:eastAsia="es-ES"/>
        </w:rPr>
      </w:pPr>
      <w:r>
        <w:rPr>
          <w:rFonts w:ascii="Arial Narrow" w:hAnsi="Arial Narrow" w:eastAsia="Times New Roman" w:cs="Arial"/>
          <w:lang w:eastAsia="es-ES"/>
        </w:rPr>
        <w:t xml:space="preserve">El proponente ganador  o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consorcio o  unión temporal, el cual se </w:t>
      </w:r>
      <w:r>
        <w:rPr>
          <w:rFonts w:ascii="Arial Narrow" w:hAnsi="Arial Narrow" w:eastAsia="Times New Roman" w:cs="Arial"/>
          <w:spacing w:val="-3"/>
          <w:lang w:eastAsia="es-ES"/>
        </w:rPr>
        <w:t xml:space="preserve">debe entregar en la Dirección Administrativa  –Grupo de Procesos Contractuales – de la </w:t>
      </w:r>
      <w:r>
        <w:rPr>
          <w:rFonts w:ascii="Arial Narrow" w:hAnsi="Arial Narrow" w:cs="Arial"/>
          <w:lang/>
        </w:rPr>
        <w:t>Aerocivil</w:t>
      </w:r>
      <w:r>
        <w:rPr>
          <w:rFonts w:ascii="Arial Narrow" w:hAnsi="Arial Narrow" w:eastAsia="Times New Roman" w:cs="Arial"/>
          <w:spacing w:val="-3"/>
          <w:lang w:eastAsia="es-ES"/>
        </w:rPr>
        <w:t xml:space="preserve">, con la información y la certificación bancaria requerida. </w:t>
      </w:r>
    </w:p>
    <w:p w14:paraId="222AD845">
      <w:pPr>
        <w:spacing w:after="0" w:line="240" w:lineRule="auto"/>
        <w:contextualSpacing/>
        <w:jc w:val="both"/>
        <w:rPr>
          <w:rFonts w:ascii="Arial Narrow" w:hAnsi="Arial Narrow" w:eastAsia="Times New Roman" w:cs="Arial"/>
          <w:spacing w:val="-3"/>
          <w:lang w:eastAsia="es-ES"/>
        </w:rPr>
      </w:pPr>
    </w:p>
    <w:p w14:paraId="60B789F5">
      <w:pPr>
        <w:spacing w:after="0" w:line="240" w:lineRule="auto"/>
        <w:contextualSpacing/>
        <w:jc w:val="both"/>
        <w:rPr>
          <w:rFonts w:ascii="Arial Narrow" w:hAnsi="Arial Narrow" w:eastAsia="Times New Roman" w:cs="Arial"/>
          <w:spacing w:val="-3"/>
          <w:lang w:eastAsia="es-ES"/>
        </w:rPr>
      </w:pPr>
      <w:r>
        <w:rPr>
          <w:rFonts w:ascii="Arial Narrow" w:hAnsi="Arial Narrow" w:eastAsia="Times New Roman" w:cs="Arial"/>
          <w:spacing w:val="-3"/>
          <w:lang w:eastAsia="es-ES"/>
        </w:rPr>
        <w:t>La información se debe consignar en todos y cada uno de sus numerales en forma legible.</w:t>
      </w:r>
    </w:p>
    <w:p w14:paraId="7C34735C">
      <w:pPr>
        <w:pStyle w:val="49"/>
        <w:jc w:val="both"/>
        <w:rPr>
          <w:rFonts w:ascii="Arial Narrow" w:hAnsi="Arial Narrow" w:cs="Arial"/>
          <w:sz w:val="22"/>
          <w:szCs w:val="22"/>
        </w:rPr>
      </w:pPr>
    </w:p>
    <w:p w14:paraId="033A9E31">
      <w:pPr>
        <w:pStyle w:val="52"/>
        <w:numPr>
          <w:ilvl w:val="1"/>
          <w:numId w:val="36"/>
        </w:numPr>
        <w:autoSpaceDE w:val="0"/>
        <w:autoSpaceDN w:val="0"/>
        <w:spacing w:after="0" w:line="240" w:lineRule="auto"/>
        <w:jc w:val="both"/>
        <w:rPr>
          <w:rFonts w:ascii="Arial Narrow" w:hAnsi="Arial Narrow" w:eastAsia="Times New Roman" w:cs="Arial"/>
          <w:b/>
          <w:bCs/>
          <w:lang w:eastAsia="es-ES"/>
        </w:rPr>
      </w:pPr>
      <w:r>
        <w:rPr>
          <w:rFonts w:ascii="Arial Narrow" w:hAnsi="Arial Narrow" w:cs="Arial"/>
          <w:b/>
          <w:bCs/>
          <w:lang/>
        </w:rPr>
        <w:t>PRESENTACIÓN</w:t>
      </w:r>
      <w:r>
        <w:rPr>
          <w:rFonts w:ascii="Arial Narrow" w:hAnsi="Arial Narrow" w:eastAsia="Times New Roman" w:cs="Arial"/>
          <w:b/>
          <w:bCs/>
          <w:lang w:eastAsia="es-ES"/>
        </w:rPr>
        <w:t xml:space="preserve"> DEL REGISTRO ÚNICO TRIBUTARIO RUT</w:t>
      </w:r>
    </w:p>
    <w:p w14:paraId="7AD36463">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1ABF18B7">
      <w:pPr>
        <w:widowControl w:val="0"/>
        <w:overflowPunct w:val="0"/>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spacing w:val="-3"/>
          <w:lang w:eastAsia="es-ES"/>
        </w:rPr>
        <w:t xml:space="preserve">Cuando el adjudicatario sea un consorcio o unión temporal o cualquiera de las formas de asociación permitidas en la legislación colombiana, deberá presentar dentro de los tres (3) días hábiles siguientes a la notificación del acto de adjudicación a la Dirección Administrativa  –Grupo de Procesos Contractuales – de la </w:t>
      </w:r>
      <w:r>
        <w:rPr>
          <w:rFonts w:ascii="Arial Narrow" w:hAnsi="Arial Narrow" w:cs="Arial"/>
          <w:lang/>
        </w:rPr>
        <w:t>Aerocivil</w:t>
      </w:r>
      <w:r>
        <w:rPr>
          <w:rFonts w:ascii="Arial Narrow" w:hAnsi="Arial Narrow" w:eastAsia="Times New Roman" w:cs="Arial"/>
          <w:spacing w:val="-3"/>
          <w:lang w:eastAsia="es-ES"/>
        </w:rPr>
        <w:t>, el RUT del proponente plural.</w:t>
      </w:r>
    </w:p>
    <w:p w14:paraId="3023DA81">
      <w:pPr>
        <w:spacing w:after="0" w:line="240" w:lineRule="auto"/>
        <w:contextualSpacing/>
        <w:jc w:val="both"/>
        <w:rPr>
          <w:rFonts w:ascii="Arial Narrow" w:hAnsi="Arial Narrow" w:cs="Arial"/>
          <w:lang/>
        </w:rPr>
      </w:pPr>
    </w:p>
    <w:bookmarkEnd w:id="110"/>
    <w:p w14:paraId="6A825F47">
      <w:pPr>
        <w:pStyle w:val="52"/>
        <w:numPr>
          <w:ilvl w:val="1"/>
          <w:numId w:val="36"/>
        </w:numPr>
        <w:autoSpaceDE w:val="0"/>
        <w:autoSpaceDN w:val="0"/>
        <w:spacing w:after="0" w:line="240" w:lineRule="auto"/>
        <w:jc w:val="both"/>
        <w:rPr>
          <w:rFonts w:ascii="Arial Narrow" w:hAnsi="Arial Narrow" w:cs="Arial"/>
          <w:lang/>
        </w:rPr>
      </w:pPr>
      <w:r>
        <w:rPr>
          <w:rFonts w:ascii="Arial Narrow" w:hAnsi="Arial Narrow" w:cs="Arial"/>
          <w:b/>
          <w:bCs/>
          <w:color w:val="000000"/>
          <w:lang/>
        </w:rPr>
        <w:t>SUPERVISIÓN</w:t>
      </w:r>
    </w:p>
    <w:p w14:paraId="268E0D86">
      <w:pPr>
        <w:pStyle w:val="49"/>
        <w:jc w:val="both"/>
        <w:rPr>
          <w:rFonts w:ascii="Arial Narrow" w:hAnsi="Arial Narrow" w:cs="Arial"/>
          <w:sz w:val="22"/>
          <w:szCs w:val="22"/>
        </w:rPr>
      </w:pPr>
    </w:p>
    <w:p w14:paraId="32A98248">
      <w:pPr>
        <w:widowControl w:val="0"/>
        <w:autoSpaceDE w:val="0"/>
        <w:autoSpaceDN w:val="0"/>
        <w:adjustRightInd w:val="0"/>
        <w:spacing w:after="0" w:line="240" w:lineRule="auto"/>
        <w:jc w:val="both"/>
        <w:rPr>
          <w:rFonts w:ascii="Arial Narrow" w:hAnsi="Arial Narrow" w:eastAsia="Times New Roman" w:cs="Arial"/>
          <w:lang w:eastAsia="es-CO"/>
        </w:rPr>
      </w:pPr>
      <w:r>
        <w:rPr>
          <w:rFonts w:ascii="Arial Narrow" w:hAnsi="Arial Narrow" w:eastAsia="Times New Roman" w:cs="Arial"/>
          <w:lang w:eastAsia="es-CO"/>
        </w:rPr>
        <w:t xml:space="preserve">LA AEROCIVIL </w:t>
      </w:r>
      <w:r>
        <w:rPr>
          <w:rFonts w:ascii="Arial Narrow" w:hAnsi="Arial Narrow" w:eastAsia="Times New Roman" w:cs="Arial"/>
          <w:spacing w:val="-3"/>
          <w:lang w:eastAsia="es-CO"/>
        </w:rPr>
        <w:t xml:space="preserve">ejercerá la vigilancia y control del objeto de este Contrato a través del funcionario designado por el ORDENADOR DEL GASTO, quien además </w:t>
      </w:r>
      <w:r>
        <w:rPr>
          <w:rFonts w:ascii="Arial Narrow" w:hAnsi="Arial Narrow" w:eastAsia="Times New Roman" w:cs="Arial"/>
          <w:bCs/>
          <w:lang w:eastAsia="es-CO"/>
        </w:rPr>
        <w:t xml:space="preserve">de las funciones que le corresponde para esta clase de contrato, el supervisor </w:t>
      </w:r>
      <w:r>
        <w:rPr>
          <w:rFonts w:ascii="Arial Narrow" w:hAnsi="Arial Narrow" w:eastAsia="Times New Roman" w:cs="Arial"/>
          <w:lang w:eastAsia="es-CO"/>
        </w:rPr>
        <w:t>tendrá todas las atribuciones y facultades</w:t>
      </w:r>
      <w:r>
        <w:rPr>
          <w:rFonts w:ascii="Arial Narrow" w:hAnsi="Arial Narrow" w:eastAsia="Times New Roman" w:cs="Arial"/>
          <w:spacing w:val="-3"/>
          <w:lang w:eastAsia="es-CO"/>
        </w:rPr>
        <w:t xml:space="preserve"> </w:t>
      </w:r>
      <w:r>
        <w:rPr>
          <w:rFonts w:ascii="Arial Narrow" w:hAnsi="Arial Narrow" w:eastAsia="Times New Roman" w:cs="Arial"/>
          <w:lang w:eastAsia="es-CO"/>
        </w:rPr>
        <w:t>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Aerocivil, el Decreto 1082 de 2015, o aquellas que las modifican, adicionen aclaren o las deroguen. Igualmente el supervisor deberá tener en cuenta en la expedición de las certificaciones que éstas indiquen el periodo de pago, la fecha de expedición, el valor a pagar, certificación del cumplimiento de las obligaciones al sistema de salud, número y fecha de expedición de la factura, su valor y demás disposiciones establecidas por la Dirección Financiera.</w:t>
      </w:r>
      <w:bookmarkStart w:id="111" w:name="_Toc415217502"/>
    </w:p>
    <w:p w14:paraId="5C3DB1A3">
      <w:pPr>
        <w:widowControl w:val="0"/>
        <w:autoSpaceDE w:val="0"/>
        <w:autoSpaceDN w:val="0"/>
        <w:adjustRightInd w:val="0"/>
        <w:spacing w:after="0" w:line="240" w:lineRule="auto"/>
        <w:jc w:val="both"/>
        <w:rPr>
          <w:rFonts w:ascii="Arial Narrow" w:hAnsi="Arial Narrow" w:eastAsia="Times New Roman" w:cs="Arial"/>
          <w:lang w:eastAsia="es-CO"/>
        </w:rPr>
      </w:pPr>
    </w:p>
    <w:bookmarkEnd w:id="111"/>
    <w:p w14:paraId="45D4B46C">
      <w:pPr>
        <w:pStyle w:val="52"/>
        <w:numPr>
          <w:ilvl w:val="1"/>
          <w:numId w:val="36"/>
        </w:numPr>
        <w:autoSpaceDE w:val="0"/>
        <w:autoSpaceDN w:val="0"/>
        <w:spacing w:after="0" w:line="240" w:lineRule="auto"/>
        <w:ind w:left="567" w:hanging="567"/>
        <w:jc w:val="both"/>
        <w:rPr>
          <w:rFonts w:ascii="Arial Narrow" w:hAnsi="Arial Narrow" w:eastAsia="MS Gothic" w:cs="Arial"/>
          <w:b/>
          <w:bCs/>
          <w:lang/>
        </w:rPr>
      </w:pPr>
      <w:r>
        <w:rPr>
          <w:rFonts w:ascii="Arial Narrow" w:hAnsi="Arial Narrow" w:eastAsia="MS Gothic" w:cs="Arial"/>
          <w:b/>
          <w:bCs/>
          <w:lang/>
        </w:rPr>
        <w:t xml:space="preserve">FOMENTO A LA EJECUCIÓN DEL CONTRATO –  ARTICULO </w:t>
      </w:r>
      <w:r>
        <w:rPr>
          <w:rFonts w:ascii="Arial Narrow" w:hAnsi="Arial Narrow" w:cs="Arial"/>
          <w:b/>
          <w:lang/>
        </w:rPr>
        <w:t>2.2.1.2.4.2.16 DEL DECRETO 1082 DE 2015</w:t>
      </w:r>
    </w:p>
    <w:p w14:paraId="0C1A76E4">
      <w:pPr>
        <w:spacing w:after="0" w:line="240" w:lineRule="auto"/>
        <w:rPr>
          <w:rFonts w:ascii="Arial Narrow" w:hAnsi="Arial Narrow" w:cs="Arial"/>
          <w:b/>
          <w:lang/>
        </w:rPr>
      </w:pPr>
    </w:p>
    <w:p w14:paraId="6E4FD2A1">
      <w:pPr>
        <w:spacing w:after="0" w:line="240" w:lineRule="auto"/>
        <w:jc w:val="both"/>
        <w:rPr>
          <w:rFonts w:ascii="Arial Narrow" w:hAnsi="Arial Narrow" w:cs="Arial"/>
          <w:bCs/>
          <w:lang/>
        </w:rPr>
      </w:pPr>
      <w:r>
        <w:rPr>
          <w:rFonts w:ascii="Arial Narrow" w:hAnsi="Arial Narrow" w:cs="Arial"/>
          <w:bCs/>
          <w:lang/>
        </w:rPr>
        <w:t xml:space="preserve">Dando cumplimiento a lo establecido en el artículo 2.2.1.2.4.2.16 del decreto 1082 de 2015, el contratista destinará para el cumplimiento del contrato la provisión de hasta el 5% de bienes o servicios por parte de población en pobreza extrema, desplazados por la violencia, personas en proceso de reintegración o reincorporación y sujetos de especial protección constitucional, garantizando las condiciones de calidad, sin perjuicio de los Acuerdos Comeraciales vigentes. </w:t>
      </w:r>
    </w:p>
    <w:p w14:paraId="07506779">
      <w:pPr>
        <w:spacing w:after="0" w:line="240" w:lineRule="auto"/>
        <w:rPr>
          <w:rFonts w:ascii="Arial Narrow" w:hAnsi="Arial Narrow" w:cs="Arial"/>
          <w:bCs/>
          <w:lang/>
        </w:rPr>
      </w:pPr>
    </w:p>
    <w:p w14:paraId="7BF8358B">
      <w:pPr>
        <w:spacing w:after="0" w:line="240" w:lineRule="auto"/>
        <w:rPr>
          <w:rFonts w:ascii="Arial Narrow" w:hAnsi="Arial Narrow" w:cs="Arial"/>
          <w:bCs/>
          <w:lang/>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7"/>
        <w:gridCol w:w="627"/>
      </w:tblGrid>
      <w:tr w14:paraId="7D4C5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627" w:type="dxa"/>
          </w:tcPr>
          <w:p w14:paraId="7C2B2056">
            <w:pPr>
              <w:spacing w:after="0" w:line="240" w:lineRule="auto"/>
              <w:jc w:val="center"/>
              <w:rPr>
                <w:rFonts w:ascii="Arial Narrow" w:hAnsi="Arial Narrow" w:cs="Arial"/>
                <w:bCs/>
                <w:lang/>
              </w:rPr>
            </w:pPr>
            <w:r>
              <w:rPr>
                <w:rFonts w:ascii="Arial Narrow" w:hAnsi="Arial Narrow" w:cs="Arial"/>
                <w:bCs/>
                <w:lang/>
              </w:rPr>
              <w:t>SI</w:t>
            </w:r>
          </w:p>
        </w:tc>
        <w:tc>
          <w:tcPr>
            <w:tcW w:w="627" w:type="dxa"/>
          </w:tcPr>
          <w:p w14:paraId="1D84736A">
            <w:pPr>
              <w:spacing w:after="0" w:line="240" w:lineRule="auto"/>
              <w:jc w:val="center"/>
              <w:rPr>
                <w:rFonts w:ascii="Arial Narrow" w:hAnsi="Arial Narrow" w:cs="Arial"/>
                <w:b/>
                <w:lang/>
              </w:rPr>
            </w:pPr>
          </w:p>
        </w:tc>
      </w:tr>
      <w:tr w14:paraId="5A7EC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627" w:type="dxa"/>
          </w:tcPr>
          <w:p w14:paraId="751F46A6">
            <w:pPr>
              <w:spacing w:after="0" w:line="240" w:lineRule="auto"/>
              <w:jc w:val="center"/>
              <w:rPr>
                <w:rFonts w:ascii="Arial Narrow" w:hAnsi="Arial Narrow" w:cs="Arial"/>
                <w:bCs/>
                <w:lang/>
              </w:rPr>
            </w:pPr>
            <w:r>
              <w:rPr>
                <w:rFonts w:ascii="Arial Narrow" w:hAnsi="Arial Narrow" w:cs="Arial"/>
                <w:bCs/>
                <w:lang/>
              </w:rPr>
              <w:t>NO</w:t>
            </w:r>
          </w:p>
        </w:tc>
        <w:tc>
          <w:tcPr>
            <w:tcW w:w="627" w:type="dxa"/>
          </w:tcPr>
          <w:p w14:paraId="4BE63B53">
            <w:pPr>
              <w:spacing w:after="0" w:line="240" w:lineRule="auto"/>
              <w:jc w:val="center"/>
              <w:rPr>
                <w:rFonts w:ascii="Arial Narrow" w:hAnsi="Arial Narrow" w:cs="Arial"/>
                <w:b/>
                <w:lang/>
              </w:rPr>
            </w:pPr>
            <w:r>
              <w:rPr>
                <w:rFonts w:ascii="Arial Narrow" w:hAnsi="Arial Narrow" w:cs="Arial"/>
                <w:b/>
                <w:lang/>
              </w:rPr>
              <w:t>X</w:t>
            </w:r>
          </w:p>
        </w:tc>
      </w:tr>
    </w:tbl>
    <w:p w14:paraId="4C3526CE">
      <w:pPr>
        <w:spacing w:after="0" w:line="240" w:lineRule="auto"/>
        <w:rPr>
          <w:rFonts w:ascii="Arial Narrow" w:hAnsi="Arial Narrow" w:cs="Arial"/>
          <w:bCs/>
          <w:lang/>
        </w:rPr>
      </w:pPr>
    </w:p>
    <w:p w14:paraId="2E1E8A20">
      <w:pPr>
        <w:spacing w:after="0" w:line="240" w:lineRule="auto"/>
        <w:rPr>
          <w:rFonts w:ascii="Arial Narrow" w:hAnsi="Arial Narrow" w:cs="Arial"/>
          <w:bCs/>
          <w:lang/>
        </w:rPr>
      </w:pPr>
    </w:p>
    <w:p w14:paraId="40C1EDD0">
      <w:pPr>
        <w:spacing w:after="0" w:line="240" w:lineRule="auto"/>
        <w:rPr>
          <w:lang/>
        </w:rPr>
      </w:pPr>
    </w:p>
    <w:sectPr>
      <w:headerReference r:id="rId5" w:type="default"/>
      <w:footerReference r:id="rId6" w:type="default"/>
      <w:pgSz w:w="11907" w:h="16840"/>
      <w:pgMar w:top="1418" w:right="1701" w:bottom="1418"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urier">
    <w:altName w:val="Courier New"/>
    <w:panose1 w:val="02070409020205020404"/>
    <w:charset w:val="00"/>
    <w:family w:val="auto"/>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Arial Narrow">
    <w:panose1 w:val="020B0606020202030204"/>
    <w:charset w:val="00"/>
    <w:family w:val="swiss"/>
    <w:pitch w:val="default"/>
    <w:sig w:usb0="00000287" w:usb1="00000800" w:usb2="00000000" w:usb3="00000000" w:csb0="2000009F" w:csb1="DFD7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Symbol">
    <w:panose1 w:val="05050102010706020507"/>
    <w:charset w:val="02"/>
    <w:family w:val="roman"/>
    <w:pitch w:val="default"/>
    <w:sig w:usb0="00000000" w:usb1="00000000" w:usb2="00000000" w:usb3="00000000" w:csb0="80000000" w:csb1="00000000"/>
  </w:font>
  <w:font w:name="Arial Unicode MS">
    <w:altName w:val="Arial"/>
    <w:panose1 w:val="020B0604020202020204"/>
    <w:charset w:val="80"/>
    <w:family w:val="swiss"/>
    <w:pitch w:val="default"/>
    <w:sig w:usb0="00000000" w:usb1="00000000" w:usb2="0000003F" w:usb3="00000000" w:csb0="003F01FF" w:csb1="00000000"/>
  </w:font>
  <w:font w:name="Helvetica">
    <w:altName w:val="Arial"/>
    <w:panose1 w:val="020B0604020202020204"/>
    <w:charset w:val="00"/>
    <w:family w:val="swiss"/>
    <w:pitch w:val="default"/>
    <w:sig w:usb0="00000000" w:usb1="00000000" w:usb2="00000009" w:usb3="00000000" w:csb0="000001FF" w:csb1="00000000"/>
  </w:font>
  <w:font w:name="MS Mincho">
    <w:altName w:val="Yu Gothic UI"/>
    <w:panose1 w:val="02020609040205080304"/>
    <w:charset w:val="80"/>
    <w:family w:val="modern"/>
    <w:pitch w:val="default"/>
    <w:sig w:usb0="00000000" w:usb1="00000000" w:usb2="08000012" w:usb3="00000000" w:csb0="0002009F" w:csb1="00000000"/>
  </w:font>
  <w:font w:name="MS Gothic">
    <w:panose1 w:val="020B0609070205080204"/>
    <w:charset w:val="80"/>
    <w:family w:val="modern"/>
    <w:pitch w:val="default"/>
    <w:sig w:usb0="E00002FF" w:usb1="6AC7FDFB" w:usb2="08000012" w:usb3="00000000" w:csb0="4002009F" w:csb1="DFD70000"/>
  </w:font>
  <w:font w:name="Cambria Math">
    <w:panose1 w:val="02040503050406030204"/>
    <w:charset w:val="00"/>
    <w:family w:val="roman"/>
    <w:pitch w:val="default"/>
    <w:sig w:usb0="E00006FF" w:usb1="420024FF" w:usb2="02000000" w:usb3="00000000" w:csb0="2000019F" w:csb1="00000000"/>
  </w:font>
  <w:font w:name="Yu Gothic Light">
    <w:panose1 w:val="020B0300000000000000"/>
    <w:charset w:val="80"/>
    <w:family w:val="swiss"/>
    <w:pitch w:val="default"/>
    <w:sig w:usb0="E00002FF" w:usb1="2AC7FDFF" w:usb2="00000016" w:usb3="00000000" w:csb0="2002009F" w:csb1="00000000"/>
  </w:font>
  <w:font w:name="Yu Mincho">
    <w:altName w:val="Yu Gothic"/>
    <w:panose1 w:val="00000000000000000000"/>
    <w:charset w:val="80"/>
    <w:family w:val="roma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 w:name="Yu Gothic">
    <w:panose1 w:val="020B04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Arial" w:hAnsi="Arial" w:cs="Arial"/>
        <w:sz w:val="16"/>
        <w:szCs w:val="16"/>
      </w:rPr>
      <w:id w:val="-439380588"/>
      <w:docPartObj>
        <w:docPartGallery w:val="AutoText"/>
      </w:docPartObj>
    </w:sdtPr>
    <w:sdtEndPr>
      <w:rPr>
        <w:rFonts w:ascii="Arial" w:hAnsi="Arial" w:cs="Arial"/>
        <w:sz w:val="16"/>
        <w:szCs w:val="16"/>
      </w:rPr>
    </w:sdtEndPr>
    <w:sdtContent>
      <w:sdt>
        <w:sdtPr>
          <w:rPr>
            <w:rFonts w:ascii="Arial" w:hAnsi="Arial" w:cs="Arial"/>
            <w:sz w:val="16"/>
            <w:szCs w:val="16"/>
          </w:rPr>
          <w:id w:val="-1769616900"/>
          <w:docPartObj>
            <w:docPartGallery w:val="AutoText"/>
          </w:docPartObj>
        </w:sdtPr>
        <w:sdtEndPr>
          <w:rPr>
            <w:rFonts w:ascii="Arial" w:hAnsi="Arial" w:cs="Arial"/>
            <w:sz w:val="16"/>
            <w:szCs w:val="16"/>
          </w:rPr>
        </w:sdtEndPr>
        <w:sdtContent>
          <w:p w14:paraId="0AC83964">
            <w:pPr>
              <w:pStyle w:val="35"/>
              <w:jc w:val="right"/>
              <w:rPr>
                <w:rFonts w:ascii="Arial" w:hAnsi="Arial" w:cs="Arial"/>
                <w:sz w:val="16"/>
                <w:szCs w:val="16"/>
              </w:rPr>
            </w:pPr>
            <w:r>
              <w:rPr>
                <w:rFonts w:ascii="Arial" w:hAnsi="Arial" w:cs="Arial"/>
                <w:sz w:val="16"/>
                <w:szCs w:val="16"/>
                <w:lang w:val="es-ES"/>
              </w:rPr>
              <w:t xml:space="preserve">Página </w:t>
            </w:r>
            <w:r>
              <w:rPr>
                <w:rFonts w:ascii="Arial" w:hAnsi="Arial" w:cs="Arial"/>
                <w:b/>
                <w:bCs/>
                <w:sz w:val="16"/>
                <w:szCs w:val="16"/>
              </w:rPr>
              <w:fldChar w:fldCharType="begin"/>
            </w:r>
            <w:r>
              <w:rPr>
                <w:rFonts w:ascii="Arial" w:hAnsi="Arial" w:cs="Arial"/>
                <w:b/>
                <w:bCs/>
                <w:sz w:val="16"/>
                <w:szCs w:val="16"/>
              </w:rPr>
              <w:instrText xml:space="preserve">PAGE</w:instrText>
            </w:r>
            <w:r>
              <w:rPr>
                <w:rFonts w:ascii="Arial" w:hAnsi="Arial" w:cs="Arial"/>
                <w:b/>
                <w:bCs/>
                <w:sz w:val="16"/>
                <w:szCs w:val="16"/>
              </w:rPr>
              <w:fldChar w:fldCharType="separate"/>
            </w:r>
            <w:r>
              <w:rPr>
                <w:rFonts w:ascii="Arial" w:hAnsi="Arial" w:cs="Arial"/>
                <w:b/>
                <w:bCs/>
                <w:sz w:val="16"/>
                <w:szCs w:val="16"/>
                <w:lang w:val="es-ES"/>
              </w:rPr>
              <w:t>2</w:t>
            </w:r>
            <w:r>
              <w:rPr>
                <w:rFonts w:ascii="Arial" w:hAnsi="Arial" w:cs="Arial"/>
                <w:b/>
                <w:bCs/>
                <w:sz w:val="16"/>
                <w:szCs w:val="16"/>
              </w:rPr>
              <w:fldChar w:fldCharType="end"/>
            </w:r>
            <w:r>
              <w:rPr>
                <w:rFonts w:ascii="Arial" w:hAnsi="Arial" w:cs="Arial"/>
                <w:sz w:val="16"/>
                <w:szCs w:val="16"/>
                <w:lang w:val="es-ES"/>
              </w:rPr>
              <w:t xml:space="preserve"> de </w:t>
            </w:r>
            <w:r>
              <w:rPr>
                <w:rFonts w:ascii="Arial" w:hAnsi="Arial" w:cs="Arial"/>
                <w:b/>
                <w:bCs/>
                <w:sz w:val="16"/>
                <w:szCs w:val="16"/>
              </w:rPr>
              <w:fldChar w:fldCharType="begin"/>
            </w:r>
            <w:r>
              <w:rPr>
                <w:rFonts w:ascii="Arial" w:hAnsi="Arial" w:cs="Arial"/>
                <w:b/>
                <w:bCs/>
                <w:sz w:val="16"/>
                <w:szCs w:val="16"/>
              </w:rPr>
              <w:instrText xml:space="preserve">NUMPAGES</w:instrText>
            </w:r>
            <w:r>
              <w:rPr>
                <w:rFonts w:ascii="Arial" w:hAnsi="Arial" w:cs="Arial"/>
                <w:b/>
                <w:bCs/>
                <w:sz w:val="16"/>
                <w:szCs w:val="16"/>
              </w:rPr>
              <w:fldChar w:fldCharType="separate"/>
            </w:r>
            <w:r>
              <w:rPr>
                <w:rFonts w:ascii="Arial" w:hAnsi="Arial" w:cs="Arial"/>
                <w:b/>
                <w:bCs/>
                <w:sz w:val="16"/>
                <w:szCs w:val="16"/>
                <w:lang w:val="es-ES"/>
              </w:rPr>
              <w:t>2</w:t>
            </w:r>
            <w:r>
              <w:rPr>
                <w:rFonts w:ascii="Arial" w:hAnsi="Arial" w:cs="Arial"/>
                <w:b/>
                <w:bCs/>
                <w:sz w:val="16"/>
                <w:szCs w:val="16"/>
              </w:rPr>
              <w:fldChar w:fldCharType="end"/>
            </w:r>
          </w:p>
        </w:sdtContent>
      </w:sdt>
    </w:sdtContent>
  </w:sdt>
  <w:p w14:paraId="3B15AC73">
    <w:pPr>
      <w:pStyle w:val="3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43"/>
      <w:tblW w:w="102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2551"/>
      <w:gridCol w:w="2551"/>
      <w:gridCol w:w="2551"/>
      <w:gridCol w:w="2551"/>
    </w:tblGrid>
    <w:tr w14:paraId="7FEB7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99" w:hRule="atLeast"/>
        <w:jc w:val="center"/>
      </w:trPr>
      <w:tc>
        <w:tcPr>
          <w:tcW w:w="2551" w:type="dxa"/>
          <w:vMerge w:val="restart"/>
          <w:shd w:val="clear" w:color="auto" w:fill="FFFFFF"/>
        </w:tcPr>
        <w:p w14:paraId="09BAABCF">
          <w:pPr>
            <w:pStyle w:val="29"/>
            <w:rPr>
              <w:rFonts w:ascii="Arial" w:hAnsi="Arial" w:cs="Arial"/>
              <w:sz w:val="24"/>
              <w:szCs w:val="24"/>
            </w:rPr>
          </w:pPr>
          <w:r>
            <w:drawing>
              <wp:anchor distT="0" distB="0" distL="114300" distR="114300" simplePos="0" relativeHeight="251659264" behindDoc="0" locked="0" layoutInCell="1" allowOverlap="1">
                <wp:simplePos x="0" y="0"/>
                <wp:positionH relativeFrom="column">
                  <wp:posOffset>73025</wp:posOffset>
                </wp:positionH>
                <wp:positionV relativeFrom="paragraph">
                  <wp:posOffset>186690</wp:posOffset>
                </wp:positionV>
                <wp:extent cx="1316990" cy="950595"/>
                <wp:effectExtent l="0" t="0" r="0" b="2540"/>
                <wp:wrapNone/>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317171" cy="950513"/>
                        </a:xfrm>
                        <a:prstGeom prst="rect">
                          <a:avLst/>
                        </a:prstGeom>
                        <a:noFill/>
                        <a:ln>
                          <a:noFill/>
                        </a:ln>
                      </pic:spPr>
                    </pic:pic>
                  </a:graphicData>
                </a:graphic>
              </wp:anchor>
            </w:drawing>
          </w:r>
        </w:p>
      </w:tc>
      <w:tc>
        <w:tcPr>
          <w:tcW w:w="7653" w:type="dxa"/>
          <w:gridSpan w:val="3"/>
          <w:shd w:val="clear" w:color="auto" w:fill="BFBFBF"/>
          <w:vAlign w:val="center"/>
        </w:tcPr>
        <w:p w14:paraId="595DD61A">
          <w:pPr>
            <w:pStyle w:val="29"/>
            <w:jc w:val="center"/>
            <w:rPr>
              <w:rFonts w:ascii="Arial" w:hAnsi="Arial" w:cs="Arial"/>
              <w:b/>
              <w:sz w:val="24"/>
              <w:szCs w:val="24"/>
            </w:rPr>
          </w:pPr>
          <w:r>
            <w:rPr>
              <w:rFonts w:ascii="Calibri" w:hAnsi="Calibri" w:cs="Arial"/>
              <w:b/>
              <w:sz w:val="24"/>
              <w:szCs w:val="24"/>
            </w:rPr>
            <w:t>FORMATO</w:t>
          </w:r>
        </w:p>
      </w:tc>
    </w:tr>
    <w:tr w14:paraId="50A65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177" w:hRule="atLeast"/>
        <w:jc w:val="center"/>
      </w:trPr>
      <w:tc>
        <w:tcPr>
          <w:tcW w:w="2551" w:type="dxa"/>
          <w:vMerge w:val="continue"/>
          <w:shd w:val="clear" w:color="auto" w:fill="FFFFFF"/>
        </w:tcPr>
        <w:p w14:paraId="0809ED01">
          <w:pPr>
            <w:pStyle w:val="29"/>
            <w:jc w:val="center"/>
            <w:rPr>
              <w:rFonts w:ascii="Arial" w:hAnsi="Arial" w:cs="Arial"/>
              <w:sz w:val="24"/>
              <w:szCs w:val="24"/>
            </w:rPr>
          </w:pPr>
        </w:p>
      </w:tc>
      <w:tc>
        <w:tcPr>
          <w:tcW w:w="7653" w:type="dxa"/>
          <w:gridSpan w:val="3"/>
          <w:shd w:val="clear" w:color="auto" w:fill="FFFFFF"/>
          <w:vAlign w:val="center"/>
        </w:tcPr>
        <w:p w14:paraId="7FD605B8">
          <w:pPr>
            <w:pStyle w:val="29"/>
            <w:jc w:val="center"/>
            <w:rPr>
              <w:rFonts w:ascii="Arial" w:hAnsi="Arial" w:cs="Arial"/>
              <w:sz w:val="24"/>
              <w:szCs w:val="24"/>
            </w:rPr>
          </w:pPr>
          <w:r>
            <w:rPr>
              <w:rFonts w:ascii="Arial" w:hAnsi="Arial" w:eastAsia="Times New Roman" w:cs="Arial"/>
              <w:sz w:val="24"/>
              <w:szCs w:val="24"/>
              <w:lang w:val="es-ES" w:eastAsia="es-ES"/>
            </w:rPr>
            <w:t>FORMATO 2B – COMPLEMENTARIO AL PLIEGO DE CONDICIONES- SELECCIÓN ABREVIADA MENOR CUANTÍA</w:t>
          </w:r>
          <w:r>
            <w:rPr>
              <w:rFonts w:ascii="Arial" w:hAnsi="Arial" w:cs="Arial"/>
              <w:sz w:val="24"/>
              <w:szCs w:val="24"/>
            </w:rPr>
            <w:t xml:space="preserve"> </w:t>
          </w:r>
        </w:p>
      </w:tc>
    </w:tr>
    <w:tr w14:paraId="306B2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58" w:hRule="atLeast"/>
        <w:jc w:val="center"/>
      </w:trPr>
      <w:tc>
        <w:tcPr>
          <w:tcW w:w="2551" w:type="dxa"/>
          <w:vMerge w:val="continue"/>
          <w:shd w:val="clear" w:color="auto" w:fill="FFFFFF"/>
          <w:vAlign w:val="center"/>
        </w:tcPr>
        <w:p w14:paraId="17D22F48">
          <w:pPr>
            <w:pStyle w:val="29"/>
            <w:jc w:val="center"/>
            <w:rPr>
              <w:rFonts w:ascii="Arial" w:hAnsi="Arial" w:cs="Arial"/>
              <w:sz w:val="16"/>
              <w:szCs w:val="16"/>
            </w:rPr>
          </w:pPr>
        </w:p>
      </w:tc>
      <w:tc>
        <w:tcPr>
          <w:tcW w:w="2551" w:type="dxa"/>
          <w:shd w:val="clear" w:color="auto" w:fill="FFFFFF"/>
          <w:vAlign w:val="center"/>
        </w:tcPr>
        <w:p w14:paraId="756CA4A3">
          <w:pPr>
            <w:pStyle w:val="29"/>
            <w:jc w:val="center"/>
            <w:rPr>
              <w:rFonts w:ascii="Arial" w:hAnsi="Arial" w:cs="Arial"/>
              <w:b/>
              <w:sz w:val="16"/>
              <w:szCs w:val="16"/>
            </w:rPr>
          </w:pPr>
          <w:r>
            <w:rPr>
              <w:rFonts w:ascii="Arial" w:hAnsi="Arial" w:cs="Arial"/>
              <w:b/>
              <w:sz w:val="16"/>
              <w:szCs w:val="16"/>
            </w:rPr>
            <w:t>Clave:</w:t>
          </w:r>
          <w:r>
            <w:t xml:space="preserve"> </w:t>
          </w:r>
          <w:r>
            <w:rPr>
              <w:rFonts w:ascii="Arial" w:hAnsi="Arial" w:cs="Arial"/>
              <w:b/>
              <w:sz w:val="16"/>
              <w:szCs w:val="16"/>
            </w:rPr>
            <w:t>APOY-9.0-12-008</w:t>
          </w:r>
        </w:p>
      </w:tc>
      <w:tc>
        <w:tcPr>
          <w:tcW w:w="2551" w:type="dxa"/>
          <w:shd w:val="clear" w:color="auto" w:fill="FFFFFF"/>
          <w:vAlign w:val="center"/>
        </w:tcPr>
        <w:p w14:paraId="63F4E5FE">
          <w:pPr>
            <w:pStyle w:val="29"/>
            <w:jc w:val="center"/>
            <w:rPr>
              <w:rFonts w:ascii="Arial" w:hAnsi="Arial" w:cs="Arial"/>
              <w:b/>
              <w:sz w:val="16"/>
              <w:szCs w:val="16"/>
            </w:rPr>
          </w:pPr>
          <w:r>
            <w:rPr>
              <w:rFonts w:ascii="Arial" w:hAnsi="Arial" w:cs="Arial"/>
              <w:b/>
              <w:sz w:val="16"/>
              <w:szCs w:val="16"/>
            </w:rPr>
            <w:t>Versión: 2</w:t>
          </w:r>
        </w:p>
      </w:tc>
      <w:tc>
        <w:tcPr>
          <w:tcW w:w="2551" w:type="dxa"/>
          <w:shd w:val="clear" w:color="auto" w:fill="FFFFFF"/>
          <w:vAlign w:val="center"/>
        </w:tcPr>
        <w:p w14:paraId="6DB6442F">
          <w:pPr>
            <w:pStyle w:val="29"/>
            <w:jc w:val="center"/>
            <w:rPr>
              <w:rFonts w:ascii="Arial" w:hAnsi="Arial" w:cs="Arial"/>
              <w:b/>
              <w:sz w:val="16"/>
              <w:szCs w:val="16"/>
            </w:rPr>
          </w:pPr>
          <w:r>
            <w:rPr>
              <w:rFonts w:ascii="Arial" w:hAnsi="Arial" w:cs="Arial"/>
              <w:b/>
              <w:sz w:val="16"/>
              <w:szCs w:val="16"/>
            </w:rPr>
            <w:t>Fecha de aprobación:</w:t>
          </w:r>
        </w:p>
        <w:p w14:paraId="452826F3">
          <w:pPr>
            <w:pStyle w:val="29"/>
            <w:jc w:val="center"/>
            <w:rPr>
              <w:rFonts w:ascii="Arial" w:hAnsi="Arial" w:cs="Arial"/>
              <w:sz w:val="16"/>
              <w:szCs w:val="16"/>
            </w:rPr>
          </w:pPr>
          <w:r>
            <w:rPr>
              <w:rFonts w:ascii="Arial" w:hAnsi="Arial" w:cs="Arial"/>
              <w:b/>
              <w:sz w:val="16"/>
              <w:szCs w:val="16"/>
            </w:rPr>
            <w:t>22/06/2022</w:t>
          </w:r>
        </w:p>
      </w:tc>
    </w:tr>
  </w:tbl>
  <w:p w14:paraId="446374B2">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2D34F2"/>
    <w:multiLevelType w:val="multilevel"/>
    <w:tmpl w:val="022D34F2"/>
    <w:lvl w:ilvl="0" w:tentative="0">
      <w:start w:val="1"/>
      <w:numFmt w:val="decimal"/>
      <w:lvlText w:val="%1."/>
      <w:lvlJc w:val="left"/>
      <w:pPr>
        <w:ind w:left="720" w:hanging="360"/>
      </w:pPr>
      <w:rPr>
        <w:rFonts w:hint="default"/>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6341882"/>
    <w:multiLevelType w:val="multilevel"/>
    <w:tmpl w:val="06341882"/>
    <w:lvl w:ilvl="0" w:tentative="0">
      <w:start w:val="1"/>
      <w:numFmt w:val="lowerLetter"/>
      <w:lvlText w:val="%1)"/>
      <w:lvlJc w:val="lef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85848F1"/>
    <w:multiLevelType w:val="multilevel"/>
    <w:tmpl w:val="085848F1"/>
    <w:lvl w:ilvl="0" w:tentative="0">
      <w:start w:val="1"/>
      <w:numFmt w:val="lowerLetter"/>
      <w:lvlText w:val="%1."/>
      <w:lvlJc w:val="lef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0AC5496A"/>
    <w:multiLevelType w:val="multilevel"/>
    <w:tmpl w:val="0AC5496A"/>
    <w:lvl w:ilvl="0" w:tentative="0">
      <w:start w:val="1"/>
      <w:numFmt w:val="decimal"/>
      <w:pStyle w:val="74"/>
      <w:lvlText w:val="%1."/>
      <w:lvlJc w:val="left"/>
      <w:pPr>
        <w:ind w:left="360" w:hanging="360"/>
      </w:pPr>
      <w:rPr>
        <w:rFonts w:hint="default"/>
        <w:color w:val="FFFFFF"/>
      </w:rPr>
    </w:lvl>
    <w:lvl w:ilvl="1" w:tentative="0">
      <w:start w:val="1"/>
      <w:numFmt w:val="decimal"/>
      <w:lvlText w:val="%1.%2."/>
      <w:lvlJc w:val="left"/>
      <w:pPr>
        <w:ind w:left="720" w:hanging="720"/>
      </w:pPr>
      <w:rPr>
        <w:rFonts w:hint="default"/>
        <w:b/>
        <w:i w:val="0"/>
      </w:rPr>
    </w:lvl>
    <w:lvl w:ilvl="2" w:tentative="0">
      <w:start w:val="1"/>
      <w:numFmt w:val="decimal"/>
      <w:lvlText w:val="%1.%2.%3."/>
      <w:lvlJc w:val="left"/>
      <w:pPr>
        <w:ind w:left="720" w:hanging="720"/>
      </w:pPr>
      <w:rPr>
        <w:rFonts w:hint="default"/>
        <w:b/>
        <w:i w:val="0"/>
      </w:rPr>
    </w:lvl>
    <w:lvl w:ilvl="3" w:tentative="0">
      <w:start w:val="1"/>
      <w:numFmt w:val="decimal"/>
      <w:lvlText w:val="%1.%2.%3.%4."/>
      <w:lvlJc w:val="left"/>
      <w:pPr>
        <w:ind w:left="1080" w:hanging="1080"/>
      </w:pPr>
      <w:rPr>
        <w:rFonts w:hint="default"/>
        <w:b/>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4">
    <w:nsid w:val="0AF86F72"/>
    <w:multiLevelType w:val="multilevel"/>
    <w:tmpl w:val="0AF86F72"/>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0F5B39F2"/>
    <w:multiLevelType w:val="multilevel"/>
    <w:tmpl w:val="0F5B39F2"/>
    <w:lvl w:ilvl="0" w:tentative="0">
      <w:start w:val="1"/>
      <w:numFmt w:val="upperRoman"/>
      <w:lvlText w:val="%1."/>
      <w:lvlJc w:val="left"/>
      <w:pPr>
        <w:ind w:left="1080" w:hanging="720"/>
      </w:pPr>
      <w:rPr>
        <w:rFonts w:hint="default"/>
        <w:b/>
        <w:bCs/>
      </w:rPr>
    </w:lvl>
    <w:lvl w:ilvl="1" w:tentative="0">
      <w:start w:val="1"/>
      <w:numFmt w:val="decimal"/>
      <w:isLgl/>
      <w:lvlText w:val="%1.%2"/>
      <w:lvlJc w:val="left"/>
      <w:pPr>
        <w:ind w:left="360" w:hanging="360"/>
      </w:pPr>
      <w:rPr>
        <w:rFonts w:hint="default"/>
      </w:rPr>
    </w:lvl>
    <w:lvl w:ilvl="2" w:tentative="0">
      <w:start w:val="1"/>
      <w:numFmt w:val="decimal"/>
      <w:isLgl/>
      <w:lvlText w:val="%1.%2.%3"/>
      <w:lvlJc w:val="left"/>
      <w:pPr>
        <w:ind w:left="5464" w:hanging="720"/>
      </w:pPr>
      <w:rPr>
        <w:rFonts w:hint="default"/>
      </w:rPr>
    </w:lvl>
    <w:lvl w:ilvl="3" w:tentative="0">
      <w:start w:val="1"/>
      <w:numFmt w:val="decimal"/>
      <w:isLgl/>
      <w:lvlText w:val="%1.%2.%3.%4"/>
      <w:lvlJc w:val="left"/>
      <w:pPr>
        <w:ind w:left="7656" w:hanging="720"/>
      </w:pPr>
      <w:rPr>
        <w:rFonts w:hint="default"/>
      </w:rPr>
    </w:lvl>
    <w:lvl w:ilvl="4" w:tentative="0">
      <w:start w:val="1"/>
      <w:numFmt w:val="decimal"/>
      <w:isLgl/>
      <w:lvlText w:val="%1.%2.%3.%4.%5"/>
      <w:lvlJc w:val="left"/>
      <w:pPr>
        <w:ind w:left="10208" w:hanging="1080"/>
      </w:pPr>
      <w:rPr>
        <w:rFonts w:hint="default"/>
      </w:rPr>
    </w:lvl>
    <w:lvl w:ilvl="5" w:tentative="0">
      <w:start w:val="1"/>
      <w:numFmt w:val="decimal"/>
      <w:isLgl/>
      <w:lvlText w:val="%1.%2.%3.%4.%5.%6"/>
      <w:lvlJc w:val="left"/>
      <w:pPr>
        <w:ind w:left="12400" w:hanging="1080"/>
      </w:pPr>
      <w:rPr>
        <w:rFonts w:hint="default"/>
      </w:rPr>
    </w:lvl>
    <w:lvl w:ilvl="6" w:tentative="0">
      <w:start w:val="1"/>
      <w:numFmt w:val="decimal"/>
      <w:isLgl/>
      <w:lvlText w:val="%1.%2.%3.%4.%5.%6.%7"/>
      <w:lvlJc w:val="left"/>
      <w:pPr>
        <w:ind w:left="14952" w:hanging="1440"/>
      </w:pPr>
      <w:rPr>
        <w:rFonts w:hint="default"/>
      </w:rPr>
    </w:lvl>
    <w:lvl w:ilvl="7" w:tentative="0">
      <w:start w:val="1"/>
      <w:numFmt w:val="decimal"/>
      <w:isLgl/>
      <w:lvlText w:val="%1.%2.%3.%4.%5.%6.%7.%8"/>
      <w:lvlJc w:val="left"/>
      <w:pPr>
        <w:ind w:left="17144" w:hanging="1440"/>
      </w:pPr>
      <w:rPr>
        <w:rFonts w:hint="default"/>
      </w:rPr>
    </w:lvl>
    <w:lvl w:ilvl="8" w:tentative="0">
      <w:start w:val="1"/>
      <w:numFmt w:val="decimal"/>
      <w:isLgl/>
      <w:lvlText w:val="%1.%2.%3.%4.%5.%6.%7.%8.%9"/>
      <w:lvlJc w:val="left"/>
      <w:pPr>
        <w:ind w:left="19696" w:hanging="1800"/>
      </w:pPr>
      <w:rPr>
        <w:rFonts w:hint="default"/>
      </w:rPr>
    </w:lvl>
  </w:abstractNum>
  <w:abstractNum w:abstractNumId="6">
    <w:nsid w:val="128A6D3E"/>
    <w:multiLevelType w:val="multilevel"/>
    <w:tmpl w:val="128A6D3E"/>
    <w:lvl w:ilvl="0" w:tentative="0">
      <w:start w:val="1"/>
      <w:numFmt w:val="lowerRoman"/>
      <w:lvlText w:val="%1."/>
      <w:lvlJc w:val="right"/>
      <w:pPr>
        <w:ind w:left="720" w:hanging="360"/>
      </w:pPr>
      <w:rPr>
        <w:b/>
        <w:bCs/>
        <w:i w:val="0"/>
        <w:iCs w:val="0"/>
      </w:rPr>
    </w:lvl>
    <w:lvl w:ilvl="1" w:tentative="0">
      <w:start w:val="1"/>
      <w:numFmt w:val="decimal"/>
      <w:lvlText w:val="%2."/>
      <w:lvlJc w:val="left"/>
      <w:pPr>
        <w:ind w:left="1440" w:hanging="36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12D950A5"/>
    <w:multiLevelType w:val="multilevel"/>
    <w:tmpl w:val="12D950A5"/>
    <w:lvl w:ilvl="0" w:tentative="0">
      <w:start w:val="1"/>
      <w:numFmt w:val="decimal"/>
      <w:lvlText w:val="%1."/>
      <w:lvlJc w:val="left"/>
      <w:pPr>
        <w:ind w:left="360" w:hanging="360"/>
      </w:pPr>
      <w:rPr>
        <w:rFonts w:hint="default"/>
      </w:rPr>
    </w:lvl>
    <w:lvl w:ilvl="1" w:tentative="0">
      <w:start w:val="1"/>
      <w:numFmt w:val="decimal"/>
      <w:lvlText w:val="%1.%2."/>
      <w:lvlJc w:val="left"/>
      <w:pPr>
        <w:ind w:left="360" w:hanging="360"/>
      </w:pPr>
      <w:rPr>
        <w:rFonts w:hint="default"/>
        <w:b/>
        <w:bCs/>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080" w:hanging="108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abstractNum w:abstractNumId="8">
    <w:nsid w:val="17571BE3"/>
    <w:multiLevelType w:val="multilevel"/>
    <w:tmpl w:val="17571BE3"/>
    <w:lvl w:ilvl="0" w:tentative="0">
      <w:start w:val="1"/>
      <w:numFmt w:val="decimal"/>
      <w:lvlText w:val="%1."/>
      <w:lvlJc w:val="left"/>
      <w:pPr>
        <w:ind w:left="720" w:hanging="360"/>
      </w:pPr>
      <w:rPr>
        <w:rFonts w:hint="default"/>
        <w:b/>
        <w:bCs/>
      </w:rPr>
    </w:lvl>
    <w:lvl w:ilvl="1" w:tentative="0">
      <w:start w:val="5"/>
      <w:numFmt w:val="decimal"/>
      <w:isLgl/>
      <w:lvlText w:val="%1.%2"/>
      <w:lvlJc w:val="left"/>
      <w:pPr>
        <w:ind w:left="984" w:hanging="450"/>
      </w:pPr>
      <w:rPr>
        <w:rFonts w:hint="default"/>
        <w:i w:val="0"/>
      </w:rPr>
    </w:lvl>
    <w:lvl w:ilvl="2" w:tentative="0">
      <w:start w:val="5"/>
      <w:numFmt w:val="decimal"/>
      <w:isLgl/>
      <w:lvlText w:val="%1.%2.%3"/>
      <w:lvlJc w:val="left"/>
      <w:pPr>
        <w:ind w:left="1428" w:hanging="720"/>
      </w:pPr>
      <w:rPr>
        <w:rFonts w:hint="default"/>
        <w:i w:val="0"/>
      </w:rPr>
    </w:lvl>
    <w:lvl w:ilvl="3" w:tentative="0">
      <w:start w:val="1"/>
      <w:numFmt w:val="decimal"/>
      <w:isLgl/>
      <w:lvlText w:val="%1.%2.%3.%4"/>
      <w:lvlJc w:val="left"/>
      <w:pPr>
        <w:ind w:left="1602" w:hanging="720"/>
      </w:pPr>
      <w:rPr>
        <w:rFonts w:hint="default"/>
        <w:i w:val="0"/>
      </w:rPr>
    </w:lvl>
    <w:lvl w:ilvl="4" w:tentative="0">
      <w:start w:val="1"/>
      <w:numFmt w:val="decimal"/>
      <w:isLgl/>
      <w:lvlText w:val="%1.%2.%3.%4.%5"/>
      <w:lvlJc w:val="left"/>
      <w:pPr>
        <w:ind w:left="1776" w:hanging="720"/>
      </w:pPr>
      <w:rPr>
        <w:rFonts w:hint="default"/>
        <w:i w:val="0"/>
      </w:rPr>
    </w:lvl>
    <w:lvl w:ilvl="5" w:tentative="0">
      <w:start w:val="1"/>
      <w:numFmt w:val="decimal"/>
      <w:isLgl/>
      <w:lvlText w:val="%1.%2.%3.%4.%5.%6"/>
      <w:lvlJc w:val="left"/>
      <w:pPr>
        <w:ind w:left="2310" w:hanging="1080"/>
      </w:pPr>
      <w:rPr>
        <w:rFonts w:hint="default"/>
        <w:i w:val="0"/>
      </w:rPr>
    </w:lvl>
    <w:lvl w:ilvl="6" w:tentative="0">
      <w:start w:val="1"/>
      <w:numFmt w:val="decimal"/>
      <w:isLgl/>
      <w:lvlText w:val="%1.%2.%3.%4.%5.%6.%7"/>
      <w:lvlJc w:val="left"/>
      <w:pPr>
        <w:ind w:left="2484" w:hanging="1080"/>
      </w:pPr>
      <w:rPr>
        <w:rFonts w:hint="default"/>
        <w:i w:val="0"/>
      </w:rPr>
    </w:lvl>
    <w:lvl w:ilvl="7" w:tentative="0">
      <w:start w:val="1"/>
      <w:numFmt w:val="decimal"/>
      <w:isLgl/>
      <w:lvlText w:val="%1.%2.%3.%4.%5.%6.%7.%8"/>
      <w:lvlJc w:val="left"/>
      <w:pPr>
        <w:ind w:left="3018" w:hanging="1440"/>
      </w:pPr>
      <w:rPr>
        <w:rFonts w:hint="default"/>
        <w:i w:val="0"/>
      </w:rPr>
    </w:lvl>
    <w:lvl w:ilvl="8" w:tentative="0">
      <w:start w:val="1"/>
      <w:numFmt w:val="decimal"/>
      <w:isLgl/>
      <w:lvlText w:val="%1.%2.%3.%4.%5.%6.%7.%8.%9"/>
      <w:lvlJc w:val="left"/>
      <w:pPr>
        <w:ind w:left="3192" w:hanging="1440"/>
      </w:pPr>
      <w:rPr>
        <w:rFonts w:hint="default"/>
        <w:i w:val="0"/>
      </w:rPr>
    </w:lvl>
  </w:abstractNum>
  <w:abstractNum w:abstractNumId="9">
    <w:nsid w:val="1932598C"/>
    <w:multiLevelType w:val="multilevel"/>
    <w:tmpl w:val="1932598C"/>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1C726CCB"/>
    <w:multiLevelType w:val="multilevel"/>
    <w:tmpl w:val="1C726CCB"/>
    <w:lvl w:ilvl="0" w:tentative="0">
      <w:start w:val="5"/>
      <w:numFmt w:val="decimal"/>
      <w:lvlText w:val="%1."/>
      <w:lvlJc w:val="left"/>
      <w:pPr>
        <w:ind w:left="360" w:hanging="360"/>
      </w:pPr>
      <w:rPr>
        <w:rFonts w:hint="default" w:cs="Times New Roman"/>
        <w:b/>
      </w:rPr>
    </w:lvl>
    <w:lvl w:ilvl="1" w:tentative="0">
      <w:start w:val="1"/>
      <w:numFmt w:val="decimal"/>
      <w:lvlText w:val="%1.%2."/>
      <w:lvlJc w:val="left"/>
      <w:pPr>
        <w:ind w:left="360" w:hanging="360"/>
      </w:pPr>
      <w:rPr>
        <w:rFonts w:hint="default" w:cs="Times New Roman"/>
        <w:b/>
      </w:rPr>
    </w:lvl>
    <w:lvl w:ilvl="2" w:tentative="0">
      <w:start w:val="1"/>
      <w:numFmt w:val="decimal"/>
      <w:lvlText w:val="%1.%2.%3."/>
      <w:lvlJc w:val="left"/>
      <w:pPr>
        <w:ind w:left="720" w:hanging="720"/>
      </w:pPr>
      <w:rPr>
        <w:rFonts w:hint="default" w:cs="Times New Roman"/>
        <w:b/>
      </w:rPr>
    </w:lvl>
    <w:lvl w:ilvl="3" w:tentative="0">
      <w:start w:val="1"/>
      <w:numFmt w:val="decimal"/>
      <w:lvlText w:val="%1.%2.%3.%4."/>
      <w:lvlJc w:val="left"/>
      <w:pPr>
        <w:ind w:left="720" w:hanging="720"/>
      </w:pPr>
      <w:rPr>
        <w:rFonts w:hint="default" w:cs="Times New Roman"/>
        <w:b/>
      </w:rPr>
    </w:lvl>
    <w:lvl w:ilvl="4" w:tentative="0">
      <w:start w:val="1"/>
      <w:numFmt w:val="decimal"/>
      <w:lvlText w:val="%1.%2.%3.%4.%5."/>
      <w:lvlJc w:val="left"/>
      <w:pPr>
        <w:ind w:left="1080" w:hanging="1080"/>
      </w:pPr>
      <w:rPr>
        <w:rFonts w:hint="default" w:cs="Times New Roman"/>
        <w:b/>
      </w:rPr>
    </w:lvl>
    <w:lvl w:ilvl="5" w:tentative="0">
      <w:start w:val="1"/>
      <w:numFmt w:val="decimal"/>
      <w:lvlText w:val="%1.%2.%3.%4.%5.%6."/>
      <w:lvlJc w:val="left"/>
      <w:pPr>
        <w:ind w:left="1080" w:hanging="1080"/>
      </w:pPr>
      <w:rPr>
        <w:rFonts w:hint="default" w:cs="Times New Roman"/>
        <w:b/>
      </w:rPr>
    </w:lvl>
    <w:lvl w:ilvl="6" w:tentative="0">
      <w:start w:val="1"/>
      <w:numFmt w:val="decimal"/>
      <w:lvlText w:val="%1.%2.%3.%4.%5.%6.%7."/>
      <w:lvlJc w:val="left"/>
      <w:pPr>
        <w:ind w:left="1080" w:hanging="1080"/>
      </w:pPr>
      <w:rPr>
        <w:rFonts w:hint="default" w:cs="Times New Roman"/>
        <w:b/>
      </w:rPr>
    </w:lvl>
    <w:lvl w:ilvl="7" w:tentative="0">
      <w:start w:val="1"/>
      <w:numFmt w:val="decimal"/>
      <w:lvlText w:val="%1.%2.%3.%4.%5.%6.%7.%8."/>
      <w:lvlJc w:val="left"/>
      <w:pPr>
        <w:ind w:left="1440" w:hanging="1440"/>
      </w:pPr>
      <w:rPr>
        <w:rFonts w:hint="default" w:cs="Times New Roman"/>
        <w:b/>
      </w:rPr>
    </w:lvl>
    <w:lvl w:ilvl="8" w:tentative="0">
      <w:start w:val="1"/>
      <w:numFmt w:val="decimal"/>
      <w:lvlText w:val="%1.%2.%3.%4.%5.%6.%7.%8.%9."/>
      <w:lvlJc w:val="left"/>
      <w:pPr>
        <w:ind w:left="1440" w:hanging="1440"/>
      </w:pPr>
      <w:rPr>
        <w:rFonts w:hint="default" w:cs="Times New Roman"/>
        <w:b/>
      </w:rPr>
    </w:lvl>
  </w:abstractNum>
  <w:abstractNum w:abstractNumId="11">
    <w:nsid w:val="1D3404AB"/>
    <w:multiLevelType w:val="multilevel"/>
    <w:tmpl w:val="1D3404AB"/>
    <w:lvl w:ilvl="0" w:tentative="0">
      <w:start w:val="1"/>
      <w:numFmt w:val="bullet"/>
      <w:pStyle w:val="102"/>
      <w:lvlText w:val=""/>
      <w:lvlJc w:val="left"/>
      <w:pPr>
        <w:ind w:left="360" w:hanging="360"/>
      </w:pPr>
      <w:rPr>
        <w:rFonts w:hint="default" w:ascii="Symbol" w:hAnsi="Symbol"/>
        <w:color w:val="auto"/>
      </w:rPr>
    </w:lvl>
    <w:lvl w:ilvl="1" w:tentative="0">
      <w:start w:val="1"/>
      <w:numFmt w:val="bullet"/>
      <w:lvlText w:val="o"/>
      <w:lvlJc w:val="left"/>
      <w:pPr>
        <w:ind w:left="-375" w:hanging="360"/>
      </w:pPr>
      <w:rPr>
        <w:rFonts w:hint="default" w:ascii="Courier New" w:hAnsi="Courier New"/>
      </w:rPr>
    </w:lvl>
    <w:lvl w:ilvl="2" w:tentative="0">
      <w:start w:val="1"/>
      <w:numFmt w:val="bullet"/>
      <w:lvlText w:val=""/>
      <w:lvlJc w:val="left"/>
      <w:pPr>
        <w:ind w:left="345" w:hanging="360"/>
      </w:pPr>
      <w:rPr>
        <w:rFonts w:hint="default" w:ascii="Wingdings" w:hAnsi="Wingdings"/>
      </w:rPr>
    </w:lvl>
    <w:lvl w:ilvl="3" w:tentative="0">
      <w:start w:val="1"/>
      <w:numFmt w:val="bullet"/>
      <w:lvlText w:val=""/>
      <w:lvlJc w:val="left"/>
      <w:pPr>
        <w:ind w:left="1065" w:hanging="360"/>
      </w:pPr>
      <w:rPr>
        <w:rFonts w:hint="default" w:ascii="Symbol" w:hAnsi="Symbol"/>
      </w:rPr>
    </w:lvl>
    <w:lvl w:ilvl="4" w:tentative="0">
      <w:start w:val="1"/>
      <w:numFmt w:val="bullet"/>
      <w:lvlText w:val="o"/>
      <w:lvlJc w:val="left"/>
      <w:pPr>
        <w:ind w:left="1785" w:hanging="360"/>
      </w:pPr>
      <w:rPr>
        <w:rFonts w:hint="default" w:ascii="Courier New" w:hAnsi="Courier New"/>
      </w:rPr>
    </w:lvl>
    <w:lvl w:ilvl="5" w:tentative="0">
      <w:start w:val="1"/>
      <w:numFmt w:val="bullet"/>
      <w:lvlText w:val=""/>
      <w:lvlJc w:val="left"/>
      <w:pPr>
        <w:ind w:left="2505" w:hanging="360"/>
      </w:pPr>
      <w:rPr>
        <w:rFonts w:hint="default" w:ascii="Wingdings" w:hAnsi="Wingdings"/>
      </w:rPr>
    </w:lvl>
    <w:lvl w:ilvl="6" w:tentative="0">
      <w:start w:val="1"/>
      <w:numFmt w:val="bullet"/>
      <w:lvlText w:val=""/>
      <w:lvlJc w:val="left"/>
      <w:pPr>
        <w:ind w:left="3225" w:hanging="360"/>
      </w:pPr>
      <w:rPr>
        <w:rFonts w:hint="default" w:ascii="Symbol" w:hAnsi="Symbol"/>
      </w:rPr>
    </w:lvl>
    <w:lvl w:ilvl="7" w:tentative="0">
      <w:start w:val="1"/>
      <w:numFmt w:val="bullet"/>
      <w:lvlText w:val="o"/>
      <w:lvlJc w:val="left"/>
      <w:pPr>
        <w:ind w:left="3945" w:hanging="360"/>
      </w:pPr>
      <w:rPr>
        <w:rFonts w:hint="default" w:ascii="Courier New" w:hAnsi="Courier New"/>
      </w:rPr>
    </w:lvl>
    <w:lvl w:ilvl="8" w:tentative="0">
      <w:start w:val="1"/>
      <w:numFmt w:val="bullet"/>
      <w:lvlText w:val=""/>
      <w:lvlJc w:val="left"/>
      <w:pPr>
        <w:ind w:left="4665" w:hanging="360"/>
      </w:pPr>
      <w:rPr>
        <w:rFonts w:hint="default" w:ascii="Wingdings" w:hAnsi="Wingdings"/>
      </w:rPr>
    </w:lvl>
  </w:abstractNum>
  <w:abstractNum w:abstractNumId="12">
    <w:nsid w:val="22566D79"/>
    <w:multiLevelType w:val="multilevel"/>
    <w:tmpl w:val="22566D79"/>
    <w:lvl w:ilvl="0" w:tentative="0">
      <w:start w:val="1"/>
      <w:numFmt w:val="lowerLetter"/>
      <w:lvlText w:val="%1)"/>
      <w:lvlJc w:val="left"/>
      <w:pPr>
        <w:ind w:left="3621" w:hanging="360"/>
      </w:pPr>
      <w:rPr>
        <w:b/>
        <w:bCs/>
      </w:rPr>
    </w:lvl>
    <w:lvl w:ilvl="1" w:tentative="0">
      <w:start w:val="1"/>
      <w:numFmt w:val="lowerLetter"/>
      <w:lvlText w:val="%2."/>
      <w:lvlJc w:val="left"/>
      <w:pPr>
        <w:ind w:left="3792" w:hanging="360"/>
      </w:pPr>
    </w:lvl>
    <w:lvl w:ilvl="2" w:tentative="0">
      <w:start w:val="1"/>
      <w:numFmt w:val="lowerRoman"/>
      <w:lvlText w:val="%3."/>
      <w:lvlJc w:val="right"/>
      <w:pPr>
        <w:ind w:left="4512" w:hanging="180"/>
      </w:pPr>
    </w:lvl>
    <w:lvl w:ilvl="3" w:tentative="0">
      <w:start w:val="1"/>
      <w:numFmt w:val="decimal"/>
      <w:lvlText w:val="%4."/>
      <w:lvlJc w:val="left"/>
      <w:pPr>
        <w:ind w:left="5232" w:hanging="360"/>
      </w:pPr>
    </w:lvl>
    <w:lvl w:ilvl="4" w:tentative="0">
      <w:start w:val="1"/>
      <w:numFmt w:val="lowerLetter"/>
      <w:lvlText w:val="%5."/>
      <w:lvlJc w:val="left"/>
      <w:pPr>
        <w:ind w:left="5952" w:hanging="360"/>
      </w:pPr>
    </w:lvl>
    <w:lvl w:ilvl="5" w:tentative="0">
      <w:start w:val="1"/>
      <w:numFmt w:val="lowerRoman"/>
      <w:lvlText w:val="%6."/>
      <w:lvlJc w:val="right"/>
      <w:pPr>
        <w:ind w:left="6672" w:hanging="180"/>
      </w:pPr>
    </w:lvl>
    <w:lvl w:ilvl="6" w:tentative="0">
      <w:start w:val="1"/>
      <w:numFmt w:val="decimal"/>
      <w:lvlText w:val="%7."/>
      <w:lvlJc w:val="left"/>
      <w:pPr>
        <w:ind w:left="7392" w:hanging="360"/>
      </w:pPr>
    </w:lvl>
    <w:lvl w:ilvl="7" w:tentative="0">
      <w:start w:val="1"/>
      <w:numFmt w:val="lowerLetter"/>
      <w:lvlText w:val="%8."/>
      <w:lvlJc w:val="left"/>
      <w:pPr>
        <w:ind w:left="8112" w:hanging="360"/>
      </w:pPr>
    </w:lvl>
    <w:lvl w:ilvl="8" w:tentative="0">
      <w:start w:val="1"/>
      <w:numFmt w:val="lowerRoman"/>
      <w:lvlText w:val="%9."/>
      <w:lvlJc w:val="right"/>
      <w:pPr>
        <w:ind w:left="8832" w:hanging="180"/>
      </w:pPr>
    </w:lvl>
  </w:abstractNum>
  <w:abstractNum w:abstractNumId="13">
    <w:nsid w:val="2B3F5CA6"/>
    <w:multiLevelType w:val="multilevel"/>
    <w:tmpl w:val="2B3F5CA6"/>
    <w:lvl w:ilvl="0" w:tentative="0">
      <w:start w:val="1"/>
      <w:numFmt w:val="lowerLetter"/>
      <w:pStyle w:val="85"/>
      <w:lvlText w:val="%1)"/>
      <w:lvlJc w:val="left"/>
      <w:pPr>
        <w:ind w:left="1080" w:hanging="360"/>
      </w:pPr>
      <w:rPr>
        <w:rFonts w:cs="Times New Roman"/>
      </w:rPr>
    </w:lvl>
    <w:lvl w:ilvl="1" w:tentative="0">
      <w:start w:val="1"/>
      <w:numFmt w:val="lowerLetter"/>
      <w:lvlText w:val="%2."/>
      <w:lvlJc w:val="left"/>
      <w:pPr>
        <w:ind w:left="1800" w:hanging="360"/>
      </w:pPr>
      <w:rPr>
        <w:rFonts w:cs="Times New Roman"/>
      </w:rPr>
    </w:lvl>
    <w:lvl w:ilvl="2" w:tentative="0">
      <w:start w:val="1"/>
      <w:numFmt w:val="lowerRoman"/>
      <w:lvlText w:val="%3."/>
      <w:lvlJc w:val="right"/>
      <w:pPr>
        <w:ind w:left="2520" w:hanging="180"/>
      </w:pPr>
      <w:rPr>
        <w:rFonts w:cs="Times New Roman"/>
      </w:rPr>
    </w:lvl>
    <w:lvl w:ilvl="3" w:tentative="0">
      <w:start w:val="1"/>
      <w:numFmt w:val="decimal"/>
      <w:lvlText w:val="%4."/>
      <w:lvlJc w:val="left"/>
      <w:pPr>
        <w:ind w:left="3240" w:hanging="360"/>
      </w:pPr>
      <w:rPr>
        <w:rFonts w:cs="Times New Roman"/>
      </w:rPr>
    </w:lvl>
    <w:lvl w:ilvl="4" w:tentative="0">
      <w:start w:val="1"/>
      <w:numFmt w:val="lowerLetter"/>
      <w:lvlText w:val="%5."/>
      <w:lvlJc w:val="left"/>
      <w:pPr>
        <w:ind w:left="3960" w:hanging="360"/>
      </w:pPr>
      <w:rPr>
        <w:rFonts w:cs="Times New Roman"/>
      </w:rPr>
    </w:lvl>
    <w:lvl w:ilvl="5" w:tentative="0">
      <w:start w:val="1"/>
      <w:numFmt w:val="lowerRoman"/>
      <w:lvlText w:val="%6."/>
      <w:lvlJc w:val="right"/>
      <w:pPr>
        <w:ind w:left="4680" w:hanging="180"/>
      </w:pPr>
      <w:rPr>
        <w:rFonts w:cs="Times New Roman"/>
      </w:rPr>
    </w:lvl>
    <w:lvl w:ilvl="6" w:tentative="0">
      <w:start w:val="1"/>
      <w:numFmt w:val="decimal"/>
      <w:lvlText w:val="%7."/>
      <w:lvlJc w:val="left"/>
      <w:pPr>
        <w:ind w:left="5400" w:hanging="360"/>
      </w:pPr>
      <w:rPr>
        <w:rFonts w:cs="Times New Roman"/>
      </w:rPr>
    </w:lvl>
    <w:lvl w:ilvl="7" w:tentative="0">
      <w:start w:val="1"/>
      <w:numFmt w:val="lowerLetter"/>
      <w:lvlText w:val="%8."/>
      <w:lvlJc w:val="left"/>
      <w:pPr>
        <w:ind w:left="6120" w:hanging="360"/>
      </w:pPr>
      <w:rPr>
        <w:rFonts w:cs="Times New Roman"/>
      </w:rPr>
    </w:lvl>
    <w:lvl w:ilvl="8" w:tentative="0">
      <w:start w:val="1"/>
      <w:numFmt w:val="lowerRoman"/>
      <w:lvlText w:val="%9."/>
      <w:lvlJc w:val="right"/>
      <w:pPr>
        <w:ind w:left="6840" w:hanging="180"/>
      </w:pPr>
      <w:rPr>
        <w:rFonts w:cs="Times New Roman"/>
      </w:rPr>
    </w:lvl>
  </w:abstractNum>
  <w:abstractNum w:abstractNumId="14">
    <w:nsid w:val="2BAA45F7"/>
    <w:multiLevelType w:val="multilevel"/>
    <w:tmpl w:val="2BAA45F7"/>
    <w:lvl w:ilvl="0" w:tentative="0">
      <w:start w:val="1"/>
      <w:numFmt w:val="decimal"/>
      <w:pStyle w:val="136"/>
      <w:lvlText w:val="3.%1."/>
      <w:lvlJc w:val="left"/>
      <w:rPr>
        <w:rFonts w:hint="default"/>
        <w:b/>
        <w:color w:val="3B3838"/>
      </w:rPr>
    </w:lvl>
    <w:lvl w:ilvl="1" w:tentative="0">
      <w:start w:val="1"/>
      <w:numFmt w:val="lowerLetter"/>
      <w:lvlText w:val="%2."/>
      <w:lvlJc w:val="left"/>
      <w:pPr>
        <w:ind w:left="1724" w:hanging="360"/>
      </w:pPr>
    </w:lvl>
    <w:lvl w:ilvl="2" w:tentative="0">
      <w:start w:val="1"/>
      <w:numFmt w:val="lowerRoman"/>
      <w:lvlText w:val="%3."/>
      <w:lvlJc w:val="right"/>
      <w:pPr>
        <w:ind w:left="2444" w:hanging="180"/>
      </w:pPr>
    </w:lvl>
    <w:lvl w:ilvl="3" w:tentative="0">
      <w:start w:val="1"/>
      <w:numFmt w:val="decimal"/>
      <w:lvlText w:val="%4."/>
      <w:lvlJc w:val="left"/>
      <w:pPr>
        <w:ind w:left="3164" w:hanging="360"/>
      </w:pPr>
    </w:lvl>
    <w:lvl w:ilvl="4" w:tentative="0">
      <w:start w:val="1"/>
      <w:numFmt w:val="lowerLetter"/>
      <w:lvlText w:val="%5."/>
      <w:lvlJc w:val="left"/>
      <w:pPr>
        <w:ind w:left="3884" w:hanging="360"/>
      </w:pPr>
    </w:lvl>
    <w:lvl w:ilvl="5" w:tentative="0">
      <w:start w:val="1"/>
      <w:numFmt w:val="lowerRoman"/>
      <w:lvlText w:val="%6."/>
      <w:lvlJc w:val="right"/>
      <w:pPr>
        <w:ind w:left="4604" w:hanging="180"/>
      </w:pPr>
    </w:lvl>
    <w:lvl w:ilvl="6" w:tentative="0">
      <w:start w:val="1"/>
      <w:numFmt w:val="decimal"/>
      <w:lvlText w:val="%7."/>
      <w:lvlJc w:val="left"/>
      <w:pPr>
        <w:ind w:left="5324" w:hanging="360"/>
      </w:pPr>
    </w:lvl>
    <w:lvl w:ilvl="7" w:tentative="0">
      <w:start w:val="1"/>
      <w:numFmt w:val="lowerLetter"/>
      <w:lvlText w:val="%8."/>
      <w:lvlJc w:val="left"/>
      <w:pPr>
        <w:ind w:left="6044" w:hanging="360"/>
      </w:pPr>
    </w:lvl>
    <w:lvl w:ilvl="8" w:tentative="0">
      <w:start w:val="1"/>
      <w:numFmt w:val="lowerRoman"/>
      <w:lvlText w:val="%9."/>
      <w:lvlJc w:val="right"/>
      <w:pPr>
        <w:ind w:left="6764" w:hanging="180"/>
      </w:pPr>
    </w:lvl>
  </w:abstractNum>
  <w:abstractNum w:abstractNumId="15">
    <w:nsid w:val="2F1579C0"/>
    <w:multiLevelType w:val="multilevel"/>
    <w:tmpl w:val="2F1579C0"/>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30A5659C"/>
    <w:multiLevelType w:val="multilevel"/>
    <w:tmpl w:val="30A5659C"/>
    <w:lvl w:ilvl="0" w:tentative="0">
      <w:start w:val="1"/>
      <w:numFmt w:val="lowerRoman"/>
      <w:lvlText w:val="(%1)"/>
      <w:lvlJc w:val="left"/>
      <w:pPr>
        <w:ind w:left="720" w:hanging="360"/>
      </w:pPr>
      <w:rPr>
        <w:rFonts w:hint="default"/>
        <w:b/>
        <w:bCs/>
        <w:lang/>
      </w:rPr>
    </w:lvl>
    <w:lvl w:ilvl="1" w:tentative="0">
      <w:start w:val="1"/>
      <w:numFmt w:val="lowerLetter"/>
      <w:lvlText w:val="%2."/>
      <w:lvlJc w:val="left"/>
      <w:pPr>
        <w:ind w:left="644"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rPr>
        <w:b/>
        <w:bCs/>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33FB688C"/>
    <w:multiLevelType w:val="multilevel"/>
    <w:tmpl w:val="33FB688C"/>
    <w:lvl w:ilvl="0" w:tentative="0">
      <w:start w:val="8"/>
      <w:numFmt w:val="bullet"/>
      <w:pStyle w:val="75"/>
      <w:lvlText w:val="-"/>
      <w:lvlJc w:val="left"/>
      <w:pPr>
        <w:ind w:left="502" w:hanging="360"/>
      </w:pPr>
      <w:rPr>
        <w:rFonts w:hint="default" w:ascii="Arial Narrow" w:hAnsi="Arial Narrow" w:eastAsia="Times New Roman" w:cs="Arial"/>
      </w:rPr>
    </w:lvl>
    <w:lvl w:ilvl="1" w:tentative="0">
      <w:start w:val="1"/>
      <w:numFmt w:val="bullet"/>
      <w:lvlText w:val="o"/>
      <w:lvlJc w:val="left"/>
      <w:pPr>
        <w:ind w:left="1222" w:hanging="360"/>
      </w:pPr>
      <w:rPr>
        <w:rFonts w:hint="default" w:ascii="Courier New" w:hAnsi="Courier New" w:cs="Courier New"/>
      </w:rPr>
    </w:lvl>
    <w:lvl w:ilvl="2" w:tentative="0">
      <w:start w:val="1"/>
      <w:numFmt w:val="bullet"/>
      <w:lvlText w:val=""/>
      <w:lvlJc w:val="left"/>
      <w:pPr>
        <w:ind w:left="1942" w:hanging="360"/>
      </w:pPr>
      <w:rPr>
        <w:rFonts w:hint="default" w:ascii="Wingdings" w:hAnsi="Wingdings"/>
      </w:rPr>
    </w:lvl>
    <w:lvl w:ilvl="3" w:tentative="0">
      <w:start w:val="1"/>
      <w:numFmt w:val="bullet"/>
      <w:lvlText w:val=""/>
      <w:lvlJc w:val="left"/>
      <w:pPr>
        <w:ind w:left="2662" w:hanging="360"/>
      </w:pPr>
      <w:rPr>
        <w:rFonts w:hint="default" w:ascii="Symbol" w:hAnsi="Symbol"/>
      </w:rPr>
    </w:lvl>
    <w:lvl w:ilvl="4" w:tentative="0">
      <w:start w:val="1"/>
      <w:numFmt w:val="bullet"/>
      <w:lvlText w:val="o"/>
      <w:lvlJc w:val="left"/>
      <w:pPr>
        <w:ind w:left="3382" w:hanging="360"/>
      </w:pPr>
      <w:rPr>
        <w:rFonts w:hint="default" w:ascii="Courier New" w:hAnsi="Courier New" w:cs="Courier New"/>
      </w:rPr>
    </w:lvl>
    <w:lvl w:ilvl="5" w:tentative="0">
      <w:start w:val="1"/>
      <w:numFmt w:val="bullet"/>
      <w:lvlText w:val=""/>
      <w:lvlJc w:val="left"/>
      <w:pPr>
        <w:ind w:left="4102" w:hanging="360"/>
      </w:pPr>
      <w:rPr>
        <w:rFonts w:hint="default" w:ascii="Wingdings" w:hAnsi="Wingdings"/>
      </w:rPr>
    </w:lvl>
    <w:lvl w:ilvl="6" w:tentative="0">
      <w:start w:val="1"/>
      <w:numFmt w:val="bullet"/>
      <w:lvlText w:val=""/>
      <w:lvlJc w:val="left"/>
      <w:pPr>
        <w:ind w:left="4822" w:hanging="360"/>
      </w:pPr>
      <w:rPr>
        <w:rFonts w:hint="default" w:ascii="Symbol" w:hAnsi="Symbol"/>
      </w:rPr>
    </w:lvl>
    <w:lvl w:ilvl="7" w:tentative="0">
      <w:start w:val="1"/>
      <w:numFmt w:val="bullet"/>
      <w:lvlText w:val="o"/>
      <w:lvlJc w:val="left"/>
      <w:pPr>
        <w:ind w:left="5542" w:hanging="360"/>
      </w:pPr>
      <w:rPr>
        <w:rFonts w:hint="default" w:ascii="Courier New" w:hAnsi="Courier New" w:cs="Courier New"/>
      </w:rPr>
    </w:lvl>
    <w:lvl w:ilvl="8" w:tentative="0">
      <w:start w:val="1"/>
      <w:numFmt w:val="bullet"/>
      <w:lvlText w:val=""/>
      <w:lvlJc w:val="left"/>
      <w:pPr>
        <w:ind w:left="6262" w:hanging="360"/>
      </w:pPr>
      <w:rPr>
        <w:rFonts w:hint="default" w:ascii="Wingdings" w:hAnsi="Wingdings"/>
      </w:rPr>
    </w:lvl>
  </w:abstractNum>
  <w:abstractNum w:abstractNumId="18">
    <w:nsid w:val="37893D09"/>
    <w:multiLevelType w:val="multilevel"/>
    <w:tmpl w:val="37893D09"/>
    <w:lvl w:ilvl="0" w:tentative="0">
      <w:start w:val="1"/>
      <w:numFmt w:val="lowerRoman"/>
      <w:lvlText w:val="(%1)"/>
      <w:lvlJc w:val="left"/>
      <w:pPr>
        <w:ind w:left="1117" w:hanging="720"/>
      </w:pPr>
      <w:rPr>
        <w:rFonts w:hint="default"/>
      </w:rPr>
    </w:lvl>
    <w:lvl w:ilvl="1" w:tentative="0">
      <w:start w:val="1"/>
      <w:numFmt w:val="lowerLetter"/>
      <w:lvlText w:val="%2."/>
      <w:lvlJc w:val="left"/>
      <w:pPr>
        <w:ind w:left="1477" w:hanging="360"/>
      </w:pPr>
    </w:lvl>
    <w:lvl w:ilvl="2" w:tentative="0">
      <w:start w:val="1"/>
      <w:numFmt w:val="lowerRoman"/>
      <w:lvlText w:val="%3."/>
      <w:lvlJc w:val="right"/>
      <w:pPr>
        <w:ind w:left="2197" w:hanging="180"/>
      </w:pPr>
    </w:lvl>
    <w:lvl w:ilvl="3" w:tentative="0">
      <w:start w:val="1"/>
      <w:numFmt w:val="decimal"/>
      <w:lvlText w:val="%4."/>
      <w:lvlJc w:val="left"/>
      <w:pPr>
        <w:ind w:left="2917" w:hanging="360"/>
      </w:pPr>
    </w:lvl>
    <w:lvl w:ilvl="4" w:tentative="0">
      <w:start w:val="1"/>
      <w:numFmt w:val="lowerLetter"/>
      <w:lvlText w:val="%5."/>
      <w:lvlJc w:val="left"/>
      <w:pPr>
        <w:ind w:left="3637" w:hanging="360"/>
      </w:pPr>
    </w:lvl>
    <w:lvl w:ilvl="5" w:tentative="0">
      <w:start w:val="1"/>
      <w:numFmt w:val="lowerRoman"/>
      <w:lvlText w:val="%6."/>
      <w:lvlJc w:val="right"/>
      <w:pPr>
        <w:ind w:left="4357" w:hanging="180"/>
      </w:pPr>
    </w:lvl>
    <w:lvl w:ilvl="6" w:tentative="0">
      <w:start w:val="1"/>
      <w:numFmt w:val="decimal"/>
      <w:lvlText w:val="%7."/>
      <w:lvlJc w:val="left"/>
      <w:pPr>
        <w:ind w:left="5077" w:hanging="360"/>
      </w:pPr>
    </w:lvl>
    <w:lvl w:ilvl="7" w:tentative="0">
      <w:start w:val="1"/>
      <w:numFmt w:val="lowerLetter"/>
      <w:lvlText w:val="%8."/>
      <w:lvlJc w:val="left"/>
      <w:pPr>
        <w:ind w:left="5797" w:hanging="360"/>
      </w:pPr>
    </w:lvl>
    <w:lvl w:ilvl="8" w:tentative="0">
      <w:start w:val="1"/>
      <w:numFmt w:val="lowerRoman"/>
      <w:lvlText w:val="%9."/>
      <w:lvlJc w:val="right"/>
      <w:pPr>
        <w:ind w:left="6517" w:hanging="180"/>
      </w:pPr>
    </w:lvl>
  </w:abstractNum>
  <w:abstractNum w:abstractNumId="19">
    <w:nsid w:val="39F22ABB"/>
    <w:multiLevelType w:val="multilevel"/>
    <w:tmpl w:val="39F22ABB"/>
    <w:lvl w:ilvl="0" w:tentative="0">
      <w:start w:val="1"/>
      <w:numFmt w:val="lowerLetter"/>
      <w:lvlText w:val="%1)"/>
      <w:lvlJc w:val="lef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3B4D2C7E"/>
    <w:multiLevelType w:val="multilevel"/>
    <w:tmpl w:val="3B4D2C7E"/>
    <w:lvl w:ilvl="0" w:tentative="0">
      <w:start w:val="1"/>
      <w:numFmt w:val="lowerRoman"/>
      <w:lvlText w:val="%1."/>
      <w:lvlJc w:val="righ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3B810C69"/>
    <w:multiLevelType w:val="multilevel"/>
    <w:tmpl w:val="3B810C69"/>
    <w:lvl w:ilvl="0" w:tentative="0">
      <w:start w:val="1"/>
      <w:numFmt w:val="lowerRoman"/>
      <w:lvlText w:val="%1."/>
      <w:lvlJc w:val="righ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3BDD3C1E"/>
    <w:multiLevelType w:val="multilevel"/>
    <w:tmpl w:val="3BDD3C1E"/>
    <w:lvl w:ilvl="0" w:tentative="0">
      <w:start w:val="1"/>
      <w:numFmt w:val="lowerLetter"/>
      <w:lvlText w:val="%1."/>
      <w:lvlJc w:val="left"/>
      <w:pPr>
        <w:ind w:left="720" w:hanging="360"/>
      </w:pPr>
      <w:rPr>
        <w:rFonts w:hint="default" w:cs="Times New Roman"/>
        <w:b/>
        <w:bC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3">
    <w:nsid w:val="40775622"/>
    <w:multiLevelType w:val="multilevel"/>
    <w:tmpl w:val="40775622"/>
    <w:lvl w:ilvl="0" w:tentative="0">
      <w:start w:val="1"/>
      <w:numFmt w:val="lowerLetter"/>
      <w:lvlText w:val="%1."/>
      <w:lvlJc w:val="left"/>
      <w:pPr>
        <w:ind w:left="720" w:hanging="360"/>
      </w:pPr>
      <w:rPr>
        <w:rFonts w:cs="Times New Roman"/>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419B1B1C"/>
    <w:multiLevelType w:val="multilevel"/>
    <w:tmpl w:val="419B1B1C"/>
    <w:lvl w:ilvl="0" w:tentative="0">
      <w:start w:val="1"/>
      <w:numFmt w:val="lowerRoman"/>
      <w:lvlText w:val="%1."/>
      <w:lvlJc w:val="righ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43E86D20"/>
    <w:multiLevelType w:val="multilevel"/>
    <w:tmpl w:val="43E86D20"/>
    <w:lvl w:ilvl="0" w:tentative="0">
      <w:start w:val="1"/>
      <w:numFmt w:val="decimal"/>
      <w:lvlText w:val="%1."/>
      <w:lvlJc w:val="left"/>
      <w:pPr>
        <w:ind w:left="1429" w:hanging="360"/>
      </w:pPr>
      <w:rPr>
        <w:b/>
      </w:rPr>
    </w:lvl>
    <w:lvl w:ilvl="1" w:tentative="0">
      <w:start w:val="1"/>
      <w:numFmt w:val="lowerLetter"/>
      <w:lvlText w:val="%2."/>
      <w:lvlJc w:val="left"/>
      <w:pPr>
        <w:ind w:left="786" w:hanging="360"/>
      </w:pPr>
      <w:rPr>
        <w:b/>
      </w:rPr>
    </w:lvl>
    <w:lvl w:ilvl="2" w:tentative="0">
      <w:start w:val="1"/>
      <w:numFmt w:val="lowerRoman"/>
      <w:lvlText w:val="%3."/>
      <w:lvlJc w:val="right"/>
      <w:pPr>
        <w:ind w:left="1315" w:hanging="180"/>
      </w:pPr>
      <w:rPr>
        <w:b/>
      </w:rPr>
    </w:lvl>
    <w:lvl w:ilvl="3" w:tentative="0">
      <w:start w:val="1"/>
      <w:numFmt w:val="decimal"/>
      <w:lvlText w:val="%4."/>
      <w:lvlJc w:val="left"/>
      <w:pPr>
        <w:ind w:left="360" w:hanging="360"/>
      </w:pPr>
      <w:rPr>
        <w:b/>
      </w:rPr>
    </w:lvl>
    <w:lvl w:ilvl="4" w:tentative="0">
      <w:start w:val="1"/>
      <w:numFmt w:val="upperLetter"/>
      <w:lvlText w:val="%5."/>
      <w:lvlJc w:val="left"/>
      <w:pPr>
        <w:ind w:left="4309" w:hanging="360"/>
      </w:pPr>
      <w:rPr>
        <w:rFonts w:hint="default"/>
      </w:rPr>
    </w:lvl>
    <w:lvl w:ilvl="5" w:tentative="0">
      <w:start w:val="10"/>
      <w:numFmt w:val="decimal"/>
      <w:lvlText w:val="%6"/>
      <w:lvlJc w:val="left"/>
      <w:pPr>
        <w:ind w:left="1919" w:hanging="360"/>
      </w:pPr>
      <w:rPr>
        <w:rFonts w:hint="default"/>
      </w:rPr>
    </w:lvl>
    <w:lvl w:ilvl="6" w:tentative="0">
      <w:start w:val="1"/>
      <w:numFmt w:val="decimal"/>
      <w:lvlText w:val="%7."/>
      <w:lvlJc w:val="left"/>
      <w:pPr>
        <w:ind w:left="5749" w:hanging="360"/>
      </w:pPr>
    </w:lvl>
    <w:lvl w:ilvl="7" w:tentative="0">
      <w:start w:val="0"/>
      <w:numFmt w:val="bullet"/>
      <w:lvlText w:val=""/>
      <w:lvlJc w:val="left"/>
      <w:pPr>
        <w:ind w:left="6469" w:hanging="360"/>
      </w:pPr>
      <w:rPr>
        <w:rFonts w:hint="default" w:ascii="Wingdings" w:hAnsi="Wingdings" w:eastAsia="Calibri" w:cs="Arial"/>
      </w:rPr>
    </w:lvl>
    <w:lvl w:ilvl="8" w:tentative="0">
      <w:start w:val="1"/>
      <w:numFmt w:val="lowerRoman"/>
      <w:lvlText w:val="%9."/>
      <w:lvlJc w:val="right"/>
      <w:pPr>
        <w:ind w:left="7189" w:hanging="180"/>
      </w:pPr>
    </w:lvl>
  </w:abstractNum>
  <w:abstractNum w:abstractNumId="26">
    <w:nsid w:val="4D3D5D31"/>
    <w:multiLevelType w:val="multilevel"/>
    <w:tmpl w:val="4D3D5D31"/>
    <w:lvl w:ilvl="0" w:tentative="0">
      <w:start w:val="3"/>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080" w:hanging="108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abstractNum w:abstractNumId="27">
    <w:nsid w:val="4E7647A0"/>
    <w:multiLevelType w:val="multilevel"/>
    <w:tmpl w:val="4E7647A0"/>
    <w:lvl w:ilvl="0" w:tentative="0">
      <w:start w:val="1"/>
      <w:numFmt w:val="bullet"/>
      <w:lvlText w:val=""/>
      <w:lvlJc w:val="left"/>
      <w:pPr>
        <w:ind w:left="360" w:hanging="360"/>
      </w:pPr>
      <w:rPr>
        <w:rFonts w:hint="default" w:ascii="Symbol" w:hAnsi="Symbol"/>
        <w:color w:val="auto"/>
        <w:sz w:val="24"/>
        <w:szCs w:val="24"/>
      </w:rPr>
    </w:lvl>
    <w:lvl w:ilvl="1" w:tentative="0">
      <w:start w:val="1"/>
      <w:numFmt w:val="lowerLetter"/>
      <w:lvlText w:val="%2."/>
      <w:lvlJc w:val="left"/>
      <w:pPr>
        <w:ind w:left="1080" w:hanging="360"/>
      </w:pPr>
      <w:rPr>
        <w:rFonts w:cs="Times New Roman"/>
        <w:b/>
      </w:rPr>
    </w:lvl>
    <w:lvl w:ilvl="2" w:tentative="0">
      <w:start w:val="1"/>
      <w:numFmt w:val="lowerRoman"/>
      <w:lvlText w:val="%3."/>
      <w:lvlJc w:val="right"/>
      <w:pPr>
        <w:ind w:left="1800" w:hanging="180"/>
      </w:pPr>
      <w:rPr>
        <w:rFonts w:cs="Times New Roman"/>
      </w:rPr>
    </w:lvl>
    <w:lvl w:ilvl="3" w:tentative="0">
      <w:start w:val="1"/>
      <w:numFmt w:val="decimal"/>
      <w:lvlText w:val="%4."/>
      <w:lvlJc w:val="left"/>
      <w:pPr>
        <w:ind w:left="2520" w:hanging="360"/>
      </w:pPr>
      <w:rPr>
        <w:rFonts w:cs="Times New Roman"/>
      </w:rPr>
    </w:lvl>
    <w:lvl w:ilvl="4" w:tentative="0">
      <w:start w:val="1"/>
      <w:numFmt w:val="lowerLetter"/>
      <w:lvlText w:val="%5."/>
      <w:lvlJc w:val="left"/>
      <w:pPr>
        <w:ind w:left="3240" w:hanging="360"/>
      </w:pPr>
      <w:rPr>
        <w:rFonts w:cs="Times New Roman"/>
      </w:rPr>
    </w:lvl>
    <w:lvl w:ilvl="5" w:tentative="0">
      <w:start w:val="1"/>
      <w:numFmt w:val="lowerRoman"/>
      <w:lvlText w:val="%6."/>
      <w:lvlJc w:val="right"/>
      <w:pPr>
        <w:ind w:left="3960" w:hanging="180"/>
      </w:pPr>
      <w:rPr>
        <w:rFonts w:cs="Times New Roman"/>
      </w:rPr>
    </w:lvl>
    <w:lvl w:ilvl="6" w:tentative="0">
      <w:start w:val="1"/>
      <w:numFmt w:val="decimal"/>
      <w:lvlText w:val="%7."/>
      <w:lvlJc w:val="left"/>
      <w:pPr>
        <w:ind w:left="4680" w:hanging="360"/>
      </w:pPr>
      <w:rPr>
        <w:rFonts w:cs="Times New Roman"/>
      </w:rPr>
    </w:lvl>
    <w:lvl w:ilvl="7" w:tentative="0">
      <w:start w:val="1"/>
      <w:numFmt w:val="lowerLetter"/>
      <w:lvlText w:val="%8."/>
      <w:lvlJc w:val="left"/>
      <w:pPr>
        <w:ind w:left="5400" w:hanging="360"/>
      </w:pPr>
      <w:rPr>
        <w:rFonts w:cs="Times New Roman"/>
      </w:rPr>
    </w:lvl>
    <w:lvl w:ilvl="8" w:tentative="0">
      <w:start w:val="1"/>
      <w:numFmt w:val="lowerRoman"/>
      <w:lvlText w:val="%9."/>
      <w:lvlJc w:val="right"/>
      <w:pPr>
        <w:ind w:left="6120" w:hanging="180"/>
      </w:pPr>
      <w:rPr>
        <w:rFonts w:cs="Times New Roman"/>
      </w:rPr>
    </w:lvl>
  </w:abstractNum>
  <w:abstractNum w:abstractNumId="28">
    <w:nsid w:val="546604A4"/>
    <w:multiLevelType w:val="multilevel"/>
    <w:tmpl w:val="546604A4"/>
    <w:lvl w:ilvl="0" w:tentative="0">
      <w:start w:val="1"/>
      <w:numFmt w:val="lowerRoman"/>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5A3A2CA0"/>
    <w:multiLevelType w:val="multilevel"/>
    <w:tmpl w:val="5A3A2CA0"/>
    <w:lvl w:ilvl="0" w:tentative="0">
      <w:start w:val="6"/>
      <w:numFmt w:val="decimal"/>
      <w:lvlText w:val="%1."/>
      <w:lvlJc w:val="left"/>
      <w:pPr>
        <w:ind w:left="360" w:hanging="360"/>
      </w:pPr>
      <w:rPr>
        <w:rFonts w:hint="default"/>
        <w:b/>
        <w:color w:val="000000"/>
      </w:rPr>
    </w:lvl>
    <w:lvl w:ilvl="1" w:tentative="0">
      <w:start w:val="1"/>
      <w:numFmt w:val="decimal"/>
      <w:lvlText w:val="%1.%2."/>
      <w:lvlJc w:val="left"/>
      <w:pPr>
        <w:ind w:left="360" w:hanging="360"/>
      </w:pPr>
      <w:rPr>
        <w:rFonts w:hint="default"/>
        <w:b/>
        <w:color w:val="000000"/>
      </w:rPr>
    </w:lvl>
    <w:lvl w:ilvl="2" w:tentative="0">
      <w:start w:val="1"/>
      <w:numFmt w:val="decimal"/>
      <w:lvlText w:val="%1.%2.%3."/>
      <w:lvlJc w:val="left"/>
      <w:pPr>
        <w:ind w:left="720" w:hanging="720"/>
      </w:pPr>
      <w:rPr>
        <w:rFonts w:hint="default"/>
        <w:b/>
        <w:color w:val="000000"/>
      </w:rPr>
    </w:lvl>
    <w:lvl w:ilvl="3" w:tentative="0">
      <w:start w:val="1"/>
      <w:numFmt w:val="decimal"/>
      <w:lvlText w:val="%1.%2.%3.%4."/>
      <w:lvlJc w:val="left"/>
      <w:pPr>
        <w:ind w:left="720" w:hanging="720"/>
      </w:pPr>
      <w:rPr>
        <w:rFonts w:hint="default"/>
        <w:b/>
        <w:color w:val="000000"/>
      </w:rPr>
    </w:lvl>
    <w:lvl w:ilvl="4" w:tentative="0">
      <w:start w:val="1"/>
      <w:numFmt w:val="decimal"/>
      <w:lvlText w:val="%1.%2.%3.%4.%5."/>
      <w:lvlJc w:val="left"/>
      <w:pPr>
        <w:ind w:left="1080" w:hanging="1080"/>
      </w:pPr>
      <w:rPr>
        <w:rFonts w:hint="default"/>
        <w:b/>
        <w:color w:val="000000"/>
      </w:rPr>
    </w:lvl>
    <w:lvl w:ilvl="5" w:tentative="0">
      <w:start w:val="1"/>
      <w:numFmt w:val="decimal"/>
      <w:lvlText w:val="%1.%2.%3.%4.%5.%6."/>
      <w:lvlJc w:val="left"/>
      <w:pPr>
        <w:ind w:left="1080" w:hanging="1080"/>
      </w:pPr>
      <w:rPr>
        <w:rFonts w:hint="default"/>
        <w:b/>
        <w:color w:val="000000"/>
      </w:rPr>
    </w:lvl>
    <w:lvl w:ilvl="6" w:tentative="0">
      <w:start w:val="1"/>
      <w:numFmt w:val="decimal"/>
      <w:lvlText w:val="%1.%2.%3.%4.%5.%6.%7."/>
      <w:lvlJc w:val="left"/>
      <w:pPr>
        <w:ind w:left="1080" w:hanging="1080"/>
      </w:pPr>
      <w:rPr>
        <w:rFonts w:hint="default"/>
        <w:b/>
        <w:color w:val="000000"/>
      </w:rPr>
    </w:lvl>
    <w:lvl w:ilvl="7" w:tentative="0">
      <w:start w:val="1"/>
      <w:numFmt w:val="decimal"/>
      <w:lvlText w:val="%1.%2.%3.%4.%5.%6.%7.%8."/>
      <w:lvlJc w:val="left"/>
      <w:pPr>
        <w:ind w:left="1440" w:hanging="1440"/>
      </w:pPr>
      <w:rPr>
        <w:rFonts w:hint="default"/>
        <w:b/>
        <w:color w:val="000000"/>
      </w:rPr>
    </w:lvl>
    <w:lvl w:ilvl="8" w:tentative="0">
      <w:start w:val="1"/>
      <w:numFmt w:val="decimal"/>
      <w:lvlText w:val="%1.%2.%3.%4.%5.%6.%7.%8.%9."/>
      <w:lvlJc w:val="left"/>
      <w:pPr>
        <w:ind w:left="1440" w:hanging="1440"/>
      </w:pPr>
      <w:rPr>
        <w:rFonts w:hint="default"/>
        <w:b/>
        <w:color w:val="000000"/>
      </w:rPr>
    </w:lvl>
  </w:abstractNum>
  <w:abstractNum w:abstractNumId="30">
    <w:nsid w:val="6B707C8A"/>
    <w:multiLevelType w:val="multilevel"/>
    <w:tmpl w:val="6B707C8A"/>
    <w:lvl w:ilvl="0" w:tentative="0">
      <w:start w:val="1"/>
      <w:numFmt w:val="lowerLetter"/>
      <w:lvlText w:val="%1)"/>
      <w:lvlJc w:val="left"/>
      <w:pPr>
        <w:ind w:left="720" w:hanging="360"/>
      </w:pPr>
    </w:lvl>
    <w:lvl w:ilvl="1" w:tentative="0">
      <w:start w:val="1"/>
      <w:numFmt w:val="lowerLetter"/>
      <w:lvlText w:val="%2)"/>
      <w:lvlJc w:val="left"/>
      <w:pPr>
        <w:ind w:left="1440" w:hanging="360"/>
      </w:pPr>
      <w:rPr>
        <w:b/>
        <w:bCs/>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6DB21C68"/>
    <w:multiLevelType w:val="multilevel"/>
    <w:tmpl w:val="6DB21C68"/>
    <w:lvl w:ilvl="0" w:tentative="0">
      <w:start w:val="1"/>
      <w:numFmt w:val="upperRoman"/>
      <w:lvlText w:val="%1."/>
      <w:lvlJc w:val="left"/>
      <w:pPr>
        <w:ind w:left="1080" w:hanging="720"/>
      </w:pPr>
      <w:rPr>
        <w:rFonts w:hint="default"/>
        <w:b/>
        <w:bCs/>
      </w:rPr>
    </w:lvl>
    <w:lvl w:ilvl="1" w:tentative="0">
      <w:start w:val="1"/>
      <w:numFmt w:val="decimal"/>
      <w:isLgl/>
      <w:lvlText w:val="%1.%2."/>
      <w:lvlJc w:val="left"/>
      <w:pPr>
        <w:ind w:left="720" w:hanging="360"/>
      </w:pPr>
      <w:rPr>
        <w:rFonts w:hint="default"/>
        <w:b/>
        <w:bCs/>
      </w:rPr>
    </w:lvl>
    <w:lvl w:ilvl="2" w:tentative="0">
      <w:start w:val="1"/>
      <w:numFmt w:val="decimal"/>
      <w:isLgl/>
      <w:lvlText w:val="%1.%2.%3."/>
      <w:lvlJc w:val="left"/>
      <w:pPr>
        <w:ind w:left="1080" w:hanging="720"/>
      </w:pPr>
      <w:rPr>
        <w:rFonts w:hint="default" w:ascii="Arial Narrow" w:hAnsi="Arial Narrow"/>
        <w:b/>
        <w:bCs w:val="0"/>
      </w:rPr>
    </w:lvl>
    <w:lvl w:ilvl="3" w:tentative="0">
      <w:start w:val="1"/>
      <w:numFmt w:val="decimal"/>
      <w:isLgl/>
      <w:lvlText w:val="%1.%2.%3.%4."/>
      <w:lvlJc w:val="left"/>
      <w:pPr>
        <w:ind w:left="1080" w:hanging="720"/>
      </w:pPr>
      <w:rPr>
        <w:rFonts w:hint="default" w:ascii="Arial Narrow" w:hAnsi="Arial Narrow"/>
        <w:b/>
        <w:bCs/>
        <w:sz w:val="22"/>
        <w:szCs w:val="22"/>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440" w:hanging="108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1800" w:hanging="1440"/>
      </w:pPr>
      <w:rPr>
        <w:rFonts w:hint="default"/>
      </w:rPr>
    </w:lvl>
  </w:abstractNum>
  <w:abstractNum w:abstractNumId="32">
    <w:nsid w:val="76351E98"/>
    <w:multiLevelType w:val="multilevel"/>
    <w:tmpl w:val="76351E98"/>
    <w:lvl w:ilvl="0" w:tentative="0">
      <w:start w:val="1"/>
      <w:numFmt w:val="lowerLetter"/>
      <w:lvlText w:val="%1."/>
      <w:lvlJc w:val="lef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78610488"/>
    <w:multiLevelType w:val="multilevel"/>
    <w:tmpl w:val="7861048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4">
    <w:nsid w:val="7AE03C4C"/>
    <w:multiLevelType w:val="multilevel"/>
    <w:tmpl w:val="7AE03C4C"/>
    <w:lvl w:ilvl="0" w:tentative="0">
      <w:start w:val="1"/>
      <w:numFmt w:val="lowerLetter"/>
      <w:lvlText w:val="%1."/>
      <w:lvlJc w:val="left"/>
      <w:pPr>
        <w:ind w:left="720" w:hanging="360"/>
      </w:pPr>
      <w:rPr>
        <w:rFonts w:cs="Times New Roman"/>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5">
    <w:nsid w:val="7C562FC1"/>
    <w:multiLevelType w:val="multilevel"/>
    <w:tmpl w:val="7C562FC1"/>
    <w:lvl w:ilvl="0" w:tentative="0">
      <w:start w:val="2"/>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080" w:hanging="108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num w:numId="1">
    <w:abstractNumId w:val="3"/>
  </w:num>
  <w:num w:numId="2">
    <w:abstractNumId w:val="17"/>
  </w:num>
  <w:num w:numId="3">
    <w:abstractNumId w:val="13"/>
  </w:num>
  <w:num w:numId="4">
    <w:abstractNumId w:val="11"/>
  </w:num>
  <w:num w:numId="5">
    <w:abstractNumId w:val="14"/>
  </w:num>
  <w:num w:numId="6">
    <w:abstractNumId w:val="7"/>
  </w:num>
  <w:num w:numId="7">
    <w:abstractNumId w:val="27"/>
  </w:num>
  <w:num w:numId="8">
    <w:abstractNumId w:val="35"/>
  </w:num>
  <w:num w:numId="9">
    <w:abstractNumId w:val="21"/>
  </w:num>
  <w:num w:numId="10">
    <w:abstractNumId w:val="24"/>
  </w:num>
  <w:num w:numId="11">
    <w:abstractNumId w:val="0"/>
  </w:num>
  <w:num w:numId="12">
    <w:abstractNumId w:val="33"/>
  </w:num>
  <w:num w:numId="13">
    <w:abstractNumId w:val="31"/>
  </w:num>
  <w:num w:numId="14">
    <w:abstractNumId w:val="5"/>
  </w:num>
  <w:num w:numId="15">
    <w:abstractNumId w:val="23"/>
  </w:num>
  <w:num w:numId="16">
    <w:abstractNumId w:val="26"/>
  </w:num>
  <w:num w:numId="17">
    <w:abstractNumId w:val="22"/>
  </w:num>
  <w:num w:numId="18">
    <w:abstractNumId w:val="32"/>
  </w:num>
  <w:num w:numId="19">
    <w:abstractNumId w:val="28"/>
  </w:num>
  <w:num w:numId="20">
    <w:abstractNumId w:val="16"/>
  </w:num>
  <w:num w:numId="21">
    <w:abstractNumId w:val="2"/>
  </w:num>
  <w:num w:numId="22">
    <w:abstractNumId w:val="25"/>
  </w:num>
  <w:num w:numId="23">
    <w:abstractNumId w:val="34"/>
  </w:num>
  <w:num w:numId="24">
    <w:abstractNumId w:val="20"/>
  </w:num>
  <w:num w:numId="25">
    <w:abstractNumId w:val="9"/>
  </w:num>
  <w:num w:numId="26">
    <w:abstractNumId w:val="6"/>
  </w:num>
  <w:num w:numId="27">
    <w:abstractNumId w:val="10"/>
  </w:num>
  <w:num w:numId="28">
    <w:abstractNumId w:val="18"/>
  </w:num>
  <w:num w:numId="29">
    <w:abstractNumId w:val="4"/>
  </w:num>
  <w:num w:numId="30">
    <w:abstractNumId w:val="12"/>
  </w:num>
  <w:num w:numId="31">
    <w:abstractNumId w:val="1"/>
  </w:num>
  <w:num w:numId="32">
    <w:abstractNumId w:val="19"/>
  </w:num>
  <w:num w:numId="33">
    <w:abstractNumId w:val="30"/>
  </w:num>
  <w:num w:numId="34">
    <w:abstractNumId w:val="8"/>
  </w:num>
  <w:num w:numId="35">
    <w:abstractNumId w:val="15"/>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hideGrammaticalErrors/>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0B3"/>
    <w:rsid w:val="00007BEC"/>
    <w:rsid w:val="00007F02"/>
    <w:rsid w:val="00013EDD"/>
    <w:rsid w:val="00015330"/>
    <w:rsid w:val="00015A5F"/>
    <w:rsid w:val="000168B8"/>
    <w:rsid w:val="000208FD"/>
    <w:rsid w:val="00021A40"/>
    <w:rsid w:val="00022917"/>
    <w:rsid w:val="0002448F"/>
    <w:rsid w:val="000255D8"/>
    <w:rsid w:val="00027363"/>
    <w:rsid w:val="000306EC"/>
    <w:rsid w:val="000363A3"/>
    <w:rsid w:val="000433AA"/>
    <w:rsid w:val="00043679"/>
    <w:rsid w:val="00043757"/>
    <w:rsid w:val="0004413B"/>
    <w:rsid w:val="00047C8E"/>
    <w:rsid w:val="00057DD4"/>
    <w:rsid w:val="00062B37"/>
    <w:rsid w:val="000632A0"/>
    <w:rsid w:val="0006584F"/>
    <w:rsid w:val="00071CDF"/>
    <w:rsid w:val="00075A5B"/>
    <w:rsid w:val="000762CC"/>
    <w:rsid w:val="000779D4"/>
    <w:rsid w:val="000803F8"/>
    <w:rsid w:val="00080BEC"/>
    <w:rsid w:val="00083D58"/>
    <w:rsid w:val="00083DFC"/>
    <w:rsid w:val="00084138"/>
    <w:rsid w:val="00093EFF"/>
    <w:rsid w:val="000A41F5"/>
    <w:rsid w:val="000A6F2E"/>
    <w:rsid w:val="000B1EBE"/>
    <w:rsid w:val="000B21FB"/>
    <w:rsid w:val="000B2588"/>
    <w:rsid w:val="000B2E57"/>
    <w:rsid w:val="000B49AF"/>
    <w:rsid w:val="000B682C"/>
    <w:rsid w:val="000B7A90"/>
    <w:rsid w:val="000B7C52"/>
    <w:rsid w:val="000C013A"/>
    <w:rsid w:val="000C1926"/>
    <w:rsid w:val="000C227E"/>
    <w:rsid w:val="000C333C"/>
    <w:rsid w:val="000C501E"/>
    <w:rsid w:val="000C5763"/>
    <w:rsid w:val="000C6699"/>
    <w:rsid w:val="000D0D14"/>
    <w:rsid w:val="000D1B94"/>
    <w:rsid w:val="000D62F6"/>
    <w:rsid w:val="000E1A29"/>
    <w:rsid w:val="000E62CC"/>
    <w:rsid w:val="000F0530"/>
    <w:rsid w:val="000F63B3"/>
    <w:rsid w:val="00101103"/>
    <w:rsid w:val="00102FF4"/>
    <w:rsid w:val="00104FA9"/>
    <w:rsid w:val="00110246"/>
    <w:rsid w:val="00110B9E"/>
    <w:rsid w:val="001114BF"/>
    <w:rsid w:val="00111814"/>
    <w:rsid w:val="00111861"/>
    <w:rsid w:val="00112A60"/>
    <w:rsid w:val="00112E05"/>
    <w:rsid w:val="001148CB"/>
    <w:rsid w:val="0011729B"/>
    <w:rsid w:val="00121E2E"/>
    <w:rsid w:val="00123E53"/>
    <w:rsid w:val="00130DDB"/>
    <w:rsid w:val="0013534E"/>
    <w:rsid w:val="00137DC8"/>
    <w:rsid w:val="001411CD"/>
    <w:rsid w:val="0014245B"/>
    <w:rsid w:val="00150E01"/>
    <w:rsid w:val="00151298"/>
    <w:rsid w:val="001516E4"/>
    <w:rsid w:val="00151C02"/>
    <w:rsid w:val="00156CEC"/>
    <w:rsid w:val="001578BC"/>
    <w:rsid w:val="001664A4"/>
    <w:rsid w:val="001668F5"/>
    <w:rsid w:val="0017141D"/>
    <w:rsid w:val="00171B68"/>
    <w:rsid w:val="0017215E"/>
    <w:rsid w:val="00172823"/>
    <w:rsid w:val="001744C2"/>
    <w:rsid w:val="001751CE"/>
    <w:rsid w:val="00180C19"/>
    <w:rsid w:val="00181776"/>
    <w:rsid w:val="00181E98"/>
    <w:rsid w:val="0018389A"/>
    <w:rsid w:val="00183E1B"/>
    <w:rsid w:val="001859CC"/>
    <w:rsid w:val="00186DCE"/>
    <w:rsid w:val="00191997"/>
    <w:rsid w:val="00192D93"/>
    <w:rsid w:val="00193C6C"/>
    <w:rsid w:val="00195BEE"/>
    <w:rsid w:val="00197C4B"/>
    <w:rsid w:val="001A4779"/>
    <w:rsid w:val="001B01D2"/>
    <w:rsid w:val="001B2D42"/>
    <w:rsid w:val="001B4757"/>
    <w:rsid w:val="001B47A0"/>
    <w:rsid w:val="001C26B4"/>
    <w:rsid w:val="001C462A"/>
    <w:rsid w:val="001D0F06"/>
    <w:rsid w:val="001D1ED5"/>
    <w:rsid w:val="001D406B"/>
    <w:rsid w:val="001D60AE"/>
    <w:rsid w:val="001D6E16"/>
    <w:rsid w:val="001E55A4"/>
    <w:rsid w:val="001E5E4B"/>
    <w:rsid w:val="001E7B33"/>
    <w:rsid w:val="001F0FCB"/>
    <w:rsid w:val="001F3E01"/>
    <w:rsid w:val="001F5269"/>
    <w:rsid w:val="001F58FE"/>
    <w:rsid w:val="001F650F"/>
    <w:rsid w:val="001F72CE"/>
    <w:rsid w:val="002014AF"/>
    <w:rsid w:val="002108F6"/>
    <w:rsid w:val="00211EFD"/>
    <w:rsid w:val="00212F38"/>
    <w:rsid w:val="0021341A"/>
    <w:rsid w:val="0021415B"/>
    <w:rsid w:val="0021478F"/>
    <w:rsid w:val="00215026"/>
    <w:rsid w:val="00216F03"/>
    <w:rsid w:val="00222FF2"/>
    <w:rsid w:val="0022300D"/>
    <w:rsid w:val="00223962"/>
    <w:rsid w:val="00226B42"/>
    <w:rsid w:val="00227405"/>
    <w:rsid w:val="00231C28"/>
    <w:rsid w:val="00240226"/>
    <w:rsid w:val="002501A9"/>
    <w:rsid w:val="00253FD0"/>
    <w:rsid w:val="00256466"/>
    <w:rsid w:val="0025749E"/>
    <w:rsid w:val="00260695"/>
    <w:rsid w:val="00261661"/>
    <w:rsid w:val="00266C8C"/>
    <w:rsid w:val="002721FE"/>
    <w:rsid w:val="00275B8E"/>
    <w:rsid w:val="00275D32"/>
    <w:rsid w:val="00287562"/>
    <w:rsid w:val="002879E6"/>
    <w:rsid w:val="002920F7"/>
    <w:rsid w:val="002921F2"/>
    <w:rsid w:val="0029298E"/>
    <w:rsid w:val="00293CFA"/>
    <w:rsid w:val="00294938"/>
    <w:rsid w:val="002977AE"/>
    <w:rsid w:val="00297942"/>
    <w:rsid w:val="002A09DF"/>
    <w:rsid w:val="002A2E6B"/>
    <w:rsid w:val="002C0D35"/>
    <w:rsid w:val="002C148E"/>
    <w:rsid w:val="002C29C2"/>
    <w:rsid w:val="002C4942"/>
    <w:rsid w:val="002C5931"/>
    <w:rsid w:val="002D0198"/>
    <w:rsid w:val="002D02D3"/>
    <w:rsid w:val="002D0ECA"/>
    <w:rsid w:val="002D41B9"/>
    <w:rsid w:val="002D4B51"/>
    <w:rsid w:val="002E096B"/>
    <w:rsid w:val="002E1F1A"/>
    <w:rsid w:val="002E3090"/>
    <w:rsid w:val="002F287F"/>
    <w:rsid w:val="002F2C96"/>
    <w:rsid w:val="002F2ED7"/>
    <w:rsid w:val="002F30D6"/>
    <w:rsid w:val="002F4B36"/>
    <w:rsid w:val="002F546F"/>
    <w:rsid w:val="002F5577"/>
    <w:rsid w:val="00302313"/>
    <w:rsid w:val="003031A7"/>
    <w:rsid w:val="003110FA"/>
    <w:rsid w:val="003115F4"/>
    <w:rsid w:val="003137F1"/>
    <w:rsid w:val="00315169"/>
    <w:rsid w:val="00317BA6"/>
    <w:rsid w:val="003236DA"/>
    <w:rsid w:val="00326E28"/>
    <w:rsid w:val="0032720E"/>
    <w:rsid w:val="003327E4"/>
    <w:rsid w:val="003332DA"/>
    <w:rsid w:val="00337168"/>
    <w:rsid w:val="00344014"/>
    <w:rsid w:val="00344CBC"/>
    <w:rsid w:val="003516BD"/>
    <w:rsid w:val="00352037"/>
    <w:rsid w:val="003545C9"/>
    <w:rsid w:val="00355E82"/>
    <w:rsid w:val="00356C09"/>
    <w:rsid w:val="0036241E"/>
    <w:rsid w:val="003628B9"/>
    <w:rsid w:val="00367066"/>
    <w:rsid w:val="00370AA0"/>
    <w:rsid w:val="003755FD"/>
    <w:rsid w:val="00375C80"/>
    <w:rsid w:val="0037668E"/>
    <w:rsid w:val="00377456"/>
    <w:rsid w:val="00383B9F"/>
    <w:rsid w:val="003867AC"/>
    <w:rsid w:val="003874FC"/>
    <w:rsid w:val="003925D7"/>
    <w:rsid w:val="00396DF9"/>
    <w:rsid w:val="003A1850"/>
    <w:rsid w:val="003A3768"/>
    <w:rsid w:val="003A7656"/>
    <w:rsid w:val="003B51D2"/>
    <w:rsid w:val="003B5E2E"/>
    <w:rsid w:val="003B7E20"/>
    <w:rsid w:val="003C1D09"/>
    <w:rsid w:val="003C78BD"/>
    <w:rsid w:val="003D11F1"/>
    <w:rsid w:val="003E2EDD"/>
    <w:rsid w:val="003E3D06"/>
    <w:rsid w:val="003F02DA"/>
    <w:rsid w:val="003F03B1"/>
    <w:rsid w:val="003F14BF"/>
    <w:rsid w:val="003F5550"/>
    <w:rsid w:val="003F69BD"/>
    <w:rsid w:val="004012DA"/>
    <w:rsid w:val="00401F64"/>
    <w:rsid w:val="004034D9"/>
    <w:rsid w:val="00403F15"/>
    <w:rsid w:val="00412FC6"/>
    <w:rsid w:val="00417504"/>
    <w:rsid w:val="00422036"/>
    <w:rsid w:val="004239E6"/>
    <w:rsid w:val="00423DF1"/>
    <w:rsid w:val="00424725"/>
    <w:rsid w:val="004256B0"/>
    <w:rsid w:val="00426463"/>
    <w:rsid w:val="00426D4D"/>
    <w:rsid w:val="0043063A"/>
    <w:rsid w:val="00432A63"/>
    <w:rsid w:val="00434473"/>
    <w:rsid w:val="00436226"/>
    <w:rsid w:val="00437DAE"/>
    <w:rsid w:val="0044115E"/>
    <w:rsid w:val="00444654"/>
    <w:rsid w:val="00444AF9"/>
    <w:rsid w:val="0044696C"/>
    <w:rsid w:val="004508BB"/>
    <w:rsid w:val="0045332F"/>
    <w:rsid w:val="00456817"/>
    <w:rsid w:val="00457921"/>
    <w:rsid w:val="00461829"/>
    <w:rsid w:val="00463963"/>
    <w:rsid w:val="00463AD0"/>
    <w:rsid w:val="00463CEA"/>
    <w:rsid w:val="00465D5E"/>
    <w:rsid w:val="00471477"/>
    <w:rsid w:val="00471BEF"/>
    <w:rsid w:val="00476888"/>
    <w:rsid w:val="00480229"/>
    <w:rsid w:val="004824D3"/>
    <w:rsid w:val="00486828"/>
    <w:rsid w:val="00490B52"/>
    <w:rsid w:val="0049288B"/>
    <w:rsid w:val="004931F6"/>
    <w:rsid w:val="00495ADF"/>
    <w:rsid w:val="004A18E8"/>
    <w:rsid w:val="004A1BC4"/>
    <w:rsid w:val="004A588B"/>
    <w:rsid w:val="004A7165"/>
    <w:rsid w:val="004B1FEA"/>
    <w:rsid w:val="004B3510"/>
    <w:rsid w:val="004B5FC4"/>
    <w:rsid w:val="004B6165"/>
    <w:rsid w:val="004B6DF4"/>
    <w:rsid w:val="004B7C39"/>
    <w:rsid w:val="004C4BCC"/>
    <w:rsid w:val="004C745F"/>
    <w:rsid w:val="004C7FF8"/>
    <w:rsid w:val="004D043C"/>
    <w:rsid w:val="004D2183"/>
    <w:rsid w:val="004D3477"/>
    <w:rsid w:val="004E1180"/>
    <w:rsid w:val="004E14F6"/>
    <w:rsid w:val="004E2EA8"/>
    <w:rsid w:val="004E30C9"/>
    <w:rsid w:val="004E3709"/>
    <w:rsid w:val="004E48C2"/>
    <w:rsid w:val="004E55A0"/>
    <w:rsid w:val="004E5699"/>
    <w:rsid w:val="004F0426"/>
    <w:rsid w:val="004F7CED"/>
    <w:rsid w:val="00500E2A"/>
    <w:rsid w:val="005018EF"/>
    <w:rsid w:val="0050693D"/>
    <w:rsid w:val="00510F6B"/>
    <w:rsid w:val="00514EF9"/>
    <w:rsid w:val="005234AD"/>
    <w:rsid w:val="00527021"/>
    <w:rsid w:val="00533A9A"/>
    <w:rsid w:val="00533B51"/>
    <w:rsid w:val="0053426D"/>
    <w:rsid w:val="0053541A"/>
    <w:rsid w:val="005401F7"/>
    <w:rsid w:val="00541C1A"/>
    <w:rsid w:val="00546C0B"/>
    <w:rsid w:val="00550F73"/>
    <w:rsid w:val="00551539"/>
    <w:rsid w:val="00551DDF"/>
    <w:rsid w:val="005546E4"/>
    <w:rsid w:val="00556154"/>
    <w:rsid w:val="00557E17"/>
    <w:rsid w:val="00560352"/>
    <w:rsid w:val="005608E1"/>
    <w:rsid w:val="0056467F"/>
    <w:rsid w:val="00570275"/>
    <w:rsid w:val="0057028B"/>
    <w:rsid w:val="005713D1"/>
    <w:rsid w:val="005715CE"/>
    <w:rsid w:val="00577D3D"/>
    <w:rsid w:val="00583C97"/>
    <w:rsid w:val="0058696C"/>
    <w:rsid w:val="0059417F"/>
    <w:rsid w:val="00594E55"/>
    <w:rsid w:val="005954C5"/>
    <w:rsid w:val="00595ED8"/>
    <w:rsid w:val="00596C1D"/>
    <w:rsid w:val="005971BA"/>
    <w:rsid w:val="005A0C71"/>
    <w:rsid w:val="005A1766"/>
    <w:rsid w:val="005A6208"/>
    <w:rsid w:val="005A7449"/>
    <w:rsid w:val="005A7500"/>
    <w:rsid w:val="005B00FC"/>
    <w:rsid w:val="005B2691"/>
    <w:rsid w:val="005B28AA"/>
    <w:rsid w:val="005B4CFF"/>
    <w:rsid w:val="005B52B9"/>
    <w:rsid w:val="005C3290"/>
    <w:rsid w:val="005C5FB4"/>
    <w:rsid w:val="005D07CE"/>
    <w:rsid w:val="005D420A"/>
    <w:rsid w:val="005D5348"/>
    <w:rsid w:val="005E0DB3"/>
    <w:rsid w:val="005F5476"/>
    <w:rsid w:val="00600AF4"/>
    <w:rsid w:val="00603B93"/>
    <w:rsid w:val="0060457E"/>
    <w:rsid w:val="006065FF"/>
    <w:rsid w:val="006121B3"/>
    <w:rsid w:val="00612716"/>
    <w:rsid w:val="00613E13"/>
    <w:rsid w:val="006161E6"/>
    <w:rsid w:val="00625A47"/>
    <w:rsid w:val="00626E27"/>
    <w:rsid w:val="00627FAF"/>
    <w:rsid w:val="00630F6C"/>
    <w:rsid w:val="00635AC5"/>
    <w:rsid w:val="00641633"/>
    <w:rsid w:val="006424B3"/>
    <w:rsid w:val="00645F3E"/>
    <w:rsid w:val="006464DC"/>
    <w:rsid w:val="00650C65"/>
    <w:rsid w:val="00654F6D"/>
    <w:rsid w:val="0065597D"/>
    <w:rsid w:val="00655FB0"/>
    <w:rsid w:val="006568E7"/>
    <w:rsid w:val="006610CB"/>
    <w:rsid w:val="00661A42"/>
    <w:rsid w:val="00662BE8"/>
    <w:rsid w:val="00671A5C"/>
    <w:rsid w:val="0067587A"/>
    <w:rsid w:val="00677C01"/>
    <w:rsid w:val="0068172F"/>
    <w:rsid w:val="006841C1"/>
    <w:rsid w:val="00684842"/>
    <w:rsid w:val="00685DE4"/>
    <w:rsid w:val="006875F3"/>
    <w:rsid w:val="0069237B"/>
    <w:rsid w:val="0069416D"/>
    <w:rsid w:val="006942D1"/>
    <w:rsid w:val="0069557D"/>
    <w:rsid w:val="0069652F"/>
    <w:rsid w:val="00697F5D"/>
    <w:rsid w:val="006A08B4"/>
    <w:rsid w:val="006A5F25"/>
    <w:rsid w:val="006B4AE6"/>
    <w:rsid w:val="006B56FD"/>
    <w:rsid w:val="006C1568"/>
    <w:rsid w:val="006C55C3"/>
    <w:rsid w:val="006C67B9"/>
    <w:rsid w:val="006D4751"/>
    <w:rsid w:val="006D5277"/>
    <w:rsid w:val="006D6266"/>
    <w:rsid w:val="006E05EA"/>
    <w:rsid w:val="006E3B29"/>
    <w:rsid w:val="006E4B18"/>
    <w:rsid w:val="006F39F6"/>
    <w:rsid w:val="006F480C"/>
    <w:rsid w:val="006F4E3C"/>
    <w:rsid w:val="00701D91"/>
    <w:rsid w:val="00701E95"/>
    <w:rsid w:val="0070284E"/>
    <w:rsid w:val="007101D2"/>
    <w:rsid w:val="0071035C"/>
    <w:rsid w:val="00710AFD"/>
    <w:rsid w:val="007143C8"/>
    <w:rsid w:val="00715748"/>
    <w:rsid w:val="00723EE1"/>
    <w:rsid w:val="00727AD2"/>
    <w:rsid w:val="0073107A"/>
    <w:rsid w:val="00731FBC"/>
    <w:rsid w:val="007439B1"/>
    <w:rsid w:val="00746962"/>
    <w:rsid w:val="00747A6A"/>
    <w:rsid w:val="00747E3A"/>
    <w:rsid w:val="00751DED"/>
    <w:rsid w:val="0075543A"/>
    <w:rsid w:val="00760AAB"/>
    <w:rsid w:val="00760B9D"/>
    <w:rsid w:val="00772231"/>
    <w:rsid w:val="007733D0"/>
    <w:rsid w:val="00773798"/>
    <w:rsid w:val="00777D1E"/>
    <w:rsid w:val="00780D18"/>
    <w:rsid w:val="00781ED2"/>
    <w:rsid w:val="007849F5"/>
    <w:rsid w:val="00792D41"/>
    <w:rsid w:val="00794F81"/>
    <w:rsid w:val="007974AF"/>
    <w:rsid w:val="007A1DBC"/>
    <w:rsid w:val="007A31A6"/>
    <w:rsid w:val="007A7E91"/>
    <w:rsid w:val="007B7895"/>
    <w:rsid w:val="007C51CF"/>
    <w:rsid w:val="007D02E0"/>
    <w:rsid w:val="007D141C"/>
    <w:rsid w:val="007D32CB"/>
    <w:rsid w:val="007D60B0"/>
    <w:rsid w:val="007D6D72"/>
    <w:rsid w:val="007D7CFB"/>
    <w:rsid w:val="007E237D"/>
    <w:rsid w:val="00803C79"/>
    <w:rsid w:val="0080558C"/>
    <w:rsid w:val="0080679C"/>
    <w:rsid w:val="00810734"/>
    <w:rsid w:val="0081141C"/>
    <w:rsid w:val="00812FBD"/>
    <w:rsid w:val="00813CF1"/>
    <w:rsid w:val="00816D84"/>
    <w:rsid w:val="00817E6A"/>
    <w:rsid w:val="00820909"/>
    <w:rsid w:val="0082356C"/>
    <w:rsid w:val="00826808"/>
    <w:rsid w:val="0082695B"/>
    <w:rsid w:val="008302F5"/>
    <w:rsid w:val="00833CF6"/>
    <w:rsid w:val="00835D3B"/>
    <w:rsid w:val="00836C36"/>
    <w:rsid w:val="00841011"/>
    <w:rsid w:val="00841BDD"/>
    <w:rsid w:val="00843CD1"/>
    <w:rsid w:val="0084499E"/>
    <w:rsid w:val="008475BE"/>
    <w:rsid w:val="00850ADF"/>
    <w:rsid w:val="008537CF"/>
    <w:rsid w:val="00856601"/>
    <w:rsid w:val="008618AD"/>
    <w:rsid w:val="00863B0B"/>
    <w:rsid w:val="00865E19"/>
    <w:rsid w:val="00867DE8"/>
    <w:rsid w:val="0087186D"/>
    <w:rsid w:val="00876248"/>
    <w:rsid w:val="0088021F"/>
    <w:rsid w:val="0088144E"/>
    <w:rsid w:val="00882901"/>
    <w:rsid w:val="008849A3"/>
    <w:rsid w:val="00884A62"/>
    <w:rsid w:val="00885C7A"/>
    <w:rsid w:val="0089273A"/>
    <w:rsid w:val="0089400E"/>
    <w:rsid w:val="008955E2"/>
    <w:rsid w:val="008962B1"/>
    <w:rsid w:val="00896487"/>
    <w:rsid w:val="008973C1"/>
    <w:rsid w:val="008A14D4"/>
    <w:rsid w:val="008A4839"/>
    <w:rsid w:val="008A4E11"/>
    <w:rsid w:val="008A7125"/>
    <w:rsid w:val="008B0694"/>
    <w:rsid w:val="008B0AA0"/>
    <w:rsid w:val="008B3756"/>
    <w:rsid w:val="008B5758"/>
    <w:rsid w:val="008C0F5A"/>
    <w:rsid w:val="008C39B3"/>
    <w:rsid w:val="008C645B"/>
    <w:rsid w:val="008D0634"/>
    <w:rsid w:val="008D6BD3"/>
    <w:rsid w:val="008D6D3B"/>
    <w:rsid w:val="008D7031"/>
    <w:rsid w:val="008E405F"/>
    <w:rsid w:val="008E5D90"/>
    <w:rsid w:val="008F4142"/>
    <w:rsid w:val="008F43CB"/>
    <w:rsid w:val="008F5009"/>
    <w:rsid w:val="008F6C4A"/>
    <w:rsid w:val="008F70A9"/>
    <w:rsid w:val="008F70DF"/>
    <w:rsid w:val="00900340"/>
    <w:rsid w:val="00901D31"/>
    <w:rsid w:val="009043FA"/>
    <w:rsid w:val="009055DE"/>
    <w:rsid w:val="00907225"/>
    <w:rsid w:val="0091411D"/>
    <w:rsid w:val="00914ACD"/>
    <w:rsid w:val="0091599A"/>
    <w:rsid w:val="00920BAA"/>
    <w:rsid w:val="009215C9"/>
    <w:rsid w:val="00924446"/>
    <w:rsid w:val="00924D53"/>
    <w:rsid w:val="00927E2E"/>
    <w:rsid w:val="0093089D"/>
    <w:rsid w:val="009317ED"/>
    <w:rsid w:val="009361A3"/>
    <w:rsid w:val="009422E7"/>
    <w:rsid w:val="00943145"/>
    <w:rsid w:val="0094372C"/>
    <w:rsid w:val="00950793"/>
    <w:rsid w:val="00957225"/>
    <w:rsid w:val="00957909"/>
    <w:rsid w:val="0096120F"/>
    <w:rsid w:val="00966A51"/>
    <w:rsid w:val="00970909"/>
    <w:rsid w:val="00971FE1"/>
    <w:rsid w:val="0098239A"/>
    <w:rsid w:val="00984D3D"/>
    <w:rsid w:val="009854D7"/>
    <w:rsid w:val="009869BB"/>
    <w:rsid w:val="00992F97"/>
    <w:rsid w:val="00993769"/>
    <w:rsid w:val="009940DE"/>
    <w:rsid w:val="00995931"/>
    <w:rsid w:val="009A0335"/>
    <w:rsid w:val="009A0C4B"/>
    <w:rsid w:val="009A5102"/>
    <w:rsid w:val="009A69E9"/>
    <w:rsid w:val="009B1812"/>
    <w:rsid w:val="009B382F"/>
    <w:rsid w:val="009B5B0C"/>
    <w:rsid w:val="009C09FF"/>
    <w:rsid w:val="009C4904"/>
    <w:rsid w:val="009C4BAD"/>
    <w:rsid w:val="009C5CFC"/>
    <w:rsid w:val="009D06FE"/>
    <w:rsid w:val="009D0AEA"/>
    <w:rsid w:val="009D11A1"/>
    <w:rsid w:val="009D27A9"/>
    <w:rsid w:val="009D718F"/>
    <w:rsid w:val="009D719C"/>
    <w:rsid w:val="009D790D"/>
    <w:rsid w:val="009D7EA2"/>
    <w:rsid w:val="009E0932"/>
    <w:rsid w:val="009E0AD3"/>
    <w:rsid w:val="009E2301"/>
    <w:rsid w:val="009E3004"/>
    <w:rsid w:val="009E361B"/>
    <w:rsid w:val="009E6DCC"/>
    <w:rsid w:val="009E7936"/>
    <w:rsid w:val="009F22E7"/>
    <w:rsid w:val="009F6C01"/>
    <w:rsid w:val="00A03495"/>
    <w:rsid w:val="00A04324"/>
    <w:rsid w:val="00A04C90"/>
    <w:rsid w:val="00A1323C"/>
    <w:rsid w:val="00A13F59"/>
    <w:rsid w:val="00A144C4"/>
    <w:rsid w:val="00A14BA4"/>
    <w:rsid w:val="00A14D55"/>
    <w:rsid w:val="00A248EF"/>
    <w:rsid w:val="00A32A40"/>
    <w:rsid w:val="00A32B47"/>
    <w:rsid w:val="00A347B8"/>
    <w:rsid w:val="00A37D38"/>
    <w:rsid w:val="00A41CB1"/>
    <w:rsid w:val="00A43D68"/>
    <w:rsid w:val="00A468D7"/>
    <w:rsid w:val="00A50156"/>
    <w:rsid w:val="00A501D1"/>
    <w:rsid w:val="00A5667F"/>
    <w:rsid w:val="00A56E74"/>
    <w:rsid w:val="00A61997"/>
    <w:rsid w:val="00A623CD"/>
    <w:rsid w:val="00A64859"/>
    <w:rsid w:val="00A66835"/>
    <w:rsid w:val="00A66C6D"/>
    <w:rsid w:val="00A72912"/>
    <w:rsid w:val="00A80FAE"/>
    <w:rsid w:val="00A90956"/>
    <w:rsid w:val="00A92245"/>
    <w:rsid w:val="00A93322"/>
    <w:rsid w:val="00AA664C"/>
    <w:rsid w:val="00AB202A"/>
    <w:rsid w:val="00AB5127"/>
    <w:rsid w:val="00AC42DE"/>
    <w:rsid w:val="00AC48C8"/>
    <w:rsid w:val="00AC70B4"/>
    <w:rsid w:val="00AD101E"/>
    <w:rsid w:val="00AD31AD"/>
    <w:rsid w:val="00AD3DA0"/>
    <w:rsid w:val="00AD756E"/>
    <w:rsid w:val="00AE0D2E"/>
    <w:rsid w:val="00AE16EC"/>
    <w:rsid w:val="00AE1AC1"/>
    <w:rsid w:val="00AF0616"/>
    <w:rsid w:val="00AF1AE0"/>
    <w:rsid w:val="00AF2440"/>
    <w:rsid w:val="00AF4184"/>
    <w:rsid w:val="00AF680E"/>
    <w:rsid w:val="00B00E8C"/>
    <w:rsid w:val="00B012B6"/>
    <w:rsid w:val="00B02D0B"/>
    <w:rsid w:val="00B0586E"/>
    <w:rsid w:val="00B13F3D"/>
    <w:rsid w:val="00B14C55"/>
    <w:rsid w:val="00B14F81"/>
    <w:rsid w:val="00B16E35"/>
    <w:rsid w:val="00B2168D"/>
    <w:rsid w:val="00B22A97"/>
    <w:rsid w:val="00B24AA5"/>
    <w:rsid w:val="00B32D24"/>
    <w:rsid w:val="00B34C01"/>
    <w:rsid w:val="00B36AB0"/>
    <w:rsid w:val="00B44A21"/>
    <w:rsid w:val="00B45B76"/>
    <w:rsid w:val="00B4672F"/>
    <w:rsid w:val="00B47D65"/>
    <w:rsid w:val="00B524A0"/>
    <w:rsid w:val="00B541E4"/>
    <w:rsid w:val="00B570E9"/>
    <w:rsid w:val="00B61A86"/>
    <w:rsid w:val="00B620F0"/>
    <w:rsid w:val="00B708E8"/>
    <w:rsid w:val="00B72D2F"/>
    <w:rsid w:val="00B72FCD"/>
    <w:rsid w:val="00B745B3"/>
    <w:rsid w:val="00B74735"/>
    <w:rsid w:val="00B747ED"/>
    <w:rsid w:val="00B76592"/>
    <w:rsid w:val="00B84875"/>
    <w:rsid w:val="00B85040"/>
    <w:rsid w:val="00B867FE"/>
    <w:rsid w:val="00B902AE"/>
    <w:rsid w:val="00B91FF2"/>
    <w:rsid w:val="00B93400"/>
    <w:rsid w:val="00BA36E4"/>
    <w:rsid w:val="00BA3D5A"/>
    <w:rsid w:val="00BA6B12"/>
    <w:rsid w:val="00BB2CE1"/>
    <w:rsid w:val="00BB3CEE"/>
    <w:rsid w:val="00BB6EE5"/>
    <w:rsid w:val="00BC1046"/>
    <w:rsid w:val="00BC212D"/>
    <w:rsid w:val="00BC3142"/>
    <w:rsid w:val="00BC371A"/>
    <w:rsid w:val="00BC37B4"/>
    <w:rsid w:val="00BC7209"/>
    <w:rsid w:val="00BC7E5E"/>
    <w:rsid w:val="00BD03B1"/>
    <w:rsid w:val="00BD2250"/>
    <w:rsid w:val="00BD32C1"/>
    <w:rsid w:val="00BE185D"/>
    <w:rsid w:val="00BE20C8"/>
    <w:rsid w:val="00BE226C"/>
    <w:rsid w:val="00BE6104"/>
    <w:rsid w:val="00BE7B3C"/>
    <w:rsid w:val="00BF0007"/>
    <w:rsid w:val="00BF4F83"/>
    <w:rsid w:val="00BF7E9A"/>
    <w:rsid w:val="00C01C55"/>
    <w:rsid w:val="00C0211D"/>
    <w:rsid w:val="00C11465"/>
    <w:rsid w:val="00C12C57"/>
    <w:rsid w:val="00C14F2E"/>
    <w:rsid w:val="00C15229"/>
    <w:rsid w:val="00C152BA"/>
    <w:rsid w:val="00C24181"/>
    <w:rsid w:val="00C27860"/>
    <w:rsid w:val="00C3702E"/>
    <w:rsid w:val="00C378A7"/>
    <w:rsid w:val="00C4282D"/>
    <w:rsid w:val="00C4472F"/>
    <w:rsid w:val="00C44A19"/>
    <w:rsid w:val="00C457AA"/>
    <w:rsid w:val="00C46F92"/>
    <w:rsid w:val="00C5621A"/>
    <w:rsid w:val="00C66ADC"/>
    <w:rsid w:val="00C671DE"/>
    <w:rsid w:val="00C71DD2"/>
    <w:rsid w:val="00C72833"/>
    <w:rsid w:val="00C76CD6"/>
    <w:rsid w:val="00C77B91"/>
    <w:rsid w:val="00C8205E"/>
    <w:rsid w:val="00C82829"/>
    <w:rsid w:val="00C83014"/>
    <w:rsid w:val="00C83F25"/>
    <w:rsid w:val="00C84924"/>
    <w:rsid w:val="00C94279"/>
    <w:rsid w:val="00C95933"/>
    <w:rsid w:val="00C978D6"/>
    <w:rsid w:val="00CA10EF"/>
    <w:rsid w:val="00CA27FE"/>
    <w:rsid w:val="00CA4845"/>
    <w:rsid w:val="00CA5351"/>
    <w:rsid w:val="00CB203D"/>
    <w:rsid w:val="00CB22FB"/>
    <w:rsid w:val="00CB7F07"/>
    <w:rsid w:val="00CC035D"/>
    <w:rsid w:val="00CC0785"/>
    <w:rsid w:val="00CC2DDA"/>
    <w:rsid w:val="00CC38E7"/>
    <w:rsid w:val="00CD4C42"/>
    <w:rsid w:val="00CE0FA5"/>
    <w:rsid w:val="00CE4AD4"/>
    <w:rsid w:val="00CF0F7F"/>
    <w:rsid w:val="00CF7314"/>
    <w:rsid w:val="00CF7F4B"/>
    <w:rsid w:val="00D072A5"/>
    <w:rsid w:val="00D11445"/>
    <w:rsid w:val="00D1765D"/>
    <w:rsid w:val="00D2241D"/>
    <w:rsid w:val="00D237C3"/>
    <w:rsid w:val="00D26064"/>
    <w:rsid w:val="00D3659A"/>
    <w:rsid w:val="00D41F74"/>
    <w:rsid w:val="00D42054"/>
    <w:rsid w:val="00D446F4"/>
    <w:rsid w:val="00D44FA6"/>
    <w:rsid w:val="00D5445C"/>
    <w:rsid w:val="00D600BA"/>
    <w:rsid w:val="00D603D1"/>
    <w:rsid w:val="00D62146"/>
    <w:rsid w:val="00D65355"/>
    <w:rsid w:val="00D66F7C"/>
    <w:rsid w:val="00D670B2"/>
    <w:rsid w:val="00D67AFB"/>
    <w:rsid w:val="00D763CF"/>
    <w:rsid w:val="00D83BD7"/>
    <w:rsid w:val="00D873DA"/>
    <w:rsid w:val="00D91EFA"/>
    <w:rsid w:val="00D9307B"/>
    <w:rsid w:val="00D947F2"/>
    <w:rsid w:val="00D97170"/>
    <w:rsid w:val="00DA331B"/>
    <w:rsid w:val="00DA3F2A"/>
    <w:rsid w:val="00DA6323"/>
    <w:rsid w:val="00DA6E6D"/>
    <w:rsid w:val="00DA7527"/>
    <w:rsid w:val="00DB4661"/>
    <w:rsid w:val="00DB7F8E"/>
    <w:rsid w:val="00DC5879"/>
    <w:rsid w:val="00DD76BD"/>
    <w:rsid w:val="00DE34DD"/>
    <w:rsid w:val="00DE672D"/>
    <w:rsid w:val="00DE7893"/>
    <w:rsid w:val="00DF2116"/>
    <w:rsid w:val="00DF2449"/>
    <w:rsid w:val="00DF27A9"/>
    <w:rsid w:val="00DF4C98"/>
    <w:rsid w:val="00DF5865"/>
    <w:rsid w:val="00E00381"/>
    <w:rsid w:val="00E00577"/>
    <w:rsid w:val="00E01B5E"/>
    <w:rsid w:val="00E03409"/>
    <w:rsid w:val="00E05371"/>
    <w:rsid w:val="00E13AD0"/>
    <w:rsid w:val="00E1520A"/>
    <w:rsid w:val="00E1548E"/>
    <w:rsid w:val="00E1694E"/>
    <w:rsid w:val="00E17B73"/>
    <w:rsid w:val="00E242A3"/>
    <w:rsid w:val="00E25853"/>
    <w:rsid w:val="00E26AF0"/>
    <w:rsid w:val="00E30821"/>
    <w:rsid w:val="00E313BA"/>
    <w:rsid w:val="00E3158A"/>
    <w:rsid w:val="00E31BBA"/>
    <w:rsid w:val="00E3550B"/>
    <w:rsid w:val="00E37B24"/>
    <w:rsid w:val="00E41D09"/>
    <w:rsid w:val="00E4243B"/>
    <w:rsid w:val="00E44DC0"/>
    <w:rsid w:val="00E45D7F"/>
    <w:rsid w:val="00E466BD"/>
    <w:rsid w:val="00E500B3"/>
    <w:rsid w:val="00E50601"/>
    <w:rsid w:val="00E60530"/>
    <w:rsid w:val="00E608D6"/>
    <w:rsid w:val="00E60999"/>
    <w:rsid w:val="00E61B35"/>
    <w:rsid w:val="00E6430F"/>
    <w:rsid w:val="00E6496E"/>
    <w:rsid w:val="00E65A10"/>
    <w:rsid w:val="00E712A9"/>
    <w:rsid w:val="00E724AA"/>
    <w:rsid w:val="00E75C2A"/>
    <w:rsid w:val="00E75E8D"/>
    <w:rsid w:val="00E810EA"/>
    <w:rsid w:val="00E8185C"/>
    <w:rsid w:val="00E819BC"/>
    <w:rsid w:val="00E828C0"/>
    <w:rsid w:val="00E84518"/>
    <w:rsid w:val="00E856C4"/>
    <w:rsid w:val="00E8617D"/>
    <w:rsid w:val="00E861CD"/>
    <w:rsid w:val="00E919FA"/>
    <w:rsid w:val="00E92C34"/>
    <w:rsid w:val="00E92FDB"/>
    <w:rsid w:val="00E944A6"/>
    <w:rsid w:val="00E949F4"/>
    <w:rsid w:val="00E95576"/>
    <w:rsid w:val="00E96748"/>
    <w:rsid w:val="00E970AB"/>
    <w:rsid w:val="00EA0672"/>
    <w:rsid w:val="00EA1965"/>
    <w:rsid w:val="00EA362A"/>
    <w:rsid w:val="00EA3CCE"/>
    <w:rsid w:val="00EA4D78"/>
    <w:rsid w:val="00EA656A"/>
    <w:rsid w:val="00EB23AB"/>
    <w:rsid w:val="00EB27A3"/>
    <w:rsid w:val="00EB37AA"/>
    <w:rsid w:val="00EB48AC"/>
    <w:rsid w:val="00EB547A"/>
    <w:rsid w:val="00EC0F22"/>
    <w:rsid w:val="00EC3C74"/>
    <w:rsid w:val="00EC52E1"/>
    <w:rsid w:val="00EC5700"/>
    <w:rsid w:val="00EC7214"/>
    <w:rsid w:val="00ED0255"/>
    <w:rsid w:val="00ED053A"/>
    <w:rsid w:val="00ED0A31"/>
    <w:rsid w:val="00ED176F"/>
    <w:rsid w:val="00ED5D9F"/>
    <w:rsid w:val="00EE0A1F"/>
    <w:rsid w:val="00EE25EF"/>
    <w:rsid w:val="00EE2C5E"/>
    <w:rsid w:val="00EE6FDD"/>
    <w:rsid w:val="00EF0FAA"/>
    <w:rsid w:val="00EF6576"/>
    <w:rsid w:val="00F01066"/>
    <w:rsid w:val="00F02885"/>
    <w:rsid w:val="00F03EAD"/>
    <w:rsid w:val="00F05D7F"/>
    <w:rsid w:val="00F06DD2"/>
    <w:rsid w:val="00F07AA3"/>
    <w:rsid w:val="00F113A1"/>
    <w:rsid w:val="00F16B57"/>
    <w:rsid w:val="00F21A9F"/>
    <w:rsid w:val="00F248E0"/>
    <w:rsid w:val="00F26D40"/>
    <w:rsid w:val="00F30341"/>
    <w:rsid w:val="00F3195F"/>
    <w:rsid w:val="00F32C1A"/>
    <w:rsid w:val="00F35496"/>
    <w:rsid w:val="00F367AF"/>
    <w:rsid w:val="00F40452"/>
    <w:rsid w:val="00F454F2"/>
    <w:rsid w:val="00F529A3"/>
    <w:rsid w:val="00F53A6F"/>
    <w:rsid w:val="00F55C86"/>
    <w:rsid w:val="00F55E71"/>
    <w:rsid w:val="00F61C1B"/>
    <w:rsid w:val="00F61C90"/>
    <w:rsid w:val="00F63608"/>
    <w:rsid w:val="00F643D1"/>
    <w:rsid w:val="00F65133"/>
    <w:rsid w:val="00F673C5"/>
    <w:rsid w:val="00F67B00"/>
    <w:rsid w:val="00F7232A"/>
    <w:rsid w:val="00F73140"/>
    <w:rsid w:val="00F74B8C"/>
    <w:rsid w:val="00F80F4C"/>
    <w:rsid w:val="00F80FC2"/>
    <w:rsid w:val="00F83078"/>
    <w:rsid w:val="00F90AA3"/>
    <w:rsid w:val="00FA17D2"/>
    <w:rsid w:val="00FB3350"/>
    <w:rsid w:val="00FB747B"/>
    <w:rsid w:val="00FB784E"/>
    <w:rsid w:val="00FC012E"/>
    <w:rsid w:val="00FC2A57"/>
    <w:rsid w:val="00FC5C05"/>
    <w:rsid w:val="00FC6592"/>
    <w:rsid w:val="00FC6F47"/>
    <w:rsid w:val="00FC72DD"/>
    <w:rsid w:val="00FD0F50"/>
    <w:rsid w:val="00FD23C2"/>
    <w:rsid w:val="00FD6190"/>
    <w:rsid w:val="00FE0623"/>
    <w:rsid w:val="00FE2EC6"/>
    <w:rsid w:val="00FE4C94"/>
    <w:rsid w:val="00FF04E5"/>
    <w:rsid w:val="00FF4843"/>
    <w:rsid w:val="00FF5B39"/>
    <w:rsid w:val="73297E24"/>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qFormat="1" w:unhideWhenUsed="0" w:uiPriority="0" w:semiHidden="0"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nhideWhenUsed="0" w:uiPriority="0" w:semiHidden="0" w:name="Salutation"/>
    <w:lsdException w:uiPriority="99" w:name="Date"/>
    <w:lsdException w:uiPriority="99" w:name="Body Text First Indent"/>
    <w:lsdException w:uiPriority="99" w:name="Body Text First Indent 2"/>
    <w:lsdException w:uiPriority="99" w:name="Note Heading"/>
    <w:lsdException w:qFormat="1" w:uiPriority="99" w:name="Body Text 2"/>
    <w:lsdException w:unhideWhenUsed="0" w:uiPriority="0" w:semiHidden="0" w:name="Body Text 3"/>
    <w:lsdException w:qFormat="1" w:unhideWhenUsed="0" w:uiPriority="0" w:semiHidden="0" w:name="Body Text Indent 2"/>
    <w:lsdException w:uiPriority="99" w:semiHidden="0"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nhideWhenUsed="0" w:uiPriority="99" w:semiHidden="0" w:name="Table Theme"/>
    <w:lsdException w:qFormat="1" w:unhideWhenUsed="0" w:uiPriority="99" w:name="Placeholder Text"/>
    <w:lsdException w:qFormat="1" w:unhideWhenUsed="0" w:uiPriority="1" w:semiHidden="0" w:name="No Spacing"/>
    <w:lsdException w:qFormat="1" w:unhideWhenUsed="0" w:uiPriority="0"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s-CO" w:eastAsia="en-US" w:bidi="ar-SA"/>
    </w:rPr>
  </w:style>
  <w:style w:type="paragraph" w:styleId="2">
    <w:name w:val="heading 1"/>
    <w:basedOn w:val="1"/>
    <w:next w:val="1"/>
    <w:link w:val="44"/>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45"/>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46"/>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77"/>
    <w:semiHidden/>
    <w:unhideWhenUsed/>
    <w:qFormat/>
    <w:uiPriority w:val="9"/>
    <w:pPr>
      <w:keepNext/>
      <w:tabs>
        <w:tab w:val="left" w:pos="2880"/>
      </w:tabs>
      <w:spacing w:before="240" w:after="60" w:line="240" w:lineRule="auto"/>
      <w:ind w:left="864" w:hanging="864"/>
      <w:outlineLvl w:val="3"/>
    </w:pPr>
    <w:rPr>
      <w:rFonts w:eastAsiaTheme="minorEastAsia"/>
      <w:b/>
      <w:bCs/>
      <w:sz w:val="28"/>
      <w:szCs w:val="28"/>
      <w:lang w:val="en-US"/>
    </w:rPr>
  </w:style>
  <w:style w:type="paragraph" w:styleId="6">
    <w:name w:val="heading 5"/>
    <w:basedOn w:val="1"/>
    <w:next w:val="1"/>
    <w:link w:val="78"/>
    <w:semiHidden/>
    <w:unhideWhenUsed/>
    <w:qFormat/>
    <w:uiPriority w:val="9"/>
    <w:pPr>
      <w:tabs>
        <w:tab w:val="left" w:pos="3600"/>
      </w:tabs>
      <w:spacing w:before="240" w:after="60" w:line="240" w:lineRule="auto"/>
      <w:ind w:left="1008" w:hanging="1008"/>
      <w:outlineLvl w:val="4"/>
    </w:pPr>
    <w:rPr>
      <w:rFonts w:eastAsiaTheme="minorEastAsia"/>
      <w:b/>
      <w:bCs/>
      <w:i/>
      <w:iCs/>
      <w:sz w:val="26"/>
      <w:szCs w:val="26"/>
      <w:lang w:val="en-US"/>
    </w:rPr>
  </w:style>
  <w:style w:type="paragraph" w:styleId="7">
    <w:name w:val="heading 6"/>
    <w:basedOn w:val="1"/>
    <w:next w:val="1"/>
    <w:link w:val="79"/>
    <w:qFormat/>
    <w:uiPriority w:val="0"/>
    <w:pPr>
      <w:tabs>
        <w:tab w:val="left" w:pos="4320"/>
      </w:tabs>
      <w:spacing w:before="240" w:after="60" w:line="240" w:lineRule="auto"/>
      <w:ind w:left="1152" w:hanging="1152"/>
      <w:outlineLvl w:val="5"/>
    </w:pPr>
    <w:rPr>
      <w:rFonts w:ascii="Times New Roman" w:hAnsi="Times New Roman" w:eastAsia="Times New Roman" w:cs="Times New Roman"/>
      <w:b/>
      <w:bCs/>
      <w:lang w:val="en-US"/>
    </w:rPr>
  </w:style>
  <w:style w:type="paragraph" w:styleId="8">
    <w:name w:val="heading 7"/>
    <w:basedOn w:val="1"/>
    <w:next w:val="1"/>
    <w:link w:val="80"/>
    <w:semiHidden/>
    <w:unhideWhenUsed/>
    <w:qFormat/>
    <w:uiPriority w:val="9"/>
    <w:pPr>
      <w:keepNext/>
      <w:keepLines/>
      <w:spacing w:before="40" w:after="0"/>
      <w:ind w:left="1296" w:hanging="1296"/>
      <w:outlineLvl w:val="6"/>
    </w:pPr>
    <w:rPr>
      <w:rFonts w:asciiTheme="majorHAnsi" w:hAnsiTheme="majorHAnsi" w:eastAsiaTheme="majorEastAsia" w:cstheme="majorBidi"/>
      <w:i/>
      <w:iCs/>
      <w:color w:val="254061" w:themeColor="accent1" w:themeShade="80"/>
    </w:rPr>
  </w:style>
  <w:style w:type="paragraph" w:styleId="9">
    <w:name w:val="heading 8"/>
    <w:basedOn w:val="1"/>
    <w:next w:val="1"/>
    <w:link w:val="81"/>
    <w:semiHidden/>
    <w:unhideWhenUsed/>
    <w:qFormat/>
    <w:uiPriority w:val="9"/>
    <w:pPr>
      <w:tabs>
        <w:tab w:val="left" w:pos="5760"/>
      </w:tabs>
      <w:spacing w:before="240" w:after="60" w:line="240" w:lineRule="auto"/>
      <w:ind w:left="1440" w:hanging="1440"/>
      <w:outlineLvl w:val="7"/>
    </w:pPr>
    <w:rPr>
      <w:rFonts w:eastAsiaTheme="minorEastAsia"/>
      <w:i/>
      <w:iCs/>
      <w:sz w:val="24"/>
      <w:szCs w:val="24"/>
      <w:lang w:val="en-US"/>
    </w:rPr>
  </w:style>
  <w:style w:type="paragraph" w:styleId="10">
    <w:name w:val="heading 9"/>
    <w:basedOn w:val="1"/>
    <w:next w:val="1"/>
    <w:link w:val="82"/>
    <w:semiHidden/>
    <w:unhideWhenUsed/>
    <w:qFormat/>
    <w:uiPriority w:val="9"/>
    <w:pPr>
      <w:tabs>
        <w:tab w:val="left" w:pos="6480"/>
      </w:tabs>
      <w:spacing w:before="240" w:after="60" w:line="240" w:lineRule="auto"/>
      <w:ind w:left="1584" w:hanging="1584"/>
      <w:outlineLvl w:val="8"/>
    </w:pPr>
    <w:rPr>
      <w:rFonts w:asciiTheme="majorHAnsi" w:hAnsiTheme="majorHAnsi" w:eastAsiaTheme="majorEastAsia" w:cstheme="majorBidi"/>
      <w:lang w:val="en-US"/>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endnote reference"/>
    <w:semiHidden/>
    <w:unhideWhenUsed/>
    <w:uiPriority w:val="99"/>
    <w:rPr>
      <w:vertAlign w:val="superscript"/>
    </w:rPr>
  </w:style>
  <w:style w:type="character" w:styleId="14">
    <w:name w:val="annotation reference"/>
    <w:basedOn w:val="11"/>
    <w:semiHidden/>
    <w:unhideWhenUsed/>
    <w:qFormat/>
    <w:uiPriority w:val="99"/>
    <w:rPr>
      <w:sz w:val="16"/>
      <w:szCs w:val="16"/>
    </w:rPr>
  </w:style>
  <w:style w:type="character" w:styleId="15">
    <w:name w:val="footnote reference"/>
    <w:basedOn w:val="11"/>
    <w:unhideWhenUsed/>
    <w:qFormat/>
    <w:uiPriority w:val="99"/>
    <w:rPr>
      <w:vertAlign w:val="superscript"/>
    </w:rPr>
  </w:style>
  <w:style w:type="character" w:styleId="16">
    <w:name w:val="Emphasis"/>
    <w:basedOn w:val="11"/>
    <w:qFormat/>
    <w:uiPriority w:val="0"/>
    <w:rPr>
      <w:b/>
      <w:bCs/>
    </w:rPr>
  </w:style>
  <w:style w:type="character" w:styleId="17">
    <w:name w:val="Hyperlink"/>
    <w:unhideWhenUsed/>
    <w:qFormat/>
    <w:uiPriority w:val="99"/>
    <w:rPr>
      <w:color w:val="0000FF"/>
      <w:u w:val="single"/>
    </w:rPr>
  </w:style>
  <w:style w:type="character" w:styleId="18">
    <w:name w:val="page number"/>
    <w:basedOn w:val="11"/>
    <w:uiPriority w:val="0"/>
  </w:style>
  <w:style w:type="character" w:styleId="19">
    <w:name w:val="Strong"/>
    <w:basedOn w:val="11"/>
    <w:qFormat/>
    <w:uiPriority w:val="0"/>
    <w:rPr>
      <w:b/>
      <w:bCs/>
    </w:rPr>
  </w:style>
  <w:style w:type="paragraph" w:styleId="20">
    <w:name w:val="toc 3"/>
    <w:basedOn w:val="1"/>
    <w:next w:val="1"/>
    <w:autoRedefine/>
    <w:unhideWhenUsed/>
    <w:qFormat/>
    <w:uiPriority w:val="39"/>
    <w:pPr>
      <w:spacing w:after="100"/>
      <w:ind w:left="440"/>
    </w:pPr>
  </w:style>
  <w:style w:type="paragraph" w:styleId="21">
    <w:name w:val="footnote text"/>
    <w:basedOn w:val="1"/>
    <w:link w:val="56"/>
    <w:unhideWhenUsed/>
    <w:qFormat/>
    <w:uiPriority w:val="99"/>
    <w:pPr>
      <w:spacing w:after="0" w:line="240" w:lineRule="auto"/>
    </w:pPr>
    <w:rPr>
      <w:sz w:val="20"/>
      <w:szCs w:val="20"/>
    </w:rPr>
  </w:style>
  <w:style w:type="paragraph" w:styleId="22">
    <w:name w:val="toc 1"/>
    <w:basedOn w:val="1"/>
    <w:next w:val="1"/>
    <w:autoRedefine/>
    <w:unhideWhenUsed/>
    <w:qFormat/>
    <w:uiPriority w:val="39"/>
    <w:pPr>
      <w:tabs>
        <w:tab w:val="right" w:leader="dot" w:pos="8828"/>
      </w:tabs>
      <w:spacing w:after="100"/>
      <w:ind w:firstLine="284"/>
    </w:pPr>
    <w:rPr>
      <w:rFonts w:ascii="Arial" w:hAnsi="Arial" w:cs="Arial"/>
    </w:rPr>
  </w:style>
  <w:style w:type="paragraph" w:styleId="23">
    <w:name w:val="toc 2"/>
    <w:basedOn w:val="1"/>
    <w:next w:val="1"/>
    <w:autoRedefine/>
    <w:unhideWhenUsed/>
    <w:qFormat/>
    <w:uiPriority w:val="39"/>
    <w:pPr>
      <w:spacing w:after="100"/>
      <w:ind w:left="220"/>
    </w:pPr>
  </w:style>
  <w:style w:type="paragraph" w:styleId="24">
    <w:name w:val="endnote text"/>
    <w:basedOn w:val="1"/>
    <w:link w:val="126"/>
    <w:semiHidden/>
    <w:unhideWhenUsed/>
    <w:uiPriority w:val="99"/>
    <w:pPr>
      <w:spacing w:after="0" w:line="240" w:lineRule="auto"/>
    </w:pPr>
    <w:rPr>
      <w:rFonts w:ascii="Calibri" w:hAnsi="Calibri" w:eastAsia="Calibri" w:cs="Times New Roman"/>
      <w:sz w:val="20"/>
      <w:szCs w:val="20"/>
    </w:rPr>
  </w:style>
  <w:style w:type="paragraph" w:styleId="25">
    <w:name w:val="annotation subject"/>
    <w:basedOn w:val="26"/>
    <w:next w:val="26"/>
    <w:link w:val="89"/>
    <w:semiHidden/>
    <w:unhideWhenUsed/>
    <w:qFormat/>
    <w:uiPriority w:val="99"/>
    <w:rPr>
      <w:b/>
      <w:bCs/>
    </w:rPr>
  </w:style>
  <w:style w:type="paragraph" w:styleId="26">
    <w:name w:val="annotation text"/>
    <w:basedOn w:val="1"/>
    <w:link w:val="71"/>
    <w:unhideWhenUsed/>
    <w:qFormat/>
    <w:uiPriority w:val="99"/>
    <w:pPr>
      <w:spacing w:line="240" w:lineRule="auto"/>
    </w:pPr>
    <w:rPr>
      <w:sz w:val="20"/>
      <w:szCs w:val="20"/>
    </w:rPr>
  </w:style>
  <w:style w:type="paragraph" w:styleId="27">
    <w:name w:val="Balloon Text"/>
    <w:basedOn w:val="1"/>
    <w:link w:val="51"/>
    <w:semiHidden/>
    <w:unhideWhenUsed/>
    <w:qFormat/>
    <w:uiPriority w:val="99"/>
    <w:pPr>
      <w:spacing w:after="0" w:line="240" w:lineRule="auto"/>
    </w:pPr>
    <w:rPr>
      <w:rFonts w:ascii="Tahoma" w:hAnsi="Tahoma" w:cs="Tahoma"/>
      <w:sz w:val="16"/>
      <w:szCs w:val="16"/>
    </w:rPr>
  </w:style>
  <w:style w:type="paragraph" w:styleId="28">
    <w:name w:val="Body Text 2"/>
    <w:basedOn w:val="1"/>
    <w:link w:val="58"/>
    <w:semiHidden/>
    <w:unhideWhenUsed/>
    <w:qFormat/>
    <w:uiPriority w:val="99"/>
    <w:pPr>
      <w:widowControl w:val="0"/>
      <w:tabs>
        <w:tab w:val="left" w:pos="0"/>
      </w:tabs>
      <w:suppressAutoHyphens/>
      <w:overflowPunct w:val="0"/>
      <w:autoSpaceDE w:val="0"/>
      <w:autoSpaceDN w:val="0"/>
      <w:adjustRightInd w:val="0"/>
      <w:spacing w:after="0" w:line="240" w:lineRule="auto"/>
      <w:jc w:val="center"/>
    </w:pPr>
    <w:rPr>
      <w:rFonts w:ascii="Arial" w:hAnsi="Arial" w:eastAsia="Times New Roman" w:cs="Times New Roman"/>
      <w:b/>
      <w:spacing w:val="-3"/>
      <w:sz w:val="24"/>
      <w:szCs w:val="20"/>
      <w:lang w:eastAsia="es-ES"/>
    </w:rPr>
  </w:style>
  <w:style w:type="paragraph" w:styleId="29">
    <w:name w:val="header"/>
    <w:basedOn w:val="1"/>
    <w:link w:val="47"/>
    <w:unhideWhenUsed/>
    <w:qFormat/>
    <w:uiPriority w:val="99"/>
    <w:pPr>
      <w:tabs>
        <w:tab w:val="center" w:pos="4419"/>
        <w:tab w:val="right" w:pos="8838"/>
      </w:tabs>
      <w:spacing w:after="0" w:line="240" w:lineRule="auto"/>
    </w:pPr>
  </w:style>
  <w:style w:type="paragraph" w:styleId="30">
    <w:name w:val="HTML Preformatted"/>
    <w:basedOn w:val="1"/>
    <w:link w:val="67"/>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hAnsi="Verdana" w:eastAsia="SimSun" w:cs="Courier New"/>
      <w:color w:val="222222"/>
      <w:sz w:val="15"/>
      <w:szCs w:val="15"/>
      <w:lang w:val="es-ES" w:eastAsia="zh-CN"/>
    </w:rPr>
  </w:style>
  <w:style w:type="paragraph" w:styleId="31">
    <w:name w:val="Body Text Indent 3"/>
    <w:basedOn w:val="1"/>
    <w:link w:val="132"/>
    <w:unhideWhenUsed/>
    <w:uiPriority w:val="99"/>
    <w:pPr>
      <w:spacing w:after="120" w:line="240" w:lineRule="auto"/>
      <w:ind w:left="283"/>
    </w:pPr>
    <w:rPr>
      <w:rFonts w:ascii="Arial" w:hAnsi="Arial" w:eastAsia="Times New Roman" w:cs="Times New Roman"/>
      <w:bCs/>
      <w:color w:val="000000"/>
      <w:sz w:val="16"/>
      <w:szCs w:val="16"/>
      <w:lang w:val="es-ES" w:eastAsia="es-ES"/>
    </w:rPr>
  </w:style>
  <w:style w:type="paragraph" w:styleId="32">
    <w:name w:val="Body Text Indent"/>
    <w:basedOn w:val="1"/>
    <w:link w:val="61"/>
    <w:semiHidden/>
    <w:unhideWhenUsed/>
    <w:qFormat/>
    <w:uiPriority w:val="99"/>
    <w:pPr>
      <w:spacing w:after="120"/>
      <w:ind w:left="283"/>
    </w:pPr>
  </w:style>
  <w:style w:type="paragraph" w:styleId="33">
    <w:name w:val="List Bullet 3"/>
    <w:basedOn w:val="1"/>
    <w:autoRedefine/>
    <w:qFormat/>
    <w:uiPriority w:val="0"/>
    <w:pPr>
      <w:suppressAutoHyphens/>
      <w:spacing w:after="0" w:line="240" w:lineRule="auto"/>
      <w:ind w:left="708"/>
      <w:jc w:val="both"/>
    </w:pPr>
    <w:rPr>
      <w:rFonts w:ascii="Arial" w:hAnsi="Arial" w:eastAsia="Times New Roman" w:cs="Arial"/>
      <w:lang w:eastAsia="es-ES"/>
    </w:rPr>
  </w:style>
  <w:style w:type="paragraph" w:styleId="34">
    <w:name w:val="Normal (Web)"/>
    <w:basedOn w:val="1"/>
    <w:qFormat/>
    <w:uiPriority w:val="99"/>
    <w:pPr>
      <w:spacing w:before="100" w:beforeAutospacing="1" w:after="100" w:afterAutospacing="1" w:line="240" w:lineRule="auto"/>
    </w:pPr>
    <w:rPr>
      <w:rFonts w:ascii="Arial Unicode MS" w:hAnsi="Arial Unicode MS" w:eastAsia="Arial Unicode MS" w:cs="Arial Unicode MS"/>
      <w:szCs w:val="24"/>
      <w:lang w:val="es-ES" w:eastAsia="es-ES"/>
    </w:rPr>
  </w:style>
  <w:style w:type="paragraph" w:styleId="35">
    <w:name w:val="footer"/>
    <w:basedOn w:val="1"/>
    <w:link w:val="48"/>
    <w:unhideWhenUsed/>
    <w:qFormat/>
    <w:uiPriority w:val="99"/>
    <w:pPr>
      <w:tabs>
        <w:tab w:val="center" w:pos="4419"/>
        <w:tab w:val="right" w:pos="8838"/>
      </w:tabs>
      <w:spacing w:after="0" w:line="240" w:lineRule="auto"/>
    </w:pPr>
  </w:style>
  <w:style w:type="paragraph" w:styleId="36">
    <w:name w:val="Salutation"/>
    <w:basedOn w:val="1"/>
    <w:next w:val="1"/>
    <w:link w:val="120"/>
    <w:uiPriority w:val="0"/>
    <w:pPr>
      <w:spacing w:after="0" w:line="240" w:lineRule="auto"/>
    </w:pPr>
    <w:rPr>
      <w:rFonts w:ascii="Times New Roman" w:hAnsi="Times New Roman" w:eastAsia="Times New Roman" w:cs="Times New Roman"/>
      <w:lang w:eastAsia="es-ES"/>
    </w:rPr>
  </w:style>
  <w:style w:type="paragraph" w:styleId="37">
    <w:name w:val="Body Text Indent 2"/>
    <w:basedOn w:val="1"/>
    <w:link w:val="91"/>
    <w:qFormat/>
    <w:uiPriority w:val="0"/>
    <w:pPr>
      <w:spacing w:after="120" w:line="480" w:lineRule="auto"/>
      <w:ind w:left="283"/>
    </w:pPr>
    <w:rPr>
      <w:rFonts w:ascii="Times New Roman" w:hAnsi="Times New Roman" w:eastAsia="Times New Roman" w:cs="Times New Roman"/>
      <w:sz w:val="24"/>
      <w:szCs w:val="24"/>
      <w:lang w:val="es-ES" w:eastAsia="es-ES"/>
    </w:rPr>
  </w:style>
  <w:style w:type="paragraph" w:styleId="38">
    <w:name w:val="Subtitle"/>
    <w:basedOn w:val="1"/>
    <w:next w:val="1"/>
    <w:link w:val="118"/>
    <w:qFormat/>
    <w:uiPriority w:val="11"/>
    <w:pPr>
      <w:spacing w:after="160"/>
    </w:pPr>
    <w:rPr>
      <w:rFonts w:ascii="Calibri" w:hAnsi="Calibri" w:eastAsia="MS Mincho" w:cs="Times New Roman"/>
      <w:color w:val="5A5A5A"/>
      <w:spacing w:val="15"/>
    </w:rPr>
  </w:style>
  <w:style w:type="paragraph" w:styleId="39">
    <w:name w:val="Body Text"/>
    <w:basedOn w:val="1"/>
    <w:link w:val="63"/>
    <w:unhideWhenUsed/>
    <w:qFormat/>
    <w:uiPriority w:val="0"/>
    <w:pPr>
      <w:spacing w:after="120"/>
    </w:pPr>
  </w:style>
  <w:style w:type="paragraph" w:styleId="40">
    <w:name w:val="Body Text 3"/>
    <w:basedOn w:val="1"/>
    <w:link w:val="112"/>
    <w:uiPriority w:val="0"/>
    <w:pPr>
      <w:spacing w:after="120" w:line="240" w:lineRule="auto"/>
    </w:pPr>
    <w:rPr>
      <w:rFonts w:ascii="Times New Roman" w:hAnsi="Times New Roman" w:eastAsia="Times New Roman" w:cs="Times New Roman"/>
      <w:sz w:val="16"/>
      <w:szCs w:val="16"/>
      <w:lang w:val="es-ES" w:eastAsia="es-ES"/>
    </w:rPr>
  </w:style>
  <w:style w:type="paragraph" w:styleId="41">
    <w:name w:val="Title"/>
    <w:basedOn w:val="1"/>
    <w:link w:val="99"/>
    <w:qFormat/>
    <w:uiPriority w:val="0"/>
    <w:pPr>
      <w:autoSpaceDE w:val="0"/>
      <w:autoSpaceDN w:val="0"/>
      <w:adjustRightInd w:val="0"/>
      <w:spacing w:after="0" w:line="240" w:lineRule="auto"/>
      <w:jc w:val="center"/>
    </w:pPr>
    <w:rPr>
      <w:rFonts w:ascii="Times New Roman" w:hAnsi="Times New Roman" w:eastAsia="Times New Roman" w:cs="Times New Roman"/>
      <w:b/>
      <w:bCs/>
      <w:sz w:val="20"/>
      <w:szCs w:val="24"/>
      <w:lang w:eastAsia="zh-CN"/>
    </w:rPr>
  </w:style>
  <w:style w:type="table" w:styleId="42">
    <w:name w:val="Table Theme"/>
    <w:basedOn w:val="12"/>
    <w:uiPriority w:val="99"/>
    <w:rPr>
      <w:rFonts w:ascii="Calibri" w:hAnsi="Calibri" w:eastAsia="Calibri"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3">
    <w:name w:val="Table Grid"/>
    <w:basedOn w:val="12"/>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4">
    <w:name w:val="Título 1 Car"/>
    <w:basedOn w:val="11"/>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45">
    <w:name w:val="Título 2 Car"/>
    <w:basedOn w:val="11"/>
    <w:link w:val="3"/>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46">
    <w:name w:val="Título 3 Car"/>
    <w:basedOn w:val="11"/>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47">
    <w:name w:val="Encabezado Car"/>
    <w:basedOn w:val="11"/>
    <w:link w:val="29"/>
    <w:qFormat/>
    <w:uiPriority w:val="99"/>
  </w:style>
  <w:style w:type="character" w:customStyle="1" w:styleId="48">
    <w:name w:val="Pie de página Car"/>
    <w:basedOn w:val="11"/>
    <w:link w:val="35"/>
    <w:qFormat/>
    <w:uiPriority w:val="99"/>
  </w:style>
  <w:style w:type="paragraph" w:styleId="49">
    <w:name w:val="No Spacing"/>
    <w:link w:val="50"/>
    <w:qFormat/>
    <w:uiPriority w:val="1"/>
    <w:pPr>
      <w:widowControl w:val="0"/>
      <w:overflowPunct w:val="0"/>
      <w:autoSpaceDE w:val="0"/>
      <w:autoSpaceDN w:val="0"/>
      <w:adjustRightInd w:val="0"/>
      <w:spacing w:after="0" w:line="240" w:lineRule="auto"/>
    </w:pPr>
    <w:rPr>
      <w:rFonts w:ascii="Courier" w:hAnsi="Courier" w:eastAsia="Times New Roman" w:cs="Times New Roman"/>
      <w:sz w:val="24"/>
      <w:szCs w:val="20"/>
      <w:lang w:eastAsia="es-ES" w:bidi="ar-SA"/>
    </w:rPr>
  </w:style>
  <w:style w:type="character" w:customStyle="1" w:styleId="50">
    <w:name w:val="Sin espaciado Car"/>
    <w:link w:val="49"/>
    <w:qFormat/>
    <w:uiPriority w:val="1"/>
    <w:rPr>
      <w:rFonts w:ascii="Courier" w:hAnsi="Courier" w:eastAsia="Times New Roman" w:cs="Times New Roman"/>
      <w:sz w:val="24"/>
      <w:szCs w:val="20"/>
      <w:lang w:eastAsia="es-ES"/>
    </w:rPr>
  </w:style>
  <w:style w:type="character" w:customStyle="1" w:styleId="51">
    <w:name w:val="Texto de globo Car"/>
    <w:basedOn w:val="11"/>
    <w:link w:val="27"/>
    <w:semiHidden/>
    <w:qFormat/>
    <w:uiPriority w:val="99"/>
    <w:rPr>
      <w:rFonts w:ascii="Tahoma" w:hAnsi="Tahoma" w:cs="Tahoma"/>
      <w:sz w:val="16"/>
      <w:szCs w:val="16"/>
    </w:rPr>
  </w:style>
  <w:style w:type="paragraph" w:styleId="52">
    <w:name w:val="List Paragraph"/>
    <w:basedOn w:val="1"/>
    <w:link w:val="64"/>
    <w:qFormat/>
    <w:uiPriority w:val="0"/>
    <w:pPr>
      <w:ind w:left="720"/>
      <w:contextualSpacing/>
    </w:pPr>
  </w:style>
  <w:style w:type="paragraph" w:customStyle="1" w:styleId="53">
    <w:name w:val="TOC Heading"/>
    <w:basedOn w:val="2"/>
    <w:next w:val="1"/>
    <w:unhideWhenUsed/>
    <w:qFormat/>
    <w:uiPriority w:val="39"/>
    <w:pPr>
      <w:outlineLvl w:val="9"/>
    </w:pPr>
    <w:rPr>
      <w:lang w:eastAsia="es-CO"/>
    </w:rPr>
  </w:style>
  <w:style w:type="paragraph" w:customStyle="1" w:styleId="54">
    <w:name w:val="Default"/>
    <w:link w:val="55"/>
    <w:qFormat/>
    <w:uiPriority w:val="0"/>
    <w:pPr>
      <w:autoSpaceDE w:val="0"/>
      <w:autoSpaceDN w:val="0"/>
      <w:adjustRightInd w:val="0"/>
      <w:spacing w:after="0" w:line="240" w:lineRule="auto"/>
    </w:pPr>
    <w:rPr>
      <w:rFonts w:ascii="Arial" w:hAnsi="Arial" w:cs="Arial" w:eastAsiaTheme="minorHAnsi"/>
      <w:color w:val="000000"/>
      <w:sz w:val="24"/>
      <w:szCs w:val="24"/>
      <w:lang w:val="es-CO" w:eastAsia="en-US" w:bidi="ar-SA"/>
    </w:rPr>
  </w:style>
  <w:style w:type="character" w:customStyle="1" w:styleId="55">
    <w:name w:val="Default Car"/>
    <w:link w:val="54"/>
    <w:qFormat/>
    <w:locked/>
    <w:uiPriority w:val="0"/>
    <w:rPr>
      <w:rFonts w:ascii="Arial" w:hAnsi="Arial" w:cs="Arial"/>
      <w:color w:val="000000"/>
      <w:sz w:val="24"/>
      <w:szCs w:val="24"/>
    </w:rPr>
  </w:style>
  <w:style w:type="character" w:customStyle="1" w:styleId="56">
    <w:name w:val="Texto nota pie Car"/>
    <w:basedOn w:val="11"/>
    <w:link w:val="21"/>
    <w:qFormat/>
    <w:uiPriority w:val="99"/>
    <w:rPr>
      <w:sz w:val="20"/>
      <w:szCs w:val="20"/>
    </w:rPr>
  </w:style>
  <w:style w:type="character" w:customStyle="1" w:styleId="57">
    <w:name w:val="st"/>
    <w:basedOn w:val="11"/>
    <w:qFormat/>
    <w:uiPriority w:val="0"/>
  </w:style>
  <w:style w:type="character" w:customStyle="1" w:styleId="58">
    <w:name w:val="Texto independiente 2 Car"/>
    <w:basedOn w:val="11"/>
    <w:link w:val="28"/>
    <w:semiHidden/>
    <w:qFormat/>
    <w:uiPriority w:val="99"/>
    <w:rPr>
      <w:rFonts w:ascii="Arial" w:hAnsi="Arial" w:eastAsia="Times New Roman" w:cs="Times New Roman"/>
      <w:b/>
      <w:spacing w:val="-3"/>
      <w:sz w:val="24"/>
      <w:szCs w:val="20"/>
      <w:lang w:eastAsia="es-ES"/>
    </w:rPr>
  </w:style>
  <w:style w:type="paragraph" w:customStyle="1" w:styleId="59">
    <w:name w:val="bodytextindent24"/>
    <w:basedOn w:val="1"/>
    <w:qFormat/>
    <w:uiPriority w:val="0"/>
    <w:pPr>
      <w:overflowPunct w:val="0"/>
      <w:autoSpaceDE w:val="0"/>
      <w:autoSpaceDN w:val="0"/>
      <w:spacing w:after="0" w:line="240" w:lineRule="auto"/>
      <w:ind w:left="1843"/>
      <w:jc w:val="both"/>
    </w:pPr>
    <w:rPr>
      <w:rFonts w:ascii="Arial" w:hAnsi="Arial" w:eastAsia="Times New Roman" w:cs="Arial"/>
      <w:color w:val="000000"/>
      <w:sz w:val="24"/>
      <w:szCs w:val="24"/>
      <w:lang w:val="es-ES" w:eastAsia="es-ES"/>
    </w:rPr>
  </w:style>
  <w:style w:type="paragraph" w:customStyle="1" w:styleId="60">
    <w:name w:val="1"/>
    <w:basedOn w:val="1"/>
    <w:next w:val="32"/>
    <w:link w:val="115"/>
    <w:qFormat/>
    <w:uiPriority w:val="99"/>
    <w:pPr>
      <w:widowControl w:val="0"/>
      <w:overflowPunct w:val="0"/>
      <w:autoSpaceDE w:val="0"/>
      <w:autoSpaceDN w:val="0"/>
      <w:adjustRightInd w:val="0"/>
      <w:spacing w:after="0" w:line="240" w:lineRule="auto"/>
      <w:ind w:left="1260"/>
    </w:pPr>
    <w:rPr>
      <w:rFonts w:ascii="Tahoma" w:hAnsi="Tahoma" w:eastAsia="Times New Roman" w:cs="Times New Roman"/>
      <w:sz w:val="24"/>
      <w:szCs w:val="20"/>
      <w:lang w:val="es-ES" w:eastAsia="es-ES"/>
    </w:rPr>
  </w:style>
  <w:style w:type="character" w:customStyle="1" w:styleId="61">
    <w:name w:val="Sangría de texto normal Car"/>
    <w:basedOn w:val="11"/>
    <w:link w:val="32"/>
    <w:semiHidden/>
    <w:qFormat/>
    <w:uiPriority w:val="99"/>
  </w:style>
  <w:style w:type="paragraph" w:customStyle="1" w:styleId="62">
    <w:name w:val="Texto independiente 21"/>
    <w:basedOn w:val="1"/>
    <w:qFormat/>
    <w:uiPriority w:val="0"/>
    <w:pPr>
      <w:spacing w:after="0" w:line="240" w:lineRule="auto"/>
      <w:jc w:val="both"/>
    </w:pPr>
    <w:rPr>
      <w:rFonts w:ascii="Arial Narrow" w:hAnsi="Arial Narrow" w:eastAsia="Times New Roman" w:cs="Times New Roman"/>
      <w:sz w:val="28"/>
      <w:szCs w:val="20"/>
      <w:lang w:val="es-MX" w:eastAsia="es-ES"/>
    </w:rPr>
  </w:style>
  <w:style w:type="character" w:customStyle="1" w:styleId="63">
    <w:name w:val="Texto independiente Car"/>
    <w:basedOn w:val="11"/>
    <w:link w:val="39"/>
    <w:qFormat/>
    <w:uiPriority w:val="0"/>
  </w:style>
  <w:style w:type="character" w:customStyle="1" w:styleId="64">
    <w:name w:val="Párrafo de lista Car"/>
    <w:basedOn w:val="11"/>
    <w:link w:val="52"/>
    <w:qFormat/>
    <w:locked/>
    <w:uiPriority w:val="0"/>
  </w:style>
  <w:style w:type="paragraph" w:customStyle="1" w:styleId="65">
    <w:name w:val="subttulo2"/>
    <w:basedOn w:val="1"/>
    <w:qFormat/>
    <w:uiPriority w:val="0"/>
    <w:pPr>
      <w:spacing w:after="0" w:line="240" w:lineRule="auto"/>
      <w:ind w:left="567" w:hanging="737"/>
      <w:jc w:val="both"/>
    </w:pPr>
    <w:rPr>
      <w:rFonts w:ascii="Arial" w:hAnsi="Arial" w:cs="Arial"/>
      <w:b/>
      <w:bCs/>
      <w:color w:val="000000"/>
      <w:sz w:val="20"/>
      <w:szCs w:val="20"/>
      <w:lang w:eastAsia="es-CO"/>
    </w:rPr>
  </w:style>
  <w:style w:type="paragraph" w:customStyle="1" w:styleId="66">
    <w:name w:val="Car Car Car Car Car Car Car Car Car Car Car Car Car Car Car Car Car Car Car Car Car Car Car Car Car Car Car Car Car Car Car Car Car2 Car"/>
    <w:basedOn w:val="1"/>
    <w:qFormat/>
    <w:uiPriority w:val="0"/>
    <w:pPr>
      <w:spacing w:after="160" w:line="240" w:lineRule="exact"/>
    </w:pPr>
    <w:rPr>
      <w:rFonts w:ascii="Verdana" w:hAnsi="Verdana" w:eastAsia="Times New Roman" w:cs="Times New Roman"/>
      <w:sz w:val="20"/>
      <w:szCs w:val="20"/>
      <w:lang w:val="en-US"/>
    </w:rPr>
  </w:style>
  <w:style w:type="character" w:customStyle="1" w:styleId="67">
    <w:name w:val="HTML con formato previo Car"/>
    <w:link w:val="30"/>
    <w:qFormat/>
    <w:uiPriority w:val="0"/>
    <w:rPr>
      <w:rFonts w:ascii="Verdana" w:hAnsi="Verdana" w:eastAsia="SimSun" w:cs="Courier New"/>
      <w:color w:val="222222"/>
      <w:sz w:val="15"/>
      <w:szCs w:val="15"/>
      <w:lang w:val="es-ES" w:eastAsia="zh-CN"/>
    </w:rPr>
  </w:style>
  <w:style w:type="character" w:customStyle="1" w:styleId="68">
    <w:name w:val="HTML con formato previo Car1"/>
    <w:basedOn w:val="11"/>
    <w:semiHidden/>
    <w:qFormat/>
    <w:uiPriority w:val="99"/>
    <w:rPr>
      <w:rFonts w:ascii="Consolas" w:hAnsi="Consolas" w:cs="Consolas"/>
      <w:sz w:val="20"/>
      <w:szCs w:val="20"/>
    </w:rPr>
  </w:style>
  <w:style w:type="paragraph" w:customStyle="1" w:styleId="69">
    <w:name w:val="Texto predeterminado"/>
    <w:basedOn w:val="1"/>
    <w:qFormat/>
    <w:uiPriority w:val="0"/>
    <w:pPr>
      <w:widowControl w:val="0"/>
      <w:autoSpaceDE w:val="0"/>
      <w:autoSpaceDN w:val="0"/>
      <w:adjustRightInd w:val="0"/>
      <w:spacing w:after="0" w:line="240" w:lineRule="auto"/>
    </w:pPr>
    <w:rPr>
      <w:rFonts w:ascii="Times New Roman" w:hAnsi="Times New Roman" w:eastAsia="Times New Roman" w:cs="Times New Roman"/>
      <w:sz w:val="24"/>
      <w:szCs w:val="24"/>
      <w:lang w:val="es-ES" w:eastAsia="es-ES"/>
    </w:rPr>
  </w:style>
  <w:style w:type="paragraph" w:customStyle="1" w:styleId="70">
    <w:name w:val="Car Car Car Car Car Car Car Car Car Car Car Car Car Car Car Car Car Car Car Car Car Car Car Car Car Car Car Car Car Car Car Car Car2 Car1"/>
    <w:basedOn w:val="1"/>
    <w:qFormat/>
    <w:uiPriority w:val="0"/>
    <w:pPr>
      <w:spacing w:after="160" w:line="240" w:lineRule="exact"/>
    </w:pPr>
    <w:rPr>
      <w:rFonts w:ascii="Verdana" w:hAnsi="Verdana" w:eastAsia="Times New Roman" w:cs="Times New Roman"/>
      <w:sz w:val="20"/>
      <w:szCs w:val="20"/>
      <w:lang w:val="en-US"/>
    </w:rPr>
  </w:style>
  <w:style w:type="character" w:customStyle="1" w:styleId="71">
    <w:name w:val="Texto comentario Car"/>
    <w:basedOn w:val="11"/>
    <w:link w:val="26"/>
    <w:qFormat/>
    <w:uiPriority w:val="99"/>
    <w:rPr>
      <w:sz w:val="20"/>
      <w:szCs w:val="20"/>
    </w:rPr>
  </w:style>
  <w:style w:type="paragraph" w:customStyle="1" w:styleId="72">
    <w:name w:val="Invias Normal"/>
    <w:basedOn w:val="1"/>
    <w:link w:val="73"/>
    <w:qFormat/>
    <w:uiPriority w:val="0"/>
    <w:pPr>
      <w:tabs>
        <w:tab w:val="left" w:pos="-142"/>
      </w:tabs>
      <w:autoSpaceDE w:val="0"/>
      <w:autoSpaceDN w:val="0"/>
      <w:adjustRightInd w:val="0"/>
      <w:spacing w:before="120" w:after="240" w:line="240" w:lineRule="auto"/>
      <w:jc w:val="both"/>
    </w:pPr>
    <w:rPr>
      <w:rFonts w:ascii="Arial Narrow" w:hAnsi="Arial Narrow" w:eastAsia="Times New Roman" w:cs="Times New Roman"/>
      <w:sz w:val="24"/>
      <w:szCs w:val="24"/>
      <w:lang w:val="zh-CN" w:eastAsia="es-ES"/>
    </w:rPr>
  </w:style>
  <w:style w:type="character" w:customStyle="1" w:styleId="73">
    <w:name w:val="Invias Normal Car"/>
    <w:link w:val="72"/>
    <w:qFormat/>
    <w:locked/>
    <w:uiPriority w:val="0"/>
    <w:rPr>
      <w:rFonts w:ascii="Arial Narrow" w:hAnsi="Arial Narrow" w:eastAsia="Times New Roman" w:cs="Times New Roman"/>
      <w:sz w:val="24"/>
      <w:szCs w:val="24"/>
      <w:lang w:val="zh-CN" w:eastAsia="es-ES"/>
    </w:rPr>
  </w:style>
  <w:style w:type="paragraph" w:customStyle="1" w:styleId="74">
    <w:name w:val="Invias-Capitulo"/>
    <w:next w:val="1"/>
    <w:autoRedefine/>
    <w:qFormat/>
    <w:uiPriority w:val="99"/>
    <w:pPr>
      <w:keepNext/>
      <w:pageBreakBefore/>
      <w:numPr>
        <w:ilvl w:val="0"/>
        <w:numId w:val="1"/>
      </w:numPr>
      <w:spacing w:before="600" w:after="360" w:line="240" w:lineRule="auto"/>
      <w:jc w:val="center"/>
      <w:outlineLvl w:val="0"/>
    </w:pPr>
    <w:rPr>
      <w:rFonts w:ascii="Arial Narrow" w:hAnsi="Arial Narrow" w:eastAsia="Times New Roman" w:cs="Arial"/>
      <w:b/>
      <w:smallCaps/>
      <w:sz w:val="24"/>
      <w:szCs w:val="22"/>
      <w:lang w:val="es-CO" w:eastAsia="es-ES" w:bidi="ar-SA"/>
    </w:rPr>
  </w:style>
  <w:style w:type="paragraph" w:customStyle="1" w:styleId="75">
    <w:name w:val="Invias-Titulo 1"/>
    <w:next w:val="1"/>
    <w:autoRedefine/>
    <w:qFormat/>
    <w:uiPriority w:val="99"/>
    <w:pPr>
      <w:keepNext/>
      <w:numPr>
        <w:ilvl w:val="0"/>
        <w:numId w:val="2"/>
      </w:numPr>
      <w:spacing w:after="0" w:line="240" w:lineRule="auto"/>
      <w:jc w:val="both"/>
      <w:outlineLvl w:val="1"/>
    </w:pPr>
    <w:rPr>
      <w:rFonts w:ascii="Arial" w:hAnsi="Arial" w:eastAsia="Arial Unicode MS" w:cs="Arial"/>
      <w:b/>
      <w:sz w:val="24"/>
      <w:szCs w:val="24"/>
      <w:lang w:val="es-CO" w:eastAsia="es-ES" w:bidi="ar-SA"/>
    </w:rPr>
  </w:style>
  <w:style w:type="paragraph" w:customStyle="1" w:styleId="76">
    <w:name w:val="Invias-Titulo 2"/>
    <w:next w:val="1"/>
    <w:link w:val="103"/>
    <w:autoRedefine/>
    <w:qFormat/>
    <w:uiPriority w:val="99"/>
    <w:pPr>
      <w:keepNext/>
      <w:spacing w:after="0" w:line="240" w:lineRule="auto"/>
      <w:jc w:val="both"/>
      <w:outlineLvl w:val="1"/>
    </w:pPr>
    <w:rPr>
      <w:rFonts w:ascii="Arial Narrow" w:hAnsi="Arial Narrow" w:eastAsia="Times New Roman" w:cs="Times New Roman"/>
      <w:b/>
      <w:sz w:val="24"/>
      <w:szCs w:val="24"/>
      <w:lang w:val="es-CO" w:eastAsia="es-CO" w:bidi="ar-SA"/>
    </w:rPr>
  </w:style>
  <w:style w:type="character" w:customStyle="1" w:styleId="77">
    <w:name w:val="Título 4 Car"/>
    <w:basedOn w:val="11"/>
    <w:link w:val="5"/>
    <w:semiHidden/>
    <w:qFormat/>
    <w:uiPriority w:val="9"/>
    <w:rPr>
      <w:rFonts w:eastAsiaTheme="minorEastAsia"/>
      <w:b/>
      <w:bCs/>
      <w:sz w:val="28"/>
      <w:szCs w:val="28"/>
      <w:lang w:val="en-US"/>
    </w:rPr>
  </w:style>
  <w:style w:type="character" w:customStyle="1" w:styleId="78">
    <w:name w:val="Título 5 Car"/>
    <w:basedOn w:val="11"/>
    <w:link w:val="6"/>
    <w:semiHidden/>
    <w:qFormat/>
    <w:uiPriority w:val="9"/>
    <w:rPr>
      <w:rFonts w:eastAsiaTheme="minorEastAsia"/>
      <w:b/>
      <w:bCs/>
      <w:i/>
      <w:iCs/>
      <w:sz w:val="26"/>
      <w:szCs w:val="26"/>
      <w:lang w:val="en-US"/>
    </w:rPr>
  </w:style>
  <w:style w:type="character" w:customStyle="1" w:styleId="79">
    <w:name w:val="Título 6 Car"/>
    <w:basedOn w:val="11"/>
    <w:link w:val="7"/>
    <w:qFormat/>
    <w:uiPriority w:val="0"/>
    <w:rPr>
      <w:rFonts w:ascii="Times New Roman" w:hAnsi="Times New Roman" w:eastAsia="Times New Roman" w:cs="Times New Roman"/>
      <w:b/>
      <w:bCs/>
      <w:lang w:val="en-US"/>
    </w:rPr>
  </w:style>
  <w:style w:type="character" w:customStyle="1" w:styleId="80">
    <w:name w:val="Título 7 Car"/>
    <w:basedOn w:val="11"/>
    <w:link w:val="8"/>
    <w:semiHidden/>
    <w:qFormat/>
    <w:uiPriority w:val="9"/>
    <w:rPr>
      <w:rFonts w:asciiTheme="majorHAnsi" w:hAnsiTheme="majorHAnsi" w:eastAsiaTheme="majorEastAsia" w:cstheme="majorBidi"/>
      <w:i/>
      <w:iCs/>
      <w:color w:val="254061" w:themeColor="accent1" w:themeShade="80"/>
    </w:rPr>
  </w:style>
  <w:style w:type="character" w:customStyle="1" w:styleId="81">
    <w:name w:val="Título 8 Car"/>
    <w:basedOn w:val="11"/>
    <w:link w:val="9"/>
    <w:semiHidden/>
    <w:qFormat/>
    <w:uiPriority w:val="9"/>
    <w:rPr>
      <w:rFonts w:eastAsiaTheme="minorEastAsia"/>
      <w:i/>
      <w:iCs/>
      <w:sz w:val="24"/>
      <w:szCs w:val="24"/>
      <w:lang w:val="en-US"/>
    </w:rPr>
  </w:style>
  <w:style w:type="character" w:customStyle="1" w:styleId="82">
    <w:name w:val="Título 9 Car"/>
    <w:basedOn w:val="11"/>
    <w:link w:val="10"/>
    <w:semiHidden/>
    <w:qFormat/>
    <w:uiPriority w:val="9"/>
    <w:rPr>
      <w:rFonts w:asciiTheme="majorHAnsi" w:hAnsiTheme="majorHAnsi" w:eastAsiaTheme="majorEastAsia" w:cstheme="majorBidi"/>
      <w:lang w:val="en-US"/>
    </w:rPr>
  </w:style>
  <w:style w:type="paragraph" w:customStyle="1" w:styleId="83">
    <w:name w:val="Texto independiente primera sangría 21"/>
    <w:basedOn w:val="32"/>
    <w:qFormat/>
    <w:uiPriority w:val="0"/>
    <w:pPr>
      <w:tabs>
        <w:tab w:val="left" w:pos="993"/>
      </w:tabs>
      <w:suppressAutoHyphens/>
      <w:spacing w:line="240" w:lineRule="auto"/>
      <w:ind w:firstLine="210"/>
    </w:pPr>
    <w:rPr>
      <w:rFonts w:ascii="Times New Roman" w:hAnsi="Times New Roman" w:eastAsia="Times New Roman" w:cs="Times New Roman"/>
      <w:sz w:val="20"/>
      <w:szCs w:val="20"/>
      <w:lang w:val="es-ES" w:eastAsia="ar-SA"/>
    </w:rPr>
  </w:style>
  <w:style w:type="paragraph" w:customStyle="1" w:styleId="84">
    <w:name w:val="Lista con viñetas 31"/>
    <w:basedOn w:val="1"/>
    <w:qFormat/>
    <w:uiPriority w:val="0"/>
    <w:pPr>
      <w:tabs>
        <w:tab w:val="left" w:pos="720"/>
      </w:tabs>
      <w:suppressAutoHyphens/>
      <w:spacing w:after="0" w:line="240" w:lineRule="auto"/>
      <w:ind w:left="-1132"/>
    </w:pPr>
    <w:rPr>
      <w:rFonts w:ascii="Times New Roman" w:hAnsi="Times New Roman" w:eastAsia="Times New Roman" w:cs="Times New Roman"/>
      <w:sz w:val="20"/>
      <w:szCs w:val="20"/>
      <w:lang w:eastAsia="ar-SA"/>
    </w:rPr>
  </w:style>
  <w:style w:type="paragraph" w:customStyle="1" w:styleId="85">
    <w:name w:val="Invias-Viñeta Alfabetica"/>
    <w:next w:val="1"/>
    <w:qFormat/>
    <w:uiPriority w:val="99"/>
    <w:pPr>
      <w:numPr>
        <w:ilvl w:val="0"/>
        <w:numId w:val="3"/>
      </w:numPr>
      <w:spacing w:before="240" w:after="240" w:line="240" w:lineRule="auto"/>
      <w:jc w:val="both"/>
    </w:pPr>
    <w:rPr>
      <w:rFonts w:ascii="Arial Narrow" w:hAnsi="Arial Narrow" w:eastAsia="Times New Roman" w:cs="Times New Roman"/>
      <w:sz w:val="24"/>
      <w:szCs w:val="24"/>
      <w:lang w:val="es-CO" w:eastAsia="es-ES" w:bidi="ar-SA"/>
    </w:rPr>
  </w:style>
  <w:style w:type="paragraph" w:customStyle="1" w:styleId="86">
    <w:name w:val="Cuadrícula media 21"/>
    <w:link w:val="87"/>
    <w:qFormat/>
    <w:uiPriority w:val="1"/>
    <w:pPr>
      <w:widowControl w:val="0"/>
      <w:overflowPunct w:val="0"/>
      <w:autoSpaceDE w:val="0"/>
      <w:autoSpaceDN w:val="0"/>
      <w:adjustRightInd w:val="0"/>
      <w:spacing w:after="0" w:line="240" w:lineRule="auto"/>
    </w:pPr>
    <w:rPr>
      <w:rFonts w:ascii="Courier" w:hAnsi="Courier" w:eastAsia="Times New Roman" w:cs="Times New Roman"/>
      <w:sz w:val="24"/>
      <w:szCs w:val="20"/>
      <w:lang w:eastAsia="es-ES" w:bidi="ar-SA"/>
    </w:rPr>
  </w:style>
  <w:style w:type="character" w:customStyle="1" w:styleId="87">
    <w:name w:val="Cuadrícula media 2 Car"/>
    <w:link w:val="86"/>
    <w:qFormat/>
    <w:uiPriority w:val="1"/>
    <w:rPr>
      <w:rFonts w:ascii="Courier" w:hAnsi="Courier" w:eastAsia="Times New Roman" w:cs="Times New Roman"/>
      <w:sz w:val="24"/>
      <w:szCs w:val="20"/>
      <w:lang w:eastAsia="es-ES"/>
    </w:rPr>
  </w:style>
  <w:style w:type="paragraph" w:customStyle="1" w:styleId="88">
    <w:name w:val="Car Car Car Car Car Car Car Car Car Car Car Car Car Car Car Car Car Car Car Car Car Car Car Car Car Car Car Car Car Car Car Car Car2 Car2"/>
    <w:basedOn w:val="1"/>
    <w:qFormat/>
    <w:uiPriority w:val="0"/>
    <w:pPr>
      <w:spacing w:after="160" w:line="240" w:lineRule="exact"/>
    </w:pPr>
    <w:rPr>
      <w:rFonts w:ascii="Verdana" w:hAnsi="Verdana" w:eastAsia="Times New Roman" w:cs="Times New Roman"/>
      <w:sz w:val="20"/>
      <w:szCs w:val="20"/>
      <w:lang w:val="en-US"/>
    </w:rPr>
  </w:style>
  <w:style w:type="character" w:customStyle="1" w:styleId="89">
    <w:name w:val="Asunto del comentario Car"/>
    <w:basedOn w:val="71"/>
    <w:link w:val="25"/>
    <w:semiHidden/>
    <w:qFormat/>
    <w:uiPriority w:val="99"/>
    <w:rPr>
      <w:b/>
      <w:bCs/>
      <w:sz w:val="20"/>
      <w:szCs w:val="20"/>
    </w:rPr>
  </w:style>
  <w:style w:type="paragraph" w:customStyle="1" w:styleId="90">
    <w:name w:val="Texto independiente 22"/>
    <w:basedOn w:val="1"/>
    <w:qFormat/>
    <w:uiPriority w:val="0"/>
    <w:pPr>
      <w:widowControl w:val="0"/>
      <w:overflowPunct w:val="0"/>
      <w:autoSpaceDE w:val="0"/>
      <w:autoSpaceDN w:val="0"/>
      <w:adjustRightInd w:val="0"/>
      <w:spacing w:after="120" w:line="240" w:lineRule="auto"/>
      <w:ind w:left="283"/>
    </w:pPr>
    <w:rPr>
      <w:rFonts w:ascii="Courier" w:hAnsi="Courier" w:eastAsia="Times New Roman" w:cs="Times New Roman"/>
      <w:sz w:val="24"/>
      <w:szCs w:val="20"/>
      <w:lang w:eastAsia="es-ES"/>
    </w:rPr>
  </w:style>
  <w:style w:type="character" w:customStyle="1" w:styleId="91">
    <w:name w:val="Sangría 2 de t. independiente Car"/>
    <w:basedOn w:val="11"/>
    <w:link w:val="37"/>
    <w:qFormat/>
    <w:uiPriority w:val="0"/>
    <w:rPr>
      <w:rFonts w:ascii="Times New Roman" w:hAnsi="Times New Roman" w:eastAsia="Times New Roman" w:cs="Times New Roman"/>
      <w:sz w:val="24"/>
      <w:szCs w:val="24"/>
      <w:lang w:val="es-ES" w:eastAsia="es-ES"/>
    </w:rPr>
  </w:style>
  <w:style w:type="paragraph" w:customStyle="1" w:styleId="92">
    <w:name w:val="Sangría 2 de t. independiente1"/>
    <w:basedOn w:val="1"/>
    <w:qFormat/>
    <w:uiPriority w:val="0"/>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hAnsi="Arial" w:eastAsia="Times New Roman" w:cs="Times New Roman"/>
      <w:spacing w:val="-3"/>
      <w:sz w:val="24"/>
      <w:szCs w:val="20"/>
      <w:lang w:eastAsia="es-ES"/>
    </w:rPr>
  </w:style>
  <w:style w:type="paragraph" w:customStyle="1" w:styleId="93">
    <w:name w:val="Car Car Car Car Car Car Car Car Car Car Car Car Car Car Car Car Car Car Car Car Car Car Car Car Car Car Car Car Car Car Car Car Car2 Car3"/>
    <w:basedOn w:val="1"/>
    <w:qFormat/>
    <w:uiPriority w:val="0"/>
    <w:pPr>
      <w:spacing w:after="160" w:line="240" w:lineRule="exact"/>
    </w:pPr>
    <w:rPr>
      <w:rFonts w:ascii="Verdana" w:hAnsi="Verdana" w:eastAsia="Times New Roman" w:cs="Times New Roman"/>
      <w:sz w:val="20"/>
      <w:szCs w:val="20"/>
      <w:lang w:val="en-US"/>
    </w:rPr>
  </w:style>
  <w:style w:type="character" w:customStyle="1" w:styleId="94">
    <w:name w:val="EstiloCorreo87"/>
    <w:semiHidden/>
    <w:qFormat/>
    <w:uiPriority w:val="0"/>
    <w:rPr>
      <w:rFonts w:ascii="Arial" w:hAnsi="Arial" w:cs="Arial"/>
      <w:color w:val="auto"/>
      <w:sz w:val="20"/>
      <w:szCs w:val="20"/>
    </w:rPr>
  </w:style>
  <w:style w:type="paragraph" w:customStyle="1" w:styleId="95">
    <w:name w:val="Cuerpo"/>
    <w:qFormat/>
    <w:uiPriority w:val="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pPr>
    <w:rPr>
      <w:rFonts w:ascii="Courier" w:hAnsi="Arial Unicode MS" w:eastAsia="Arial Unicode MS" w:cs="Arial Unicode MS"/>
      <w:color w:val="000000"/>
      <w:sz w:val="24"/>
      <w:szCs w:val="24"/>
      <w:u w:color="000000"/>
      <w:lang w:val="es-CO" w:eastAsia="es-CO" w:bidi="ar-SA"/>
    </w:rPr>
  </w:style>
  <w:style w:type="paragraph" w:customStyle="1" w:styleId="96">
    <w:name w:val="Por omisión"/>
    <w:qFormat/>
    <w:uiPriority w:val="0"/>
    <w:pPr>
      <w:pBdr>
        <w:top w:val="none" w:color="auto" w:sz="0" w:space="0"/>
        <w:left w:val="none" w:color="auto" w:sz="0" w:space="0"/>
        <w:bottom w:val="none" w:color="auto" w:sz="0" w:space="0"/>
        <w:right w:val="none" w:color="auto" w:sz="0" w:space="0"/>
        <w:between w:val="none" w:color="auto" w:sz="0" w:space="0"/>
      </w:pBdr>
      <w:spacing w:after="0" w:line="240" w:lineRule="auto"/>
    </w:pPr>
    <w:rPr>
      <w:rFonts w:ascii="Helvetica" w:hAnsi="Helvetica" w:eastAsia="Helvetica" w:cs="Helvetica"/>
      <w:color w:val="000000"/>
      <w:sz w:val="22"/>
      <w:szCs w:val="22"/>
      <w:lang w:val="es-CO" w:eastAsia="es-CO" w:bidi="ar-SA"/>
    </w:rPr>
  </w:style>
  <w:style w:type="paragraph" w:customStyle="1" w:styleId="97">
    <w:name w:val="Invias-Viñeta Numerada"/>
    <w:next w:val="1"/>
    <w:link w:val="98"/>
    <w:qFormat/>
    <w:uiPriority w:val="99"/>
    <w:pPr>
      <w:spacing w:before="240" w:after="120" w:line="240" w:lineRule="auto"/>
      <w:jc w:val="both"/>
    </w:pPr>
    <w:rPr>
      <w:rFonts w:ascii="Arial Narrow" w:hAnsi="Arial Narrow" w:eastAsia="Times New Roman" w:cs="Times New Roman"/>
      <w:sz w:val="24"/>
      <w:szCs w:val="24"/>
      <w:lang w:val="en-US" w:eastAsia="es-ES" w:bidi="ar-SA"/>
    </w:rPr>
  </w:style>
  <w:style w:type="character" w:customStyle="1" w:styleId="98">
    <w:name w:val="Invias-Viñeta Numerada Car"/>
    <w:link w:val="97"/>
    <w:qFormat/>
    <w:locked/>
    <w:uiPriority w:val="99"/>
    <w:rPr>
      <w:rFonts w:ascii="Arial Narrow" w:hAnsi="Arial Narrow" w:eastAsia="Times New Roman" w:cs="Times New Roman"/>
      <w:sz w:val="24"/>
      <w:szCs w:val="24"/>
      <w:lang w:val="en-US" w:eastAsia="es-ES"/>
    </w:rPr>
  </w:style>
  <w:style w:type="character" w:customStyle="1" w:styleId="99">
    <w:name w:val="Título Car"/>
    <w:basedOn w:val="11"/>
    <w:link w:val="41"/>
    <w:qFormat/>
    <w:uiPriority w:val="0"/>
    <w:rPr>
      <w:rFonts w:ascii="Times New Roman" w:hAnsi="Times New Roman" w:eastAsia="Times New Roman" w:cs="Times New Roman"/>
      <w:b/>
      <w:bCs/>
      <w:sz w:val="20"/>
      <w:szCs w:val="24"/>
      <w:lang w:eastAsia="zh-CN"/>
    </w:rPr>
  </w:style>
  <w:style w:type="paragraph" w:customStyle="1" w:styleId="100">
    <w:name w:val="Texto de nota al final"/>
    <w:basedOn w:val="1"/>
    <w:qFormat/>
    <w:uiPriority w:val="0"/>
    <w:pPr>
      <w:widowControl w:val="0"/>
      <w:overflowPunct w:val="0"/>
      <w:autoSpaceDE w:val="0"/>
      <w:autoSpaceDN w:val="0"/>
      <w:adjustRightInd w:val="0"/>
      <w:spacing w:after="0" w:line="240" w:lineRule="auto"/>
    </w:pPr>
    <w:rPr>
      <w:rFonts w:ascii="Courier" w:hAnsi="Courier" w:eastAsia="Times New Roman" w:cs="Times New Roman"/>
      <w:sz w:val="24"/>
      <w:szCs w:val="20"/>
      <w:lang w:eastAsia="es-ES"/>
    </w:rPr>
  </w:style>
  <w:style w:type="character" w:customStyle="1" w:styleId="101">
    <w:name w:val="Mención sin resolver1"/>
    <w:basedOn w:val="11"/>
    <w:semiHidden/>
    <w:unhideWhenUsed/>
    <w:qFormat/>
    <w:uiPriority w:val="99"/>
    <w:rPr>
      <w:color w:val="808080"/>
      <w:shd w:val="clear" w:color="auto" w:fill="E6E6E6"/>
    </w:rPr>
  </w:style>
  <w:style w:type="paragraph" w:customStyle="1" w:styleId="102">
    <w:name w:val="Invias-Viñeta logo INV"/>
    <w:next w:val="1"/>
    <w:qFormat/>
    <w:uiPriority w:val="99"/>
    <w:pPr>
      <w:numPr>
        <w:ilvl w:val="0"/>
        <w:numId w:val="4"/>
      </w:numPr>
      <w:spacing w:before="240" w:after="240" w:line="240" w:lineRule="auto"/>
      <w:jc w:val="both"/>
    </w:pPr>
    <w:rPr>
      <w:rFonts w:ascii="Arial Narrow" w:hAnsi="Arial Narrow" w:eastAsia="Times New Roman" w:cs="Times New Roman"/>
      <w:sz w:val="24"/>
      <w:szCs w:val="24"/>
      <w:lang w:val="es-CO" w:eastAsia="es-ES" w:bidi="ar-SA"/>
    </w:rPr>
  </w:style>
  <w:style w:type="character" w:customStyle="1" w:styleId="103">
    <w:name w:val="Invias-Titulo 2 Car"/>
    <w:link w:val="76"/>
    <w:qFormat/>
    <w:uiPriority w:val="99"/>
    <w:rPr>
      <w:rFonts w:ascii="Arial Narrow" w:hAnsi="Arial Narrow" w:eastAsia="Times New Roman" w:cs="Times New Roman"/>
      <w:b/>
      <w:sz w:val="24"/>
      <w:szCs w:val="24"/>
      <w:lang w:eastAsia="es-CO"/>
    </w:rPr>
  </w:style>
  <w:style w:type="paragraph" w:customStyle="1" w:styleId="104">
    <w:name w:val="Invias-Texto Cuadros"/>
    <w:autoRedefine/>
    <w:qFormat/>
    <w:uiPriority w:val="99"/>
    <w:pPr>
      <w:spacing w:after="0" w:line="240" w:lineRule="auto"/>
      <w:jc w:val="center"/>
    </w:pPr>
    <w:rPr>
      <w:rFonts w:ascii="Arial Narrow" w:hAnsi="Arial Narrow" w:eastAsia="Times New Roman" w:cs="Arial"/>
      <w:b/>
      <w:caps/>
      <w:color w:val="FF0000"/>
      <w:sz w:val="24"/>
      <w:szCs w:val="24"/>
      <w:lang w:val="es-ES" w:eastAsia="es-CO" w:bidi="ar-SA"/>
    </w:rPr>
  </w:style>
  <w:style w:type="character" w:styleId="105">
    <w:name w:val="Placeholder Text"/>
    <w:semiHidden/>
    <w:qFormat/>
    <w:uiPriority w:val="99"/>
    <w:rPr>
      <w:color w:val="808080"/>
    </w:rPr>
  </w:style>
  <w:style w:type="paragraph" w:customStyle="1" w:styleId="106">
    <w:name w:val="Sangría 3 de t.independiente1"/>
    <w:basedOn w:val="1"/>
    <w:qFormat/>
    <w:uiPriority w:val="0"/>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hAnsi="Arial" w:eastAsia="Times New Roman" w:cs="Times New Roman"/>
      <w:spacing w:val="-3"/>
      <w:sz w:val="24"/>
      <w:szCs w:val="20"/>
      <w:lang w:eastAsia="es-ES"/>
    </w:rPr>
  </w:style>
  <w:style w:type="paragraph" w:customStyle="1" w:styleId="107">
    <w:name w:val="Body Text 31"/>
    <w:basedOn w:val="1"/>
    <w:uiPriority w:val="0"/>
    <w:pPr>
      <w:spacing w:after="0" w:line="240" w:lineRule="auto"/>
    </w:pPr>
    <w:rPr>
      <w:rFonts w:ascii="Arial" w:hAnsi="Arial" w:eastAsia="Times New Roman" w:cs="Times New Roman"/>
      <w:sz w:val="24"/>
      <w:szCs w:val="20"/>
      <w:lang w:eastAsia="es-ES"/>
    </w:rPr>
  </w:style>
  <w:style w:type="paragraph" w:customStyle="1" w:styleId="108">
    <w:name w:val="Título 1Tabla Contenido 1Spec.1Titre principal (1)Edgar 1..."/>
    <w:basedOn w:val="2"/>
    <w:autoRedefine/>
    <w:uiPriority w:val="0"/>
    <w:pPr>
      <w:keepLines w:val="0"/>
      <w:tabs>
        <w:tab w:val="left" w:pos="709"/>
      </w:tabs>
      <w:spacing w:before="0" w:line="240" w:lineRule="auto"/>
      <w:ind w:left="142" w:hanging="142"/>
      <w:jc w:val="both"/>
    </w:pPr>
    <w:rPr>
      <w:rFonts w:ascii="Arial" w:hAnsi="Arial" w:eastAsia="Times New Roman" w:cs="Arial"/>
      <w:b w:val="0"/>
      <w:color w:val="auto"/>
      <w:sz w:val="22"/>
      <w:szCs w:val="22"/>
      <w:lang w:val="es-ES" w:eastAsia="es-ES"/>
    </w:rPr>
  </w:style>
  <w:style w:type="paragraph" w:customStyle="1" w:styleId="109">
    <w:name w:val="p4"/>
    <w:basedOn w:val="1"/>
    <w:link w:val="110"/>
    <w:uiPriority w:val="0"/>
    <w:pPr>
      <w:widowControl w:val="0"/>
      <w:spacing w:before="120" w:after="0" w:line="580" w:lineRule="atLeast"/>
      <w:jc w:val="both"/>
    </w:pPr>
    <w:rPr>
      <w:rFonts w:ascii="Arial" w:hAnsi="Arial" w:eastAsia="Times New Roman" w:cs="Times New Roman"/>
      <w:szCs w:val="24"/>
      <w:lang w:val="es-ES" w:eastAsia="ar-SA"/>
    </w:rPr>
  </w:style>
  <w:style w:type="character" w:customStyle="1" w:styleId="110">
    <w:name w:val="p4 Car"/>
    <w:link w:val="109"/>
    <w:uiPriority w:val="0"/>
    <w:rPr>
      <w:rFonts w:ascii="Arial" w:hAnsi="Arial" w:eastAsia="Times New Roman" w:cs="Times New Roman"/>
      <w:szCs w:val="24"/>
      <w:lang w:val="es-ES" w:eastAsia="ar-SA"/>
    </w:rPr>
  </w:style>
  <w:style w:type="paragraph" w:customStyle="1" w:styleId="111">
    <w:name w:val="Lista 41"/>
    <w:basedOn w:val="1"/>
    <w:uiPriority w:val="0"/>
    <w:pPr>
      <w:suppressAutoHyphens/>
      <w:spacing w:after="0" w:line="240" w:lineRule="auto"/>
      <w:ind w:left="1132" w:hanging="283"/>
    </w:pPr>
    <w:rPr>
      <w:rFonts w:ascii="Times New Roman" w:hAnsi="Times New Roman" w:eastAsia="Times New Roman" w:cs="Times New Roman"/>
      <w:sz w:val="20"/>
      <w:szCs w:val="20"/>
      <w:lang w:val="es-ES" w:eastAsia="ar-SA"/>
    </w:rPr>
  </w:style>
  <w:style w:type="character" w:customStyle="1" w:styleId="112">
    <w:name w:val="Texto independiente 3 Car"/>
    <w:basedOn w:val="11"/>
    <w:link w:val="40"/>
    <w:uiPriority w:val="0"/>
    <w:rPr>
      <w:rFonts w:ascii="Times New Roman" w:hAnsi="Times New Roman" w:eastAsia="Times New Roman" w:cs="Times New Roman"/>
      <w:sz w:val="16"/>
      <w:szCs w:val="16"/>
      <w:lang w:val="es-ES" w:eastAsia="es-ES"/>
    </w:rPr>
  </w:style>
  <w:style w:type="paragraph" w:customStyle="1" w:styleId="113">
    <w:name w:val="Párrafo de lista1"/>
    <w:basedOn w:val="1"/>
    <w:uiPriority w:val="0"/>
    <w:pPr>
      <w:spacing w:after="0" w:line="240" w:lineRule="auto"/>
      <w:ind w:left="720"/>
      <w:contextualSpacing/>
    </w:pPr>
    <w:rPr>
      <w:rFonts w:ascii="Times New Roman" w:hAnsi="Times New Roman" w:eastAsia="Times New Roman" w:cs="Times New Roman"/>
      <w:sz w:val="20"/>
      <w:szCs w:val="20"/>
      <w:lang w:eastAsia="es-ES"/>
    </w:rPr>
  </w:style>
  <w:style w:type="paragraph" w:customStyle="1" w:styleId="114">
    <w:name w:val="Texto independiente 32"/>
    <w:basedOn w:val="1"/>
    <w:uiPriority w:val="0"/>
    <w:pPr>
      <w:tabs>
        <w:tab w:val="center" w:pos="0"/>
        <w:tab w:val="center" w:pos="426"/>
      </w:tabs>
      <w:suppressAutoHyphens/>
      <w:spacing w:after="0" w:line="240" w:lineRule="auto"/>
      <w:jc w:val="both"/>
    </w:pPr>
    <w:rPr>
      <w:rFonts w:ascii="Arial" w:hAnsi="Arial" w:eastAsia="Times New Roman" w:cs="Times New Roman"/>
      <w:b/>
      <w:sz w:val="24"/>
      <w:szCs w:val="24"/>
      <w:lang w:eastAsia="ar-SA"/>
    </w:rPr>
  </w:style>
  <w:style w:type="character" w:customStyle="1" w:styleId="115">
    <w:name w:val="1 Car"/>
    <w:link w:val="60"/>
    <w:uiPriority w:val="99"/>
    <w:rPr>
      <w:rFonts w:ascii="Tahoma" w:hAnsi="Tahoma" w:eastAsia="Times New Roman" w:cs="Times New Roman"/>
      <w:sz w:val="24"/>
      <w:szCs w:val="20"/>
      <w:lang w:val="es-ES" w:eastAsia="es-ES"/>
    </w:rPr>
  </w:style>
  <w:style w:type="paragraph" w:customStyle="1" w:styleId="116">
    <w:name w:val="C1"/>
    <w:basedOn w:val="1"/>
    <w:uiPriority w:val="0"/>
    <w:pPr>
      <w:spacing w:before="120" w:after="120" w:line="240" w:lineRule="auto"/>
      <w:jc w:val="both"/>
    </w:pPr>
    <w:rPr>
      <w:rFonts w:ascii="Arial" w:hAnsi="Arial" w:eastAsia="Times New Roman" w:cs="Arial"/>
      <w:szCs w:val="20"/>
      <w:lang w:val="es-MX" w:eastAsia="es-ES"/>
    </w:rPr>
  </w:style>
  <w:style w:type="paragraph" w:customStyle="1" w:styleId="117">
    <w:name w:val="Subtítulo 2"/>
    <w:basedOn w:val="38"/>
    <w:next w:val="1"/>
    <w:uiPriority w:val="0"/>
    <w:pPr>
      <w:tabs>
        <w:tab w:val="left" w:pos="567"/>
      </w:tabs>
      <w:spacing w:after="0" w:line="240" w:lineRule="auto"/>
      <w:ind w:left="567" w:hanging="737"/>
      <w:jc w:val="both"/>
      <w:outlineLvl w:val="1"/>
    </w:pPr>
    <w:rPr>
      <w:rFonts w:ascii="Arial" w:hAnsi="Arial" w:eastAsia="Times New Roman"/>
      <w:b/>
      <w:color w:val="000000"/>
      <w:spacing w:val="0"/>
      <w:sz w:val="20"/>
      <w:szCs w:val="20"/>
      <w:lang w:eastAsia="es-ES"/>
    </w:rPr>
  </w:style>
  <w:style w:type="character" w:customStyle="1" w:styleId="118">
    <w:name w:val="Subtítulo Car"/>
    <w:basedOn w:val="11"/>
    <w:link w:val="38"/>
    <w:uiPriority w:val="11"/>
    <w:rPr>
      <w:rFonts w:ascii="Calibri" w:hAnsi="Calibri" w:eastAsia="MS Mincho" w:cs="Times New Roman"/>
      <w:color w:val="5A5A5A"/>
      <w:spacing w:val="15"/>
    </w:rPr>
  </w:style>
  <w:style w:type="paragraph" w:customStyle="1" w:styleId="119">
    <w:name w:val="Revision"/>
    <w:hidden/>
    <w:semiHidden/>
    <w:uiPriority w:val="99"/>
    <w:pPr>
      <w:spacing w:after="0" w:line="240" w:lineRule="auto"/>
    </w:pPr>
    <w:rPr>
      <w:rFonts w:ascii="Calibri" w:hAnsi="Calibri" w:eastAsia="Calibri" w:cs="Times New Roman"/>
      <w:sz w:val="22"/>
      <w:szCs w:val="22"/>
      <w:lang w:val="es-CO" w:eastAsia="en-US" w:bidi="ar-SA"/>
    </w:rPr>
  </w:style>
  <w:style w:type="character" w:customStyle="1" w:styleId="120">
    <w:name w:val="Saludo Car"/>
    <w:basedOn w:val="11"/>
    <w:link w:val="36"/>
    <w:uiPriority w:val="0"/>
    <w:rPr>
      <w:rFonts w:ascii="Times New Roman" w:hAnsi="Times New Roman" w:eastAsia="Times New Roman" w:cs="Times New Roman"/>
      <w:lang w:eastAsia="es-ES"/>
    </w:rPr>
  </w:style>
  <w:style w:type="paragraph" w:customStyle="1" w:styleId="121">
    <w:name w:val="Sangría 2 de t. independiente2"/>
    <w:basedOn w:val="1"/>
    <w:uiPriority w:val="0"/>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hAnsi="Arial" w:eastAsia="Times New Roman" w:cs="Times New Roman"/>
      <w:spacing w:val="-3"/>
      <w:sz w:val="24"/>
      <w:szCs w:val="20"/>
      <w:lang w:eastAsia="es-ES"/>
    </w:rPr>
  </w:style>
  <w:style w:type="paragraph" w:customStyle="1" w:styleId="122">
    <w:name w:val="Texto independiente 216"/>
    <w:basedOn w:val="1"/>
    <w:uiPriority w:val="0"/>
    <w:pPr>
      <w:widowControl w:val="0"/>
      <w:tabs>
        <w:tab w:val="left" w:pos="0"/>
      </w:tabs>
      <w:suppressAutoHyphens/>
      <w:overflowPunct w:val="0"/>
      <w:autoSpaceDE w:val="0"/>
      <w:autoSpaceDN w:val="0"/>
      <w:adjustRightInd w:val="0"/>
      <w:spacing w:after="0" w:line="240" w:lineRule="auto"/>
      <w:ind w:left="1440"/>
      <w:jc w:val="both"/>
      <w:textAlignment w:val="baseline"/>
    </w:pPr>
    <w:rPr>
      <w:rFonts w:ascii="Arial" w:hAnsi="Arial" w:eastAsia="SimSun" w:cs="Times New Roman"/>
      <w:spacing w:val="-3"/>
      <w:sz w:val="24"/>
      <w:szCs w:val="20"/>
      <w:lang w:eastAsia="es-ES"/>
    </w:rPr>
  </w:style>
  <w:style w:type="paragraph" w:customStyle="1" w:styleId="123">
    <w:name w:val="Sangría 2 de t. independiente3"/>
    <w:basedOn w:val="1"/>
    <w:uiPriority w:val="0"/>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hAnsi="Arial" w:eastAsia="SimSun" w:cs="Times New Roman"/>
      <w:spacing w:val="-3"/>
      <w:sz w:val="24"/>
      <w:szCs w:val="20"/>
      <w:lang w:eastAsia="es-ES"/>
    </w:rPr>
  </w:style>
  <w:style w:type="paragraph" w:customStyle="1" w:styleId="124">
    <w:name w:val="Body Text Indent 22"/>
    <w:basedOn w:val="1"/>
    <w:uiPriority w:val="0"/>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hAnsi="Arial" w:eastAsia="Times New Roman" w:cs="Times New Roman"/>
      <w:spacing w:val="-3"/>
      <w:sz w:val="24"/>
      <w:szCs w:val="20"/>
      <w:lang w:eastAsia="es-ES"/>
    </w:rPr>
  </w:style>
  <w:style w:type="paragraph" w:customStyle="1" w:styleId="125">
    <w:name w:val="Articulo"/>
    <w:basedOn w:val="1"/>
    <w:next w:val="1"/>
    <w:uiPriority w:val="0"/>
    <w:pPr>
      <w:tabs>
        <w:tab w:val="left" w:pos="1440"/>
      </w:tabs>
      <w:spacing w:after="120" w:line="240" w:lineRule="auto"/>
      <w:jc w:val="both"/>
    </w:pPr>
    <w:rPr>
      <w:rFonts w:ascii="Arial" w:hAnsi="Arial" w:eastAsia="Times New Roman" w:cs="Times New Roman"/>
      <w:snapToGrid w:val="0"/>
      <w:sz w:val="24"/>
      <w:szCs w:val="20"/>
      <w:lang w:val="es-ES" w:eastAsia="es-ES"/>
    </w:rPr>
  </w:style>
  <w:style w:type="character" w:customStyle="1" w:styleId="126">
    <w:name w:val="Texto nota al final Car"/>
    <w:basedOn w:val="11"/>
    <w:link w:val="24"/>
    <w:semiHidden/>
    <w:uiPriority w:val="99"/>
    <w:rPr>
      <w:rFonts w:ascii="Calibri" w:hAnsi="Calibri" w:eastAsia="Calibri" w:cs="Times New Roman"/>
      <w:sz w:val="20"/>
      <w:szCs w:val="20"/>
    </w:rPr>
  </w:style>
  <w:style w:type="paragraph" w:customStyle="1" w:styleId="127">
    <w:name w:val="Body Text 21"/>
    <w:basedOn w:val="1"/>
    <w:uiPriority w:val="0"/>
    <w:pPr>
      <w:widowControl w:val="0"/>
      <w:autoSpaceDE w:val="0"/>
      <w:autoSpaceDN w:val="0"/>
      <w:spacing w:after="0" w:line="240" w:lineRule="auto"/>
      <w:jc w:val="both"/>
    </w:pPr>
    <w:rPr>
      <w:rFonts w:ascii="Arial" w:hAnsi="Arial" w:eastAsia="Times New Roman" w:cs="Times New Roman"/>
      <w:sz w:val="24"/>
      <w:szCs w:val="24"/>
      <w:lang w:val="es-ES" w:eastAsia="es-ES"/>
    </w:rPr>
  </w:style>
  <w:style w:type="character" w:customStyle="1" w:styleId="128">
    <w:name w:val="Puesto Car"/>
    <w:uiPriority w:val="0"/>
    <w:rPr>
      <w:rFonts w:ascii="Times New Roman" w:hAnsi="Times New Roman" w:eastAsia="Times New Roman"/>
      <w:b/>
      <w:bCs/>
      <w:szCs w:val="24"/>
      <w:lang w:eastAsia="zh-CN"/>
    </w:rPr>
  </w:style>
  <w:style w:type="paragraph" w:customStyle="1" w:styleId="129">
    <w:name w:val="textoindependienteprimerasangra21"/>
    <w:basedOn w:val="1"/>
    <w:uiPriority w:val="0"/>
    <w:pPr>
      <w:spacing w:before="100" w:beforeAutospacing="1" w:after="100" w:afterAutospacing="1" w:line="240" w:lineRule="auto"/>
    </w:pPr>
    <w:rPr>
      <w:rFonts w:ascii="Times New Roman" w:hAnsi="Times New Roman" w:eastAsia="Calibri" w:cs="Times New Roman"/>
      <w:sz w:val="24"/>
      <w:szCs w:val="24"/>
      <w:lang/>
    </w:rPr>
  </w:style>
  <w:style w:type="paragraph" w:customStyle="1" w:styleId="130">
    <w:name w:val="listaconvietas31"/>
    <w:basedOn w:val="1"/>
    <w:uiPriority w:val="0"/>
    <w:pPr>
      <w:spacing w:before="100" w:beforeAutospacing="1" w:after="100" w:afterAutospacing="1" w:line="240" w:lineRule="auto"/>
    </w:pPr>
    <w:rPr>
      <w:rFonts w:ascii="Times New Roman" w:hAnsi="Times New Roman" w:eastAsia="Calibri" w:cs="Times New Roman"/>
      <w:sz w:val="24"/>
      <w:szCs w:val="24"/>
      <w:lang/>
    </w:rPr>
  </w:style>
  <w:style w:type="table" w:customStyle="1" w:styleId="131">
    <w:name w:val="Tabla con cuadrícula1"/>
    <w:basedOn w:val="12"/>
    <w:uiPriority w:val="39"/>
    <w:pPr>
      <w:spacing w:after="0" w:line="240" w:lineRule="auto"/>
    </w:pPr>
    <w:rPr>
      <w:rFonts w:ascii="Times New Roman" w:hAnsi="Times New Roman" w:eastAsia="Times New Roman"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2">
    <w:name w:val="Sangría 3 de t. independiente Car"/>
    <w:basedOn w:val="11"/>
    <w:link w:val="31"/>
    <w:uiPriority w:val="99"/>
    <w:rPr>
      <w:rFonts w:ascii="Arial" w:hAnsi="Arial" w:eastAsia="Times New Roman" w:cs="Times New Roman"/>
      <w:bCs/>
      <w:color w:val="000000"/>
      <w:sz w:val="16"/>
      <w:szCs w:val="16"/>
      <w:lang w:val="es-ES" w:eastAsia="es-ES"/>
    </w:rPr>
  </w:style>
  <w:style w:type="character" w:customStyle="1" w:styleId="133">
    <w:name w:val="Unresolved Mention"/>
    <w:semiHidden/>
    <w:unhideWhenUsed/>
    <w:uiPriority w:val="99"/>
    <w:rPr>
      <w:color w:val="605E5C"/>
      <w:shd w:val="clear" w:color="auto" w:fill="E1DFDD"/>
    </w:rPr>
  </w:style>
  <w:style w:type="paragraph" w:customStyle="1" w:styleId="134">
    <w:name w:val="Secciones  (Título 3)"/>
    <w:basedOn w:val="1"/>
    <w:uiPriority w:val="0"/>
    <w:pPr>
      <w:spacing w:after="0" w:line="240" w:lineRule="auto"/>
    </w:pPr>
    <w:rPr>
      <w:rFonts w:ascii="Times New Roman" w:hAnsi="Times New Roman" w:eastAsia="Times New Roman" w:cs="Times New Roman"/>
      <w:sz w:val="24"/>
      <w:szCs w:val="24"/>
      <w:lang w:eastAsia="es-CO"/>
    </w:rPr>
  </w:style>
  <w:style w:type="paragraph" w:customStyle="1" w:styleId="135">
    <w:name w:val="Capitulo 2"/>
    <w:basedOn w:val="1"/>
    <w:autoRedefine/>
    <w:qFormat/>
    <w:uiPriority w:val="0"/>
    <w:pPr>
      <w:keepNext/>
      <w:spacing w:after="0" w:line="240" w:lineRule="auto"/>
      <w:ind w:left="360" w:right="142"/>
      <w:jc w:val="both"/>
      <w:outlineLvl w:val="1"/>
    </w:pPr>
    <w:rPr>
      <w:rFonts w:ascii="Arial Narrow" w:hAnsi="Arial Narrow" w:eastAsia="Arial" w:cs="Arial"/>
      <w:bCs/>
      <w:lang w:eastAsia="es-CO"/>
    </w:rPr>
  </w:style>
  <w:style w:type="paragraph" w:customStyle="1" w:styleId="136">
    <w:name w:val="Capitulo 3"/>
    <w:basedOn w:val="1"/>
    <w:qFormat/>
    <w:uiPriority w:val="0"/>
    <w:pPr>
      <w:keepNext/>
      <w:numPr>
        <w:ilvl w:val="0"/>
        <w:numId w:val="5"/>
      </w:numPr>
      <w:spacing w:before="120"/>
      <w:outlineLvl w:val="1"/>
    </w:pPr>
    <w:rPr>
      <w:rFonts w:ascii="Times New Roman" w:hAnsi="Times New Roman" w:eastAsia="Times New Roman" w:cs="Arial"/>
      <w:b/>
      <w:color w:val="000000"/>
      <w:sz w:val="24"/>
      <w:szCs w:val="20"/>
      <w:lang w:eastAsia="es-CO"/>
    </w:rPr>
  </w:style>
  <w:style w:type="table" w:customStyle="1" w:styleId="137">
    <w:name w:val="TableGrid"/>
    <w:uiPriority w:val="0"/>
    <w:pPr>
      <w:spacing w:after="0" w:line="240" w:lineRule="auto"/>
    </w:pPr>
    <w:rPr>
      <w:rFonts w:eastAsiaTheme="minorEastAsia"/>
      <w:kern w:val="2"/>
      <w:sz w:val="24"/>
      <w:szCs w:val="24"/>
      <w:lang w:eastAsia="es-CO"/>
      <w14:ligatures w14:val="standardContextual"/>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0" Type="http://schemas.openxmlformats.org/officeDocument/2006/relationships/fontTable" Target="fontTable.xml"/><Relationship Id="rId3" Type="http://schemas.openxmlformats.org/officeDocument/2006/relationships/footnotes" Target="footnotes.xml"/><Relationship Id="rId29" Type="http://schemas.openxmlformats.org/officeDocument/2006/relationships/customXml" Target="../customXml/item1.xml"/><Relationship Id="rId28" Type="http://schemas.openxmlformats.org/officeDocument/2006/relationships/numbering" Target="numbering.xml"/><Relationship Id="rId27" Type="http://schemas.openxmlformats.org/officeDocument/2006/relationships/image" Target="cid:image011.jpg@01D3D0AD.1E246E60" TargetMode="External"/><Relationship Id="rId26" Type="http://schemas.openxmlformats.org/officeDocument/2006/relationships/image" Target="media/image15.jpeg"/><Relationship Id="rId25" Type="http://schemas.openxmlformats.org/officeDocument/2006/relationships/image" Target="cid:image010.jpg@01D3D0AD.1E246E60" TargetMode="External"/><Relationship Id="rId24" Type="http://schemas.openxmlformats.org/officeDocument/2006/relationships/image" Target="media/image14.jpeg"/><Relationship Id="rId23" Type="http://schemas.openxmlformats.org/officeDocument/2006/relationships/image" Target="media/image13.wmf"/><Relationship Id="rId22" Type="http://schemas.openxmlformats.org/officeDocument/2006/relationships/image" Target="media/image12.wmf"/><Relationship Id="rId21" Type="http://schemas.openxmlformats.org/officeDocument/2006/relationships/image" Target="cid:image008.jpg@01D3D0AD.1E246E60" TargetMode="External"/><Relationship Id="rId20" Type="http://schemas.openxmlformats.org/officeDocument/2006/relationships/image" Target="media/image11.jpeg"/><Relationship Id="rId2" Type="http://schemas.openxmlformats.org/officeDocument/2006/relationships/settings" Target="settings.xml"/><Relationship Id="rId19" Type="http://schemas.openxmlformats.org/officeDocument/2006/relationships/image" Target="cid:image007.jpg@01D3D0AD.1E246E60" TargetMode="External"/><Relationship Id="rId18" Type="http://schemas.openxmlformats.org/officeDocument/2006/relationships/image" Target="media/image10.jpeg"/><Relationship Id="rId17" Type="http://schemas.openxmlformats.org/officeDocument/2006/relationships/image" Target="media/image9.wmf"/><Relationship Id="rId16" Type="http://schemas.openxmlformats.org/officeDocument/2006/relationships/image" Target="media/image8.wmf"/><Relationship Id="rId15" Type="http://schemas.openxmlformats.org/officeDocument/2006/relationships/image" Target="cid:image004.jpg@01D3D0AD.1E246E60" TargetMode="External"/><Relationship Id="rId14" Type="http://schemas.openxmlformats.org/officeDocument/2006/relationships/image" Target="media/image7.jpeg"/><Relationship Id="rId13" Type="http://schemas.openxmlformats.org/officeDocument/2006/relationships/image" Target="cid:image003.jpg@01D3D0AD.1E246E60" TargetMode="External"/><Relationship Id="rId12" Type="http://schemas.openxmlformats.org/officeDocument/2006/relationships/image" Target="media/image6.jpeg"/><Relationship Id="rId11" Type="http://schemas.openxmlformats.org/officeDocument/2006/relationships/image" Target="media/image5.wmf"/><Relationship Id="rId10" Type="http://schemas.openxmlformats.org/officeDocument/2006/relationships/image" Target="media/image4.wmf"/><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F7376-4396-5444-9C4D-C1CCB07A16DF}">
  <ds:schemaRefs/>
</ds:datastoreItem>
</file>

<file path=docProps/app.xml><?xml version="1.0" encoding="utf-8"?>
<Properties xmlns="http://schemas.openxmlformats.org/officeDocument/2006/extended-properties" xmlns:vt="http://schemas.openxmlformats.org/officeDocument/2006/docPropsVTypes">
  <Template>Normal</Template>
  <Pages>60</Pages>
  <Words>26727</Words>
  <Characters>144127</Characters>
  <Lines>1221</Lines>
  <Paragraphs>345</Paragraphs>
  <TotalTime>18</TotalTime>
  <ScaleCrop>false</ScaleCrop>
  <LinksUpToDate>false</LinksUpToDate>
  <CharactersWithSpaces>170817</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2026-10-20T14:01:00Z</dcterms:created>
  <dc:creator>Diana Maria Contreras Ocampo</dc:creator>
  <cp:lastModifiedBy>ANGELICA ORTEGA J</cp:lastModifiedBy>
  <cp:lastPrinted>2018-04-06T21:44:00Z</cp:lastPrinted>
  <dcterms:modified xsi:type="dcterms:W3CDTF">2026-10-21T00:05:28Z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eyJoZGlkIjoiMWQxNDI3MjA5NDFjYjAxNWVkMGVkOWI3ZTA2YzdkYzQifQ==</vt:lpwstr>
  </property>
  <property fmtid="{D5CDD505-2E9C-101B-9397-08002B2CF9AE}" pid="3" name="KSOProductBuildVer">
    <vt:lpwstr>2058-12.1.0.29162</vt:lpwstr>
  </property>
  <property fmtid="{D5CDD505-2E9C-101B-9397-08002B2CF9AE}" pid="4" name="ICV">
    <vt:lpwstr>3BAF4A3F9C254A509D0C72016E43B00B_12</vt:lpwstr>
  </property>
</Properties>
</file>