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645D9" w14:textId="77777777" w:rsidR="00A33EF0" w:rsidRPr="00AB0B3B" w:rsidRDefault="009F6FD8">
      <w:pPr>
        <w:jc w:val="center"/>
        <w:rPr>
          <w:rFonts w:cs="Arial"/>
        </w:rPr>
      </w:pPr>
      <w:r w:rsidRPr="00AB0B3B">
        <w:rPr>
          <w:rFonts w:cs="Arial"/>
          <w:b/>
          <w:sz w:val="28"/>
        </w:rPr>
        <w:t>ANEXO TÉCNICO</w:t>
      </w:r>
    </w:p>
    <w:p w14:paraId="32B288FF" w14:textId="77777777" w:rsidR="00A33EF0" w:rsidRPr="00AB0B3B" w:rsidRDefault="009F6FD8">
      <w:pPr>
        <w:jc w:val="center"/>
        <w:rPr>
          <w:rFonts w:cs="Arial"/>
        </w:rPr>
      </w:pPr>
      <w:r w:rsidRPr="00AB0B3B">
        <w:rPr>
          <w:rFonts w:cs="Arial"/>
          <w:b/>
          <w:sz w:val="24"/>
        </w:rPr>
        <w:t>ALCANCE Y CONDICIONES GENERALES PARA LA EJECUCIÓN DEL CONTRATO DE SEÑALIZACIÓN VIAL</w:t>
      </w:r>
    </w:p>
    <w:p w14:paraId="0FBBBA87" w14:textId="77777777" w:rsidR="00A33EF0" w:rsidRPr="00AB0B3B" w:rsidRDefault="009F6FD8">
      <w:pPr>
        <w:pStyle w:val="Ttulo1"/>
        <w:rPr>
          <w:rFonts w:ascii="Arial" w:hAnsi="Arial" w:cs="Arial"/>
        </w:rPr>
      </w:pPr>
      <w:r w:rsidRPr="00AB0B3B">
        <w:rPr>
          <w:rFonts w:ascii="Arial" w:hAnsi="Arial" w:cs="Arial"/>
        </w:rPr>
        <w:t>OBJETO Y FINALIDAD DEL ANEXO TÉCNICO</w:t>
      </w:r>
    </w:p>
    <w:p w14:paraId="2FEF92C4" w14:textId="033B0136" w:rsidR="00A33EF0" w:rsidRPr="00AB0B3B" w:rsidRDefault="009F6FD8">
      <w:pPr>
        <w:rPr>
          <w:rFonts w:cs="Arial"/>
        </w:rPr>
      </w:pPr>
      <w:r w:rsidRPr="00AB0B3B">
        <w:rPr>
          <w:rFonts w:cs="Arial"/>
        </w:rPr>
        <w:t>El presente Anexo Técnico establece el alcance y las condiciones técnicas generales bajo las cuales se ejecutará el contrato cuyo objeto es “</w:t>
      </w:r>
      <w:r w:rsidR="00E3707B" w:rsidRPr="00E3707B">
        <w:rPr>
          <w:rFonts w:cs="Arial"/>
        </w:rPr>
        <w:t>SUMINISTRO, MANTENIMIENTO E INSTALACIÓN DE SEÑALIZACIÓN EN LAS VÍAS DEL MUNICIPIO DE DUITAMA</w:t>
      </w:r>
      <w:r w:rsidRPr="00AB0B3B">
        <w:rPr>
          <w:rFonts w:cs="Arial"/>
        </w:rPr>
        <w:t>”, y articula las reglas de identificación, autorización, programación, ejecución, medición, control, registro y cierre de las intervenciones que sean requeridas por la Secretaría de Tránsito y Transporte de Duitama – STT.</w:t>
      </w:r>
    </w:p>
    <w:p w14:paraId="14DE3080" w14:textId="77777777" w:rsidR="00A33EF0" w:rsidRPr="00AB0B3B" w:rsidRDefault="009F6FD8">
      <w:pPr>
        <w:rPr>
          <w:rFonts w:cs="Arial"/>
        </w:rPr>
      </w:pPr>
      <w:r w:rsidRPr="00AB0B3B">
        <w:rPr>
          <w:rFonts w:cs="Arial"/>
        </w:rPr>
        <w:t>Su finalidad es definir el marco operativo común para la ejecución contractual, sin duplicar las especificaciones particulares de materiales, procedimientos, controles de calidad, información geográfica o garantías técnicas, las cuales se desarrollan en los Apéndices A, B, C y D y en los demás documentos que integran el proceso.</w:t>
      </w:r>
    </w:p>
    <w:p w14:paraId="2AF75EAD" w14:textId="77777777" w:rsidR="00A33EF0" w:rsidRPr="00AB0B3B" w:rsidRDefault="009F6FD8">
      <w:pPr>
        <w:rPr>
          <w:rFonts w:cs="Arial"/>
        </w:rPr>
      </w:pPr>
      <w:r w:rsidRPr="00AB0B3B">
        <w:rPr>
          <w:rFonts w:cs="Arial"/>
        </w:rPr>
        <w:t>Las intervenciones deberán atender el Manual de Señalización Vial vigente adoptado por el Ministerio de Transporte, las normas técnicas aplicables, los diseños o soportes técnicos correspondientes, las Órdenes de Intervención emitidas por la STT y las demás condiciones establecidas en los documentos contractuales.</w:t>
      </w:r>
    </w:p>
    <w:p w14:paraId="6EF7EF92" w14:textId="77777777" w:rsidR="00A33EF0" w:rsidRPr="00AB0B3B" w:rsidRDefault="009F6FD8">
      <w:pPr>
        <w:pStyle w:val="Ttulo1"/>
        <w:rPr>
          <w:rFonts w:ascii="Arial" w:hAnsi="Arial" w:cs="Arial"/>
        </w:rPr>
      </w:pPr>
      <w:r w:rsidRPr="00AB0B3B">
        <w:rPr>
          <w:rFonts w:ascii="Arial" w:hAnsi="Arial" w:cs="Arial"/>
        </w:rPr>
        <w:t>ALCANCE GENERAL DEL CONTRATO</w:t>
      </w:r>
    </w:p>
    <w:p w14:paraId="38AE98A2" w14:textId="77777777" w:rsidR="00A33EF0" w:rsidRPr="00AB0B3B" w:rsidRDefault="009F6FD8">
      <w:pPr>
        <w:rPr>
          <w:rFonts w:cs="Arial"/>
        </w:rPr>
      </w:pPr>
      <w:r w:rsidRPr="00AB0B3B">
        <w:rPr>
          <w:rFonts w:cs="Arial"/>
        </w:rPr>
        <w:t>El contrato comprende la capacidad de intervención requerida por la Entidad para atender necesidades verificadas y priorizadas de señalización vial y de dispositivos para la regulación y seguridad del tránsito en la red vial bajo competencia del Municipio de Duitama, de acuerdo con los ítems efectivamente incorporados en el presupuesto contractual.</w:t>
      </w:r>
    </w:p>
    <w:p w14:paraId="1D223FF7" w14:textId="77777777" w:rsidR="00A33EF0" w:rsidRPr="00AB0B3B" w:rsidRDefault="009F6FD8">
      <w:pPr>
        <w:rPr>
          <w:rFonts w:cs="Arial"/>
        </w:rPr>
      </w:pPr>
      <w:r w:rsidRPr="00AB0B3B">
        <w:rPr>
          <w:rFonts w:cs="Arial"/>
        </w:rPr>
        <w:t>Según la necesidad particular de cada punto, tramo o sector y el alcance de los ítems contratados, las actuaciones podrán comprender suministro, instalación, implementación, mantenimiento, rehabilitación, reposición, retiro, reubicación y demás actividades complementarias necesarias para obtener elementos terminados, funcionales y técnicamente aceptables.</w:t>
      </w:r>
    </w:p>
    <w:p w14:paraId="158EF20D" w14:textId="61CB18B3" w:rsidR="00AE127D" w:rsidRPr="00AB0B3B" w:rsidRDefault="009F6FD8">
      <w:pPr>
        <w:rPr>
          <w:rFonts w:cs="Arial"/>
        </w:rPr>
      </w:pPr>
      <w:r w:rsidRPr="00AB0B3B">
        <w:rPr>
          <w:rFonts w:cs="Arial"/>
        </w:rPr>
        <w:t>La inclusión de una actividad o elemento dentro del presupuesto, de los análisis de precios unitarios o de los apéndices técnicos no constituye por sí sola autorización para su ejecución.</w:t>
      </w:r>
      <w:r w:rsidR="00AE127D">
        <w:rPr>
          <w:rFonts w:cs="Arial"/>
        </w:rPr>
        <w:t xml:space="preserve"> </w:t>
      </w:r>
      <w:r w:rsidR="00AE127D" w:rsidRPr="00AE127D">
        <w:rPr>
          <w:rFonts w:cs="Arial"/>
        </w:rPr>
        <w:t>Toda intervención deberá responder a una necesidad técnicamente identificada y contar previamente con la correspondiente Orden de Intervención emitida por la STT.</w:t>
      </w:r>
    </w:p>
    <w:p w14:paraId="0B915CEE" w14:textId="77777777" w:rsidR="00A33EF0" w:rsidRPr="00AB0B3B" w:rsidRDefault="009F6FD8">
      <w:pPr>
        <w:pStyle w:val="Ttulo1"/>
        <w:rPr>
          <w:rFonts w:ascii="Arial" w:hAnsi="Arial" w:cs="Arial"/>
        </w:rPr>
      </w:pPr>
      <w:r w:rsidRPr="00AB0B3B">
        <w:rPr>
          <w:rFonts w:ascii="Arial" w:hAnsi="Arial" w:cs="Arial"/>
        </w:rPr>
        <w:t>COMPONENTES Y ACTIVIDADES OBJETO DE INTERVENCIÓN</w:t>
      </w:r>
    </w:p>
    <w:p w14:paraId="62A6DC24" w14:textId="77777777" w:rsidR="00A33EF0" w:rsidRPr="00AB0B3B" w:rsidRDefault="009F6FD8">
      <w:pPr>
        <w:rPr>
          <w:rFonts w:cs="Arial"/>
        </w:rPr>
      </w:pPr>
      <w:r w:rsidRPr="00AB0B3B">
        <w:rPr>
          <w:rFonts w:cs="Arial"/>
        </w:rPr>
        <w:t>El alcance técnico se estructura en los siguientes componentes, siempre que la actividad correspondiente se encuentre prevista en el presupuesto contractual:</w:t>
      </w:r>
    </w:p>
    <w:p w14:paraId="36584E6F" w14:textId="31BDCC83" w:rsidR="00A33EF0" w:rsidRPr="00AB0B3B" w:rsidRDefault="009F6FD8" w:rsidP="00AB0B3B">
      <w:pPr>
        <w:pStyle w:val="Prrafodelista"/>
        <w:numPr>
          <w:ilvl w:val="0"/>
          <w:numId w:val="18"/>
        </w:numPr>
        <w:rPr>
          <w:rFonts w:cs="Arial"/>
        </w:rPr>
      </w:pPr>
      <w:r w:rsidRPr="00AB0B3B">
        <w:rPr>
          <w:rFonts w:cs="Arial"/>
          <w:b/>
          <w:bCs/>
        </w:rPr>
        <w:t xml:space="preserve">Señalización horizontal: </w:t>
      </w:r>
      <w:r w:rsidRPr="00AB0B3B">
        <w:rPr>
          <w:rFonts w:cs="Arial"/>
        </w:rPr>
        <w:t>implementación, mantenimiento, reposición o mejoramiento de líneas, marcas, símbolos, textos, pasos peatonales, zonas de detención y demás demarcaciones autorizadas.</w:t>
      </w:r>
    </w:p>
    <w:p w14:paraId="74C5CDBD" w14:textId="19CBABB5" w:rsidR="00A33EF0" w:rsidRPr="00AB0B3B" w:rsidRDefault="009F6FD8" w:rsidP="00AB0B3B">
      <w:pPr>
        <w:pStyle w:val="Prrafodelista"/>
        <w:numPr>
          <w:ilvl w:val="0"/>
          <w:numId w:val="18"/>
        </w:numPr>
        <w:rPr>
          <w:rFonts w:cs="Arial"/>
        </w:rPr>
      </w:pPr>
      <w:r w:rsidRPr="00AB0B3B">
        <w:rPr>
          <w:rFonts w:cs="Arial"/>
          <w:b/>
          <w:bCs/>
        </w:rPr>
        <w:t xml:space="preserve">Señalización vertical: </w:t>
      </w:r>
      <w:r w:rsidRPr="00AB0B3B">
        <w:rPr>
          <w:rFonts w:cs="Arial"/>
        </w:rPr>
        <w:t>suministro e instalación de elementos nuevos y, cuando corresponda, mantenimiento, rehabilitación, reposición, retiro o reubicación de señales, tableros, soportes, cimentaciones y elementos asociados.</w:t>
      </w:r>
    </w:p>
    <w:p w14:paraId="6372CE8F" w14:textId="7FADFA19" w:rsidR="00A33EF0" w:rsidRPr="00AB0B3B" w:rsidRDefault="009F6FD8" w:rsidP="00AB0B3B">
      <w:pPr>
        <w:pStyle w:val="Prrafodelista"/>
        <w:numPr>
          <w:ilvl w:val="0"/>
          <w:numId w:val="18"/>
        </w:numPr>
        <w:rPr>
          <w:rFonts w:cs="Arial"/>
        </w:rPr>
      </w:pPr>
      <w:r w:rsidRPr="00AB0B3B">
        <w:rPr>
          <w:rFonts w:cs="Arial"/>
          <w:b/>
          <w:bCs/>
        </w:rPr>
        <w:t>Dispositivos para la regulación y seguridad del tránsito:</w:t>
      </w:r>
      <w:r w:rsidRPr="00AB0B3B">
        <w:rPr>
          <w:rFonts w:cs="Arial"/>
        </w:rPr>
        <w:t xml:space="preserve"> suministro, instalación, reposición, mantenimiento o adecuación de los dispositivos previstos contractualmente, tales como tachas, estoperoles, tachones, hitos, bordillos, bandas alertadoras, reductores y demás elementos incluidos en el presupuesto.</w:t>
      </w:r>
    </w:p>
    <w:p w14:paraId="466B2A60" w14:textId="287B8B8F" w:rsidR="00A33EF0" w:rsidRPr="00AB0B3B" w:rsidRDefault="009F6FD8" w:rsidP="00AB0B3B">
      <w:pPr>
        <w:pStyle w:val="Prrafodelista"/>
        <w:numPr>
          <w:ilvl w:val="0"/>
          <w:numId w:val="18"/>
        </w:numPr>
        <w:rPr>
          <w:rFonts w:cs="Arial"/>
        </w:rPr>
      </w:pPr>
      <w:r w:rsidRPr="00AB0B3B">
        <w:rPr>
          <w:rFonts w:cs="Arial"/>
        </w:rPr>
        <w:lastRenderedPageBreak/>
        <w:t>Actividades complementarias expresamente presupuestadas y necesarias para la correcta ejecución, terminación y funcionalidad de las intervenciones.</w:t>
      </w:r>
    </w:p>
    <w:p w14:paraId="18458A55" w14:textId="41DEF8E5" w:rsidR="00A33EF0" w:rsidRDefault="009F6FD8">
      <w:pPr>
        <w:rPr>
          <w:rFonts w:cs="Arial"/>
        </w:rPr>
      </w:pPr>
      <w:r w:rsidRPr="00AB0B3B">
        <w:rPr>
          <w:rFonts w:cs="Arial"/>
        </w:rPr>
        <w:t>Las especificaciones particulares de materiales, fabricación, suministro, instalación, ejecución, medición y condiciones técnicas de cada actividad se regirán por el Apéndice A – Especificaciones Técnicas.</w:t>
      </w:r>
    </w:p>
    <w:p w14:paraId="3ED8901B" w14:textId="77777777" w:rsidR="00A33EF0" w:rsidRPr="00AB0B3B" w:rsidRDefault="009F6FD8">
      <w:pPr>
        <w:pStyle w:val="Ttulo1"/>
        <w:rPr>
          <w:rFonts w:ascii="Arial" w:hAnsi="Arial" w:cs="Arial"/>
        </w:rPr>
      </w:pPr>
      <w:r w:rsidRPr="00AB0B3B">
        <w:rPr>
          <w:rFonts w:ascii="Arial" w:hAnsi="Arial" w:cs="Arial"/>
        </w:rPr>
        <w:t>ESQUEMA DE EJECUCIÓN POR MONTO AGOTABLE</w:t>
      </w:r>
    </w:p>
    <w:p w14:paraId="151D429D" w14:textId="77777777" w:rsidR="00A33EF0" w:rsidRPr="00AB0B3B" w:rsidRDefault="009F6FD8">
      <w:pPr>
        <w:rPr>
          <w:rFonts w:cs="Arial"/>
        </w:rPr>
      </w:pPr>
      <w:r w:rsidRPr="00AB0B3B">
        <w:rPr>
          <w:rFonts w:cs="Arial"/>
        </w:rPr>
        <w:t>La ejecución se desarrollará bajo un esquema de monto agotable, mediante precios unitarios y hasta concurrencia del valor contractual disponible. Las cantidades incorporadas en el presupuesto constituyen estimaciones utilizadas para la estructuración económica del proceso y la comparación de las ofertas; en consecuencia, no representan cantidades mínimas garantizadas ni generan para la Entidad obligación de consumir la totalidad de las unidades estimadas de cada ítem.</w:t>
      </w:r>
    </w:p>
    <w:p w14:paraId="1E913C9B" w14:textId="77777777" w:rsidR="00A33EF0" w:rsidRPr="00AB0B3B" w:rsidRDefault="009F6FD8">
      <w:pPr>
        <w:rPr>
          <w:rFonts w:cs="Arial"/>
        </w:rPr>
      </w:pPr>
      <w:r w:rsidRPr="00AB0B3B">
        <w:rPr>
          <w:rFonts w:cs="Arial"/>
        </w:rPr>
        <w:t>Las cantidades efectivamente reconocibles corresponderán exclusivamente a actividades previamente autorizadas, efectivamente ejecutadas, medidas, verificadas y recibidas a satisfacción, dentro del monto contractual y conforme a los precios unitarios pactados.</w:t>
      </w:r>
    </w:p>
    <w:p w14:paraId="44CEC94B" w14:textId="77777777" w:rsidR="00A33EF0" w:rsidRPr="00AB0B3B" w:rsidRDefault="009F6FD8">
      <w:pPr>
        <w:rPr>
          <w:rFonts w:cs="Arial"/>
        </w:rPr>
      </w:pPr>
      <w:r w:rsidRPr="00AB0B3B">
        <w:rPr>
          <w:rFonts w:cs="Arial"/>
        </w:rPr>
        <w:t>La distribución del monto entre los diferentes ítems podrá responder a las necesidades verificadas durante la ejecución, sin que ello permita incorporar actividades no previstas contractualmente ni modificar unilateralmente precios, especificaciones o alcance. Cualquier situación que requiera una modificación contractual deberá tramitarse conforme a las reglas aplicables.</w:t>
      </w:r>
    </w:p>
    <w:p w14:paraId="4C0D2AEC" w14:textId="77777777" w:rsidR="00A33EF0" w:rsidRPr="00AB0B3B" w:rsidRDefault="009F6FD8">
      <w:pPr>
        <w:pStyle w:val="Ttulo1"/>
        <w:rPr>
          <w:rFonts w:ascii="Arial" w:hAnsi="Arial" w:cs="Arial"/>
        </w:rPr>
      </w:pPr>
      <w:r w:rsidRPr="00AB0B3B">
        <w:rPr>
          <w:rFonts w:ascii="Arial" w:hAnsi="Arial" w:cs="Arial"/>
        </w:rPr>
        <w:t>IDENTIFICACIÓN, VERIFICACIÓN Y PRIORIZACIÓN DE INTERVENCIONES</w:t>
      </w:r>
    </w:p>
    <w:p w14:paraId="3034700F" w14:textId="77777777" w:rsidR="00A33EF0" w:rsidRPr="00AB0B3B" w:rsidRDefault="009F6FD8">
      <w:pPr>
        <w:rPr>
          <w:rFonts w:cs="Arial"/>
        </w:rPr>
      </w:pPr>
      <w:r w:rsidRPr="00AB0B3B">
        <w:rPr>
          <w:rFonts w:cs="Arial"/>
        </w:rPr>
        <w:t>La STT determinará las intervenciones a ejecutar a partir de las necesidades identificadas mediante inventarios y registros disponibles, visitas y verificaciones de campo, diseños y actuaciones técnicas, información de seguridad vial y siniestralidad, PQRS y solicitudes ciudadanas, requerimientos institucionales, condiciones de operación vial y demás fuentes consideradas en los Estudios y Documentos Previos.</w:t>
      </w:r>
    </w:p>
    <w:p w14:paraId="66BBBE7F" w14:textId="77777777" w:rsidR="00A33EF0" w:rsidRPr="00AB0B3B" w:rsidRDefault="009F6FD8">
      <w:pPr>
        <w:rPr>
          <w:rFonts w:cs="Arial"/>
        </w:rPr>
      </w:pPr>
      <w:r w:rsidRPr="00AB0B3B">
        <w:rPr>
          <w:rFonts w:cs="Arial"/>
        </w:rPr>
        <w:t>La identificación de una necesidad no implica automáticamente su ejecución. Antes de autorizar una intervención, la STT verificará, según corresponda, la competencia sobre la infraestructura, las condiciones reales del sitio, la pertinencia de la solución, la existencia o necesidad de soportes técnicos, la prioridad de atención, la disponibilidad contractual y las condiciones requeridas para ejecutar.</w:t>
      </w:r>
    </w:p>
    <w:p w14:paraId="4B88002D" w14:textId="77777777" w:rsidR="00A33EF0" w:rsidRPr="00AB0B3B" w:rsidRDefault="009F6FD8">
      <w:pPr>
        <w:rPr>
          <w:rFonts w:cs="Arial"/>
        </w:rPr>
      </w:pPr>
      <w:r w:rsidRPr="00AB0B3B">
        <w:rPr>
          <w:rFonts w:cs="Arial"/>
        </w:rPr>
        <w:t>La programación podrá actualizarse durante el plazo contractual en función de nuevas necesidades, cambios en las condiciones de operación, deterioros sobrevinientes, requerimientos de seguridad vial u otras circunstancias técnicamente sustentadas.</w:t>
      </w:r>
    </w:p>
    <w:p w14:paraId="3B7BA9B8" w14:textId="77777777" w:rsidR="00A33EF0" w:rsidRPr="00AB0B3B" w:rsidRDefault="009F6FD8">
      <w:pPr>
        <w:pStyle w:val="Ttulo1"/>
        <w:rPr>
          <w:rFonts w:ascii="Arial" w:hAnsi="Arial" w:cs="Arial"/>
        </w:rPr>
      </w:pPr>
      <w:r w:rsidRPr="00AB0B3B">
        <w:rPr>
          <w:rFonts w:ascii="Arial" w:hAnsi="Arial" w:cs="Arial"/>
        </w:rPr>
        <w:t>ÓRDENES DE INTERVENCIÓN</w:t>
      </w:r>
    </w:p>
    <w:p w14:paraId="122ADCDA" w14:textId="4013A10D" w:rsidR="00A33EF0" w:rsidRPr="00AB0B3B" w:rsidRDefault="009F6FD8">
      <w:pPr>
        <w:rPr>
          <w:rFonts w:cs="Arial"/>
        </w:rPr>
      </w:pPr>
      <w:r w:rsidRPr="00AB0B3B">
        <w:rPr>
          <w:rFonts w:cs="Arial"/>
        </w:rPr>
        <w:t xml:space="preserve">La Orden de Intervención – OI será el instrumento mediante el cual la STT autorice la ejecución de actividades en un punto, tramo o sector determinado. </w:t>
      </w:r>
      <w:r w:rsidR="00AE127D" w:rsidRPr="00AE127D">
        <w:rPr>
          <w:rFonts w:cs="Arial"/>
        </w:rPr>
        <w:t>El Contratista no podrá iniciar actividades físicas sin la respectiva Orden de Intervención.</w:t>
      </w:r>
    </w:p>
    <w:p w14:paraId="116744FB" w14:textId="77777777" w:rsidR="00A33EF0" w:rsidRPr="00AB0B3B" w:rsidRDefault="009F6FD8">
      <w:pPr>
        <w:rPr>
          <w:rFonts w:cs="Arial"/>
        </w:rPr>
      </w:pPr>
      <w:r w:rsidRPr="00AB0B3B">
        <w:rPr>
          <w:rFonts w:cs="Arial"/>
        </w:rPr>
        <w:t>Cada OI contendrá, de acuerdo con la naturaleza de la intervención, como mínimo:</w:t>
      </w:r>
    </w:p>
    <w:p w14:paraId="41CE03FC" w14:textId="300D71FB" w:rsidR="00A33EF0" w:rsidRPr="00AB0B3B" w:rsidRDefault="009F6FD8" w:rsidP="00AB0B3B">
      <w:pPr>
        <w:pStyle w:val="Prrafodelista"/>
        <w:numPr>
          <w:ilvl w:val="0"/>
          <w:numId w:val="18"/>
        </w:numPr>
        <w:rPr>
          <w:rFonts w:cs="Arial"/>
        </w:rPr>
      </w:pPr>
      <w:r w:rsidRPr="00AB0B3B">
        <w:rPr>
          <w:rFonts w:cs="Arial"/>
        </w:rPr>
        <w:t>Identificación o consecutivo de la Orden de Intervención.</w:t>
      </w:r>
    </w:p>
    <w:p w14:paraId="177BBA3C" w14:textId="6F91D127" w:rsidR="00A33EF0" w:rsidRPr="00AB0B3B" w:rsidRDefault="009F6FD8" w:rsidP="00AB0B3B">
      <w:pPr>
        <w:pStyle w:val="Prrafodelista"/>
        <w:numPr>
          <w:ilvl w:val="0"/>
          <w:numId w:val="18"/>
        </w:numPr>
        <w:rPr>
          <w:rFonts w:cs="Arial"/>
        </w:rPr>
      </w:pPr>
      <w:r w:rsidRPr="00AB0B3B">
        <w:rPr>
          <w:rFonts w:cs="Arial"/>
        </w:rPr>
        <w:t>Localización del punto, tramo o sector a intervenir.</w:t>
      </w:r>
    </w:p>
    <w:p w14:paraId="00A4418E" w14:textId="694FA767" w:rsidR="00A33EF0" w:rsidRPr="00AB0B3B" w:rsidRDefault="009F6FD8" w:rsidP="00AB0B3B">
      <w:pPr>
        <w:pStyle w:val="Prrafodelista"/>
        <w:numPr>
          <w:ilvl w:val="0"/>
          <w:numId w:val="18"/>
        </w:numPr>
        <w:rPr>
          <w:rFonts w:cs="Arial"/>
        </w:rPr>
      </w:pPr>
      <w:r w:rsidRPr="00AB0B3B">
        <w:rPr>
          <w:rFonts w:cs="Arial"/>
        </w:rPr>
        <w:t>Descripción de la necesidad y de la solución autorizada.</w:t>
      </w:r>
    </w:p>
    <w:p w14:paraId="38738914" w14:textId="404FDF65" w:rsidR="00A33EF0" w:rsidRPr="00AB0B3B" w:rsidRDefault="009F6FD8" w:rsidP="00AB0B3B">
      <w:pPr>
        <w:pStyle w:val="Prrafodelista"/>
        <w:numPr>
          <w:ilvl w:val="0"/>
          <w:numId w:val="18"/>
        </w:numPr>
        <w:rPr>
          <w:rFonts w:cs="Arial"/>
        </w:rPr>
      </w:pPr>
      <w:r w:rsidRPr="00AB0B3B">
        <w:rPr>
          <w:rFonts w:cs="Arial"/>
        </w:rPr>
        <w:t>Ítems o actividades autorizadas y cantidades estimadas para la intervención.</w:t>
      </w:r>
    </w:p>
    <w:p w14:paraId="435E895A" w14:textId="74182A0C" w:rsidR="00A33EF0" w:rsidRPr="00AB0B3B" w:rsidRDefault="009F6FD8" w:rsidP="00AB0B3B">
      <w:pPr>
        <w:pStyle w:val="Prrafodelista"/>
        <w:numPr>
          <w:ilvl w:val="0"/>
          <w:numId w:val="18"/>
        </w:numPr>
        <w:rPr>
          <w:rFonts w:cs="Arial"/>
        </w:rPr>
      </w:pPr>
      <w:r w:rsidRPr="00AB0B3B">
        <w:rPr>
          <w:rFonts w:cs="Arial"/>
        </w:rPr>
        <w:t>Planos, esquemas, diseños, fichas, fotografías u otros soportes técnicos, cuando resulten aplicables.</w:t>
      </w:r>
    </w:p>
    <w:p w14:paraId="1CC812C5" w14:textId="75C29C43" w:rsidR="00A33EF0" w:rsidRPr="00AB0B3B" w:rsidRDefault="009F6FD8" w:rsidP="00AB0B3B">
      <w:pPr>
        <w:pStyle w:val="Prrafodelista"/>
        <w:numPr>
          <w:ilvl w:val="0"/>
          <w:numId w:val="18"/>
        </w:numPr>
        <w:rPr>
          <w:rFonts w:cs="Arial"/>
        </w:rPr>
      </w:pPr>
      <w:r w:rsidRPr="00AB0B3B">
        <w:rPr>
          <w:rFonts w:cs="Arial"/>
        </w:rPr>
        <w:lastRenderedPageBreak/>
        <w:t>Condiciones particulares, restricciones, coordinaciones o permisos que deban considerarse.</w:t>
      </w:r>
    </w:p>
    <w:p w14:paraId="4284D793" w14:textId="61D88824" w:rsidR="00A33EF0" w:rsidRPr="00AB0B3B" w:rsidRDefault="009F6FD8" w:rsidP="00AB0B3B">
      <w:pPr>
        <w:pStyle w:val="Prrafodelista"/>
        <w:numPr>
          <w:ilvl w:val="0"/>
          <w:numId w:val="18"/>
        </w:numPr>
        <w:rPr>
          <w:rFonts w:cs="Arial"/>
        </w:rPr>
      </w:pPr>
      <w:r w:rsidRPr="00AB0B3B">
        <w:rPr>
          <w:rFonts w:cs="Arial"/>
        </w:rPr>
        <w:t>Plazo o programación prevista para la intervención.</w:t>
      </w:r>
    </w:p>
    <w:p w14:paraId="7D4EEB3B" w14:textId="4E0D6FEE" w:rsidR="00A33EF0" w:rsidRPr="00AB0B3B" w:rsidRDefault="009F6FD8" w:rsidP="00AB0B3B">
      <w:pPr>
        <w:pStyle w:val="Prrafodelista"/>
        <w:numPr>
          <w:ilvl w:val="0"/>
          <w:numId w:val="18"/>
        </w:numPr>
        <w:rPr>
          <w:rFonts w:cs="Arial"/>
        </w:rPr>
      </w:pPr>
      <w:r w:rsidRPr="00AB0B3B">
        <w:rPr>
          <w:rFonts w:cs="Arial"/>
        </w:rPr>
        <w:t>Responsable de la autorización y demás información de control que determine la STT.</w:t>
      </w:r>
    </w:p>
    <w:p w14:paraId="57A3258D" w14:textId="77777777" w:rsidR="00A33EF0" w:rsidRPr="00AB0B3B" w:rsidRDefault="009F6FD8">
      <w:pPr>
        <w:rPr>
          <w:rFonts w:cs="Arial"/>
        </w:rPr>
      </w:pPr>
      <w:r w:rsidRPr="00AB0B3B">
        <w:rPr>
          <w:rFonts w:cs="Arial"/>
        </w:rPr>
        <w:t>Antes de ejecutar, el Contratista deberá verificar en campo la correspondencia entre la OI, los soportes suministrados y las condiciones reales del sitio. Si identifica diferencias que puedan afectar cantidades, ubicación, calidad, seguridad, funcionalidad o solución técnica, deberá informarlas oportunamente a la supervisión y abstenerse de modificar unilateralmente la intervención.</w:t>
      </w:r>
    </w:p>
    <w:p w14:paraId="28E47A73" w14:textId="77777777" w:rsidR="00A33EF0" w:rsidRPr="00AB0B3B" w:rsidRDefault="009F6FD8">
      <w:pPr>
        <w:rPr>
          <w:rFonts w:cs="Arial"/>
        </w:rPr>
      </w:pPr>
      <w:r w:rsidRPr="00AB0B3B">
        <w:rPr>
          <w:rFonts w:cs="Arial"/>
        </w:rPr>
        <w:t>Las modificaciones de una OI deberán quedar previamente autorizadas y documentadas. Las cantidades indicadas en la OI podrán ajustarse a las condiciones reales verificadas, siempre que la variación se encuentre técnicamente sustentada, corresponda a ítems contractuales y sea aprobada por la supervisión antes de su reconocimiento.</w:t>
      </w:r>
    </w:p>
    <w:p w14:paraId="603A5AA7" w14:textId="77777777" w:rsidR="00A33EF0" w:rsidRPr="00AB0B3B" w:rsidRDefault="009F6FD8">
      <w:pPr>
        <w:pStyle w:val="Ttulo1"/>
        <w:rPr>
          <w:rFonts w:ascii="Arial" w:hAnsi="Arial" w:cs="Arial"/>
        </w:rPr>
      </w:pPr>
      <w:r w:rsidRPr="00AB0B3B">
        <w:rPr>
          <w:rFonts w:ascii="Arial" w:hAnsi="Arial" w:cs="Arial"/>
        </w:rPr>
        <w:t>CONDICIONES GENERALES DE EJECUCIÓN</w:t>
      </w:r>
    </w:p>
    <w:p w14:paraId="39B4A072" w14:textId="77777777" w:rsidR="00A33EF0" w:rsidRPr="00AB0B3B" w:rsidRDefault="009F6FD8">
      <w:pPr>
        <w:rPr>
          <w:rFonts w:cs="Arial"/>
        </w:rPr>
      </w:pPr>
      <w:r w:rsidRPr="00AB0B3B">
        <w:rPr>
          <w:rFonts w:cs="Arial"/>
        </w:rPr>
        <w:t>El Contratista será responsable de ejecutar las actividades con personal competente, materiales conformes, equipos adecuados y procedimientos compatibles con las condiciones del sitio y con las especificaciones contractuales. Deberá adoptar las medidas necesarias para proteger a los usuarios de la vía, al personal de obra, los elementos existentes y la infraestructura intervenida.</w:t>
      </w:r>
    </w:p>
    <w:p w14:paraId="617BFED8" w14:textId="77777777" w:rsidR="00A33EF0" w:rsidRPr="00AB0B3B" w:rsidRDefault="009F6FD8">
      <w:pPr>
        <w:rPr>
          <w:rFonts w:cs="Arial"/>
        </w:rPr>
      </w:pPr>
      <w:r w:rsidRPr="00AB0B3B">
        <w:rPr>
          <w:rFonts w:cs="Arial"/>
        </w:rPr>
        <w:t>Cuando la intervención afecte la circulación o requiera manejo temporal del tránsito, el Contratista deberá implementar las medidas de señalización, canalización, aislamiento y manejo operacional que resulten aplicables, conforme a las instrucciones de la STT y a la normativa vigente.</w:t>
      </w:r>
    </w:p>
    <w:p w14:paraId="6CEC7E9B" w14:textId="77777777" w:rsidR="00A33EF0" w:rsidRPr="00AB0B3B" w:rsidRDefault="009F6FD8">
      <w:pPr>
        <w:rPr>
          <w:rFonts w:cs="Arial"/>
        </w:rPr>
      </w:pPr>
      <w:r w:rsidRPr="00AB0B3B">
        <w:rPr>
          <w:rFonts w:cs="Arial"/>
        </w:rPr>
        <w:t>No se permitirá cubrir, retirar, modificar, trasladar o intervenir elementos existentes que no hagan parte de la actividad autorizada sin aprobación previa. Los elementos encontrados en campo que no se encuentren registrados deberán informarse a la supervisión para definir su tratamiento y actualización.</w:t>
      </w:r>
    </w:p>
    <w:p w14:paraId="47C1EDDB" w14:textId="77777777" w:rsidR="00A33EF0" w:rsidRPr="00AB0B3B" w:rsidRDefault="009F6FD8">
      <w:pPr>
        <w:rPr>
          <w:rFonts w:cs="Arial"/>
        </w:rPr>
      </w:pPr>
      <w:r w:rsidRPr="00AB0B3B">
        <w:rPr>
          <w:rFonts w:cs="Arial"/>
        </w:rPr>
        <w:t>El Contratista deberá mantener las áreas de trabajo en condiciones adecuadas de orden y limpieza y gestionar los residuos, materiales retirados, sobrantes y elementos desmontados conforme a las instrucciones de la Entidad y a las disposiciones aplicables.</w:t>
      </w:r>
    </w:p>
    <w:p w14:paraId="75CEB39C" w14:textId="77777777" w:rsidR="00A33EF0" w:rsidRPr="00AB0B3B" w:rsidRDefault="009F6FD8">
      <w:pPr>
        <w:pStyle w:val="Ttulo1"/>
        <w:rPr>
          <w:rFonts w:ascii="Arial" w:hAnsi="Arial" w:cs="Arial"/>
        </w:rPr>
      </w:pPr>
      <w:r w:rsidRPr="00AB0B3B">
        <w:rPr>
          <w:rFonts w:ascii="Arial" w:hAnsi="Arial" w:cs="Arial"/>
        </w:rPr>
        <w:t>PROGRAMACIÓN Y PLAZO DE LAS INTERVENCIONES</w:t>
      </w:r>
    </w:p>
    <w:p w14:paraId="15CD6BB3" w14:textId="77777777" w:rsidR="00A33EF0" w:rsidRPr="00AB0B3B" w:rsidRDefault="009F6FD8">
      <w:pPr>
        <w:rPr>
          <w:rFonts w:cs="Arial"/>
        </w:rPr>
      </w:pPr>
      <w:r w:rsidRPr="00AB0B3B">
        <w:rPr>
          <w:rFonts w:cs="Arial"/>
        </w:rPr>
        <w:t>Las actividades se ejecutarán dentro del plazo contractual definido en los Estudios y Documentos Previos y en el contrato. La STT podrá establecer programaciones parciales y prioridades de atención mediante las Órdenes de Intervención, teniendo en cuenta la naturaleza de la necesidad, las condiciones operativas, la seguridad vial, la disponibilidad de frentes y las restricciones propias de cada sector.</w:t>
      </w:r>
    </w:p>
    <w:p w14:paraId="04A9679B" w14:textId="77777777" w:rsidR="00A33EF0" w:rsidRPr="00AB0B3B" w:rsidRDefault="009F6FD8">
      <w:pPr>
        <w:rPr>
          <w:rFonts w:cs="Arial"/>
        </w:rPr>
      </w:pPr>
      <w:r w:rsidRPr="00AB0B3B">
        <w:rPr>
          <w:rFonts w:cs="Arial"/>
        </w:rPr>
        <w:t>El Contratista deberá organizar sus recursos de manera que pueda atender las OI dentro de los plazos o programaciones definidos y coordinar con la supervisión cualquier condición que pueda afectar el inicio o continuidad de los trabajos.</w:t>
      </w:r>
    </w:p>
    <w:p w14:paraId="71F853E9" w14:textId="77777777" w:rsidR="00A33EF0" w:rsidRPr="00AB0B3B" w:rsidRDefault="009F6FD8">
      <w:pPr>
        <w:rPr>
          <w:rFonts w:cs="Arial"/>
        </w:rPr>
      </w:pPr>
      <w:r w:rsidRPr="00AB0B3B">
        <w:rPr>
          <w:rFonts w:cs="Arial"/>
        </w:rPr>
        <w:t>La programación de una intervención no modifica por sí misma el plazo contractual ni constituye reconocimiento de mayores costos. Las situaciones que puedan generar efectos contractuales deberán ser informadas y tramitadas oportunamente por los mecanismos previstos en el contrato.</w:t>
      </w:r>
    </w:p>
    <w:p w14:paraId="5EB81119" w14:textId="77777777" w:rsidR="00A33EF0" w:rsidRPr="00AB0B3B" w:rsidRDefault="009F6FD8">
      <w:pPr>
        <w:pStyle w:val="Ttulo1"/>
        <w:rPr>
          <w:rFonts w:ascii="Arial" w:hAnsi="Arial" w:cs="Arial"/>
        </w:rPr>
      </w:pPr>
      <w:r w:rsidRPr="00AB0B3B">
        <w:rPr>
          <w:rFonts w:ascii="Arial" w:hAnsi="Arial" w:cs="Arial"/>
        </w:rPr>
        <w:t>MEDICIÓN, RECIBO Y RECONOCIMIENTO DE CANTIDADES</w:t>
      </w:r>
    </w:p>
    <w:p w14:paraId="5674C4DF" w14:textId="77777777" w:rsidR="00A33EF0" w:rsidRPr="00AB0B3B" w:rsidRDefault="009F6FD8">
      <w:pPr>
        <w:rPr>
          <w:rFonts w:cs="Arial"/>
        </w:rPr>
      </w:pPr>
      <w:r w:rsidRPr="00AB0B3B">
        <w:rPr>
          <w:rFonts w:cs="Arial"/>
        </w:rPr>
        <w:lastRenderedPageBreak/>
        <w:t>La medición de las actividades se realizará conforme a las unidades establecidas en el presupuesto y a los criterios previstos en el Apéndice A y demás documentos técnicos aplicables.</w:t>
      </w:r>
    </w:p>
    <w:p w14:paraId="58B18237" w14:textId="77777777" w:rsidR="00A33EF0" w:rsidRPr="00AB0B3B" w:rsidRDefault="009F6FD8">
      <w:pPr>
        <w:rPr>
          <w:rFonts w:cs="Arial"/>
        </w:rPr>
      </w:pPr>
      <w:r w:rsidRPr="00AB0B3B">
        <w:rPr>
          <w:rFonts w:cs="Arial"/>
        </w:rPr>
        <w:t>Únicamente serán susceptibles de reconocimiento las cantidades que correspondan a actividades autorizadas, efectivamente ejecutadas, verificadas y recibidas a satisfacción por la supervisión. La existencia de una cantidad estimada en el presupuesto o en una OI no genera derecho al pago si la actividad no fue ejecutada o no cumple las condiciones de aceptación.</w:t>
      </w:r>
    </w:p>
    <w:p w14:paraId="2CDD64B4" w14:textId="77777777" w:rsidR="00A33EF0" w:rsidRPr="00AB0B3B" w:rsidRDefault="009F6FD8">
      <w:pPr>
        <w:rPr>
          <w:rFonts w:cs="Arial"/>
        </w:rPr>
      </w:pPr>
      <w:r w:rsidRPr="00AB0B3B">
        <w:rPr>
          <w:rFonts w:cs="Arial"/>
        </w:rPr>
        <w:t>Las actas, informes o documentos de cobro deberán mantener correspondencia con las mediciones de campo, los registros de calidad, los soportes fotográficos y georreferenciados y la actualización de inventarios o planos récord cuando estos resulten exigibles.</w:t>
      </w:r>
    </w:p>
    <w:p w14:paraId="446D165F" w14:textId="77777777" w:rsidR="00A33EF0" w:rsidRPr="00AB0B3B" w:rsidRDefault="009F6FD8">
      <w:pPr>
        <w:pStyle w:val="Ttulo1"/>
        <w:rPr>
          <w:rFonts w:ascii="Arial" w:hAnsi="Arial" w:cs="Arial"/>
        </w:rPr>
      </w:pPr>
      <w:r w:rsidRPr="00AB0B3B">
        <w:rPr>
          <w:rFonts w:ascii="Arial" w:hAnsi="Arial" w:cs="Arial"/>
        </w:rPr>
        <w:t>CONTROL DE CALIDAD Y ACEPTACIÓN</w:t>
      </w:r>
    </w:p>
    <w:p w14:paraId="28001135" w14:textId="77777777" w:rsidR="00A33EF0" w:rsidRPr="00AB0B3B" w:rsidRDefault="009F6FD8">
      <w:pPr>
        <w:rPr>
          <w:rFonts w:cs="Arial"/>
        </w:rPr>
      </w:pPr>
      <w:r w:rsidRPr="00AB0B3B">
        <w:rPr>
          <w:rFonts w:cs="Arial"/>
        </w:rPr>
        <w:t>El control de calidad de materiales, productos y actividades ejecutadas se regirá por el Apéndice B – Control de Calidad, Ensayos y Criterios Técnicos de Aceptación para Señalización Vial y Dispositivos para la Regulación y Seguridad del Tránsito.</w:t>
      </w:r>
    </w:p>
    <w:p w14:paraId="25A0D7CD" w14:textId="77777777" w:rsidR="00A33EF0" w:rsidRPr="00AB0B3B" w:rsidRDefault="009F6FD8">
      <w:pPr>
        <w:rPr>
          <w:rFonts w:cs="Arial"/>
        </w:rPr>
      </w:pPr>
      <w:r w:rsidRPr="00AB0B3B">
        <w:rPr>
          <w:rFonts w:cs="Arial"/>
        </w:rPr>
        <w:t>El Contratista deberá efectuar y documentar los controles, verificaciones, certificados, ensayos y demás evidencias exigidas para demostrar la conformidad de los trabajos. La verificación realizada por la supervisión no traslada ni disminuye la responsabilidad del Contratista respecto de la calidad de los materiales, procesos y resultados.</w:t>
      </w:r>
    </w:p>
    <w:p w14:paraId="26839A22" w14:textId="77777777" w:rsidR="00A33EF0" w:rsidRPr="00AB0B3B" w:rsidRDefault="009F6FD8">
      <w:pPr>
        <w:rPr>
          <w:rFonts w:cs="Arial"/>
        </w:rPr>
      </w:pPr>
      <w:r w:rsidRPr="00AB0B3B">
        <w:rPr>
          <w:rFonts w:cs="Arial"/>
        </w:rPr>
        <w:t>Los elementos o actividades que no cumplan los criterios de aceptación deberán ser corregidos, reparados, repuestos o ejecutados nuevamente, según corresponda, sin reconocimiento de costos adicionales cuando la no conformidad sea imputable al Contratista.</w:t>
      </w:r>
    </w:p>
    <w:p w14:paraId="21BCC8D8" w14:textId="77777777" w:rsidR="00A33EF0" w:rsidRPr="00AB0B3B" w:rsidRDefault="009F6FD8">
      <w:pPr>
        <w:pStyle w:val="Ttulo1"/>
        <w:rPr>
          <w:rFonts w:ascii="Arial" w:hAnsi="Arial" w:cs="Arial"/>
        </w:rPr>
      </w:pPr>
      <w:r w:rsidRPr="00AB0B3B">
        <w:rPr>
          <w:rFonts w:ascii="Arial" w:hAnsi="Arial" w:cs="Arial"/>
        </w:rPr>
        <w:t>GESTIÓN DE INFORMACIÓN, INVENTARIO, GEORREFERENCIACIÓN Y PLANOS RÉCORD</w:t>
      </w:r>
    </w:p>
    <w:p w14:paraId="6271CCAD" w14:textId="77777777" w:rsidR="00A33EF0" w:rsidRPr="00AB0B3B" w:rsidRDefault="009F6FD8">
      <w:pPr>
        <w:rPr>
          <w:rFonts w:cs="Arial"/>
        </w:rPr>
      </w:pPr>
      <w:r w:rsidRPr="00AB0B3B">
        <w:rPr>
          <w:rFonts w:cs="Arial"/>
        </w:rPr>
        <w:t>La información técnica generada durante la ejecución deberá gestionarse conforme al Apéndice C – Especificaciones Técnicas de Dibujo, Gestión de Información, Inventario, Georreferenciación y Planos Récord.</w:t>
      </w:r>
    </w:p>
    <w:p w14:paraId="42C5EA41" w14:textId="77777777" w:rsidR="00A33EF0" w:rsidRPr="00AB0B3B" w:rsidRDefault="009F6FD8">
      <w:pPr>
        <w:rPr>
          <w:rFonts w:cs="Arial"/>
        </w:rPr>
      </w:pPr>
      <w:r w:rsidRPr="00AB0B3B">
        <w:rPr>
          <w:rFonts w:cs="Arial"/>
        </w:rPr>
        <w:t>Cada intervención deberá conservar trazabilidad entre la necesidad atendida, la OI, la ubicación, las actividades y cantidades ejecutadas, los registros fotográficos y de calidad, la información geográfica y la actualización del inventario o plano récord que corresponda.</w:t>
      </w:r>
    </w:p>
    <w:p w14:paraId="3DB89E8C" w14:textId="77777777" w:rsidR="00A33EF0" w:rsidRPr="00AB0B3B" w:rsidRDefault="009F6FD8">
      <w:pPr>
        <w:rPr>
          <w:rFonts w:cs="Arial"/>
        </w:rPr>
      </w:pPr>
      <w:r w:rsidRPr="00AB0B3B">
        <w:rPr>
          <w:rFonts w:cs="Arial"/>
        </w:rPr>
        <w:t>Los archivos editables, bases geográficas, planos, fotografías, listados y demás productos deberán entregarse en la estructura, sistema de referencia, formatos y nomenclaturas establecidos en el Apéndice C y en las instrucciones complementarias que emita la STT dentro del marco contractual.</w:t>
      </w:r>
    </w:p>
    <w:p w14:paraId="6EA74004" w14:textId="77777777" w:rsidR="00A33EF0" w:rsidRPr="00AB0B3B" w:rsidRDefault="009F6FD8">
      <w:pPr>
        <w:pStyle w:val="Ttulo1"/>
        <w:rPr>
          <w:rFonts w:ascii="Arial" w:hAnsi="Arial" w:cs="Arial"/>
        </w:rPr>
      </w:pPr>
      <w:r w:rsidRPr="00AB0B3B">
        <w:rPr>
          <w:rFonts w:ascii="Arial" w:hAnsi="Arial" w:cs="Arial"/>
        </w:rPr>
        <w:t>GARANTÍAS TÉCNICAS Y CONDICIONES DE DESEMPEÑO</w:t>
      </w:r>
    </w:p>
    <w:p w14:paraId="214FCD85" w14:textId="77777777" w:rsidR="00A33EF0" w:rsidRPr="00AB0B3B" w:rsidRDefault="009F6FD8">
      <w:pPr>
        <w:rPr>
          <w:rFonts w:cs="Arial"/>
        </w:rPr>
      </w:pPr>
      <w:r w:rsidRPr="00AB0B3B">
        <w:rPr>
          <w:rFonts w:cs="Arial"/>
        </w:rPr>
        <w:t>Las garantías técnicas aplicables a los elementos y actividades ejecutadas se regirán por el Apéndice D – Garantías Técnicas y Condiciones de Desempeño.</w:t>
      </w:r>
    </w:p>
    <w:p w14:paraId="0D8C28BB" w14:textId="77777777" w:rsidR="00A33EF0" w:rsidRPr="00AB0B3B" w:rsidRDefault="009F6FD8">
      <w:pPr>
        <w:rPr>
          <w:rFonts w:cs="Arial"/>
        </w:rPr>
      </w:pPr>
      <w:r w:rsidRPr="00AB0B3B">
        <w:rPr>
          <w:rFonts w:cs="Arial"/>
        </w:rPr>
        <w:t>El Contratista deberá conservar la trazabilidad de la fecha de recibo, periodo de garantía, vencimiento, fabricante o lote cuando aplique, novedades, reclamaciones, correcciones y reposiciones. Las garantías técnicas son independientes de las garantías contractuales o pólizas que se establezcan en los documentos jurídicos del proceso.</w:t>
      </w:r>
    </w:p>
    <w:p w14:paraId="5503575D" w14:textId="77777777" w:rsidR="00A33EF0" w:rsidRPr="00AB0B3B" w:rsidRDefault="009F6FD8">
      <w:pPr>
        <w:rPr>
          <w:rFonts w:cs="Arial"/>
        </w:rPr>
      </w:pPr>
      <w:r w:rsidRPr="00AB0B3B">
        <w:rPr>
          <w:rFonts w:cs="Arial"/>
        </w:rPr>
        <w:t>Cuando una corrección o reposición proceda por garantía y sea imputable al Contratista, la parte corregida o repuesta iniciará un nuevo periodo completo de garantía conforme a las reglas del Apéndice D.</w:t>
      </w:r>
    </w:p>
    <w:p w14:paraId="7C3B64EC" w14:textId="77777777" w:rsidR="00A33EF0" w:rsidRPr="00AB0B3B" w:rsidRDefault="009F6FD8">
      <w:pPr>
        <w:pStyle w:val="Ttulo1"/>
        <w:rPr>
          <w:rFonts w:ascii="Arial" w:hAnsi="Arial" w:cs="Arial"/>
        </w:rPr>
      </w:pPr>
      <w:r w:rsidRPr="00AB0B3B">
        <w:rPr>
          <w:rFonts w:ascii="Arial" w:hAnsi="Arial" w:cs="Arial"/>
        </w:rPr>
        <w:t>PERSONAL, EQUIPOS Y CAPACIDAD OPERATIVA</w:t>
      </w:r>
    </w:p>
    <w:p w14:paraId="0D9B9F48" w14:textId="77777777" w:rsidR="00A33EF0" w:rsidRPr="00AB0B3B" w:rsidRDefault="009F6FD8">
      <w:pPr>
        <w:rPr>
          <w:rFonts w:cs="Arial"/>
        </w:rPr>
      </w:pPr>
      <w:r w:rsidRPr="00AB0B3B">
        <w:rPr>
          <w:rFonts w:cs="Arial"/>
        </w:rPr>
        <w:lastRenderedPageBreak/>
        <w:t>El Contratista deberá disponer durante la ejecución del personal, equipos, herramientas, vehículos, dispositivos de seguridad y demás recursos suficientes e idóneos para atender las actividades autorizadas con la calidad y oportunidad requeridas.</w:t>
      </w:r>
    </w:p>
    <w:p w14:paraId="263A5637" w14:textId="77777777" w:rsidR="00A33EF0" w:rsidRPr="00AB0B3B" w:rsidRDefault="009F6FD8">
      <w:pPr>
        <w:rPr>
          <w:rFonts w:cs="Arial"/>
        </w:rPr>
      </w:pPr>
      <w:r w:rsidRPr="00AB0B3B">
        <w:rPr>
          <w:rFonts w:cs="Arial"/>
        </w:rPr>
        <w:t>La organización de los frentes de trabajo será responsabilidad del Contratista, sin perjuicio de los requisitos mínimos que se establezcan en los Estudios y Documentos Previos, pliego de condiciones, oferta adjudicada y demás documentos contractuales.</w:t>
      </w:r>
    </w:p>
    <w:p w14:paraId="270A3348" w14:textId="77777777" w:rsidR="00A33EF0" w:rsidRPr="00AB0B3B" w:rsidRDefault="009F6FD8">
      <w:pPr>
        <w:rPr>
          <w:rFonts w:cs="Arial"/>
        </w:rPr>
      </w:pPr>
      <w:r w:rsidRPr="00AB0B3B">
        <w:rPr>
          <w:rFonts w:cs="Arial"/>
        </w:rPr>
        <w:t>Los equipos utilizados deberán encontrarse en condiciones adecuadas de operación y ser compatibles con los materiales, procedimientos y controles exigidos. Cuando se requieran equipos de medición o ensayo, estos deberán contar con las condiciones de verificación, calibración o trazabilidad que resulten aplicables.</w:t>
      </w:r>
    </w:p>
    <w:p w14:paraId="4D5E0694" w14:textId="77777777" w:rsidR="00A33EF0" w:rsidRPr="00AB0B3B" w:rsidRDefault="009F6FD8">
      <w:pPr>
        <w:pStyle w:val="Ttulo1"/>
        <w:rPr>
          <w:rFonts w:ascii="Arial" w:hAnsi="Arial" w:cs="Arial"/>
        </w:rPr>
      </w:pPr>
      <w:r w:rsidRPr="00AB0B3B">
        <w:rPr>
          <w:rFonts w:ascii="Arial" w:hAnsi="Arial" w:cs="Arial"/>
        </w:rPr>
        <w:t>INFORMES Y ENTREGABLES TÉCNICOS</w:t>
      </w:r>
    </w:p>
    <w:p w14:paraId="2B2F492A" w14:textId="77777777" w:rsidR="00A33EF0" w:rsidRPr="00AB0B3B" w:rsidRDefault="009F6FD8">
      <w:pPr>
        <w:rPr>
          <w:rFonts w:cs="Arial"/>
        </w:rPr>
      </w:pPr>
      <w:r w:rsidRPr="00AB0B3B">
        <w:rPr>
          <w:rFonts w:cs="Arial"/>
        </w:rPr>
        <w:t>El Contratista deberá presentar los informes y soportes necesarios para demostrar la ejecución y permitir el seguimiento técnico, administrativo y documental del contrato. Como mínimo, y de acuerdo con la naturaleza de las actividades desarrolladas, los informes deberán consolidar:</w:t>
      </w:r>
    </w:p>
    <w:p w14:paraId="50168B3A" w14:textId="5047F794" w:rsidR="00A33EF0" w:rsidRPr="00AB0B3B" w:rsidRDefault="009F6FD8" w:rsidP="00AB0B3B">
      <w:pPr>
        <w:pStyle w:val="Prrafodelista"/>
        <w:numPr>
          <w:ilvl w:val="0"/>
          <w:numId w:val="21"/>
        </w:numPr>
        <w:rPr>
          <w:rFonts w:cs="Arial"/>
        </w:rPr>
      </w:pPr>
      <w:r w:rsidRPr="00AB0B3B">
        <w:rPr>
          <w:rFonts w:cs="Arial"/>
        </w:rPr>
        <w:t>Relación de Órdenes de Intervención atendidas y estado de cada una.</w:t>
      </w:r>
    </w:p>
    <w:p w14:paraId="0BE8080A" w14:textId="74C27D83" w:rsidR="00A33EF0" w:rsidRPr="00AB0B3B" w:rsidRDefault="009F6FD8" w:rsidP="00AB0B3B">
      <w:pPr>
        <w:pStyle w:val="Prrafodelista"/>
        <w:numPr>
          <w:ilvl w:val="0"/>
          <w:numId w:val="21"/>
        </w:numPr>
        <w:rPr>
          <w:rFonts w:cs="Arial"/>
        </w:rPr>
      </w:pPr>
      <w:r w:rsidRPr="00AB0B3B">
        <w:rPr>
          <w:rFonts w:cs="Arial"/>
        </w:rPr>
        <w:t>Localización y descripción de las intervenciones ejecutadas.</w:t>
      </w:r>
    </w:p>
    <w:p w14:paraId="5F89248C" w14:textId="6A7AFBE9" w:rsidR="00A33EF0" w:rsidRPr="00AB0B3B" w:rsidRDefault="009F6FD8" w:rsidP="00AB0B3B">
      <w:pPr>
        <w:pStyle w:val="Prrafodelista"/>
        <w:numPr>
          <w:ilvl w:val="0"/>
          <w:numId w:val="21"/>
        </w:numPr>
        <w:rPr>
          <w:rFonts w:cs="Arial"/>
        </w:rPr>
      </w:pPr>
      <w:r w:rsidRPr="00AB0B3B">
        <w:rPr>
          <w:rFonts w:cs="Arial"/>
        </w:rPr>
        <w:t>Ítems y cantidades autorizadas, ejecutadas y recibidas.</w:t>
      </w:r>
    </w:p>
    <w:p w14:paraId="2B4C028D" w14:textId="7AC71118" w:rsidR="00A33EF0" w:rsidRPr="00AB0B3B" w:rsidRDefault="009F6FD8" w:rsidP="00AB0B3B">
      <w:pPr>
        <w:pStyle w:val="Prrafodelista"/>
        <w:numPr>
          <w:ilvl w:val="0"/>
          <w:numId w:val="21"/>
        </w:numPr>
        <w:rPr>
          <w:rFonts w:cs="Arial"/>
        </w:rPr>
      </w:pPr>
      <w:r w:rsidRPr="00AB0B3B">
        <w:rPr>
          <w:rFonts w:cs="Arial"/>
        </w:rPr>
        <w:t>Registros fotográficos antes, durante y después, cuando corresponda.</w:t>
      </w:r>
    </w:p>
    <w:p w14:paraId="1E0AA016" w14:textId="48CC5AD8" w:rsidR="00A33EF0" w:rsidRPr="00AB0B3B" w:rsidRDefault="009F6FD8" w:rsidP="00AB0B3B">
      <w:pPr>
        <w:pStyle w:val="Prrafodelista"/>
        <w:numPr>
          <w:ilvl w:val="0"/>
          <w:numId w:val="21"/>
        </w:numPr>
        <w:rPr>
          <w:rFonts w:cs="Arial"/>
        </w:rPr>
      </w:pPr>
      <w:r w:rsidRPr="00AB0B3B">
        <w:rPr>
          <w:rFonts w:cs="Arial"/>
        </w:rPr>
        <w:t>Resultados de controles de calidad, ensayos, certificados y soportes de aceptación aplicables.</w:t>
      </w:r>
    </w:p>
    <w:p w14:paraId="18AC1CB3" w14:textId="44AC9061" w:rsidR="00A33EF0" w:rsidRPr="00AB0B3B" w:rsidRDefault="009F6FD8" w:rsidP="00AB0B3B">
      <w:pPr>
        <w:pStyle w:val="Prrafodelista"/>
        <w:numPr>
          <w:ilvl w:val="0"/>
          <w:numId w:val="21"/>
        </w:numPr>
        <w:rPr>
          <w:rFonts w:cs="Arial"/>
        </w:rPr>
      </w:pPr>
      <w:r w:rsidRPr="00AB0B3B">
        <w:rPr>
          <w:rFonts w:cs="Arial"/>
        </w:rPr>
        <w:t>Novedades, no conformidades, correcciones y actividades pendientes.</w:t>
      </w:r>
    </w:p>
    <w:p w14:paraId="1DD5B50E" w14:textId="244DA29F" w:rsidR="00A33EF0" w:rsidRPr="00AB0B3B" w:rsidRDefault="009F6FD8" w:rsidP="00AB0B3B">
      <w:pPr>
        <w:pStyle w:val="Prrafodelista"/>
        <w:numPr>
          <w:ilvl w:val="0"/>
          <w:numId w:val="21"/>
        </w:numPr>
        <w:rPr>
          <w:rFonts w:cs="Arial"/>
        </w:rPr>
      </w:pPr>
      <w:r w:rsidRPr="00AB0B3B">
        <w:rPr>
          <w:rFonts w:cs="Arial"/>
        </w:rPr>
        <w:t>Información georreferenciada, actualización de inventario y planos récord exigibles.</w:t>
      </w:r>
    </w:p>
    <w:p w14:paraId="2A8F8C24" w14:textId="0700A85A" w:rsidR="00A33EF0" w:rsidRPr="00AB0B3B" w:rsidRDefault="009F6FD8" w:rsidP="00AB0B3B">
      <w:pPr>
        <w:pStyle w:val="Prrafodelista"/>
        <w:numPr>
          <w:ilvl w:val="0"/>
          <w:numId w:val="21"/>
        </w:numPr>
        <w:rPr>
          <w:rFonts w:cs="Arial"/>
        </w:rPr>
      </w:pPr>
      <w:r w:rsidRPr="00AB0B3B">
        <w:rPr>
          <w:rFonts w:cs="Arial"/>
        </w:rPr>
        <w:t>Estado de garantías técnicas de los elementos o actividades recibidos.</w:t>
      </w:r>
    </w:p>
    <w:p w14:paraId="60000171" w14:textId="6FD1E87F" w:rsidR="00A33EF0" w:rsidRPr="00AB0B3B" w:rsidRDefault="009F6FD8" w:rsidP="00AB0B3B">
      <w:pPr>
        <w:pStyle w:val="Prrafodelista"/>
        <w:numPr>
          <w:ilvl w:val="0"/>
          <w:numId w:val="21"/>
        </w:numPr>
        <w:rPr>
          <w:rFonts w:cs="Arial"/>
        </w:rPr>
      </w:pPr>
      <w:r w:rsidRPr="00AB0B3B">
        <w:rPr>
          <w:rFonts w:cs="Arial"/>
        </w:rPr>
        <w:t>Demás soportes requeridos por la supervisión dentro del alcance contractual.</w:t>
      </w:r>
    </w:p>
    <w:p w14:paraId="7B442703" w14:textId="77777777" w:rsidR="00A33EF0" w:rsidRPr="00AB0B3B" w:rsidRDefault="009F6FD8">
      <w:pPr>
        <w:rPr>
          <w:rFonts w:cs="Arial"/>
        </w:rPr>
      </w:pPr>
      <w:r w:rsidRPr="00AB0B3B">
        <w:rPr>
          <w:rFonts w:cs="Arial"/>
        </w:rPr>
        <w:t>La periodicidad y fecha de presentación de los informes se coordinará con la supervisión y deberá ser compatible con los cortes de obra, trámites de pago y cierre de las Órdenes de Intervención.</w:t>
      </w:r>
    </w:p>
    <w:p w14:paraId="00998B90" w14:textId="77777777" w:rsidR="00A33EF0" w:rsidRPr="00AB0B3B" w:rsidRDefault="009F6FD8">
      <w:pPr>
        <w:pStyle w:val="Ttulo1"/>
        <w:rPr>
          <w:rFonts w:ascii="Arial" w:hAnsi="Arial" w:cs="Arial"/>
        </w:rPr>
      </w:pPr>
      <w:r w:rsidRPr="00AB0B3B">
        <w:rPr>
          <w:rFonts w:ascii="Arial" w:hAnsi="Arial" w:cs="Arial"/>
        </w:rPr>
        <w:t>SEGUIMIENTO Y SUPERVISIÓN</w:t>
      </w:r>
    </w:p>
    <w:p w14:paraId="1D8BD554" w14:textId="77777777" w:rsidR="00A33EF0" w:rsidRPr="00AB0B3B" w:rsidRDefault="009F6FD8">
      <w:pPr>
        <w:rPr>
          <w:rFonts w:cs="Arial"/>
        </w:rPr>
      </w:pPr>
      <w:r w:rsidRPr="00AB0B3B">
        <w:rPr>
          <w:rFonts w:cs="Arial"/>
        </w:rPr>
        <w:t>El seguimiento a la ejecución será ejercido por la supervisión o por quien tenga a cargo el seguimiento técnico del contrato conforme a la modalidad definida por la Entidad.</w:t>
      </w:r>
    </w:p>
    <w:p w14:paraId="1883ABF8" w14:textId="77777777" w:rsidR="00A33EF0" w:rsidRPr="00AB0B3B" w:rsidRDefault="009F6FD8">
      <w:pPr>
        <w:rPr>
          <w:rFonts w:cs="Arial"/>
        </w:rPr>
      </w:pPr>
      <w:r w:rsidRPr="00AB0B3B">
        <w:rPr>
          <w:rFonts w:cs="Arial"/>
        </w:rPr>
        <w:t>La supervisión podrá verificar condiciones de campo, solicitar soportes, revisar mediciones, realizar controles, requerir correcciones, formular observaciones y verificar el cumplimiento de las especificaciones y obligaciones contractuales. Estas actuaciones no sustituyen la responsabilidad técnica, administrativa y operativa del Contratista.</w:t>
      </w:r>
    </w:p>
    <w:p w14:paraId="0E690DC5" w14:textId="77777777" w:rsidR="00A33EF0" w:rsidRPr="00AB0B3B" w:rsidRDefault="009F6FD8">
      <w:pPr>
        <w:rPr>
          <w:rFonts w:cs="Arial"/>
        </w:rPr>
      </w:pPr>
      <w:r w:rsidRPr="00AB0B3B">
        <w:rPr>
          <w:rFonts w:cs="Arial"/>
        </w:rPr>
        <w:t>Las instrucciones de la supervisión deberán guardar relación con el objeto, alcance, presupuesto y documentos del contrato y no podrán utilizarse para ordenar actividades no previstas contractualmente o modificar por sí solas las condiciones esenciales del contrato.</w:t>
      </w:r>
    </w:p>
    <w:p w14:paraId="6F41F107" w14:textId="77777777" w:rsidR="00A33EF0" w:rsidRPr="00AB0B3B" w:rsidRDefault="009F6FD8">
      <w:pPr>
        <w:pStyle w:val="Ttulo1"/>
        <w:rPr>
          <w:rFonts w:ascii="Arial" w:hAnsi="Arial" w:cs="Arial"/>
        </w:rPr>
      </w:pPr>
      <w:r w:rsidRPr="00AB0B3B">
        <w:rPr>
          <w:rFonts w:ascii="Arial" w:hAnsi="Arial" w:cs="Arial"/>
        </w:rPr>
        <w:t>DOCUMENTOS TÉCNICOS INTEGRANTES, COMPLEMENTARIEDAD Y MANEJO DE INCONSISTENCIAS</w:t>
      </w:r>
    </w:p>
    <w:p w14:paraId="4FC8936A" w14:textId="77777777" w:rsidR="00A33EF0" w:rsidRPr="00AB0B3B" w:rsidRDefault="009F6FD8">
      <w:pPr>
        <w:rPr>
          <w:rFonts w:cs="Arial"/>
        </w:rPr>
      </w:pPr>
      <w:r w:rsidRPr="00AB0B3B">
        <w:rPr>
          <w:rFonts w:cs="Arial"/>
        </w:rPr>
        <w:t>Para efectos de la ejecución técnica, el presente Anexo se entenderá de manera integral y complementaria con los Estudios y Documentos Previos, el presupuesto oficial y los análisis de precios unitarios, el pliego de condiciones y la oferta adjudicada, así como con los siguientes documentos técnicos:</w:t>
      </w:r>
    </w:p>
    <w:tbl>
      <w:tblPr>
        <w:tblStyle w:val="Tablaconcuadrcula"/>
        <w:tblW w:w="0" w:type="auto"/>
        <w:jc w:val="center"/>
        <w:tblLook w:val="04A0" w:firstRow="1" w:lastRow="0" w:firstColumn="1" w:lastColumn="0" w:noHBand="0" w:noVBand="1"/>
      </w:tblPr>
      <w:tblGrid>
        <w:gridCol w:w="4122"/>
        <w:gridCol w:w="4387"/>
      </w:tblGrid>
      <w:tr w:rsidR="00A33EF0" w:rsidRPr="00AB0B3B" w14:paraId="185B9A09" w14:textId="77777777" w:rsidTr="00AB0B3B">
        <w:trPr>
          <w:trHeight w:val="291"/>
          <w:jc w:val="center"/>
        </w:trPr>
        <w:tc>
          <w:tcPr>
            <w:tcW w:w="4122" w:type="dxa"/>
            <w:shd w:val="clear" w:color="auto" w:fill="D9EAD3"/>
            <w:vAlign w:val="center"/>
          </w:tcPr>
          <w:p w14:paraId="5CCC2119" w14:textId="77777777" w:rsidR="00A33EF0" w:rsidRPr="00AB0B3B" w:rsidRDefault="009F6FD8" w:rsidP="00AB0B3B">
            <w:pPr>
              <w:spacing w:after="0"/>
              <w:jc w:val="center"/>
              <w:rPr>
                <w:rFonts w:cs="Arial"/>
                <w:sz w:val="20"/>
                <w:szCs w:val="20"/>
              </w:rPr>
            </w:pPr>
            <w:r w:rsidRPr="00AB0B3B">
              <w:rPr>
                <w:rFonts w:cs="Arial"/>
                <w:b/>
                <w:sz w:val="20"/>
                <w:szCs w:val="20"/>
              </w:rPr>
              <w:t>DOCUMENTO</w:t>
            </w:r>
          </w:p>
        </w:tc>
        <w:tc>
          <w:tcPr>
            <w:tcW w:w="4387" w:type="dxa"/>
            <w:shd w:val="clear" w:color="auto" w:fill="D9EAD3"/>
            <w:vAlign w:val="center"/>
          </w:tcPr>
          <w:p w14:paraId="1E1EA2E3" w14:textId="77777777" w:rsidR="00A33EF0" w:rsidRPr="00AB0B3B" w:rsidRDefault="009F6FD8" w:rsidP="00AB0B3B">
            <w:pPr>
              <w:spacing w:after="0"/>
              <w:jc w:val="center"/>
              <w:rPr>
                <w:rFonts w:cs="Arial"/>
                <w:sz w:val="20"/>
                <w:szCs w:val="20"/>
              </w:rPr>
            </w:pPr>
            <w:r w:rsidRPr="00AB0B3B">
              <w:rPr>
                <w:rFonts w:cs="Arial"/>
                <w:b/>
                <w:sz w:val="20"/>
                <w:szCs w:val="20"/>
              </w:rPr>
              <w:t>FUNCIÓN PRINCIPAL</w:t>
            </w:r>
          </w:p>
        </w:tc>
      </w:tr>
      <w:tr w:rsidR="00A33EF0" w:rsidRPr="00AB0B3B" w14:paraId="53D03334" w14:textId="77777777" w:rsidTr="00AB0B3B">
        <w:trPr>
          <w:trHeight w:val="846"/>
          <w:jc w:val="center"/>
        </w:trPr>
        <w:tc>
          <w:tcPr>
            <w:tcW w:w="4122" w:type="dxa"/>
            <w:vAlign w:val="center"/>
          </w:tcPr>
          <w:p w14:paraId="0D310E42" w14:textId="77777777" w:rsidR="00A33EF0" w:rsidRPr="00AB0B3B" w:rsidRDefault="009F6FD8" w:rsidP="00AB0B3B">
            <w:pPr>
              <w:spacing w:after="0"/>
              <w:jc w:val="left"/>
              <w:rPr>
                <w:rFonts w:cs="Arial"/>
                <w:sz w:val="20"/>
                <w:szCs w:val="20"/>
              </w:rPr>
            </w:pPr>
            <w:r w:rsidRPr="00AB0B3B">
              <w:rPr>
                <w:rFonts w:cs="Arial"/>
                <w:sz w:val="20"/>
                <w:szCs w:val="20"/>
              </w:rPr>
              <w:lastRenderedPageBreak/>
              <w:t>Apéndice A – Especificaciones Técnicas</w:t>
            </w:r>
          </w:p>
        </w:tc>
        <w:tc>
          <w:tcPr>
            <w:tcW w:w="4387" w:type="dxa"/>
            <w:vAlign w:val="center"/>
          </w:tcPr>
          <w:p w14:paraId="2DFCBC4A" w14:textId="77777777" w:rsidR="00A33EF0" w:rsidRPr="00AB0B3B" w:rsidRDefault="009F6FD8" w:rsidP="00AB0B3B">
            <w:pPr>
              <w:spacing w:after="0"/>
              <w:jc w:val="left"/>
              <w:rPr>
                <w:rFonts w:cs="Arial"/>
                <w:sz w:val="20"/>
                <w:szCs w:val="20"/>
              </w:rPr>
            </w:pPr>
            <w:r w:rsidRPr="00AB0B3B">
              <w:rPr>
                <w:rFonts w:cs="Arial"/>
                <w:sz w:val="20"/>
                <w:szCs w:val="20"/>
              </w:rPr>
              <w:t>Condiciones particulares de materiales, suministro, fabricación, instalación, ejecución, medición y demás requisitos técnicos.</w:t>
            </w:r>
          </w:p>
        </w:tc>
      </w:tr>
      <w:tr w:rsidR="00A33EF0" w:rsidRPr="00AB0B3B" w14:paraId="3E4E299D" w14:textId="77777777" w:rsidTr="00AB0B3B">
        <w:trPr>
          <w:trHeight w:val="583"/>
          <w:jc w:val="center"/>
        </w:trPr>
        <w:tc>
          <w:tcPr>
            <w:tcW w:w="4122" w:type="dxa"/>
            <w:vAlign w:val="center"/>
          </w:tcPr>
          <w:p w14:paraId="7549474D" w14:textId="77777777" w:rsidR="00A33EF0" w:rsidRPr="00AB0B3B" w:rsidRDefault="009F6FD8" w:rsidP="00AB0B3B">
            <w:pPr>
              <w:spacing w:after="0"/>
              <w:jc w:val="left"/>
              <w:rPr>
                <w:rFonts w:cs="Arial"/>
                <w:sz w:val="20"/>
                <w:szCs w:val="20"/>
              </w:rPr>
            </w:pPr>
            <w:r w:rsidRPr="00AB0B3B">
              <w:rPr>
                <w:rFonts w:cs="Arial"/>
                <w:sz w:val="20"/>
                <w:szCs w:val="20"/>
              </w:rPr>
              <w:t>Apéndice B – Control de Calidad, Ensayos y Criterios Técnicos de Aceptación</w:t>
            </w:r>
          </w:p>
        </w:tc>
        <w:tc>
          <w:tcPr>
            <w:tcW w:w="4387" w:type="dxa"/>
            <w:vAlign w:val="center"/>
          </w:tcPr>
          <w:p w14:paraId="17414704" w14:textId="77777777" w:rsidR="00A33EF0" w:rsidRPr="00AB0B3B" w:rsidRDefault="009F6FD8" w:rsidP="00AB0B3B">
            <w:pPr>
              <w:spacing w:after="0"/>
              <w:jc w:val="left"/>
              <w:rPr>
                <w:rFonts w:cs="Arial"/>
                <w:sz w:val="20"/>
                <w:szCs w:val="20"/>
              </w:rPr>
            </w:pPr>
            <w:r w:rsidRPr="00AB0B3B">
              <w:rPr>
                <w:rFonts w:cs="Arial"/>
                <w:sz w:val="20"/>
                <w:szCs w:val="20"/>
              </w:rPr>
              <w:t>Controles, verificaciones, ensayos, frecuencias y criterios de aceptación o rechazo.</w:t>
            </w:r>
          </w:p>
        </w:tc>
      </w:tr>
      <w:tr w:rsidR="00A33EF0" w:rsidRPr="00AB0B3B" w14:paraId="7BE99319" w14:textId="77777777" w:rsidTr="00AB0B3B">
        <w:trPr>
          <w:trHeight w:val="846"/>
          <w:jc w:val="center"/>
        </w:trPr>
        <w:tc>
          <w:tcPr>
            <w:tcW w:w="4122" w:type="dxa"/>
            <w:vAlign w:val="center"/>
          </w:tcPr>
          <w:p w14:paraId="579F389C" w14:textId="77777777" w:rsidR="00A33EF0" w:rsidRPr="00AB0B3B" w:rsidRDefault="009F6FD8" w:rsidP="00AB0B3B">
            <w:pPr>
              <w:spacing w:after="0"/>
              <w:jc w:val="left"/>
              <w:rPr>
                <w:rFonts w:cs="Arial"/>
                <w:sz w:val="20"/>
                <w:szCs w:val="20"/>
              </w:rPr>
            </w:pPr>
            <w:r w:rsidRPr="00AB0B3B">
              <w:rPr>
                <w:rFonts w:cs="Arial"/>
                <w:sz w:val="20"/>
                <w:szCs w:val="20"/>
              </w:rPr>
              <w:t>Apéndice C – Especificaciones Técnicas de Dibujo, Gestión de Información, Inventario, Georreferenciación y Planos Récord</w:t>
            </w:r>
          </w:p>
        </w:tc>
        <w:tc>
          <w:tcPr>
            <w:tcW w:w="4387" w:type="dxa"/>
            <w:vAlign w:val="center"/>
          </w:tcPr>
          <w:p w14:paraId="124BAAF1" w14:textId="77777777" w:rsidR="00A33EF0" w:rsidRPr="00AB0B3B" w:rsidRDefault="009F6FD8" w:rsidP="00AB0B3B">
            <w:pPr>
              <w:spacing w:after="0"/>
              <w:jc w:val="left"/>
              <w:rPr>
                <w:rFonts w:cs="Arial"/>
                <w:sz w:val="20"/>
                <w:szCs w:val="20"/>
              </w:rPr>
            </w:pPr>
            <w:r w:rsidRPr="00AB0B3B">
              <w:rPr>
                <w:rFonts w:cs="Arial"/>
                <w:sz w:val="20"/>
                <w:szCs w:val="20"/>
              </w:rPr>
              <w:t>Estructura, formato, georreferenciación, actualización y entrega de información técnica y espacial.</w:t>
            </w:r>
          </w:p>
        </w:tc>
      </w:tr>
      <w:tr w:rsidR="00A33EF0" w:rsidRPr="00AB0B3B" w14:paraId="42AEC2CF" w14:textId="77777777" w:rsidTr="00AB0B3B">
        <w:trPr>
          <w:trHeight w:val="583"/>
          <w:jc w:val="center"/>
        </w:trPr>
        <w:tc>
          <w:tcPr>
            <w:tcW w:w="4122" w:type="dxa"/>
            <w:vAlign w:val="center"/>
          </w:tcPr>
          <w:p w14:paraId="4ABD2516" w14:textId="77777777" w:rsidR="00A33EF0" w:rsidRPr="00AB0B3B" w:rsidRDefault="009F6FD8" w:rsidP="00AB0B3B">
            <w:pPr>
              <w:spacing w:after="0"/>
              <w:jc w:val="left"/>
              <w:rPr>
                <w:rFonts w:cs="Arial"/>
                <w:sz w:val="20"/>
                <w:szCs w:val="20"/>
              </w:rPr>
            </w:pPr>
            <w:r w:rsidRPr="00AB0B3B">
              <w:rPr>
                <w:rFonts w:cs="Arial"/>
                <w:sz w:val="20"/>
                <w:szCs w:val="20"/>
              </w:rPr>
              <w:t>Apéndice D – Garantías Técnicas y Condiciones de Desempeño</w:t>
            </w:r>
          </w:p>
        </w:tc>
        <w:tc>
          <w:tcPr>
            <w:tcW w:w="4387" w:type="dxa"/>
            <w:vAlign w:val="center"/>
          </w:tcPr>
          <w:p w14:paraId="55449256" w14:textId="77777777" w:rsidR="00A33EF0" w:rsidRPr="00AB0B3B" w:rsidRDefault="009F6FD8" w:rsidP="00AB0B3B">
            <w:pPr>
              <w:spacing w:after="0"/>
              <w:jc w:val="left"/>
              <w:rPr>
                <w:rFonts w:cs="Arial"/>
                <w:sz w:val="20"/>
                <w:szCs w:val="20"/>
              </w:rPr>
            </w:pPr>
            <w:r w:rsidRPr="00AB0B3B">
              <w:rPr>
                <w:rFonts w:cs="Arial"/>
                <w:sz w:val="20"/>
                <w:szCs w:val="20"/>
              </w:rPr>
              <w:t>Periodos, condiciones, seguimiento y atención de las garantías técnicas.</w:t>
            </w:r>
          </w:p>
        </w:tc>
      </w:tr>
      <w:tr w:rsidR="00A33EF0" w:rsidRPr="00AB0B3B" w14:paraId="0570AB75" w14:textId="77777777" w:rsidTr="00AB0B3B">
        <w:trPr>
          <w:trHeight w:val="569"/>
          <w:jc w:val="center"/>
        </w:trPr>
        <w:tc>
          <w:tcPr>
            <w:tcW w:w="4122" w:type="dxa"/>
            <w:vAlign w:val="center"/>
          </w:tcPr>
          <w:p w14:paraId="457469AC" w14:textId="77777777" w:rsidR="00A33EF0" w:rsidRPr="00AB0B3B" w:rsidRDefault="009F6FD8" w:rsidP="00AB0B3B">
            <w:pPr>
              <w:spacing w:after="0"/>
              <w:jc w:val="left"/>
              <w:rPr>
                <w:rFonts w:cs="Arial"/>
                <w:sz w:val="20"/>
                <w:szCs w:val="20"/>
              </w:rPr>
            </w:pPr>
            <w:r w:rsidRPr="00AB0B3B">
              <w:rPr>
                <w:rFonts w:cs="Arial"/>
                <w:sz w:val="20"/>
                <w:szCs w:val="20"/>
              </w:rPr>
              <w:t>Órdenes de Intervención y sus soportes</w:t>
            </w:r>
          </w:p>
        </w:tc>
        <w:tc>
          <w:tcPr>
            <w:tcW w:w="4387" w:type="dxa"/>
            <w:vAlign w:val="center"/>
          </w:tcPr>
          <w:p w14:paraId="1E06C999" w14:textId="77777777" w:rsidR="00A33EF0" w:rsidRPr="00AB0B3B" w:rsidRDefault="009F6FD8" w:rsidP="00AB0B3B">
            <w:pPr>
              <w:spacing w:after="0"/>
              <w:jc w:val="left"/>
              <w:rPr>
                <w:rFonts w:cs="Arial"/>
                <w:sz w:val="20"/>
                <w:szCs w:val="20"/>
              </w:rPr>
            </w:pPr>
            <w:r w:rsidRPr="00AB0B3B">
              <w:rPr>
                <w:rFonts w:cs="Arial"/>
                <w:sz w:val="20"/>
                <w:szCs w:val="20"/>
              </w:rPr>
              <w:t>Individualizan y autorizan las intervenciones a ejecutar durante el contrato.</w:t>
            </w:r>
          </w:p>
        </w:tc>
      </w:tr>
    </w:tbl>
    <w:p w14:paraId="2232C3DA" w14:textId="77777777" w:rsidR="00AB0B3B" w:rsidRDefault="00AB0B3B">
      <w:pPr>
        <w:rPr>
          <w:rFonts w:cs="Arial"/>
        </w:rPr>
      </w:pPr>
    </w:p>
    <w:p w14:paraId="4E6E55CF" w14:textId="2A052395" w:rsidR="00A33EF0" w:rsidRPr="00AB0B3B" w:rsidRDefault="009F6FD8">
      <w:pPr>
        <w:rPr>
          <w:rFonts w:cs="Arial"/>
        </w:rPr>
      </w:pPr>
      <w:r w:rsidRPr="00AB0B3B">
        <w:rPr>
          <w:rFonts w:cs="Arial"/>
        </w:rPr>
        <w:t>Los documentos se interpretarán de manera complementaria y procurando preservar la finalidad técnica de la intervención. Cuando el Contratista identifique una inconsistencia, contradicción, omisión o diferencia que pueda afectar la ejecución, deberá informarla por escrito a la supervisión antes de ejecutar la actividad comprometida.</w:t>
      </w:r>
    </w:p>
    <w:p w14:paraId="79DEC9C7" w14:textId="77777777" w:rsidR="00A33EF0" w:rsidRPr="00AB0B3B" w:rsidRDefault="009F6FD8">
      <w:pPr>
        <w:rPr>
          <w:rFonts w:cs="Arial"/>
        </w:rPr>
      </w:pPr>
      <w:r w:rsidRPr="00AB0B3B">
        <w:rPr>
          <w:rFonts w:cs="Arial"/>
        </w:rPr>
        <w:t>El Contratista no podrá resolver unilateralmente inconsistencias técnicas ni utilizar una diferencia documental como fundamento para ejecutar una solución distinta de la autorizada. La STT definirá la instrucción aplicable dentro del marco de sus competencias y, cuando la situación implique modificación contractual, se adelantará el trámite correspondiente.</w:t>
      </w:r>
    </w:p>
    <w:p w14:paraId="72EFC07D" w14:textId="77777777" w:rsidR="00A33EF0" w:rsidRPr="00AB0B3B" w:rsidRDefault="009F6FD8">
      <w:pPr>
        <w:rPr>
          <w:rFonts w:cs="Arial"/>
        </w:rPr>
      </w:pPr>
      <w:r w:rsidRPr="00AB0B3B">
        <w:rPr>
          <w:rFonts w:cs="Arial"/>
        </w:rPr>
        <w:t>En ningún caso la existencia de una especificación, ítem, plano tipo o referencia dentro de los documentos técnicos constituye autorización general para su utilización. La ejecución estará condicionada a la necesidad técnicamente sustentada, la autorización mediante Orden de Intervención y la disponibilidad contractual.</w:t>
      </w:r>
    </w:p>
    <w:p w14:paraId="72B87C82" w14:textId="77777777" w:rsidR="00A33EF0" w:rsidRPr="00AB0B3B" w:rsidRDefault="009F6FD8">
      <w:pPr>
        <w:pStyle w:val="Ttulo1"/>
        <w:rPr>
          <w:rFonts w:ascii="Arial" w:hAnsi="Arial" w:cs="Arial"/>
        </w:rPr>
      </w:pPr>
      <w:r w:rsidRPr="00AB0B3B">
        <w:rPr>
          <w:rFonts w:ascii="Arial" w:hAnsi="Arial" w:cs="Arial"/>
        </w:rPr>
        <w:t>CIERRE TÉCNICO DE LAS INTERVENCIONES</w:t>
      </w:r>
    </w:p>
    <w:p w14:paraId="2A8D863B" w14:textId="77777777" w:rsidR="00A33EF0" w:rsidRPr="00AB0B3B" w:rsidRDefault="009F6FD8">
      <w:pPr>
        <w:rPr>
          <w:rFonts w:cs="Arial"/>
        </w:rPr>
      </w:pPr>
      <w:r w:rsidRPr="00AB0B3B">
        <w:rPr>
          <w:rFonts w:cs="Arial"/>
        </w:rPr>
        <w:t>Una intervención se considerará técnicamente cerrada cuando las actividades autorizadas hayan sido ejecutadas y verificadas, las no conformidades hayan sido resueltas o documentadas según corresponda, las cantidades hayan sido medidas y consolidadas, y se hayan entregado los registros de calidad, fotografías, información georreferenciada, inventario, planos récord y demás soportes exigibles.</w:t>
      </w:r>
    </w:p>
    <w:p w14:paraId="12635AC8" w14:textId="77777777" w:rsidR="00A33EF0" w:rsidRPr="00AB0B3B" w:rsidRDefault="009F6FD8">
      <w:pPr>
        <w:rPr>
          <w:rFonts w:cs="Arial"/>
        </w:rPr>
      </w:pPr>
      <w:r w:rsidRPr="00AB0B3B">
        <w:rPr>
          <w:rFonts w:cs="Arial"/>
        </w:rPr>
        <w:t>El cierre de una Orden de Intervención no extingue las obligaciones asociadas con las garantías técnicas ni las demás responsabilidades que subsistan conforme a los documentos contractuales.</w:t>
      </w:r>
    </w:p>
    <w:sectPr w:rsidR="00A33EF0" w:rsidRPr="00AB0B3B" w:rsidSect="006D7F81">
      <w:headerReference w:type="even" r:id="rId11"/>
      <w:headerReference w:type="default" r:id="rId12"/>
      <w:footerReference w:type="default" r:id="rId13"/>
      <w:pgSz w:w="12240" w:h="18720" w:code="41"/>
      <w:pgMar w:top="1134" w:right="1467" w:bottom="993" w:left="1531" w:header="1196"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074B6" w14:textId="77777777" w:rsidR="00B80134" w:rsidRDefault="00B80134" w:rsidP="007D0390">
      <w:pPr>
        <w:spacing w:after="0" w:line="240" w:lineRule="auto"/>
      </w:pPr>
      <w:r>
        <w:separator/>
      </w:r>
    </w:p>
  </w:endnote>
  <w:endnote w:type="continuationSeparator" w:id="0">
    <w:p w14:paraId="730A2940" w14:textId="77777777" w:rsidR="00B80134" w:rsidRDefault="00B80134" w:rsidP="007D0390">
      <w:pPr>
        <w:spacing w:after="0" w:line="240" w:lineRule="auto"/>
      </w:pPr>
      <w:r>
        <w:continuationSeparator/>
      </w:r>
    </w:p>
  </w:endnote>
  <w:endnote w:type="continuationNotice" w:id="1">
    <w:p w14:paraId="3697A457" w14:textId="77777777" w:rsidR="00B80134" w:rsidRDefault="00B801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1CBA2" w14:textId="77777777" w:rsidR="00887DF7" w:rsidRDefault="00887DF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87D18" w14:textId="77777777" w:rsidR="00B80134" w:rsidRDefault="00B80134" w:rsidP="007D0390">
      <w:pPr>
        <w:spacing w:after="0" w:line="240" w:lineRule="auto"/>
      </w:pPr>
      <w:r>
        <w:separator/>
      </w:r>
    </w:p>
  </w:footnote>
  <w:footnote w:type="continuationSeparator" w:id="0">
    <w:p w14:paraId="087DD04C" w14:textId="77777777" w:rsidR="00B80134" w:rsidRDefault="00B80134" w:rsidP="007D0390">
      <w:pPr>
        <w:spacing w:after="0" w:line="240" w:lineRule="auto"/>
      </w:pPr>
      <w:r>
        <w:continuationSeparator/>
      </w:r>
    </w:p>
  </w:footnote>
  <w:footnote w:type="continuationNotice" w:id="1">
    <w:p w14:paraId="43E3450B" w14:textId="77777777" w:rsidR="00B80134" w:rsidRDefault="00B8013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57B1F" w14:textId="77777777" w:rsidR="004B08F2" w:rsidRDefault="004B08F2"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6A13A03" w14:textId="77777777" w:rsidR="004B08F2" w:rsidRDefault="004B08F2"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horzAnchor="margin" w:tblpXSpec="center" w:tblpY="-538"/>
      <w:tblW w:w="961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050"/>
      <w:gridCol w:w="4837"/>
      <w:gridCol w:w="2723"/>
    </w:tblGrid>
    <w:tr w:rsidR="00C62203" w:rsidRPr="000067CE" w14:paraId="5910C17F" w14:textId="77777777" w:rsidTr="00FA25AA">
      <w:trPr>
        <w:cantSplit/>
        <w:trHeight w:val="417"/>
      </w:trPr>
      <w:tc>
        <w:tcPr>
          <w:tcW w:w="2050" w:type="dxa"/>
          <w:vMerge w:val="restart"/>
          <w:vAlign w:val="center"/>
        </w:tcPr>
        <w:p w14:paraId="3E8CB5E7" w14:textId="77777777" w:rsidR="00C62203" w:rsidRPr="000067CE" w:rsidRDefault="00C62203" w:rsidP="000067CE">
          <w:pPr>
            <w:pStyle w:val="Encabezado"/>
            <w:spacing w:after="0"/>
            <w:jc w:val="center"/>
            <w:rPr>
              <w:rFonts w:asciiTheme="minorHAnsi" w:hAnsiTheme="minorHAnsi" w:cstheme="minorHAnsi"/>
              <w:noProof/>
            </w:rPr>
          </w:pPr>
          <w:r w:rsidRPr="000067CE">
            <w:rPr>
              <w:rFonts w:asciiTheme="minorHAnsi" w:hAnsiTheme="minorHAnsi" w:cstheme="minorHAnsi"/>
              <w:noProof/>
            </w:rPr>
            <w:drawing>
              <wp:inline distT="0" distB="0" distL="0" distR="0" wp14:anchorId="24DF5275" wp14:editId="266B0768">
                <wp:extent cx="1057275" cy="676275"/>
                <wp:effectExtent l="0" t="0" r="9525" b="9525"/>
                <wp:docPr id="13" name="Imagen 13" descr="Descripción: Descripción: escudo_y_let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_y_letra[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676275"/>
                        </a:xfrm>
                        <a:prstGeom prst="rect">
                          <a:avLst/>
                        </a:prstGeom>
                        <a:noFill/>
                        <a:ln>
                          <a:noFill/>
                        </a:ln>
                      </pic:spPr>
                    </pic:pic>
                  </a:graphicData>
                </a:graphic>
              </wp:inline>
            </w:drawing>
          </w:r>
        </w:p>
      </w:tc>
      <w:tc>
        <w:tcPr>
          <w:tcW w:w="4837" w:type="dxa"/>
          <w:vMerge w:val="restart"/>
          <w:tcBorders>
            <w:bottom w:val="single" w:sz="6" w:space="0" w:color="auto"/>
          </w:tcBorders>
          <w:vAlign w:val="center"/>
        </w:tcPr>
        <w:p w14:paraId="372B425A" w14:textId="77777777" w:rsidR="00C62203" w:rsidRPr="000067CE" w:rsidRDefault="00C62203" w:rsidP="000067CE">
          <w:pPr>
            <w:pStyle w:val="Encabezado"/>
            <w:spacing w:after="0" w:line="240" w:lineRule="auto"/>
            <w:jc w:val="center"/>
            <w:rPr>
              <w:rFonts w:asciiTheme="minorHAnsi" w:hAnsiTheme="minorHAnsi" w:cstheme="minorHAnsi"/>
              <w:b/>
              <w:noProof/>
            </w:rPr>
          </w:pPr>
          <w:r w:rsidRPr="000067CE">
            <w:rPr>
              <w:rFonts w:asciiTheme="minorHAnsi" w:hAnsiTheme="minorHAnsi" w:cstheme="minorHAnsi"/>
              <w:b/>
              <w:noProof/>
            </w:rPr>
            <w:t>SISTEMA INTEGRADO DE GESTIÓN</w:t>
          </w:r>
        </w:p>
      </w:tc>
      <w:tc>
        <w:tcPr>
          <w:tcW w:w="2723" w:type="dxa"/>
          <w:tcBorders>
            <w:bottom w:val="single" w:sz="6" w:space="0" w:color="auto"/>
          </w:tcBorders>
          <w:vAlign w:val="center"/>
        </w:tcPr>
        <w:p w14:paraId="119D429A" w14:textId="77777777" w:rsidR="00C62203" w:rsidRPr="000067CE" w:rsidRDefault="00C62203" w:rsidP="000067CE">
          <w:pPr>
            <w:pStyle w:val="Encabezado"/>
            <w:spacing w:after="0"/>
            <w:jc w:val="center"/>
            <w:rPr>
              <w:rFonts w:asciiTheme="minorHAnsi" w:hAnsiTheme="minorHAnsi" w:cstheme="minorHAnsi"/>
              <w:b/>
              <w:bCs/>
            </w:rPr>
          </w:pPr>
          <w:r w:rsidRPr="000067CE">
            <w:rPr>
              <w:rFonts w:asciiTheme="minorHAnsi" w:hAnsiTheme="minorHAnsi" w:cstheme="minorHAnsi"/>
              <w:b/>
            </w:rPr>
            <w:t>Código: R-GJ-011</w:t>
          </w:r>
        </w:p>
      </w:tc>
    </w:tr>
    <w:tr w:rsidR="00C62203" w:rsidRPr="000067CE" w14:paraId="28484C8D" w14:textId="77777777" w:rsidTr="00C62203">
      <w:trPr>
        <w:cantSplit/>
        <w:trHeight w:val="376"/>
      </w:trPr>
      <w:tc>
        <w:tcPr>
          <w:tcW w:w="2050" w:type="dxa"/>
          <w:vMerge/>
          <w:vAlign w:val="bottom"/>
        </w:tcPr>
        <w:p w14:paraId="72DBFDC6" w14:textId="77777777" w:rsidR="00C62203" w:rsidRPr="000067CE" w:rsidRDefault="00C62203" w:rsidP="000067CE">
          <w:pPr>
            <w:pStyle w:val="Encabezado"/>
            <w:spacing w:after="0"/>
            <w:jc w:val="center"/>
            <w:rPr>
              <w:rFonts w:asciiTheme="minorHAnsi" w:hAnsiTheme="minorHAnsi" w:cstheme="minorHAnsi"/>
              <w:noProof/>
            </w:rPr>
          </w:pPr>
        </w:p>
      </w:tc>
      <w:tc>
        <w:tcPr>
          <w:tcW w:w="4837" w:type="dxa"/>
          <w:vMerge/>
          <w:vAlign w:val="center"/>
        </w:tcPr>
        <w:p w14:paraId="7CA3908F" w14:textId="77777777" w:rsidR="00C62203" w:rsidRPr="000067CE" w:rsidRDefault="00C62203" w:rsidP="000067CE">
          <w:pPr>
            <w:pStyle w:val="Encabezado"/>
            <w:spacing w:after="0"/>
            <w:jc w:val="center"/>
            <w:rPr>
              <w:rFonts w:asciiTheme="minorHAnsi" w:hAnsiTheme="minorHAnsi" w:cstheme="minorHAnsi"/>
              <w:b/>
              <w:noProof/>
            </w:rPr>
          </w:pPr>
        </w:p>
      </w:tc>
      <w:tc>
        <w:tcPr>
          <w:tcW w:w="2723" w:type="dxa"/>
          <w:vAlign w:val="center"/>
        </w:tcPr>
        <w:p w14:paraId="29EDB310" w14:textId="77777777" w:rsidR="00C62203" w:rsidRPr="000067CE" w:rsidRDefault="00C62203" w:rsidP="000067CE">
          <w:pPr>
            <w:pStyle w:val="Encabezado"/>
            <w:spacing w:after="0"/>
            <w:jc w:val="center"/>
            <w:rPr>
              <w:rFonts w:asciiTheme="minorHAnsi" w:hAnsiTheme="minorHAnsi" w:cstheme="minorHAnsi"/>
              <w:b/>
              <w:bCs/>
            </w:rPr>
          </w:pPr>
          <w:r w:rsidRPr="000067CE">
            <w:rPr>
              <w:rFonts w:asciiTheme="minorHAnsi" w:hAnsiTheme="minorHAnsi" w:cstheme="minorHAnsi"/>
              <w:b/>
            </w:rPr>
            <w:t>Fecha Aprobación:</w:t>
          </w:r>
        </w:p>
        <w:p w14:paraId="1EFB430F" w14:textId="77777777" w:rsidR="00C62203" w:rsidRPr="000067CE" w:rsidRDefault="00C62203" w:rsidP="000067CE">
          <w:pPr>
            <w:pStyle w:val="Encabezado"/>
            <w:spacing w:after="0"/>
            <w:jc w:val="center"/>
            <w:rPr>
              <w:rFonts w:asciiTheme="minorHAnsi" w:hAnsiTheme="minorHAnsi" w:cstheme="minorHAnsi"/>
              <w:b/>
              <w:bCs/>
            </w:rPr>
          </w:pPr>
          <w:r w:rsidRPr="000067CE">
            <w:rPr>
              <w:rFonts w:asciiTheme="minorHAnsi" w:hAnsiTheme="minorHAnsi" w:cstheme="minorHAnsi"/>
              <w:b/>
            </w:rPr>
            <w:t>28-04-2011</w:t>
          </w:r>
        </w:p>
      </w:tc>
    </w:tr>
    <w:tr w:rsidR="00C62203" w:rsidRPr="000067CE" w14:paraId="10A39725" w14:textId="77777777" w:rsidTr="00FA25AA">
      <w:trPr>
        <w:cantSplit/>
        <w:trHeight w:val="425"/>
      </w:trPr>
      <w:tc>
        <w:tcPr>
          <w:tcW w:w="2050" w:type="dxa"/>
          <w:vMerge/>
          <w:vAlign w:val="center"/>
        </w:tcPr>
        <w:p w14:paraId="78AD763D" w14:textId="77777777" w:rsidR="00C62203" w:rsidRPr="000067CE" w:rsidRDefault="00C62203" w:rsidP="000067CE">
          <w:pPr>
            <w:pStyle w:val="Encabezado"/>
            <w:spacing w:after="0"/>
            <w:jc w:val="center"/>
            <w:rPr>
              <w:rFonts w:asciiTheme="minorHAnsi" w:hAnsiTheme="minorHAnsi" w:cstheme="minorHAnsi"/>
              <w:noProof/>
            </w:rPr>
          </w:pPr>
        </w:p>
      </w:tc>
      <w:tc>
        <w:tcPr>
          <w:tcW w:w="4837" w:type="dxa"/>
          <w:vMerge w:val="restart"/>
          <w:vAlign w:val="center"/>
        </w:tcPr>
        <w:p w14:paraId="319E0B21" w14:textId="77777777" w:rsidR="00C62203" w:rsidRDefault="00C62203" w:rsidP="000067CE">
          <w:pPr>
            <w:pStyle w:val="Encabezado"/>
            <w:spacing w:after="0"/>
            <w:jc w:val="center"/>
            <w:rPr>
              <w:rFonts w:asciiTheme="minorHAnsi" w:hAnsiTheme="minorHAnsi" w:cstheme="minorHAnsi"/>
              <w:b/>
            </w:rPr>
          </w:pPr>
          <w:r>
            <w:t>ANEXO TÉCNICO</w:t>
          </w:r>
          <w:r>
            <w:br/>
            <w:t>Alcance y condiciones generales para la ejecución del contrato de señalización vial</w:t>
          </w:r>
        </w:p>
        <w:p w14:paraId="171DCC54" w14:textId="77777777" w:rsidR="00FA25AA" w:rsidRPr="000067CE" w:rsidRDefault="00FA25AA" w:rsidP="000067CE">
          <w:pPr>
            <w:pStyle w:val="Encabezado"/>
            <w:spacing w:after="0"/>
            <w:jc w:val="center"/>
            <w:rPr>
              <w:rFonts w:asciiTheme="minorHAnsi" w:hAnsiTheme="minorHAnsi" w:cstheme="minorHAnsi"/>
              <w:b/>
              <w:noProof/>
            </w:rPr>
          </w:pPr>
          <w:r>
            <w:rPr>
              <w:b/>
            </w:rPr>
            <w:t>Proceso de señalización vial horizontal, vertical y dispositivos para la regulación y seguridad vial del municipio de Duitama</w:t>
          </w:r>
        </w:p>
      </w:tc>
      <w:tc>
        <w:tcPr>
          <w:tcW w:w="2723" w:type="dxa"/>
          <w:vAlign w:val="center"/>
        </w:tcPr>
        <w:p w14:paraId="6D347619" w14:textId="77777777" w:rsidR="00C62203" w:rsidRPr="000067CE" w:rsidRDefault="00C62203" w:rsidP="000067CE">
          <w:pPr>
            <w:pStyle w:val="Encabezado"/>
            <w:spacing w:after="0"/>
            <w:jc w:val="center"/>
            <w:rPr>
              <w:rFonts w:asciiTheme="minorHAnsi" w:hAnsiTheme="minorHAnsi" w:cstheme="minorHAnsi"/>
              <w:b/>
              <w:bCs/>
            </w:rPr>
          </w:pPr>
          <w:r w:rsidRPr="000067CE">
            <w:rPr>
              <w:rFonts w:asciiTheme="minorHAnsi" w:hAnsiTheme="minorHAnsi" w:cstheme="minorHAnsi"/>
              <w:b/>
            </w:rPr>
            <w:t>Versión: 0</w:t>
          </w:r>
        </w:p>
      </w:tc>
    </w:tr>
    <w:tr w:rsidR="00C62203" w:rsidRPr="000067CE" w14:paraId="13976A3E" w14:textId="77777777" w:rsidTr="00C62203">
      <w:trPr>
        <w:cantSplit/>
        <w:trHeight w:val="483"/>
      </w:trPr>
      <w:tc>
        <w:tcPr>
          <w:tcW w:w="2050" w:type="dxa"/>
          <w:vAlign w:val="center"/>
        </w:tcPr>
        <w:p w14:paraId="6EEA15DE" w14:textId="77777777" w:rsidR="00C62203" w:rsidRPr="000067CE" w:rsidRDefault="00C62203" w:rsidP="000067CE">
          <w:pPr>
            <w:pStyle w:val="Encabezado"/>
            <w:spacing w:after="0"/>
            <w:jc w:val="center"/>
            <w:rPr>
              <w:rFonts w:asciiTheme="minorHAnsi" w:hAnsiTheme="minorHAnsi" w:cstheme="minorHAnsi"/>
              <w:b/>
            </w:rPr>
          </w:pPr>
          <w:r w:rsidRPr="000067CE">
            <w:rPr>
              <w:rFonts w:asciiTheme="minorHAnsi" w:hAnsiTheme="minorHAnsi" w:cstheme="minorHAnsi"/>
              <w:b/>
            </w:rPr>
            <w:t>NIVEL CENTRAL</w:t>
          </w:r>
        </w:p>
      </w:tc>
      <w:tc>
        <w:tcPr>
          <w:tcW w:w="4837" w:type="dxa"/>
          <w:vMerge/>
          <w:vAlign w:val="center"/>
        </w:tcPr>
        <w:p w14:paraId="2555E507" w14:textId="77777777" w:rsidR="00C62203" w:rsidRPr="000067CE" w:rsidRDefault="00C62203" w:rsidP="000067CE">
          <w:pPr>
            <w:pStyle w:val="Encabezado"/>
            <w:spacing w:after="0"/>
            <w:jc w:val="center"/>
            <w:rPr>
              <w:rFonts w:asciiTheme="minorHAnsi" w:hAnsiTheme="minorHAnsi" w:cstheme="minorHAnsi"/>
              <w:b/>
            </w:rPr>
          </w:pPr>
        </w:p>
      </w:tc>
      <w:tc>
        <w:tcPr>
          <w:tcW w:w="2723" w:type="dxa"/>
          <w:vAlign w:val="center"/>
        </w:tcPr>
        <w:p w14:paraId="6B400F4A" w14:textId="77777777" w:rsidR="00C62203" w:rsidRPr="000067CE" w:rsidRDefault="00C62203" w:rsidP="000067CE">
          <w:pPr>
            <w:pStyle w:val="Encabezado"/>
            <w:spacing w:after="0"/>
            <w:jc w:val="center"/>
            <w:rPr>
              <w:rFonts w:asciiTheme="minorHAnsi" w:hAnsiTheme="minorHAnsi" w:cstheme="minorHAnsi"/>
              <w:b/>
            </w:rPr>
          </w:pPr>
          <w:r>
            <w:t>Página</w:t>
          </w:r>
        </w:p>
      </w:tc>
    </w:tr>
  </w:tbl>
  <w:p w14:paraId="32D396C7" w14:textId="77777777" w:rsidR="004B08F2" w:rsidRPr="00724EC1" w:rsidRDefault="004B08F2" w:rsidP="000067CE">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5F8"/>
    <w:multiLevelType w:val="hybridMultilevel"/>
    <w:tmpl w:val="602E1F5E"/>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B06A69"/>
    <w:multiLevelType w:val="hybridMultilevel"/>
    <w:tmpl w:val="F4E6D350"/>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225510B"/>
    <w:multiLevelType w:val="hybridMultilevel"/>
    <w:tmpl w:val="A182A7C0"/>
    <w:lvl w:ilvl="0" w:tplc="6A2EEB54">
      <w:start w:val="1"/>
      <w:numFmt w:val="upperLetter"/>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230E0D76"/>
    <w:multiLevelType w:val="hybridMultilevel"/>
    <w:tmpl w:val="40A2EA8A"/>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5B5393C"/>
    <w:multiLevelType w:val="hybridMultilevel"/>
    <w:tmpl w:val="C4DEEF2A"/>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8100710"/>
    <w:multiLevelType w:val="hybridMultilevel"/>
    <w:tmpl w:val="549C55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6363077"/>
    <w:multiLevelType w:val="hybridMultilevel"/>
    <w:tmpl w:val="E66407E0"/>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95A2529"/>
    <w:multiLevelType w:val="hybridMultilevel"/>
    <w:tmpl w:val="28F45DC8"/>
    <w:lvl w:ilvl="0" w:tplc="6298D04A">
      <w:numFmt w:val="bullet"/>
      <w:lvlText w:val="•"/>
      <w:lvlJc w:val="left"/>
      <w:pPr>
        <w:ind w:left="504" w:hanging="360"/>
      </w:pPr>
      <w:rPr>
        <w:rFonts w:ascii="Arial" w:eastAsia="Times New Roman" w:hAnsi="Arial" w:cs="Arial" w:hint="default"/>
        <w:b/>
      </w:rPr>
    </w:lvl>
    <w:lvl w:ilvl="1" w:tplc="240A0003" w:tentative="1">
      <w:start w:val="1"/>
      <w:numFmt w:val="bullet"/>
      <w:lvlText w:val="o"/>
      <w:lvlJc w:val="left"/>
      <w:pPr>
        <w:ind w:left="1224" w:hanging="360"/>
      </w:pPr>
      <w:rPr>
        <w:rFonts w:ascii="Courier New" w:hAnsi="Courier New" w:cs="Courier New" w:hint="default"/>
      </w:rPr>
    </w:lvl>
    <w:lvl w:ilvl="2" w:tplc="240A0005" w:tentative="1">
      <w:start w:val="1"/>
      <w:numFmt w:val="bullet"/>
      <w:lvlText w:val=""/>
      <w:lvlJc w:val="left"/>
      <w:pPr>
        <w:ind w:left="1944" w:hanging="360"/>
      </w:pPr>
      <w:rPr>
        <w:rFonts w:ascii="Wingdings" w:hAnsi="Wingdings" w:hint="default"/>
      </w:rPr>
    </w:lvl>
    <w:lvl w:ilvl="3" w:tplc="240A0001" w:tentative="1">
      <w:start w:val="1"/>
      <w:numFmt w:val="bullet"/>
      <w:lvlText w:val=""/>
      <w:lvlJc w:val="left"/>
      <w:pPr>
        <w:ind w:left="2664" w:hanging="360"/>
      </w:pPr>
      <w:rPr>
        <w:rFonts w:ascii="Symbol" w:hAnsi="Symbol" w:hint="default"/>
      </w:rPr>
    </w:lvl>
    <w:lvl w:ilvl="4" w:tplc="240A0003" w:tentative="1">
      <w:start w:val="1"/>
      <w:numFmt w:val="bullet"/>
      <w:lvlText w:val="o"/>
      <w:lvlJc w:val="left"/>
      <w:pPr>
        <w:ind w:left="3384" w:hanging="360"/>
      </w:pPr>
      <w:rPr>
        <w:rFonts w:ascii="Courier New" w:hAnsi="Courier New" w:cs="Courier New" w:hint="default"/>
      </w:rPr>
    </w:lvl>
    <w:lvl w:ilvl="5" w:tplc="240A0005" w:tentative="1">
      <w:start w:val="1"/>
      <w:numFmt w:val="bullet"/>
      <w:lvlText w:val=""/>
      <w:lvlJc w:val="left"/>
      <w:pPr>
        <w:ind w:left="4104" w:hanging="360"/>
      </w:pPr>
      <w:rPr>
        <w:rFonts w:ascii="Wingdings" w:hAnsi="Wingdings" w:hint="default"/>
      </w:rPr>
    </w:lvl>
    <w:lvl w:ilvl="6" w:tplc="240A0001" w:tentative="1">
      <w:start w:val="1"/>
      <w:numFmt w:val="bullet"/>
      <w:lvlText w:val=""/>
      <w:lvlJc w:val="left"/>
      <w:pPr>
        <w:ind w:left="4824" w:hanging="360"/>
      </w:pPr>
      <w:rPr>
        <w:rFonts w:ascii="Symbol" w:hAnsi="Symbol" w:hint="default"/>
      </w:rPr>
    </w:lvl>
    <w:lvl w:ilvl="7" w:tplc="240A0003" w:tentative="1">
      <w:start w:val="1"/>
      <w:numFmt w:val="bullet"/>
      <w:lvlText w:val="o"/>
      <w:lvlJc w:val="left"/>
      <w:pPr>
        <w:ind w:left="5544" w:hanging="360"/>
      </w:pPr>
      <w:rPr>
        <w:rFonts w:ascii="Courier New" w:hAnsi="Courier New" w:cs="Courier New" w:hint="default"/>
      </w:rPr>
    </w:lvl>
    <w:lvl w:ilvl="8" w:tplc="240A0005" w:tentative="1">
      <w:start w:val="1"/>
      <w:numFmt w:val="bullet"/>
      <w:lvlText w:val=""/>
      <w:lvlJc w:val="left"/>
      <w:pPr>
        <w:ind w:left="6264" w:hanging="360"/>
      </w:pPr>
      <w:rPr>
        <w:rFonts w:ascii="Wingdings" w:hAnsi="Wingdings" w:hint="default"/>
      </w:rPr>
    </w:lvl>
  </w:abstractNum>
  <w:abstractNum w:abstractNumId="9" w15:restartNumberingAfterBreak="0">
    <w:nsid w:val="5A0777E4"/>
    <w:multiLevelType w:val="hybridMultilevel"/>
    <w:tmpl w:val="6A90B0F2"/>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A4D7E77"/>
    <w:multiLevelType w:val="hybridMultilevel"/>
    <w:tmpl w:val="EB7A511E"/>
    <w:lvl w:ilvl="0" w:tplc="240A0001">
      <w:start w:val="1"/>
      <w:numFmt w:val="bullet"/>
      <w:lvlText w:val=""/>
      <w:lvlJc w:val="left"/>
      <w:pPr>
        <w:ind w:left="504" w:hanging="360"/>
      </w:pPr>
      <w:rPr>
        <w:rFonts w:ascii="Symbol" w:hAnsi="Symbol" w:hint="default"/>
        <w:b/>
      </w:rPr>
    </w:lvl>
    <w:lvl w:ilvl="1" w:tplc="240A0003" w:tentative="1">
      <w:start w:val="1"/>
      <w:numFmt w:val="bullet"/>
      <w:lvlText w:val="o"/>
      <w:lvlJc w:val="left"/>
      <w:pPr>
        <w:ind w:left="1224" w:hanging="360"/>
      </w:pPr>
      <w:rPr>
        <w:rFonts w:ascii="Courier New" w:hAnsi="Courier New" w:cs="Courier New" w:hint="default"/>
      </w:rPr>
    </w:lvl>
    <w:lvl w:ilvl="2" w:tplc="240A0005" w:tentative="1">
      <w:start w:val="1"/>
      <w:numFmt w:val="bullet"/>
      <w:lvlText w:val=""/>
      <w:lvlJc w:val="left"/>
      <w:pPr>
        <w:ind w:left="1944" w:hanging="360"/>
      </w:pPr>
      <w:rPr>
        <w:rFonts w:ascii="Wingdings" w:hAnsi="Wingdings" w:hint="default"/>
      </w:rPr>
    </w:lvl>
    <w:lvl w:ilvl="3" w:tplc="240A0001" w:tentative="1">
      <w:start w:val="1"/>
      <w:numFmt w:val="bullet"/>
      <w:lvlText w:val=""/>
      <w:lvlJc w:val="left"/>
      <w:pPr>
        <w:ind w:left="2664" w:hanging="360"/>
      </w:pPr>
      <w:rPr>
        <w:rFonts w:ascii="Symbol" w:hAnsi="Symbol" w:hint="default"/>
      </w:rPr>
    </w:lvl>
    <w:lvl w:ilvl="4" w:tplc="240A0003" w:tentative="1">
      <w:start w:val="1"/>
      <w:numFmt w:val="bullet"/>
      <w:lvlText w:val="o"/>
      <w:lvlJc w:val="left"/>
      <w:pPr>
        <w:ind w:left="3384" w:hanging="360"/>
      </w:pPr>
      <w:rPr>
        <w:rFonts w:ascii="Courier New" w:hAnsi="Courier New" w:cs="Courier New" w:hint="default"/>
      </w:rPr>
    </w:lvl>
    <w:lvl w:ilvl="5" w:tplc="240A0005" w:tentative="1">
      <w:start w:val="1"/>
      <w:numFmt w:val="bullet"/>
      <w:lvlText w:val=""/>
      <w:lvlJc w:val="left"/>
      <w:pPr>
        <w:ind w:left="4104" w:hanging="360"/>
      </w:pPr>
      <w:rPr>
        <w:rFonts w:ascii="Wingdings" w:hAnsi="Wingdings" w:hint="default"/>
      </w:rPr>
    </w:lvl>
    <w:lvl w:ilvl="6" w:tplc="240A0001" w:tentative="1">
      <w:start w:val="1"/>
      <w:numFmt w:val="bullet"/>
      <w:lvlText w:val=""/>
      <w:lvlJc w:val="left"/>
      <w:pPr>
        <w:ind w:left="4824" w:hanging="360"/>
      </w:pPr>
      <w:rPr>
        <w:rFonts w:ascii="Symbol" w:hAnsi="Symbol" w:hint="default"/>
      </w:rPr>
    </w:lvl>
    <w:lvl w:ilvl="7" w:tplc="240A0003" w:tentative="1">
      <w:start w:val="1"/>
      <w:numFmt w:val="bullet"/>
      <w:lvlText w:val="o"/>
      <w:lvlJc w:val="left"/>
      <w:pPr>
        <w:ind w:left="5544" w:hanging="360"/>
      </w:pPr>
      <w:rPr>
        <w:rFonts w:ascii="Courier New" w:hAnsi="Courier New" w:cs="Courier New" w:hint="default"/>
      </w:rPr>
    </w:lvl>
    <w:lvl w:ilvl="8" w:tplc="240A0005" w:tentative="1">
      <w:start w:val="1"/>
      <w:numFmt w:val="bullet"/>
      <w:lvlText w:val=""/>
      <w:lvlJc w:val="left"/>
      <w:pPr>
        <w:ind w:left="6264" w:hanging="360"/>
      </w:pPr>
      <w:rPr>
        <w:rFonts w:ascii="Wingdings" w:hAnsi="Wingdings" w:hint="default"/>
      </w:rPr>
    </w:lvl>
  </w:abstractNum>
  <w:abstractNum w:abstractNumId="11" w15:restartNumberingAfterBreak="0">
    <w:nsid w:val="5A7219FF"/>
    <w:multiLevelType w:val="hybridMultilevel"/>
    <w:tmpl w:val="0540A684"/>
    <w:lvl w:ilvl="0" w:tplc="240A0001">
      <w:start w:val="1"/>
      <w:numFmt w:val="bullet"/>
      <w:lvlText w:val=""/>
      <w:lvlJc w:val="left"/>
      <w:pPr>
        <w:ind w:left="504" w:hanging="360"/>
      </w:pPr>
      <w:rPr>
        <w:rFonts w:ascii="Symbol" w:hAnsi="Symbol" w:hint="default"/>
        <w:b/>
      </w:rPr>
    </w:lvl>
    <w:lvl w:ilvl="1" w:tplc="240A0003" w:tentative="1">
      <w:start w:val="1"/>
      <w:numFmt w:val="bullet"/>
      <w:lvlText w:val="o"/>
      <w:lvlJc w:val="left"/>
      <w:pPr>
        <w:ind w:left="1224" w:hanging="360"/>
      </w:pPr>
      <w:rPr>
        <w:rFonts w:ascii="Courier New" w:hAnsi="Courier New" w:cs="Courier New" w:hint="default"/>
      </w:rPr>
    </w:lvl>
    <w:lvl w:ilvl="2" w:tplc="240A0005" w:tentative="1">
      <w:start w:val="1"/>
      <w:numFmt w:val="bullet"/>
      <w:lvlText w:val=""/>
      <w:lvlJc w:val="left"/>
      <w:pPr>
        <w:ind w:left="1944" w:hanging="360"/>
      </w:pPr>
      <w:rPr>
        <w:rFonts w:ascii="Wingdings" w:hAnsi="Wingdings" w:hint="default"/>
      </w:rPr>
    </w:lvl>
    <w:lvl w:ilvl="3" w:tplc="240A0001" w:tentative="1">
      <w:start w:val="1"/>
      <w:numFmt w:val="bullet"/>
      <w:lvlText w:val=""/>
      <w:lvlJc w:val="left"/>
      <w:pPr>
        <w:ind w:left="2664" w:hanging="360"/>
      </w:pPr>
      <w:rPr>
        <w:rFonts w:ascii="Symbol" w:hAnsi="Symbol" w:hint="default"/>
      </w:rPr>
    </w:lvl>
    <w:lvl w:ilvl="4" w:tplc="240A0003" w:tentative="1">
      <w:start w:val="1"/>
      <w:numFmt w:val="bullet"/>
      <w:lvlText w:val="o"/>
      <w:lvlJc w:val="left"/>
      <w:pPr>
        <w:ind w:left="3384" w:hanging="360"/>
      </w:pPr>
      <w:rPr>
        <w:rFonts w:ascii="Courier New" w:hAnsi="Courier New" w:cs="Courier New" w:hint="default"/>
      </w:rPr>
    </w:lvl>
    <w:lvl w:ilvl="5" w:tplc="240A0005" w:tentative="1">
      <w:start w:val="1"/>
      <w:numFmt w:val="bullet"/>
      <w:lvlText w:val=""/>
      <w:lvlJc w:val="left"/>
      <w:pPr>
        <w:ind w:left="4104" w:hanging="360"/>
      </w:pPr>
      <w:rPr>
        <w:rFonts w:ascii="Wingdings" w:hAnsi="Wingdings" w:hint="default"/>
      </w:rPr>
    </w:lvl>
    <w:lvl w:ilvl="6" w:tplc="240A0001" w:tentative="1">
      <w:start w:val="1"/>
      <w:numFmt w:val="bullet"/>
      <w:lvlText w:val=""/>
      <w:lvlJc w:val="left"/>
      <w:pPr>
        <w:ind w:left="4824" w:hanging="360"/>
      </w:pPr>
      <w:rPr>
        <w:rFonts w:ascii="Symbol" w:hAnsi="Symbol" w:hint="default"/>
      </w:rPr>
    </w:lvl>
    <w:lvl w:ilvl="7" w:tplc="240A0003" w:tentative="1">
      <w:start w:val="1"/>
      <w:numFmt w:val="bullet"/>
      <w:lvlText w:val="o"/>
      <w:lvlJc w:val="left"/>
      <w:pPr>
        <w:ind w:left="5544" w:hanging="360"/>
      </w:pPr>
      <w:rPr>
        <w:rFonts w:ascii="Courier New" w:hAnsi="Courier New" w:cs="Courier New" w:hint="default"/>
      </w:rPr>
    </w:lvl>
    <w:lvl w:ilvl="8" w:tplc="240A0005" w:tentative="1">
      <w:start w:val="1"/>
      <w:numFmt w:val="bullet"/>
      <w:lvlText w:val=""/>
      <w:lvlJc w:val="left"/>
      <w:pPr>
        <w:ind w:left="6264" w:hanging="360"/>
      </w:pPr>
      <w:rPr>
        <w:rFonts w:ascii="Wingdings" w:hAnsi="Wingdings" w:hint="default"/>
      </w:rPr>
    </w:lvl>
  </w:abstractNum>
  <w:abstractNum w:abstractNumId="12" w15:restartNumberingAfterBreak="0">
    <w:nsid w:val="5CFB5A93"/>
    <w:multiLevelType w:val="hybridMultilevel"/>
    <w:tmpl w:val="1E448868"/>
    <w:lvl w:ilvl="0" w:tplc="240A0001">
      <w:start w:val="1"/>
      <w:numFmt w:val="bullet"/>
      <w:lvlText w:val=""/>
      <w:lvlJc w:val="left"/>
      <w:pPr>
        <w:ind w:left="864" w:hanging="360"/>
      </w:pPr>
      <w:rPr>
        <w:rFonts w:ascii="Symbol" w:hAnsi="Symbol" w:hint="default"/>
      </w:rPr>
    </w:lvl>
    <w:lvl w:ilvl="1" w:tplc="240A0003" w:tentative="1">
      <w:start w:val="1"/>
      <w:numFmt w:val="bullet"/>
      <w:lvlText w:val="o"/>
      <w:lvlJc w:val="left"/>
      <w:pPr>
        <w:ind w:left="1584" w:hanging="360"/>
      </w:pPr>
      <w:rPr>
        <w:rFonts w:ascii="Courier New" w:hAnsi="Courier New" w:cs="Courier New" w:hint="default"/>
      </w:rPr>
    </w:lvl>
    <w:lvl w:ilvl="2" w:tplc="240A0005" w:tentative="1">
      <w:start w:val="1"/>
      <w:numFmt w:val="bullet"/>
      <w:lvlText w:val=""/>
      <w:lvlJc w:val="left"/>
      <w:pPr>
        <w:ind w:left="2304" w:hanging="360"/>
      </w:pPr>
      <w:rPr>
        <w:rFonts w:ascii="Wingdings" w:hAnsi="Wingdings" w:hint="default"/>
      </w:rPr>
    </w:lvl>
    <w:lvl w:ilvl="3" w:tplc="240A0001" w:tentative="1">
      <w:start w:val="1"/>
      <w:numFmt w:val="bullet"/>
      <w:lvlText w:val=""/>
      <w:lvlJc w:val="left"/>
      <w:pPr>
        <w:ind w:left="3024" w:hanging="360"/>
      </w:pPr>
      <w:rPr>
        <w:rFonts w:ascii="Symbol" w:hAnsi="Symbol" w:hint="default"/>
      </w:rPr>
    </w:lvl>
    <w:lvl w:ilvl="4" w:tplc="240A0003" w:tentative="1">
      <w:start w:val="1"/>
      <w:numFmt w:val="bullet"/>
      <w:lvlText w:val="o"/>
      <w:lvlJc w:val="left"/>
      <w:pPr>
        <w:ind w:left="3744" w:hanging="360"/>
      </w:pPr>
      <w:rPr>
        <w:rFonts w:ascii="Courier New" w:hAnsi="Courier New" w:cs="Courier New" w:hint="default"/>
      </w:rPr>
    </w:lvl>
    <w:lvl w:ilvl="5" w:tplc="240A0005" w:tentative="1">
      <w:start w:val="1"/>
      <w:numFmt w:val="bullet"/>
      <w:lvlText w:val=""/>
      <w:lvlJc w:val="left"/>
      <w:pPr>
        <w:ind w:left="4464" w:hanging="360"/>
      </w:pPr>
      <w:rPr>
        <w:rFonts w:ascii="Wingdings" w:hAnsi="Wingdings" w:hint="default"/>
      </w:rPr>
    </w:lvl>
    <w:lvl w:ilvl="6" w:tplc="240A0001" w:tentative="1">
      <w:start w:val="1"/>
      <w:numFmt w:val="bullet"/>
      <w:lvlText w:val=""/>
      <w:lvlJc w:val="left"/>
      <w:pPr>
        <w:ind w:left="5184" w:hanging="360"/>
      </w:pPr>
      <w:rPr>
        <w:rFonts w:ascii="Symbol" w:hAnsi="Symbol" w:hint="default"/>
      </w:rPr>
    </w:lvl>
    <w:lvl w:ilvl="7" w:tplc="240A0003" w:tentative="1">
      <w:start w:val="1"/>
      <w:numFmt w:val="bullet"/>
      <w:lvlText w:val="o"/>
      <w:lvlJc w:val="left"/>
      <w:pPr>
        <w:ind w:left="5904" w:hanging="360"/>
      </w:pPr>
      <w:rPr>
        <w:rFonts w:ascii="Courier New" w:hAnsi="Courier New" w:cs="Courier New" w:hint="default"/>
      </w:rPr>
    </w:lvl>
    <w:lvl w:ilvl="8" w:tplc="240A0005" w:tentative="1">
      <w:start w:val="1"/>
      <w:numFmt w:val="bullet"/>
      <w:lvlText w:val=""/>
      <w:lvlJc w:val="left"/>
      <w:pPr>
        <w:ind w:left="6624" w:hanging="360"/>
      </w:pPr>
      <w:rPr>
        <w:rFonts w:ascii="Wingdings" w:hAnsi="Wingdings" w:hint="default"/>
      </w:rPr>
    </w:lvl>
  </w:abstractNum>
  <w:abstractNum w:abstractNumId="1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15:restartNumberingAfterBreak="0">
    <w:nsid w:val="68F71520"/>
    <w:multiLevelType w:val="hybridMultilevel"/>
    <w:tmpl w:val="253A64A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15644C4"/>
    <w:multiLevelType w:val="hybridMultilevel"/>
    <w:tmpl w:val="BEDA60A2"/>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6" w15:restartNumberingAfterBreak="0">
    <w:nsid w:val="73694E5B"/>
    <w:multiLevelType w:val="hybridMultilevel"/>
    <w:tmpl w:val="F1085F66"/>
    <w:lvl w:ilvl="0" w:tplc="240A0001">
      <w:start w:val="1"/>
      <w:numFmt w:val="bullet"/>
      <w:lvlText w:val=""/>
      <w:lvlJc w:val="left"/>
      <w:pPr>
        <w:ind w:left="720" w:hanging="360"/>
      </w:pPr>
      <w:rPr>
        <w:rFonts w:ascii="Symbol" w:hAnsi="Symbol" w:hint="default"/>
      </w:rPr>
    </w:lvl>
    <w:lvl w:ilvl="1" w:tplc="5D86741A">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3F02060"/>
    <w:multiLevelType w:val="hybridMultilevel"/>
    <w:tmpl w:val="B6580414"/>
    <w:lvl w:ilvl="0" w:tplc="1A5EE020">
      <w:numFmt w:val="bullet"/>
      <w:lvlText w:val="•"/>
      <w:lvlJc w:val="left"/>
      <w:pPr>
        <w:ind w:left="504" w:hanging="360"/>
      </w:pPr>
      <w:rPr>
        <w:rFonts w:ascii="Arial" w:eastAsia="Times New Roman" w:hAnsi="Arial" w:cs="Arial" w:hint="default"/>
        <w:b/>
      </w:rPr>
    </w:lvl>
    <w:lvl w:ilvl="1" w:tplc="240A0003" w:tentative="1">
      <w:start w:val="1"/>
      <w:numFmt w:val="bullet"/>
      <w:lvlText w:val="o"/>
      <w:lvlJc w:val="left"/>
      <w:pPr>
        <w:ind w:left="1224" w:hanging="360"/>
      </w:pPr>
      <w:rPr>
        <w:rFonts w:ascii="Courier New" w:hAnsi="Courier New" w:cs="Courier New" w:hint="default"/>
      </w:rPr>
    </w:lvl>
    <w:lvl w:ilvl="2" w:tplc="240A0005" w:tentative="1">
      <w:start w:val="1"/>
      <w:numFmt w:val="bullet"/>
      <w:lvlText w:val=""/>
      <w:lvlJc w:val="left"/>
      <w:pPr>
        <w:ind w:left="1944" w:hanging="360"/>
      </w:pPr>
      <w:rPr>
        <w:rFonts w:ascii="Wingdings" w:hAnsi="Wingdings" w:hint="default"/>
      </w:rPr>
    </w:lvl>
    <w:lvl w:ilvl="3" w:tplc="240A0001" w:tentative="1">
      <w:start w:val="1"/>
      <w:numFmt w:val="bullet"/>
      <w:lvlText w:val=""/>
      <w:lvlJc w:val="left"/>
      <w:pPr>
        <w:ind w:left="2664" w:hanging="360"/>
      </w:pPr>
      <w:rPr>
        <w:rFonts w:ascii="Symbol" w:hAnsi="Symbol" w:hint="default"/>
      </w:rPr>
    </w:lvl>
    <w:lvl w:ilvl="4" w:tplc="240A0003" w:tentative="1">
      <w:start w:val="1"/>
      <w:numFmt w:val="bullet"/>
      <w:lvlText w:val="o"/>
      <w:lvlJc w:val="left"/>
      <w:pPr>
        <w:ind w:left="3384" w:hanging="360"/>
      </w:pPr>
      <w:rPr>
        <w:rFonts w:ascii="Courier New" w:hAnsi="Courier New" w:cs="Courier New" w:hint="default"/>
      </w:rPr>
    </w:lvl>
    <w:lvl w:ilvl="5" w:tplc="240A0005" w:tentative="1">
      <w:start w:val="1"/>
      <w:numFmt w:val="bullet"/>
      <w:lvlText w:val=""/>
      <w:lvlJc w:val="left"/>
      <w:pPr>
        <w:ind w:left="4104" w:hanging="360"/>
      </w:pPr>
      <w:rPr>
        <w:rFonts w:ascii="Wingdings" w:hAnsi="Wingdings" w:hint="default"/>
      </w:rPr>
    </w:lvl>
    <w:lvl w:ilvl="6" w:tplc="240A0001" w:tentative="1">
      <w:start w:val="1"/>
      <w:numFmt w:val="bullet"/>
      <w:lvlText w:val=""/>
      <w:lvlJc w:val="left"/>
      <w:pPr>
        <w:ind w:left="4824" w:hanging="360"/>
      </w:pPr>
      <w:rPr>
        <w:rFonts w:ascii="Symbol" w:hAnsi="Symbol" w:hint="default"/>
      </w:rPr>
    </w:lvl>
    <w:lvl w:ilvl="7" w:tplc="240A0003" w:tentative="1">
      <w:start w:val="1"/>
      <w:numFmt w:val="bullet"/>
      <w:lvlText w:val="o"/>
      <w:lvlJc w:val="left"/>
      <w:pPr>
        <w:ind w:left="5544" w:hanging="360"/>
      </w:pPr>
      <w:rPr>
        <w:rFonts w:ascii="Courier New" w:hAnsi="Courier New" w:cs="Courier New" w:hint="default"/>
      </w:rPr>
    </w:lvl>
    <w:lvl w:ilvl="8" w:tplc="240A0005" w:tentative="1">
      <w:start w:val="1"/>
      <w:numFmt w:val="bullet"/>
      <w:lvlText w:val=""/>
      <w:lvlJc w:val="left"/>
      <w:pPr>
        <w:ind w:left="6264" w:hanging="360"/>
      </w:pPr>
      <w:rPr>
        <w:rFonts w:ascii="Wingdings" w:hAnsi="Wingdings" w:hint="default"/>
      </w:rPr>
    </w:lvl>
  </w:abstractNum>
  <w:abstractNum w:abstractNumId="18" w15:restartNumberingAfterBreak="0">
    <w:nsid w:val="748A3444"/>
    <w:multiLevelType w:val="hybridMultilevel"/>
    <w:tmpl w:val="C49AE99C"/>
    <w:lvl w:ilvl="0" w:tplc="240A0001">
      <w:start w:val="1"/>
      <w:numFmt w:val="bullet"/>
      <w:lvlText w:val=""/>
      <w:lvlJc w:val="left"/>
      <w:pPr>
        <w:ind w:left="864" w:hanging="360"/>
      </w:pPr>
      <w:rPr>
        <w:rFonts w:ascii="Symbol" w:hAnsi="Symbol" w:hint="default"/>
      </w:rPr>
    </w:lvl>
    <w:lvl w:ilvl="1" w:tplc="240A0003" w:tentative="1">
      <w:start w:val="1"/>
      <w:numFmt w:val="bullet"/>
      <w:lvlText w:val="o"/>
      <w:lvlJc w:val="left"/>
      <w:pPr>
        <w:ind w:left="1584" w:hanging="360"/>
      </w:pPr>
      <w:rPr>
        <w:rFonts w:ascii="Courier New" w:hAnsi="Courier New" w:cs="Courier New" w:hint="default"/>
      </w:rPr>
    </w:lvl>
    <w:lvl w:ilvl="2" w:tplc="240A0005" w:tentative="1">
      <w:start w:val="1"/>
      <w:numFmt w:val="bullet"/>
      <w:lvlText w:val=""/>
      <w:lvlJc w:val="left"/>
      <w:pPr>
        <w:ind w:left="2304" w:hanging="360"/>
      </w:pPr>
      <w:rPr>
        <w:rFonts w:ascii="Wingdings" w:hAnsi="Wingdings" w:hint="default"/>
      </w:rPr>
    </w:lvl>
    <w:lvl w:ilvl="3" w:tplc="240A0001" w:tentative="1">
      <w:start w:val="1"/>
      <w:numFmt w:val="bullet"/>
      <w:lvlText w:val=""/>
      <w:lvlJc w:val="left"/>
      <w:pPr>
        <w:ind w:left="3024" w:hanging="360"/>
      </w:pPr>
      <w:rPr>
        <w:rFonts w:ascii="Symbol" w:hAnsi="Symbol" w:hint="default"/>
      </w:rPr>
    </w:lvl>
    <w:lvl w:ilvl="4" w:tplc="240A0003" w:tentative="1">
      <w:start w:val="1"/>
      <w:numFmt w:val="bullet"/>
      <w:lvlText w:val="o"/>
      <w:lvlJc w:val="left"/>
      <w:pPr>
        <w:ind w:left="3744" w:hanging="360"/>
      </w:pPr>
      <w:rPr>
        <w:rFonts w:ascii="Courier New" w:hAnsi="Courier New" w:cs="Courier New" w:hint="default"/>
      </w:rPr>
    </w:lvl>
    <w:lvl w:ilvl="5" w:tplc="240A0005" w:tentative="1">
      <w:start w:val="1"/>
      <w:numFmt w:val="bullet"/>
      <w:lvlText w:val=""/>
      <w:lvlJc w:val="left"/>
      <w:pPr>
        <w:ind w:left="4464" w:hanging="360"/>
      </w:pPr>
      <w:rPr>
        <w:rFonts w:ascii="Wingdings" w:hAnsi="Wingdings" w:hint="default"/>
      </w:rPr>
    </w:lvl>
    <w:lvl w:ilvl="6" w:tplc="240A0001" w:tentative="1">
      <w:start w:val="1"/>
      <w:numFmt w:val="bullet"/>
      <w:lvlText w:val=""/>
      <w:lvlJc w:val="left"/>
      <w:pPr>
        <w:ind w:left="5184" w:hanging="360"/>
      </w:pPr>
      <w:rPr>
        <w:rFonts w:ascii="Symbol" w:hAnsi="Symbol" w:hint="default"/>
      </w:rPr>
    </w:lvl>
    <w:lvl w:ilvl="7" w:tplc="240A0003" w:tentative="1">
      <w:start w:val="1"/>
      <w:numFmt w:val="bullet"/>
      <w:lvlText w:val="o"/>
      <w:lvlJc w:val="left"/>
      <w:pPr>
        <w:ind w:left="5904" w:hanging="360"/>
      </w:pPr>
      <w:rPr>
        <w:rFonts w:ascii="Courier New" w:hAnsi="Courier New" w:cs="Courier New" w:hint="default"/>
      </w:rPr>
    </w:lvl>
    <w:lvl w:ilvl="8" w:tplc="240A0005" w:tentative="1">
      <w:start w:val="1"/>
      <w:numFmt w:val="bullet"/>
      <w:lvlText w:val=""/>
      <w:lvlJc w:val="left"/>
      <w:pPr>
        <w:ind w:left="6624" w:hanging="360"/>
      </w:pPr>
      <w:rPr>
        <w:rFonts w:ascii="Wingdings" w:hAnsi="Wingdings" w:hint="default"/>
      </w:rPr>
    </w:lvl>
  </w:abstractNum>
  <w:abstractNum w:abstractNumId="19" w15:restartNumberingAfterBreak="0">
    <w:nsid w:val="7CE53F56"/>
    <w:multiLevelType w:val="hybridMultilevel"/>
    <w:tmpl w:val="E702FD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E0D149B"/>
    <w:multiLevelType w:val="hybridMultilevel"/>
    <w:tmpl w:val="6C100644"/>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16"/>
  </w:num>
  <w:num w:numId="4">
    <w:abstractNumId w:val="20"/>
  </w:num>
  <w:num w:numId="5">
    <w:abstractNumId w:val="0"/>
  </w:num>
  <w:num w:numId="6">
    <w:abstractNumId w:val="4"/>
  </w:num>
  <w:num w:numId="7">
    <w:abstractNumId w:val="7"/>
  </w:num>
  <w:num w:numId="8">
    <w:abstractNumId w:val="1"/>
  </w:num>
  <w:num w:numId="9">
    <w:abstractNumId w:val="14"/>
  </w:num>
  <w:num w:numId="10">
    <w:abstractNumId w:val="9"/>
  </w:num>
  <w:num w:numId="11">
    <w:abstractNumId w:val="5"/>
  </w:num>
  <w:num w:numId="12">
    <w:abstractNumId w:val="2"/>
  </w:num>
  <w:num w:numId="13">
    <w:abstractNumId w:val="19"/>
  </w:num>
  <w:num w:numId="14">
    <w:abstractNumId w:val="15"/>
  </w:num>
  <w:num w:numId="15">
    <w:abstractNumId w:val="6"/>
  </w:num>
  <w:num w:numId="16">
    <w:abstractNumId w:val="12"/>
  </w:num>
  <w:num w:numId="17">
    <w:abstractNumId w:val="8"/>
  </w:num>
  <w:num w:numId="18">
    <w:abstractNumId w:val="11"/>
  </w:num>
  <w:num w:numId="19">
    <w:abstractNumId w:val="18"/>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11F"/>
    <w:rsid w:val="00002F70"/>
    <w:rsid w:val="0000513D"/>
    <w:rsid w:val="000067CE"/>
    <w:rsid w:val="00007578"/>
    <w:rsid w:val="00007D16"/>
    <w:rsid w:val="00013A3D"/>
    <w:rsid w:val="000149A4"/>
    <w:rsid w:val="000225DC"/>
    <w:rsid w:val="00022774"/>
    <w:rsid w:val="00023E7B"/>
    <w:rsid w:val="000268C3"/>
    <w:rsid w:val="00032953"/>
    <w:rsid w:val="0003306E"/>
    <w:rsid w:val="000330D0"/>
    <w:rsid w:val="00033982"/>
    <w:rsid w:val="00034CC6"/>
    <w:rsid w:val="0003600B"/>
    <w:rsid w:val="00037F97"/>
    <w:rsid w:val="00041ECB"/>
    <w:rsid w:val="00042A89"/>
    <w:rsid w:val="00042E48"/>
    <w:rsid w:val="00042F7D"/>
    <w:rsid w:val="000434CF"/>
    <w:rsid w:val="00043A73"/>
    <w:rsid w:val="00043DB9"/>
    <w:rsid w:val="000441F6"/>
    <w:rsid w:val="000453DD"/>
    <w:rsid w:val="000468F6"/>
    <w:rsid w:val="00046BA6"/>
    <w:rsid w:val="00047F70"/>
    <w:rsid w:val="00051F93"/>
    <w:rsid w:val="000521DD"/>
    <w:rsid w:val="00054813"/>
    <w:rsid w:val="0005604F"/>
    <w:rsid w:val="00057780"/>
    <w:rsid w:val="00060876"/>
    <w:rsid w:val="00064CCF"/>
    <w:rsid w:val="000658BE"/>
    <w:rsid w:val="00066981"/>
    <w:rsid w:val="00066BE4"/>
    <w:rsid w:val="000709B6"/>
    <w:rsid w:val="00071544"/>
    <w:rsid w:val="00073D9D"/>
    <w:rsid w:val="00074062"/>
    <w:rsid w:val="000740BC"/>
    <w:rsid w:val="0007590D"/>
    <w:rsid w:val="00077A99"/>
    <w:rsid w:val="000822BC"/>
    <w:rsid w:val="00083689"/>
    <w:rsid w:val="00083A7E"/>
    <w:rsid w:val="00085341"/>
    <w:rsid w:val="000869B9"/>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6CE"/>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47841"/>
    <w:rsid w:val="00151A1F"/>
    <w:rsid w:val="00153568"/>
    <w:rsid w:val="00157015"/>
    <w:rsid w:val="00157077"/>
    <w:rsid w:val="00162076"/>
    <w:rsid w:val="00167DA3"/>
    <w:rsid w:val="00172C62"/>
    <w:rsid w:val="00173B87"/>
    <w:rsid w:val="001772E3"/>
    <w:rsid w:val="001807AB"/>
    <w:rsid w:val="00183599"/>
    <w:rsid w:val="00185431"/>
    <w:rsid w:val="00185710"/>
    <w:rsid w:val="00185880"/>
    <w:rsid w:val="00185E4A"/>
    <w:rsid w:val="00187ECA"/>
    <w:rsid w:val="0019217E"/>
    <w:rsid w:val="00194EF5"/>
    <w:rsid w:val="0019632B"/>
    <w:rsid w:val="00196832"/>
    <w:rsid w:val="001A0227"/>
    <w:rsid w:val="001A05EC"/>
    <w:rsid w:val="001A1E06"/>
    <w:rsid w:val="001A4A33"/>
    <w:rsid w:val="001A590B"/>
    <w:rsid w:val="001B0057"/>
    <w:rsid w:val="001B4274"/>
    <w:rsid w:val="001B57D0"/>
    <w:rsid w:val="001C45C2"/>
    <w:rsid w:val="001D1AE6"/>
    <w:rsid w:val="001D3E4B"/>
    <w:rsid w:val="001D55A5"/>
    <w:rsid w:val="001E1AE4"/>
    <w:rsid w:val="001E1EC9"/>
    <w:rsid w:val="001E258D"/>
    <w:rsid w:val="001E4B51"/>
    <w:rsid w:val="001E7F3E"/>
    <w:rsid w:val="001F4D9A"/>
    <w:rsid w:val="001F5214"/>
    <w:rsid w:val="001F5728"/>
    <w:rsid w:val="001F5909"/>
    <w:rsid w:val="00202411"/>
    <w:rsid w:val="0020244C"/>
    <w:rsid w:val="002037AD"/>
    <w:rsid w:val="0020475D"/>
    <w:rsid w:val="00206F50"/>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B4F"/>
    <w:rsid w:val="00235F5D"/>
    <w:rsid w:val="002368D5"/>
    <w:rsid w:val="0024125D"/>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24AE"/>
    <w:rsid w:val="00275141"/>
    <w:rsid w:val="002757F5"/>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51D5"/>
    <w:rsid w:val="0030721C"/>
    <w:rsid w:val="0031045F"/>
    <w:rsid w:val="00311A43"/>
    <w:rsid w:val="00312BD1"/>
    <w:rsid w:val="00312D9E"/>
    <w:rsid w:val="00313363"/>
    <w:rsid w:val="00313392"/>
    <w:rsid w:val="00315C4D"/>
    <w:rsid w:val="00316201"/>
    <w:rsid w:val="0033024E"/>
    <w:rsid w:val="00331DD9"/>
    <w:rsid w:val="00334263"/>
    <w:rsid w:val="00334634"/>
    <w:rsid w:val="00336BBF"/>
    <w:rsid w:val="003370A9"/>
    <w:rsid w:val="00341C65"/>
    <w:rsid w:val="00341FE8"/>
    <w:rsid w:val="00342498"/>
    <w:rsid w:val="00342706"/>
    <w:rsid w:val="00343BE6"/>
    <w:rsid w:val="00346E94"/>
    <w:rsid w:val="003514B6"/>
    <w:rsid w:val="00352C7B"/>
    <w:rsid w:val="003542E1"/>
    <w:rsid w:val="00357E1B"/>
    <w:rsid w:val="0036079C"/>
    <w:rsid w:val="00360B89"/>
    <w:rsid w:val="003611CB"/>
    <w:rsid w:val="003625EF"/>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2293"/>
    <w:rsid w:val="003A3C63"/>
    <w:rsid w:val="003A414E"/>
    <w:rsid w:val="003A5C9F"/>
    <w:rsid w:val="003A6D06"/>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16F"/>
    <w:rsid w:val="0042598F"/>
    <w:rsid w:val="00425FFC"/>
    <w:rsid w:val="0042750F"/>
    <w:rsid w:val="00427F43"/>
    <w:rsid w:val="0043158D"/>
    <w:rsid w:val="004331B6"/>
    <w:rsid w:val="00433E32"/>
    <w:rsid w:val="00434225"/>
    <w:rsid w:val="00437390"/>
    <w:rsid w:val="00440BA7"/>
    <w:rsid w:val="004416EA"/>
    <w:rsid w:val="00442CB8"/>
    <w:rsid w:val="00443D42"/>
    <w:rsid w:val="00446428"/>
    <w:rsid w:val="00446BEF"/>
    <w:rsid w:val="0044744C"/>
    <w:rsid w:val="00450FF6"/>
    <w:rsid w:val="00454243"/>
    <w:rsid w:val="00455604"/>
    <w:rsid w:val="004557D9"/>
    <w:rsid w:val="00456164"/>
    <w:rsid w:val="004567F6"/>
    <w:rsid w:val="004570A4"/>
    <w:rsid w:val="0045745C"/>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324D"/>
    <w:rsid w:val="004A4766"/>
    <w:rsid w:val="004A56F3"/>
    <w:rsid w:val="004A61F8"/>
    <w:rsid w:val="004A6FDE"/>
    <w:rsid w:val="004A7CA3"/>
    <w:rsid w:val="004A7CE3"/>
    <w:rsid w:val="004B08F2"/>
    <w:rsid w:val="004B18DF"/>
    <w:rsid w:val="004B5A0B"/>
    <w:rsid w:val="004C4DE9"/>
    <w:rsid w:val="004C5636"/>
    <w:rsid w:val="004C599E"/>
    <w:rsid w:val="004C5AAC"/>
    <w:rsid w:val="004C5C84"/>
    <w:rsid w:val="004C6322"/>
    <w:rsid w:val="004C6A33"/>
    <w:rsid w:val="004C78F5"/>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0876"/>
    <w:rsid w:val="005114EA"/>
    <w:rsid w:val="005124DC"/>
    <w:rsid w:val="00512B8F"/>
    <w:rsid w:val="00514ABD"/>
    <w:rsid w:val="005156DE"/>
    <w:rsid w:val="00517609"/>
    <w:rsid w:val="00517A56"/>
    <w:rsid w:val="0052367E"/>
    <w:rsid w:val="00533E2D"/>
    <w:rsid w:val="005342C5"/>
    <w:rsid w:val="0053490E"/>
    <w:rsid w:val="005355E1"/>
    <w:rsid w:val="00535B7D"/>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510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A7CC5"/>
    <w:rsid w:val="005B1D19"/>
    <w:rsid w:val="005B7DDE"/>
    <w:rsid w:val="005C0D7E"/>
    <w:rsid w:val="005C1A88"/>
    <w:rsid w:val="005C3E0E"/>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14547"/>
    <w:rsid w:val="00622C7B"/>
    <w:rsid w:val="00623D16"/>
    <w:rsid w:val="006252AF"/>
    <w:rsid w:val="00626CDB"/>
    <w:rsid w:val="0063060E"/>
    <w:rsid w:val="00633251"/>
    <w:rsid w:val="00635E19"/>
    <w:rsid w:val="00635FC5"/>
    <w:rsid w:val="00640DC7"/>
    <w:rsid w:val="00640E0A"/>
    <w:rsid w:val="006416D8"/>
    <w:rsid w:val="00641DA1"/>
    <w:rsid w:val="006469C3"/>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1600"/>
    <w:rsid w:val="0069227C"/>
    <w:rsid w:val="0069275C"/>
    <w:rsid w:val="006935BD"/>
    <w:rsid w:val="00696521"/>
    <w:rsid w:val="006967FA"/>
    <w:rsid w:val="006A0531"/>
    <w:rsid w:val="006A10A4"/>
    <w:rsid w:val="006B2531"/>
    <w:rsid w:val="006B4276"/>
    <w:rsid w:val="006B448E"/>
    <w:rsid w:val="006B4B17"/>
    <w:rsid w:val="006B71D6"/>
    <w:rsid w:val="006B7649"/>
    <w:rsid w:val="006B78AE"/>
    <w:rsid w:val="006C2A0A"/>
    <w:rsid w:val="006C2FCC"/>
    <w:rsid w:val="006C39E2"/>
    <w:rsid w:val="006D2E7F"/>
    <w:rsid w:val="006D2EA7"/>
    <w:rsid w:val="006D439A"/>
    <w:rsid w:val="006D4D0C"/>
    <w:rsid w:val="006D7F81"/>
    <w:rsid w:val="006E098E"/>
    <w:rsid w:val="006E0C22"/>
    <w:rsid w:val="006E644E"/>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07A48"/>
    <w:rsid w:val="00712B72"/>
    <w:rsid w:val="00716541"/>
    <w:rsid w:val="00721733"/>
    <w:rsid w:val="00722953"/>
    <w:rsid w:val="00723AEF"/>
    <w:rsid w:val="0072450C"/>
    <w:rsid w:val="00724DFB"/>
    <w:rsid w:val="00724EC1"/>
    <w:rsid w:val="00726049"/>
    <w:rsid w:val="00726362"/>
    <w:rsid w:val="00726429"/>
    <w:rsid w:val="00726912"/>
    <w:rsid w:val="00726C26"/>
    <w:rsid w:val="0072709D"/>
    <w:rsid w:val="0073022F"/>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5E5A"/>
    <w:rsid w:val="00777AAE"/>
    <w:rsid w:val="00777CD6"/>
    <w:rsid w:val="00777E4E"/>
    <w:rsid w:val="00780306"/>
    <w:rsid w:val="00781574"/>
    <w:rsid w:val="00781C40"/>
    <w:rsid w:val="00783B44"/>
    <w:rsid w:val="00785AA8"/>
    <w:rsid w:val="007870BB"/>
    <w:rsid w:val="007902D6"/>
    <w:rsid w:val="00791160"/>
    <w:rsid w:val="007925CF"/>
    <w:rsid w:val="00793D8E"/>
    <w:rsid w:val="007940E0"/>
    <w:rsid w:val="00794167"/>
    <w:rsid w:val="007944A7"/>
    <w:rsid w:val="007945AE"/>
    <w:rsid w:val="007A3641"/>
    <w:rsid w:val="007A424C"/>
    <w:rsid w:val="007A450D"/>
    <w:rsid w:val="007A6B2C"/>
    <w:rsid w:val="007A7A9A"/>
    <w:rsid w:val="007B25E1"/>
    <w:rsid w:val="007B55EB"/>
    <w:rsid w:val="007B5C16"/>
    <w:rsid w:val="007C0458"/>
    <w:rsid w:val="007C1EEF"/>
    <w:rsid w:val="007C3B5E"/>
    <w:rsid w:val="007C6895"/>
    <w:rsid w:val="007D0390"/>
    <w:rsid w:val="007D0F23"/>
    <w:rsid w:val="007D2079"/>
    <w:rsid w:val="007D2F73"/>
    <w:rsid w:val="007D3A88"/>
    <w:rsid w:val="007D3BC3"/>
    <w:rsid w:val="007D5A80"/>
    <w:rsid w:val="007D6354"/>
    <w:rsid w:val="007D665E"/>
    <w:rsid w:val="007D6C9D"/>
    <w:rsid w:val="007E3A30"/>
    <w:rsid w:val="007E4AE3"/>
    <w:rsid w:val="007F163E"/>
    <w:rsid w:val="007F218C"/>
    <w:rsid w:val="007F3539"/>
    <w:rsid w:val="007F3DA8"/>
    <w:rsid w:val="007F4056"/>
    <w:rsid w:val="007F467B"/>
    <w:rsid w:val="00801142"/>
    <w:rsid w:val="0080294A"/>
    <w:rsid w:val="0080357B"/>
    <w:rsid w:val="00804E85"/>
    <w:rsid w:val="008058D1"/>
    <w:rsid w:val="00805E8E"/>
    <w:rsid w:val="00807806"/>
    <w:rsid w:val="00815C1B"/>
    <w:rsid w:val="00820242"/>
    <w:rsid w:val="008211BD"/>
    <w:rsid w:val="00822B38"/>
    <w:rsid w:val="00822DF0"/>
    <w:rsid w:val="0082787E"/>
    <w:rsid w:val="00831970"/>
    <w:rsid w:val="0083460A"/>
    <w:rsid w:val="0083562F"/>
    <w:rsid w:val="0083699F"/>
    <w:rsid w:val="00837F06"/>
    <w:rsid w:val="00840C92"/>
    <w:rsid w:val="00841CE4"/>
    <w:rsid w:val="00842F08"/>
    <w:rsid w:val="00844E2C"/>
    <w:rsid w:val="00845E51"/>
    <w:rsid w:val="008473DC"/>
    <w:rsid w:val="0085072F"/>
    <w:rsid w:val="00850EEE"/>
    <w:rsid w:val="0085125D"/>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DF7"/>
    <w:rsid w:val="00887F05"/>
    <w:rsid w:val="00890854"/>
    <w:rsid w:val="0089267F"/>
    <w:rsid w:val="008951E4"/>
    <w:rsid w:val="00896C0F"/>
    <w:rsid w:val="008A088B"/>
    <w:rsid w:val="008A14D5"/>
    <w:rsid w:val="008A2E93"/>
    <w:rsid w:val="008A4B9F"/>
    <w:rsid w:val="008A5AD4"/>
    <w:rsid w:val="008B0072"/>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6136"/>
    <w:rsid w:val="00917869"/>
    <w:rsid w:val="00920A4F"/>
    <w:rsid w:val="00920B22"/>
    <w:rsid w:val="00927F11"/>
    <w:rsid w:val="009312C7"/>
    <w:rsid w:val="0093293B"/>
    <w:rsid w:val="00934418"/>
    <w:rsid w:val="00934C4E"/>
    <w:rsid w:val="00935F7C"/>
    <w:rsid w:val="0093607F"/>
    <w:rsid w:val="009376AF"/>
    <w:rsid w:val="00937D51"/>
    <w:rsid w:val="00940D93"/>
    <w:rsid w:val="00942588"/>
    <w:rsid w:val="009429A9"/>
    <w:rsid w:val="00942A91"/>
    <w:rsid w:val="0094334F"/>
    <w:rsid w:val="00944890"/>
    <w:rsid w:val="0094692D"/>
    <w:rsid w:val="00946ACF"/>
    <w:rsid w:val="009516C3"/>
    <w:rsid w:val="0095189C"/>
    <w:rsid w:val="00952FFC"/>
    <w:rsid w:val="009545B4"/>
    <w:rsid w:val="00954D6A"/>
    <w:rsid w:val="00954F08"/>
    <w:rsid w:val="009573D4"/>
    <w:rsid w:val="00957C85"/>
    <w:rsid w:val="0096008B"/>
    <w:rsid w:val="0096115A"/>
    <w:rsid w:val="00961EE2"/>
    <w:rsid w:val="00962F8B"/>
    <w:rsid w:val="0096359A"/>
    <w:rsid w:val="009640F0"/>
    <w:rsid w:val="00964187"/>
    <w:rsid w:val="0096456B"/>
    <w:rsid w:val="00966ADE"/>
    <w:rsid w:val="0097148E"/>
    <w:rsid w:val="009734C5"/>
    <w:rsid w:val="00975DE8"/>
    <w:rsid w:val="00982D47"/>
    <w:rsid w:val="00985418"/>
    <w:rsid w:val="00985992"/>
    <w:rsid w:val="00986880"/>
    <w:rsid w:val="00987386"/>
    <w:rsid w:val="00987F2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26"/>
    <w:rsid w:val="009B5564"/>
    <w:rsid w:val="009B64C0"/>
    <w:rsid w:val="009C2DD0"/>
    <w:rsid w:val="009C2E5B"/>
    <w:rsid w:val="009D0962"/>
    <w:rsid w:val="009D7A1F"/>
    <w:rsid w:val="009E09DB"/>
    <w:rsid w:val="009E1747"/>
    <w:rsid w:val="009F05BE"/>
    <w:rsid w:val="009F156A"/>
    <w:rsid w:val="009F17EE"/>
    <w:rsid w:val="009F26DF"/>
    <w:rsid w:val="009F361C"/>
    <w:rsid w:val="009F3B9E"/>
    <w:rsid w:val="009F5680"/>
    <w:rsid w:val="009F6411"/>
    <w:rsid w:val="009F6567"/>
    <w:rsid w:val="009F6FD8"/>
    <w:rsid w:val="00A01679"/>
    <w:rsid w:val="00A04CFA"/>
    <w:rsid w:val="00A04F32"/>
    <w:rsid w:val="00A0620D"/>
    <w:rsid w:val="00A070DF"/>
    <w:rsid w:val="00A07223"/>
    <w:rsid w:val="00A10623"/>
    <w:rsid w:val="00A11373"/>
    <w:rsid w:val="00A12021"/>
    <w:rsid w:val="00A1236D"/>
    <w:rsid w:val="00A124AC"/>
    <w:rsid w:val="00A13AA1"/>
    <w:rsid w:val="00A15744"/>
    <w:rsid w:val="00A23167"/>
    <w:rsid w:val="00A23FE9"/>
    <w:rsid w:val="00A26A32"/>
    <w:rsid w:val="00A33EF0"/>
    <w:rsid w:val="00A37DC5"/>
    <w:rsid w:val="00A40305"/>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0B5"/>
    <w:rsid w:val="00A74D56"/>
    <w:rsid w:val="00A75162"/>
    <w:rsid w:val="00A76ED8"/>
    <w:rsid w:val="00A77588"/>
    <w:rsid w:val="00A77F3C"/>
    <w:rsid w:val="00A81301"/>
    <w:rsid w:val="00A8535E"/>
    <w:rsid w:val="00A87EC4"/>
    <w:rsid w:val="00A90E2F"/>
    <w:rsid w:val="00A92E65"/>
    <w:rsid w:val="00A93142"/>
    <w:rsid w:val="00A9355E"/>
    <w:rsid w:val="00A93912"/>
    <w:rsid w:val="00A93BE3"/>
    <w:rsid w:val="00A95791"/>
    <w:rsid w:val="00AA08FB"/>
    <w:rsid w:val="00AA28B4"/>
    <w:rsid w:val="00AA2AD9"/>
    <w:rsid w:val="00AA2DFC"/>
    <w:rsid w:val="00AA423A"/>
    <w:rsid w:val="00AA49AA"/>
    <w:rsid w:val="00AA52B6"/>
    <w:rsid w:val="00AA637B"/>
    <w:rsid w:val="00AA7804"/>
    <w:rsid w:val="00AB0946"/>
    <w:rsid w:val="00AB0B3B"/>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27D"/>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3C5"/>
    <w:rsid w:val="00B22D74"/>
    <w:rsid w:val="00B31689"/>
    <w:rsid w:val="00B33340"/>
    <w:rsid w:val="00B34020"/>
    <w:rsid w:val="00B341EB"/>
    <w:rsid w:val="00B3725C"/>
    <w:rsid w:val="00B379AE"/>
    <w:rsid w:val="00B40DFD"/>
    <w:rsid w:val="00B4322B"/>
    <w:rsid w:val="00B43C03"/>
    <w:rsid w:val="00B44A16"/>
    <w:rsid w:val="00B44FE8"/>
    <w:rsid w:val="00B525A7"/>
    <w:rsid w:val="00B54185"/>
    <w:rsid w:val="00B54806"/>
    <w:rsid w:val="00B548EC"/>
    <w:rsid w:val="00B55FDA"/>
    <w:rsid w:val="00B56834"/>
    <w:rsid w:val="00B56D46"/>
    <w:rsid w:val="00B5792D"/>
    <w:rsid w:val="00B57ABA"/>
    <w:rsid w:val="00B60184"/>
    <w:rsid w:val="00B61832"/>
    <w:rsid w:val="00B61B96"/>
    <w:rsid w:val="00B61E16"/>
    <w:rsid w:val="00B62C91"/>
    <w:rsid w:val="00B631B5"/>
    <w:rsid w:val="00B65B6F"/>
    <w:rsid w:val="00B66338"/>
    <w:rsid w:val="00B66DBD"/>
    <w:rsid w:val="00B718EA"/>
    <w:rsid w:val="00B72F89"/>
    <w:rsid w:val="00B74E71"/>
    <w:rsid w:val="00B76541"/>
    <w:rsid w:val="00B774DD"/>
    <w:rsid w:val="00B77962"/>
    <w:rsid w:val="00B77A17"/>
    <w:rsid w:val="00B77EB7"/>
    <w:rsid w:val="00B80134"/>
    <w:rsid w:val="00B80316"/>
    <w:rsid w:val="00B84427"/>
    <w:rsid w:val="00B84E2F"/>
    <w:rsid w:val="00B90F0C"/>
    <w:rsid w:val="00B91043"/>
    <w:rsid w:val="00B91A5C"/>
    <w:rsid w:val="00B922BB"/>
    <w:rsid w:val="00B927FF"/>
    <w:rsid w:val="00B92F6B"/>
    <w:rsid w:val="00B9494E"/>
    <w:rsid w:val="00B9634D"/>
    <w:rsid w:val="00BA05AD"/>
    <w:rsid w:val="00BA126E"/>
    <w:rsid w:val="00BA2229"/>
    <w:rsid w:val="00BA2DFF"/>
    <w:rsid w:val="00BA4479"/>
    <w:rsid w:val="00BA53F8"/>
    <w:rsid w:val="00BA6119"/>
    <w:rsid w:val="00BA6823"/>
    <w:rsid w:val="00BA70EF"/>
    <w:rsid w:val="00BA7A00"/>
    <w:rsid w:val="00BB0119"/>
    <w:rsid w:val="00BB32FF"/>
    <w:rsid w:val="00BB3CEE"/>
    <w:rsid w:val="00BB4FC3"/>
    <w:rsid w:val="00BB522A"/>
    <w:rsid w:val="00BB660E"/>
    <w:rsid w:val="00BB6A4D"/>
    <w:rsid w:val="00BC29AE"/>
    <w:rsid w:val="00BC3850"/>
    <w:rsid w:val="00BC4A90"/>
    <w:rsid w:val="00BC6929"/>
    <w:rsid w:val="00BD3127"/>
    <w:rsid w:val="00BD388C"/>
    <w:rsid w:val="00BD5AEF"/>
    <w:rsid w:val="00BD70E3"/>
    <w:rsid w:val="00BD7FFB"/>
    <w:rsid w:val="00BE01F3"/>
    <w:rsid w:val="00BE19AC"/>
    <w:rsid w:val="00BE2B64"/>
    <w:rsid w:val="00BE2BA3"/>
    <w:rsid w:val="00BE3ADC"/>
    <w:rsid w:val="00BE5F8C"/>
    <w:rsid w:val="00BE6A3C"/>
    <w:rsid w:val="00BF0457"/>
    <w:rsid w:val="00BF1216"/>
    <w:rsid w:val="00BF3A23"/>
    <w:rsid w:val="00BF48A3"/>
    <w:rsid w:val="00C02529"/>
    <w:rsid w:val="00C03DA6"/>
    <w:rsid w:val="00C03F77"/>
    <w:rsid w:val="00C04EE2"/>
    <w:rsid w:val="00C062A7"/>
    <w:rsid w:val="00C078A0"/>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1544"/>
    <w:rsid w:val="00C53052"/>
    <w:rsid w:val="00C55BA2"/>
    <w:rsid w:val="00C55C66"/>
    <w:rsid w:val="00C56385"/>
    <w:rsid w:val="00C56718"/>
    <w:rsid w:val="00C607FD"/>
    <w:rsid w:val="00C62203"/>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722"/>
    <w:rsid w:val="00CA1E47"/>
    <w:rsid w:val="00CA303F"/>
    <w:rsid w:val="00CA3093"/>
    <w:rsid w:val="00CA3268"/>
    <w:rsid w:val="00CA6376"/>
    <w:rsid w:val="00CB085A"/>
    <w:rsid w:val="00CB0EE5"/>
    <w:rsid w:val="00CB10BE"/>
    <w:rsid w:val="00CB2CEE"/>
    <w:rsid w:val="00CB47F0"/>
    <w:rsid w:val="00CB4D79"/>
    <w:rsid w:val="00CB77E6"/>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452F"/>
    <w:rsid w:val="00D250C0"/>
    <w:rsid w:val="00D26C93"/>
    <w:rsid w:val="00D27A13"/>
    <w:rsid w:val="00D30434"/>
    <w:rsid w:val="00D3243B"/>
    <w:rsid w:val="00D32D42"/>
    <w:rsid w:val="00D36D51"/>
    <w:rsid w:val="00D376AF"/>
    <w:rsid w:val="00D43EC0"/>
    <w:rsid w:val="00D44748"/>
    <w:rsid w:val="00D45595"/>
    <w:rsid w:val="00D46701"/>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6258"/>
    <w:rsid w:val="00D77C27"/>
    <w:rsid w:val="00D803B2"/>
    <w:rsid w:val="00D82C3D"/>
    <w:rsid w:val="00D83CE7"/>
    <w:rsid w:val="00D84930"/>
    <w:rsid w:val="00D84BAB"/>
    <w:rsid w:val="00D87E36"/>
    <w:rsid w:val="00D9214F"/>
    <w:rsid w:val="00D96846"/>
    <w:rsid w:val="00D97C7B"/>
    <w:rsid w:val="00DA181B"/>
    <w:rsid w:val="00DA4C17"/>
    <w:rsid w:val="00DA5004"/>
    <w:rsid w:val="00DA5346"/>
    <w:rsid w:val="00DA6F01"/>
    <w:rsid w:val="00DA7023"/>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4CFA"/>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22B5"/>
    <w:rsid w:val="00E13D4F"/>
    <w:rsid w:val="00E14162"/>
    <w:rsid w:val="00E23993"/>
    <w:rsid w:val="00E27D61"/>
    <w:rsid w:val="00E30161"/>
    <w:rsid w:val="00E320D7"/>
    <w:rsid w:val="00E3279E"/>
    <w:rsid w:val="00E35CDD"/>
    <w:rsid w:val="00E3707B"/>
    <w:rsid w:val="00E41154"/>
    <w:rsid w:val="00E411D2"/>
    <w:rsid w:val="00E41D84"/>
    <w:rsid w:val="00E444A4"/>
    <w:rsid w:val="00E47DB2"/>
    <w:rsid w:val="00E51E37"/>
    <w:rsid w:val="00E5491B"/>
    <w:rsid w:val="00E55D0B"/>
    <w:rsid w:val="00E564D2"/>
    <w:rsid w:val="00E609D9"/>
    <w:rsid w:val="00E610F2"/>
    <w:rsid w:val="00E61282"/>
    <w:rsid w:val="00E751F1"/>
    <w:rsid w:val="00E7585F"/>
    <w:rsid w:val="00E76062"/>
    <w:rsid w:val="00E762C8"/>
    <w:rsid w:val="00E7676A"/>
    <w:rsid w:val="00E77AC1"/>
    <w:rsid w:val="00E810E6"/>
    <w:rsid w:val="00E82211"/>
    <w:rsid w:val="00E87B76"/>
    <w:rsid w:val="00E90FBE"/>
    <w:rsid w:val="00E91B91"/>
    <w:rsid w:val="00E931F3"/>
    <w:rsid w:val="00E9671B"/>
    <w:rsid w:val="00E969BE"/>
    <w:rsid w:val="00EA0F5C"/>
    <w:rsid w:val="00EA30BF"/>
    <w:rsid w:val="00EB42AC"/>
    <w:rsid w:val="00EC0EDB"/>
    <w:rsid w:val="00EC2EC1"/>
    <w:rsid w:val="00EC3E16"/>
    <w:rsid w:val="00EC4C85"/>
    <w:rsid w:val="00ED2A37"/>
    <w:rsid w:val="00ED6532"/>
    <w:rsid w:val="00EE206B"/>
    <w:rsid w:val="00EE49AE"/>
    <w:rsid w:val="00EE54FE"/>
    <w:rsid w:val="00EE5CD3"/>
    <w:rsid w:val="00EE60DB"/>
    <w:rsid w:val="00EE6339"/>
    <w:rsid w:val="00EF6AED"/>
    <w:rsid w:val="00EF6B5F"/>
    <w:rsid w:val="00EF7D78"/>
    <w:rsid w:val="00F002E0"/>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6B5F"/>
    <w:rsid w:val="00F676FD"/>
    <w:rsid w:val="00F72BAC"/>
    <w:rsid w:val="00F73DA0"/>
    <w:rsid w:val="00F75670"/>
    <w:rsid w:val="00F7583F"/>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5AA"/>
    <w:rsid w:val="00FA2BD8"/>
    <w:rsid w:val="00FA6A07"/>
    <w:rsid w:val="00FA78B2"/>
    <w:rsid w:val="00FB4EA5"/>
    <w:rsid w:val="00FC1837"/>
    <w:rsid w:val="00FC1DF9"/>
    <w:rsid w:val="00FC573B"/>
    <w:rsid w:val="00FD2941"/>
    <w:rsid w:val="00FD2AFC"/>
    <w:rsid w:val="00FD3223"/>
    <w:rsid w:val="00FE1424"/>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C569E0"/>
  <w15:docId w15:val="{6A06325A-CEFD-47A6-958D-A0F8D729D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B3B"/>
    <w:pPr>
      <w:spacing w:after="120" w:line="259" w:lineRule="auto"/>
      <w:jc w:val="both"/>
    </w:pPr>
    <w:rPr>
      <w:rFonts w:ascii="Arial" w:hAnsi="Arial"/>
      <w:sz w:val="22"/>
      <w:szCs w:val="22"/>
    </w:rPr>
  </w:style>
  <w:style w:type="paragraph" w:styleId="Ttulo1">
    <w:name w:val="heading 1"/>
    <w:aliases w:val="Titulo 1"/>
    <w:basedOn w:val="Normal"/>
    <w:next w:val="Normal"/>
    <w:link w:val="Ttulo1Car"/>
    <w:uiPriority w:val="9"/>
    <w:qFormat/>
    <w:rsid w:val="003051D5"/>
    <w:pPr>
      <w:numPr>
        <w:numId w:val="2"/>
      </w:numPr>
      <w:spacing w:before="120" w:line="240" w:lineRule="auto"/>
      <w:outlineLvl w:val="0"/>
    </w:pPr>
    <w:rPr>
      <w:rFonts w:ascii="Arial Narrow" w:eastAsia="SimSun" w:hAnsi="Arial Narrow"/>
      <w:b/>
      <w:bCs/>
      <w:caps/>
      <w:color w:val="000000"/>
      <w:sz w:val="24"/>
      <w:szCs w:val="36"/>
    </w:rPr>
  </w:style>
  <w:style w:type="paragraph" w:styleId="Ttulo2">
    <w:name w:val="heading 2"/>
    <w:basedOn w:val="Normal"/>
    <w:next w:val="Normal"/>
    <w:link w:val="Ttulo2Car"/>
    <w:uiPriority w:val="9"/>
    <w:unhideWhenUsed/>
    <w:qFormat/>
    <w:rsid w:val="003051D5"/>
    <w:pPr>
      <w:keepNext/>
      <w:keepLines/>
      <w:numPr>
        <w:ilvl w:val="1"/>
        <w:numId w:val="2"/>
      </w:numPr>
      <w:spacing w:before="140" w:after="100"/>
      <w:outlineLvl w:val="1"/>
    </w:pPr>
    <w:rPr>
      <w:rFonts w:ascii="Arial Narrow" w:eastAsia="SimSun" w:hAnsi="Arial Narrow"/>
      <w:b/>
      <w:bCs/>
      <w:smallCaps/>
      <w:color w:val="000000"/>
      <w:szCs w:val="28"/>
    </w:rPr>
  </w:style>
  <w:style w:type="paragraph" w:styleId="Ttulo3">
    <w:name w:val="heading 3"/>
    <w:aliases w:val="Titulo 3"/>
    <w:basedOn w:val="Normal"/>
    <w:next w:val="Normal"/>
    <w:link w:val="Ttulo3Car"/>
    <w:uiPriority w:val="9"/>
    <w:unhideWhenUsed/>
    <w:qFormat/>
    <w:rsid w:val="003051D5"/>
    <w:pPr>
      <w:keepNext/>
      <w:keepLines/>
      <w:numPr>
        <w:ilvl w:val="2"/>
        <w:numId w:val="2"/>
      </w:numPr>
      <w:spacing w:before="140" w:after="100"/>
      <w:outlineLvl w:val="2"/>
    </w:pPr>
    <w:rPr>
      <w:rFonts w:ascii="Arial Narrow" w:eastAsia="SimSun" w:hAnsi="Arial Narrow"/>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 Car Car Car Car Car,Encabezado Car Car,Encabezado Car Car Car Car Car,Encabezado Car Car Car Car Car Car Car Car,Haut de page,Encabezado 2,Cover Page"/>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encabezado Car,Encabezado Car Car Car Car Car Car Car,Encabezado Car Car Car,Encabezado Car Car Car Car Car Car1,Encabezado Car Car Car Car Car Car Car Car Car,Haut de page Car,Encabezado 2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igura,Viñetas,VIÑETA,List Paragraph,Fotografía,Bullet List,FooterText,numbered,Paragraphe de liste1,lp1,Scitum normal,HOJA,Bolita,Párrafo de lista4,BOLADEF,Párrafo de lista3,Párrafo de lista21,BOLA,Nivel 1 OS,Colorful List Accent 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igura Car,Viñetas Car,VIÑETA Car,List Paragraph Car,Fotografía Car,Bullet List Car,FooterText Car,numbered Car,Paragraphe de liste1 Car,lp1 Car,Scitum normal Car,HOJA Car,Bolita Car,Párrafo de lista4 Car,BOLADEF Car,BOLA Car"/>
    <w:link w:val="Prrafodelista"/>
    <w:uiPriority w:val="34"/>
    <w:qFormat/>
    <w:locked/>
    <w:rsid w:val="003A3C63"/>
  </w:style>
  <w:style w:type="character" w:customStyle="1" w:styleId="Ttulo1Car">
    <w:name w:val="Título 1 Car"/>
    <w:aliases w:val="Titulo 1 Car"/>
    <w:link w:val="Ttulo1"/>
    <w:uiPriority w:val="9"/>
    <w:rsid w:val="003051D5"/>
    <w:rPr>
      <w:rFonts w:ascii="Arial Narrow" w:eastAsia="SimSun" w:hAnsi="Arial Narrow"/>
      <w:b/>
      <w:bCs/>
      <w:caps/>
      <w:color w:val="000000"/>
      <w:sz w:val="24"/>
      <w:szCs w:val="36"/>
    </w:rPr>
  </w:style>
  <w:style w:type="character" w:customStyle="1" w:styleId="Ttulo3Car">
    <w:name w:val="Título 3 Car"/>
    <w:aliases w:val="Titulo 3 Car"/>
    <w:link w:val="Ttulo3"/>
    <w:uiPriority w:val="9"/>
    <w:rsid w:val="003051D5"/>
    <w:rPr>
      <w:rFonts w:ascii="Arial Narrow" w:eastAsia="SimSun" w:hAnsi="Arial Narrow"/>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eastAsia="Times New Roman"/>
      <w:bCs w:val="0"/>
      <w:i/>
      <w:iCs/>
      <w:sz w:val="24"/>
      <w:szCs w:val="24"/>
      <w:u w:val="single"/>
      <w:lang w:eastAsia="es-ES"/>
    </w:rPr>
  </w:style>
  <w:style w:type="character" w:customStyle="1" w:styleId="Ttulo2Car">
    <w:name w:val="Título 2 Car"/>
    <w:link w:val="Ttulo2"/>
    <w:uiPriority w:val="9"/>
    <w:rsid w:val="003051D5"/>
    <w:rPr>
      <w:rFonts w:ascii="Arial Narrow" w:eastAsia="SimSun" w:hAnsi="Arial Narrow"/>
      <w:b/>
      <w:bCs/>
      <w:smallCaps/>
      <w:color w:val="000000"/>
      <w:sz w:val="22"/>
      <w:szCs w:val="28"/>
    </w:rPr>
  </w:style>
  <w:style w:type="paragraph" w:styleId="NormalWeb">
    <w:name w:val="Normal (Web)"/>
    <w:aliases w:val="Normal (Web) Car Car,Normal (Web) Car Car Car,Normal (Web) Car,Normal (Web) Car Car Car Car Car Car,Normal (Web) Car Car Car Car Car Car Car Car Car"/>
    <w:basedOn w:val="Normal"/>
    <w:unhideWhenUsed/>
    <w:qFormat/>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032953"/>
    <w:pPr>
      <w:keepNext/>
      <w:spacing w:after="0" w:line="240" w:lineRule="auto"/>
      <w:jc w:val="center"/>
    </w:pPr>
    <w:rPr>
      <w:b/>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032953"/>
    <w:pPr>
      <w:spacing w:line="240" w:lineRule="auto"/>
      <w:jc w:val="center"/>
    </w:pPr>
    <w:rPr>
      <w:rFonts w:ascii="Arial Narrow" w:hAnsi="Arial Narrow"/>
      <w:b/>
      <w:i/>
      <w:iCs/>
      <w:color w:val="AEAAAA" w:themeColor="background2" w:themeShade="BF"/>
      <w:sz w:val="18"/>
    </w:rPr>
  </w:style>
  <w:style w:type="character" w:customStyle="1" w:styleId="CitaCar">
    <w:name w:val="Cita Car"/>
    <w:link w:val="Cita"/>
    <w:uiPriority w:val="29"/>
    <w:rsid w:val="00032953"/>
    <w:rPr>
      <w:rFonts w:ascii="Arial Narrow" w:hAnsi="Arial Narrow"/>
      <w:b/>
      <w:i/>
      <w:iCs/>
      <w:color w:val="AEAAAA" w:themeColor="background2" w:themeShade="BF"/>
      <w:sz w:val="18"/>
      <w:szCs w:val="22"/>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2"/>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msonormal">
    <w:name w:val="x_msonormal"/>
    <w:basedOn w:val="Normal"/>
    <w:rsid w:val="00E55D0B"/>
    <w:pPr>
      <w:spacing w:before="100" w:beforeAutospacing="1" w:after="100" w:afterAutospacing="1" w:line="240" w:lineRule="auto"/>
      <w:jc w:val="left"/>
    </w:pPr>
    <w:rPr>
      <w:rFonts w:ascii="Times New Roman" w:hAnsi="Times New Roman"/>
      <w:sz w:val="24"/>
      <w:szCs w:val="24"/>
    </w:rPr>
  </w:style>
  <w:style w:type="character" w:customStyle="1" w:styleId="DefaultCar">
    <w:name w:val="Default Car"/>
    <w:link w:val="Default"/>
    <w:locked/>
    <w:rsid w:val="009376AF"/>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18003564">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416887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7311862">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284769855">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496341085">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48314877">
      <w:bodyDiv w:val="1"/>
      <w:marLeft w:val="0"/>
      <w:marRight w:val="0"/>
      <w:marTop w:val="0"/>
      <w:marBottom w:val="0"/>
      <w:divBdr>
        <w:top w:val="none" w:sz="0" w:space="0" w:color="auto"/>
        <w:left w:val="none" w:sz="0" w:space="0" w:color="auto"/>
        <w:bottom w:val="none" w:sz="0" w:space="0" w:color="auto"/>
        <w:right w:val="none" w:sz="0" w:space="0" w:color="auto"/>
      </w:divBdr>
    </w:div>
    <w:div w:id="1845395408">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0474623">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BAFF3A-94D7-42A9-896F-B2D89004A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6</Pages>
  <Words>2885</Words>
  <Characters>15871</Characters>
  <Application>Microsoft Office Word</Application>
  <DocSecurity>0</DocSecurity>
  <Lines>132</Lines>
  <Paragraphs>37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Estudios y Documentos Previos - Señalización Vial - Duitama 2026</vt:lpstr>
      <vt:lpstr>LP-SGT-SRN-XXXX-2011                                                                                                                                                            ANEXO TECNICO:   MEJORAMIENTO Y MANTENIMIENTO DE LA CARRETERA CHIQUINQUIRÁ – TU</vt:lpstr>
    </vt:vector>
  </TitlesOfParts>
  <Company>Hewlett-Packard Company</Company>
  <LinksUpToDate>false</LinksUpToDate>
  <CharactersWithSpaces>18719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y Documentos Previos - Señalización Vial - Duitama 2026</dc:title>
  <dc:subject>Proceso de señalización vial horizontal, vertical y dispositivos para la regulación y seguridad vial</dc:subject>
  <dc:creator>Ultimate</dc:creator>
  <cp:lastModifiedBy>Anonimo</cp:lastModifiedBy>
  <cp:revision>19</cp:revision>
  <cp:lastPrinted>2020-11-13T23:04:00Z</cp:lastPrinted>
  <dcterms:created xsi:type="dcterms:W3CDTF">2026-06-10T12:27:00Z</dcterms:created>
  <dcterms:modified xsi:type="dcterms:W3CDTF">2026-10-16T13:12:00Z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