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96139" w14:textId="74B80B1D" w:rsidR="0009205C" w:rsidRPr="00CA1CBC" w:rsidRDefault="000066AE">
      <w:pPr>
        <w:jc w:val="center"/>
        <w:rPr>
          <w:sz w:val="30"/>
          <w:szCs w:val="30"/>
        </w:rPr>
      </w:pPr>
      <w:r w:rsidRPr="00CA1CBC">
        <w:rPr>
          <w:b/>
          <w:sz w:val="30"/>
          <w:szCs w:val="30"/>
        </w:rPr>
        <w:t xml:space="preserve">APÉNDICE </w:t>
      </w:r>
      <w:r w:rsidR="00263B71">
        <w:rPr>
          <w:b/>
          <w:sz w:val="30"/>
          <w:szCs w:val="30"/>
        </w:rPr>
        <w:t>B</w:t>
      </w:r>
    </w:p>
    <w:p w14:paraId="337A994F" w14:textId="63FB5DB4" w:rsidR="0009205C" w:rsidRPr="00CA1CBC" w:rsidRDefault="00263B71" w:rsidP="00CA1CBC">
      <w:pPr>
        <w:jc w:val="center"/>
        <w:rPr>
          <w:b/>
          <w:color w:val="0B5E55"/>
          <w:sz w:val="24"/>
          <w:szCs w:val="24"/>
        </w:rPr>
      </w:pPr>
      <w:r w:rsidRPr="00263B71">
        <w:rPr>
          <w:b/>
          <w:color w:val="0B5E55"/>
          <w:sz w:val="24"/>
          <w:szCs w:val="24"/>
        </w:rPr>
        <w:t>CONTROL DE CALIDAD, ENSAYOS Y CRITERIOS TÉCNICOS DE ACEPTACIÓN PARA SEÑALIZACIÓN VIAL Y DISPOSITIVOS PARA LA REGULACIÓN Y SEGURIDAD DEL TRÁNSITO</w:t>
      </w:r>
    </w:p>
    <w:tbl>
      <w:tblPr>
        <w:tblStyle w:val="Tablaconcuadrcula"/>
        <w:tblW w:w="0" w:type="auto"/>
        <w:jc w:val="center"/>
        <w:tblLook w:val="04A0" w:firstRow="1" w:lastRow="0" w:firstColumn="1" w:lastColumn="0" w:noHBand="0" w:noVBand="1"/>
      </w:tblPr>
      <w:tblGrid>
        <w:gridCol w:w="1250"/>
        <w:gridCol w:w="2861"/>
        <w:gridCol w:w="1283"/>
        <w:gridCol w:w="2686"/>
      </w:tblGrid>
      <w:tr w:rsidR="00263B71" w:rsidRPr="00CA1CBC" w14:paraId="6381382F" w14:textId="77777777" w:rsidTr="000B7149">
        <w:trPr>
          <w:jc w:val="center"/>
        </w:trPr>
        <w:tc>
          <w:tcPr>
            <w:tcW w:w="1250" w:type="dxa"/>
            <w:shd w:val="clear" w:color="auto" w:fill="D9EAD3"/>
            <w:vAlign w:val="center"/>
          </w:tcPr>
          <w:p w14:paraId="01584924" w14:textId="77777777" w:rsidR="00263B71" w:rsidRPr="00CA1CBC" w:rsidRDefault="00263B71" w:rsidP="00263B71">
            <w:pPr>
              <w:spacing w:after="0"/>
              <w:rPr>
                <w:sz w:val="16"/>
                <w:szCs w:val="16"/>
              </w:rPr>
            </w:pPr>
            <w:r w:rsidRPr="00CA1CBC">
              <w:rPr>
                <w:b/>
                <w:sz w:val="16"/>
                <w:szCs w:val="16"/>
              </w:rPr>
              <w:t>Entidad</w:t>
            </w:r>
          </w:p>
        </w:tc>
        <w:tc>
          <w:tcPr>
            <w:tcW w:w="2861" w:type="dxa"/>
            <w:vAlign w:val="center"/>
          </w:tcPr>
          <w:p w14:paraId="32FA8A99" w14:textId="7A3FF97A" w:rsidR="00263B71" w:rsidRPr="00263B71" w:rsidRDefault="00263B71" w:rsidP="000B7149">
            <w:pPr>
              <w:spacing w:after="0"/>
              <w:rPr>
                <w:sz w:val="16"/>
                <w:szCs w:val="16"/>
              </w:rPr>
            </w:pPr>
            <w:r w:rsidRPr="00263B71">
              <w:rPr>
                <w:sz w:val="16"/>
                <w:szCs w:val="16"/>
              </w:rPr>
              <w:t>Municipio de Duitama – Secretaría de Tránsito y Transporte</w:t>
            </w:r>
          </w:p>
        </w:tc>
        <w:tc>
          <w:tcPr>
            <w:tcW w:w="1283" w:type="dxa"/>
            <w:shd w:val="clear" w:color="auto" w:fill="D9EAD3"/>
            <w:vAlign w:val="center"/>
          </w:tcPr>
          <w:p w14:paraId="50A3E2FA" w14:textId="77777777" w:rsidR="00263B71" w:rsidRPr="00CA1CBC" w:rsidRDefault="00263B71" w:rsidP="00263B71">
            <w:pPr>
              <w:spacing w:after="0"/>
              <w:rPr>
                <w:sz w:val="16"/>
                <w:szCs w:val="16"/>
              </w:rPr>
            </w:pPr>
            <w:r w:rsidRPr="00CA1CBC">
              <w:rPr>
                <w:b/>
                <w:sz w:val="16"/>
                <w:szCs w:val="16"/>
              </w:rPr>
              <w:t>Documento</w:t>
            </w:r>
          </w:p>
        </w:tc>
        <w:tc>
          <w:tcPr>
            <w:tcW w:w="2686" w:type="dxa"/>
            <w:vAlign w:val="center"/>
          </w:tcPr>
          <w:p w14:paraId="3A477C88" w14:textId="11675C4C" w:rsidR="00263B71" w:rsidRPr="00263B71" w:rsidRDefault="00263B71" w:rsidP="000B7149">
            <w:pPr>
              <w:spacing w:after="0"/>
              <w:rPr>
                <w:sz w:val="16"/>
                <w:szCs w:val="16"/>
              </w:rPr>
            </w:pPr>
            <w:r w:rsidRPr="00263B71">
              <w:rPr>
                <w:sz w:val="16"/>
                <w:szCs w:val="16"/>
              </w:rPr>
              <w:t>Apéndice B – Control de calidad y ensayos</w:t>
            </w:r>
          </w:p>
        </w:tc>
      </w:tr>
      <w:tr w:rsidR="00263B71" w:rsidRPr="00CA1CBC" w14:paraId="7FE4A621" w14:textId="77777777" w:rsidTr="000B7149">
        <w:trPr>
          <w:jc w:val="center"/>
        </w:trPr>
        <w:tc>
          <w:tcPr>
            <w:tcW w:w="1250" w:type="dxa"/>
            <w:shd w:val="clear" w:color="auto" w:fill="D9EAD3"/>
            <w:vAlign w:val="center"/>
          </w:tcPr>
          <w:p w14:paraId="6F55478D" w14:textId="77777777" w:rsidR="00263B71" w:rsidRPr="00CA1CBC" w:rsidRDefault="00263B71" w:rsidP="00263B71">
            <w:pPr>
              <w:spacing w:after="0"/>
              <w:rPr>
                <w:sz w:val="16"/>
                <w:szCs w:val="16"/>
              </w:rPr>
            </w:pPr>
            <w:r w:rsidRPr="00CA1CBC">
              <w:rPr>
                <w:b/>
                <w:sz w:val="16"/>
                <w:szCs w:val="16"/>
              </w:rPr>
              <w:t>Aplicación</w:t>
            </w:r>
          </w:p>
        </w:tc>
        <w:tc>
          <w:tcPr>
            <w:tcW w:w="2861" w:type="dxa"/>
            <w:vAlign w:val="center"/>
          </w:tcPr>
          <w:p w14:paraId="35A6DC51" w14:textId="1918059A" w:rsidR="00263B71" w:rsidRPr="00263B71" w:rsidRDefault="00263B71" w:rsidP="000B7149">
            <w:pPr>
              <w:spacing w:after="0"/>
              <w:rPr>
                <w:sz w:val="16"/>
                <w:szCs w:val="16"/>
              </w:rPr>
            </w:pPr>
            <w:r w:rsidRPr="00263B71">
              <w:rPr>
                <w:sz w:val="16"/>
                <w:szCs w:val="16"/>
              </w:rPr>
              <w:t>Proceso contractual de señalización vial</w:t>
            </w:r>
          </w:p>
        </w:tc>
        <w:tc>
          <w:tcPr>
            <w:tcW w:w="1283" w:type="dxa"/>
            <w:shd w:val="clear" w:color="auto" w:fill="D9EAD3"/>
            <w:vAlign w:val="center"/>
          </w:tcPr>
          <w:p w14:paraId="5D5EDF13" w14:textId="77777777" w:rsidR="00263B71" w:rsidRPr="00CA1CBC" w:rsidRDefault="00263B71" w:rsidP="00263B71">
            <w:pPr>
              <w:spacing w:after="0"/>
              <w:rPr>
                <w:sz w:val="16"/>
                <w:szCs w:val="16"/>
              </w:rPr>
            </w:pPr>
            <w:r w:rsidRPr="00CA1CBC">
              <w:rPr>
                <w:b/>
                <w:sz w:val="16"/>
                <w:szCs w:val="16"/>
              </w:rPr>
              <w:t>Cobertura</w:t>
            </w:r>
          </w:p>
        </w:tc>
        <w:tc>
          <w:tcPr>
            <w:tcW w:w="2686" w:type="dxa"/>
            <w:vAlign w:val="center"/>
          </w:tcPr>
          <w:p w14:paraId="1BA0B8F7" w14:textId="221742A2" w:rsidR="00263B71" w:rsidRPr="00263B71" w:rsidRDefault="00263B71" w:rsidP="000B7149">
            <w:pPr>
              <w:spacing w:after="0"/>
              <w:rPr>
                <w:sz w:val="16"/>
                <w:szCs w:val="16"/>
              </w:rPr>
            </w:pPr>
            <w:r w:rsidRPr="00263B71">
              <w:rPr>
                <w:sz w:val="16"/>
                <w:szCs w:val="16"/>
              </w:rPr>
              <w:t>Red vial municipal bajo competencia de la STT</w:t>
            </w:r>
          </w:p>
        </w:tc>
      </w:tr>
      <w:tr w:rsidR="00263B71" w:rsidRPr="00CA1CBC" w14:paraId="75D3E6BC" w14:textId="77777777" w:rsidTr="000B7149">
        <w:trPr>
          <w:jc w:val="center"/>
        </w:trPr>
        <w:tc>
          <w:tcPr>
            <w:tcW w:w="1250" w:type="dxa"/>
            <w:shd w:val="clear" w:color="auto" w:fill="D9EAD3"/>
            <w:vAlign w:val="center"/>
          </w:tcPr>
          <w:p w14:paraId="01C64E5B" w14:textId="77777777" w:rsidR="00263B71" w:rsidRPr="00CA1CBC" w:rsidRDefault="00263B71" w:rsidP="00263B71">
            <w:pPr>
              <w:spacing w:after="0"/>
              <w:rPr>
                <w:sz w:val="16"/>
                <w:szCs w:val="16"/>
              </w:rPr>
            </w:pPr>
            <w:r w:rsidRPr="00CA1CBC">
              <w:rPr>
                <w:b/>
                <w:sz w:val="16"/>
                <w:szCs w:val="16"/>
              </w:rPr>
              <w:t>Carácter</w:t>
            </w:r>
          </w:p>
        </w:tc>
        <w:tc>
          <w:tcPr>
            <w:tcW w:w="2861" w:type="dxa"/>
            <w:vAlign w:val="center"/>
          </w:tcPr>
          <w:p w14:paraId="2FB8B108" w14:textId="713BEF85" w:rsidR="00263B71" w:rsidRPr="00263B71" w:rsidRDefault="00263B71" w:rsidP="000B7149">
            <w:pPr>
              <w:spacing w:after="0"/>
              <w:rPr>
                <w:sz w:val="16"/>
                <w:szCs w:val="16"/>
              </w:rPr>
            </w:pPr>
            <w:r w:rsidRPr="00263B71">
              <w:rPr>
                <w:sz w:val="16"/>
                <w:szCs w:val="16"/>
              </w:rPr>
              <w:t>Requisitos mínimos de control y aceptación</w:t>
            </w:r>
          </w:p>
        </w:tc>
        <w:tc>
          <w:tcPr>
            <w:tcW w:w="1283" w:type="dxa"/>
            <w:shd w:val="clear" w:color="auto" w:fill="D9EAD3"/>
            <w:vAlign w:val="center"/>
          </w:tcPr>
          <w:p w14:paraId="5B6C4DAF" w14:textId="77777777" w:rsidR="00263B71" w:rsidRPr="00CA1CBC" w:rsidRDefault="00263B71" w:rsidP="00263B71">
            <w:pPr>
              <w:spacing w:after="0"/>
              <w:rPr>
                <w:sz w:val="16"/>
                <w:szCs w:val="16"/>
              </w:rPr>
            </w:pPr>
            <w:r w:rsidRPr="00CA1CBC">
              <w:rPr>
                <w:b/>
                <w:sz w:val="16"/>
                <w:szCs w:val="16"/>
              </w:rPr>
              <w:t>Complemento</w:t>
            </w:r>
          </w:p>
        </w:tc>
        <w:tc>
          <w:tcPr>
            <w:tcW w:w="2686" w:type="dxa"/>
            <w:vAlign w:val="center"/>
          </w:tcPr>
          <w:p w14:paraId="64ED11E2" w14:textId="26052522" w:rsidR="00263B71" w:rsidRPr="00263B71" w:rsidRDefault="00263B71" w:rsidP="000B7149">
            <w:pPr>
              <w:spacing w:after="0"/>
              <w:rPr>
                <w:sz w:val="16"/>
                <w:szCs w:val="16"/>
              </w:rPr>
            </w:pPr>
            <w:r w:rsidRPr="00263B71">
              <w:rPr>
                <w:sz w:val="16"/>
                <w:szCs w:val="16"/>
              </w:rPr>
              <w:t>Apéndice A, diseños, presupuesto, APUs y demás documentos del proceso</w:t>
            </w:r>
          </w:p>
        </w:tc>
      </w:tr>
    </w:tbl>
    <w:p w14:paraId="4B854C1C" w14:textId="77777777" w:rsidR="00263B71" w:rsidRPr="00263B71" w:rsidRDefault="00263B71" w:rsidP="00263B71">
      <w:pPr>
        <w:pStyle w:val="Ttulo1"/>
      </w:pPr>
      <w:r w:rsidRPr="00263B71">
        <w:t>1. GENERALIDADES</w:t>
      </w:r>
    </w:p>
    <w:p w14:paraId="53C5BC2A" w14:textId="77777777" w:rsidR="00263B71" w:rsidRPr="00263B71" w:rsidRDefault="00263B71" w:rsidP="00263B71">
      <w:pPr>
        <w:pStyle w:val="Ttulo2"/>
      </w:pPr>
      <w:r w:rsidRPr="00263B71">
        <w:t>1.1 OBJETO</w:t>
      </w:r>
    </w:p>
    <w:p w14:paraId="63D089F9" w14:textId="77777777" w:rsidR="00263B71" w:rsidRDefault="00263B71" w:rsidP="00AC0B2D">
      <w:r>
        <w:t>El presente Apéndice establece los requisitos mínimos para el control de calidad, verificación, muestreo, ensayo y aceptación técnica de los materiales, elementos, procesos y productos terminados asociados a la señalización vertical, señalización horizontal, dispositivos para la regulación y seguridad del tránsito y obras menores complementarias ejecutadas en desarrollo del proceso contractual de señalización vial del Municipio de Duitama – Secretaría de Tránsito y Transporte (STT).</w:t>
      </w:r>
    </w:p>
    <w:p w14:paraId="5249F2D1" w14:textId="77777777" w:rsidR="00263B71" w:rsidRDefault="00263B71" w:rsidP="00AC0B2D">
      <w:r>
        <w:t>Su finalidad es asegurar que las intervenciones autorizadas mediante las respectivas Órdenes de Intervención cumplan las especificaciones del Apéndice A, el Manual de Señalización Vial vigente, las Normas Técnicas Colombianas aplicables, las fichas técnicas aprobadas y los demás documentos contractuales.</w:t>
      </w:r>
    </w:p>
    <w:p w14:paraId="79F52233" w14:textId="77777777" w:rsidR="00263B71" w:rsidRDefault="00263B71" w:rsidP="00263B71">
      <w:pPr>
        <w:pStyle w:val="Ttulo2"/>
      </w:pPr>
      <w:r w:rsidRPr="00263B71">
        <w:t>1.2 ALCANCE</w:t>
      </w:r>
    </w:p>
    <w:p w14:paraId="4C2DFC68" w14:textId="77777777" w:rsidR="00263B71" w:rsidRDefault="00263B71" w:rsidP="00AC0B2D">
      <w:r>
        <w:t>El control de calidad comprenderá, según corresponda, la revisión documental de materiales, inspección visual, verificación dimensional y geométrica, control de condiciones de aplicación e instalación, mediciones en campo, ensayos de laboratorio, ensayos sobre producto terminado, trazabilidad por lotes y evaluación de no conformidades.</w:t>
      </w:r>
    </w:p>
    <w:p w14:paraId="1B39019E" w14:textId="77777777" w:rsidR="00263B71" w:rsidRDefault="00263B71" w:rsidP="00AC0B2D">
      <w:r>
        <w:t>La existencia de un control o ensayo en este Apéndice no autoriza por sí sola la ejecución del elemento asociado. Los controles serán aplicables únicamente a los materiales, actividades y elementos efectivamente previstos en el presupuesto contractual y autorizados mediante Orden de Intervención.</w:t>
      </w:r>
    </w:p>
    <w:p w14:paraId="74FFCA16" w14:textId="77777777" w:rsidR="00263B71" w:rsidRDefault="00263B71" w:rsidP="00263B71">
      <w:pPr>
        <w:pStyle w:val="Ttulo2"/>
      </w:pPr>
      <w:r w:rsidRPr="00263B71">
        <w:t>1.3 DOCUMENTOS Y NORMATIVA TÉCNICA</w:t>
      </w:r>
    </w:p>
    <w:p w14:paraId="13F896F8" w14:textId="38B84412" w:rsidR="00263B71" w:rsidRDefault="00263B71" w:rsidP="00AC0B2D">
      <w:r>
        <w:t>Serán aplicables el Manual de Señalización Vial vigente adoptado por el Ministerio de Transporte, las Normas Técnicas Colombianas que regulen los materiales y métodos de ensayo correspondientes y las demás disposiciones técnicas vigentes aplicables. Entre las normas directamente relacionadas con las actividades previstas se encuentran, según corresponda, la NTC 1360, NTC 2072, NTC 4739, NTC 4744 partes 1, 2, 3 y 4, NTC 4745, NTC 5734, NTC 5867 y las normas técnicas de materiales, concretos, mezclas asfálticas, anclajes y demás componentes que resulten aplicables.</w:t>
      </w:r>
    </w:p>
    <w:p w14:paraId="10182C13" w14:textId="7F18AE96" w:rsidR="005C614D" w:rsidRDefault="005C614D" w:rsidP="00AC0B2D">
      <w:r w:rsidRPr="005C614D">
        <w:t>La anterior relación es enunciativa y no limita la aplicación de otras normas técnicas vigentes que resulten exigibles según el material, elemento o método de ensayo.</w:t>
      </w:r>
    </w:p>
    <w:p w14:paraId="42C46E01" w14:textId="77777777" w:rsidR="00263B71" w:rsidRDefault="00263B71" w:rsidP="00AC0B2D">
      <w:r>
        <w:t>Cuando una norma sea actualizada, sustituida o modificada durante la ejecución, su aplicabilidad se determinará conforme a la regla establecida en el numeral 1.3 del Apéndice A. En caso de discrepancia entre un requisito de este Apéndice y una exigencia obligatoria superior contenida en la normativa aplicable, prevalecerá esta última.</w:t>
      </w:r>
    </w:p>
    <w:p w14:paraId="04BCE1E7" w14:textId="77777777" w:rsidR="00263B71" w:rsidRDefault="00263B71" w:rsidP="00263B71">
      <w:pPr>
        <w:pStyle w:val="Ttulo2"/>
      </w:pPr>
      <w:r w:rsidRPr="00263B71">
        <w:lastRenderedPageBreak/>
        <w:t>1.4 RESPONSABILIDAD DEL CONTROL DE CALIDAD</w:t>
      </w:r>
    </w:p>
    <w:p w14:paraId="5D32FD9C" w14:textId="77777777" w:rsidR="00263B71" w:rsidRDefault="00263B71" w:rsidP="00AC0B2D">
      <w:r>
        <w:t>El Contratista será responsable de asegurar la calidad de los materiales y trabajos ejecutados y deberá disponer de los controles, personal, equipos, instrumentos, certificados y ensayos necesarios para demostrar su conformidad. La supervisión verificará el cumplimiento de los requisitos y podrá presenciar muestreos, solicitar soportes, efectuar mediciones de contraste o requerir verificaciones adicionales cuando existan indicios técnicamente sustentados de incumplimiento.</w:t>
      </w:r>
    </w:p>
    <w:p w14:paraId="08382756" w14:textId="77777777" w:rsidR="00263B71" w:rsidRDefault="00263B71" w:rsidP="00AC0B2D">
      <w:r>
        <w:t>La revisión, presencia o aceptación de un control por parte de la supervisión no transfiere al Municipio la responsabilidad por la calidad del producto ni libera al Contratista de corregir defectos atribuibles a materiales, fabricación, instalación o procedimiento constructivo.</w:t>
      </w:r>
    </w:p>
    <w:p w14:paraId="6D49C3AA" w14:textId="77777777" w:rsidR="00263B71" w:rsidRDefault="00263B71" w:rsidP="00263B71">
      <w:pPr>
        <w:pStyle w:val="Ttulo2"/>
      </w:pPr>
      <w:r w:rsidRPr="00263B71">
        <w:t>1.5 LABORATORIOS, EQUIPOS E INSTRUMENTOS</w:t>
      </w:r>
    </w:p>
    <w:p w14:paraId="41E43E27" w14:textId="77777777" w:rsidR="00263B71" w:rsidRDefault="00263B71" w:rsidP="00AC0B2D">
      <w:r>
        <w:t>Los ensayos que requieran laboratorio deberán ser realizados por laboratorios competentes para el método correspondiente. Cuando el documento contractual exija acreditación para un ensayo específico, esta deberá demostrarse mediante certificado vigente y alcance aplicable. En los demás casos, el laboratorio deberá demostrar capacidad técnica, equipos adecuados, trazabilidad metrológica y procedimientos documentados.</w:t>
      </w:r>
    </w:p>
    <w:p w14:paraId="6C313F7F" w14:textId="77777777" w:rsidR="00263B71" w:rsidRDefault="00263B71" w:rsidP="00AC0B2D">
      <w:r>
        <w:t>Los instrumentos utilizados para mediciones de aceptación deberán encontrarse en condiciones operativas y contar con calibración o verificación vigente cuando la naturaleza del equipo lo requiera. Los certificados deberán estar disponibles para revisión de la supervisión.</w:t>
      </w:r>
    </w:p>
    <w:p w14:paraId="385DE977" w14:textId="77777777" w:rsidR="00263B71" w:rsidRDefault="00263B71" w:rsidP="00263B71">
      <w:pPr>
        <w:pStyle w:val="Ttulo2"/>
      </w:pPr>
      <w:r w:rsidRPr="00263B71">
        <w:t>1.6 LOTES, MUESTREO Y TRAZABILIDAD</w:t>
      </w:r>
    </w:p>
    <w:p w14:paraId="05D25DAA" w14:textId="77777777" w:rsidR="00263B71" w:rsidRDefault="00263B71" w:rsidP="00AC0B2D">
      <w:r>
        <w:t>Para efectos de control, se entenderá por lote una cantidad homogénea de material o producto identificable por fabricante, referencia, formulación, color, fecha o periodo de fabricación y demás datos que permitan establecer su trazabilidad. Cuando cambie cualquiera de las características que pueda afectar el desempeño, se considerará un lote diferente.</w:t>
      </w:r>
    </w:p>
    <w:p w14:paraId="725FF7A8" w14:textId="77777777" w:rsidR="00263B71" w:rsidRDefault="00263B71" w:rsidP="00AC0B2D">
      <w:r>
        <w:t>Las muestras deberán identificarse con el número de Orden de Intervención, material o elemento, fabricante, lote, fecha, ubicación y responsable de la toma. Cuando se remitan a laboratorio, se conservará el registro de entrega y resultado correspondiente.</w:t>
      </w:r>
    </w:p>
    <w:p w14:paraId="66ACCB02" w14:textId="77777777" w:rsidR="00263B71" w:rsidRDefault="00263B71" w:rsidP="00AC0B2D">
      <w:r>
        <w:t>Las frecuencias indicadas en este Apéndice son mínimas contractuales y se aplicarán sin perjuicio de las frecuencias superiores que establezca una norma obligatoria o que resulten necesarias ante cambios de lote, proveedor, formulación, condiciones de ejecución o resultados no conformes.</w:t>
      </w:r>
    </w:p>
    <w:p w14:paraId="0DF509FC" w14:textId="77777777" w:rsidR="00263B71" w:rsidRDefault="00263B71" w:rsidP="00263B71">
      <w:pPr>
        <w:pStyle w:val="Ttulo2"/>
      </w:pPr>
      <w:r w:rsidRPr="00263B71">
        <w:t>1.7 TIPOS DE CONTROL</w:t>
      </w:r>
    </w:p>
    <w:p w14:paraId="0C8CBE80" w14:textId="77777777" w:rsidR="00263B71" w:rsidRDefault="00263B71" w:rsidP="00AC0B2D">
      <w:pPr>
        <w:pStyle w:val="Prrafodelista"/>
        <w:numPr>
          <w:ilvl w:val="0"/>
          <w:numId w:val="40"/>
        </w:numPr>
      </w:pPr>
      <w:r>
        <w:t>Control documental: fichas técnicas, certificados, identificación de lotes, fechas de fabricación, recomendaciones de instalación, certificados de conformidad y demás soportes exigibles.</w:t>
      </w:r>
    </w:p>
    <w:p w14:paraId="0E74DF96" w14:textId="77777777" w:rsidR="00263B71" w:rsidRDefault="00263B71" w:rsidP="00AC0B2D">
      <w:pPr>
        <w:pStyle w:val="Prrafodelista"/>
        <w:numPr>
          <w:ilvl w:val="0"/>
          <w:numId w:val="40"/>
        </w:numPr>
      </w:pPr>
      <w:r>
        <w:t>Control de recepción: inspección del estado, cantidad, identificación y compatibilidad de los materiales o elementos antes de su incorporación.</w:t>
      </w:r>
    </w:p>
    <w:p w14:paraId="34B241FA" w14:textId="77777777" w:rsidR="00263B71" w:rsidRDefault="00263B71" w:rsidP="00AC0B2D">
      <w:pPr>
        <w:pStyle w:val="Prrafodelista"/>
        <w:numPr>
          <w:ilvl w:val="0"/>
          <w:numId w:val="40"/>
        </w:numPr>
      </w:pPr>
      <w:r>
        <w:t>Control de proceso: verificación de condiciones de superficie, ambientales, preparación, dosificación, equipos, aplicación, instalación, fijación, curado y demás variables relevantes.</w:t>
      </w:r>
    </w:p>
    <w:p w14:paraId="3599EE69" w14:textId="77777777" w:rsidR="00263B71" w:rsidRDefault="00263B71" w:rsidP="00AC0B2D">
      <w:pPr>
        <w:pStyle w:val="Prrafodelista"/>
        <w:numPr>
          <w:ilvl w:val="0"/>
          <w:numId w:val="40"/>
        </w:numPr>
      </w:pPr>
      <w:r>
        <w:t>Control del producto terminado: comprobación de ubicación, geometría, dimensiones, acabados, estabilidad, adherencia, visibilidad, retrorreflectividad, resistencia al deslizamiento u otras propiedades aplicables.</w:t>
      </w:r>
    </w:p>
    <w:p w14:paraId="6D5BFCC5" w14:textId="77777777" w:rsidR="00263B71" w:rsidRDefault="00263B71" w:rsidP="00AC0B2D">
      <w:pPr>
        <w:pStyle w:val="Prrafodelista"/>
        <w:numPr>
          <w:ilvl w:val="0"/>
          <w:numId w:val="40"/>
        </w:numPr>
      </w:pPr>
      <w:r>
        <w:t>Control de desempeño: verificaciones posteriores cuando el requisito técnico o la garantía exijan evaluar el comportamiento del elemento durante el servicio.</w:t>
      </w:r>
    </w:p>
    <w:p w14:paraId="7CFD0E78" w14:textId="77777777" w:rsidR="00263B71" w:rsidRDefault="00263B71" w:rsidP="00263B71">
      <w:pPr>
        <w:pStyle w:val="Ttulo2"/>
      </w:pPr>
      <w:r w:rsidRPr="00263B71">
        <w:t>1.8 CRITERIOS GENERALES DE CONFORMIDAD</w:t>
      </w:r>
    </w:p>
    <w:p w14:paraId="13210A02" w14:textId="77777777" w:rsidR="00263B71" w:rsidRDefault="00263B71" w:rsidP="00AC0B2D">
      <w:r>
        <w:t xml:space="preserve">Un material, elemento o actividad se considerará conforme cuando cumpla simultáneamente los requisitos documentales, dimensionales, constructivos y de desempeño que le resulten aplicables. </w:t>
      </w:r>
      <w:r>
        <w:lastRenderedPageBreak/>
        <w:t>La conformidad de un ensayo aislado no subsana incumplimientos de ubicación, geometría, acabado, estabilidad, seguridad o trazabilidad.</w:t>
      </w:r>
    </w:p>
    <w:p w14:paraId="75899E4E" w14:textId="77777777" w:rsidR="00263B71" w:rsidRDefault="00263B71" w:rsidP="00AC0B2D">
      <w:r>
        <w:t>No se aceptarán certificados genéricos que no permitan relacionar el producto con el lote efectivamente suministrado cuando la naturaleza del material permita dicha identificación.</w:t>
      </w:r>
    </w:p>
    <w:p w14:paraId="3B8AFD4A" w14:textId="77777777" w:rsidR="00263B71" w:rsidRDefault="00263B71" w:rsidP="00263B71">
      <w:pPr>
        <w:pStyle w:val="Ttulo2"/>
      </w:pPr>
      <w:r w:rsidRPr="00263B71">
        <w:t>1.9 TRATAMIENTO DE RESULTADOS NO CONFORMES</w:t>
      </w:r>
    </w:p>
    <w:p w14:paraId="5E23C989" w14:textId="77777777" w:rsidR="00263B71" w:rsidRDefault="00263B71" w:rsidP="00AC0B2D">
      <w:r>
        <w:t>Cuando un control o ensayo resulte no conforme, el Contratista deberá identificar el lote o área potencialmente afectada, suspender su incorporación cuando corresponda y presentar a la supervisión la trazabilidad y propuesta de tratamiento. La supervisión podrá exigir delimitación adicional, repetición del control, ensayo de contraste, retiro, reposición, corrección o rechazo.</w:t>
      </w:r>
    </w:p>
    <w:p w14:paraId="1DF77BD1" w14:textId="77777777" w:rsidR="00263B71" w:rsidRDefault="00263B71" w:rsidP="00AC0B2D">
      <w:r>
        <w:t>La repetición de un ensayo no conforme no eliminará el resultado inicial ni autorizará automáticamente la aceptación. Los ensayos de contraste deberán realizarse sobre muestras representativas y con un método técnicamente válido. Los costos derivados de controles adicionales originados en una no conformidad atribuible al Contratista serán asumidos por este.</w:t>
      </w:r>
    </w:p>
    <w:p w14:paraId="3A55BBBF" w14:textId="77777777" w:rsidR="00263B71" w:rsidRDefault="00263B71" w:rsidP="00263B71">
      <w:pPr>
        <w:pStyle w:val="Ttulo2"/>
      </w:pPr>
      <w:r w:rsidRPr="00263B71">
        <w:t>1.10 REGISTROS MÍNIMOS</w:t>
      </w:r>
    </w:p>
    <w:p w14:paraId="0610586B" w14:textId="77777777" w:rsidR="00263B71" w:rsidRDefault="00263B71" w:rsidP="00AC0B2D">
      <w:r>
        <w:t>Los resultados de control deberán asociarse a la respectiva Orden de Intervención. El expediente de calidad incluirá, según corresponda: fichas técnicas, certificados, lotes, registros de recepción, formatos de control de aplicación o instalación, fotografías, certificados de calibración, informes de ensayo, resultados de mediciones en campo, registros de no conformidad y evidencias de corrección.</w:t>
      </w:r>
    </w:p>
    <w:p w14:paraId="3C1CC608" w14:textId="77777777" w:rsidR="00263B71" w:rsidRDefault="00263B71" w:rsidP="00263B71">
      <w:pPr>
        <w:pStyle w:val="Ttulo1"/>
      </w:pPr>
      <w:r w:rsidRPr="00263B71">
        <w:t>2. CONTROL DE CALIDAD – SEÑALIZACIÓN VERTICAL</w:t>
      </w:r>
    </w:p>
    <w:p w14:paraId="36E5ED7C" w14:textId="77777777" w:rsidR="00263B71" w:rsidRDefault="00263B71" w:rsidP="00263B71">
      <w:pPr>
        <w:pStyle w:val="Ttulo2"/>
      </w:pPr>
      <w:r w:rsidRPr="00263B71">
        <w:t xml:space="preserve">2.1 </w:t>
      </w:r>
      <w:bookmarkStart w:id="0" w:name="_Hlk239165794"/>
      <w:r w:rsidRPr="00263B71">
        <w:t>CONTROL DOCUMENTAL Y DE RECEPCIÓN</w:t>
      </w:r>
      <w:bookmarkEnd w:id="0"/>
    </w:p>
    <w:p w14:paraId="2DD479F3" w14:textId="3651F707" w:rsidR="00263B71" w:rsidRDefault="00263B71" w:rsidP="00AC0B2D">
      <w:r>
        <w:t>Antes de la instalación o aceptación del suministro se verificará la correspondencia entre la señal fabricada, el diseño autorizado y los materiales especificados en el Apéndice A. Se revisarán como mínimo tablero, película retrorreflectiva, tintas o sistemas de impresión, soportes, elementos de fijación y demás componentes aplicables.</w:t>
      </w:r>
    </w:p>
    <w:p w14:paraId="73580EE1" w14:textId="4DF049DD" w:rsidR="00AC0B2D" w:rsidRDefault="00AC0B2D" w:rsidP="00AC0B2D">
      <w:pPr>
        <w:pStyle w:val="Descripcin"/>
        <w:keepNext/>
        <w:spacing w:after="0"/>
        <w:jc w:val="center"/>
      </w:pPr>
      <w:r>
        <w:t xml:space="preserve">Tabla </w:t>
      </w:r>
      <w:r>
        <w:fldChar w:fldCharType="begin"/>
      </w:r>
      <w:r>
        <w:instrText xml:space="preserve"> SEQ Tabla \* ARABIC </w:instrText>
      </w:r>
      <w:r>
        <w:fldChar w:fldCharType="separate"/>
      </w:r>
      <w:r>
        <w:rPr>
          <w:noProof/>
        </w:rPr>
        <w:t>1</w:t>
      </w:r>
      <w:r>
        <w:rPr>
          <w:noProof/>
        </w:rPr>
        <w:fldChar w:fldCharType="end"/>
      </w:r>
      <w:r>
        <w:t>.</w:t>
      </w:r>
      <w:r w:rsidRPr="00AC0B2D">
        <w:t xml:space="preserve"> Control documental y de recepción</w:t>
      </w:r>
    </w:p>
    <w:tbl>
      <w:tblPr>
        <w:tblStyle w:val="Tablaconcuadrcula"/>
        <w:tblW w:w="0" w:type="auto"/>
        <w:jc w:val="center"/>
        <w:tblLook w:val="04A0" w:firstRow="1" w:lastRow="0" w:firstColumn="1" w:lastColumn="0" w:noHBand="0" w:noVBand="1"/>
      </w:tblPr>
      <w:tblGrid>
        <w:gridCol w:w="1367"/>
        <w:gridCol w:w="2482"/>
        <w:gridCol w:w="2305"/>
        <w:gridCol w:w="2231"/>
      </w:tblGrid>
      <w:tr w:rsidR="00AC0B2D" w:rsidRPr="00AC0B2D" w14:paraId="43EB994D" w14:textId="77777777" w:rsidTr="00AC0B2D">
        <w:trPr>
          <w:trHeight w:val="295"/>
          <w:tblHeader/>
          <w:jc w:val="center"/>
        </w:trPr>
        <w:tc>
          <w:tcPr>
            <w:tcW w:w="1367" w:type="dxa"/>
            <w:shd w:val="clear" w:color="auto" w:fill="0B5E55"/>
            <w:vAlign w:val="center"/>
          </w:tcPr>
          <w:p w14:paraId="4B573931" w14:textId="77777777" w:rsidR="00263B71" w:rsidRPr="00AC0B2D" w:rsidRDefault="00263B71" w:rsidP="00AC0B2D">
            <w:pPr>
              <w:spacing w:after="0"/>
              <w:jc w:val="center"/>
              <w:rPr>
                <w:color w:val="FFFFFF" w:themeColor="background1"/>
                <w:sz w:val="18"/>
                <w:szCs w:val="28"/>
              </w:rPr>
            </w:pPr>
            <w:r w:rsidRPr="00AC0B2D">
              <w:rPr>
                <w:b/>
                <w:color w:val="FFFFFF" w:themeColor="background1"/>
                <w:sz w:val="18"/>
                <w:szCs w:val="28"/>
              </w:rPr>
              <w:t>Componente</w:t>
            </w:r>
          </w:p>
        </w:tc>
        <w:tc>
          <w:tcPr>
            <w:tcW w:w="2482" w:type="dxa"/>
            <w:shd w:val="clear" w:color="auto" w:fill="0B5E55"/>
            <w:vAlign w:val="center"/>
          </w:tcPr>
          <w:p w14:paraId="6C39E570" w14:textId="77777777" w:rsidR="00263B71" w:rsidRPr="00AC0B2D" w:rsidRDefault="00263B71" w:rsidP="00AC0B2D">
            <w:pPr>
              <w:spacing w:after="0"/>
              <w:jc w:val="center"/>
              <w:rPr>
                <w:color w:val="FFFFFF" w:themeColor="background1"/>
                <w:sz w:val="18"/>
                <w:szCs w:val="28"/>
              </w:rPr>
            </w:pPr>
            <w:r w:rsidRPr="00AC0B2D">
              <w:rPr>
                <w:b/>
                <w:color w:val="FFFFFF" w:themeColor="background1"/>
                <w:sz w:val="18"/>
                <w:szCs w:val="28"/>
              </w:rPr>
              <w:t>Control mínimo</w:t>
            </w:r>
          </w:p>
        </w:tc>
        <w:tc>
          <w:tcPr>
            <w:tcW w:w="2305" w:type="dxa"/>
            <w:shd w:val="clear" w:color="auto" w:fill="0B5E55"/>
            <w:vAlign w:val="center"/>
          </w:tcPr>
          <w:p w14:paraId="0423F553" w14:textId="77777777" w:rsidR="00263B71" w:rsidRPr="00AC0B2D" w:rsidRDefault="00263B71" w:rsidP="00AC0B2D">
            <w:pPr>
              <w:spacing w:after="0"/>
              <w:jc w:val="center"/>
              <w:rPr>
                <w:color w:val="FFFFFF" w:themeColor="background1"/>
                <w:sz w:val="18"/>
                <w:szCs w:val="28"/>
              </w:rPr>
            </w:pPr>
            <w:r w:rsidRPr="00AC0B2D">
              <w:rPr>
                <w:b/>
                <w:color w:val="FFFFFF" w:themeColor="background1"/>
                <w:sz w:val="18"/>
                <w:szCs w:val="28"/>
              </w:rPr>
              <w:t>Frecuencia mínima</w:t>
            </w:r>
          </w:p>
        </w:tc>
        <w:tc>
          <w:tcPr>
            <w:tcW w:w="2231" w:type="dxa"/>
            <w:shd w:val="clear" w:color="auto" w:fill="0B5E55"/>
            <w:vAlign w:val="center"/>
          </w:tcPr>
          <w:p w14:paraId="72871989" w14:textId="77777777" w:rsidR="00263B71" w:rsidRPr="00AC0B2D" w:rsidRDefault="00263B71" w:rsidP="00AC0B2D">
            <w:pPr>
              <w:spacing w:after="0"/>
              <w:jc w:val="center"/>
              <w:rPr>
                <w:color w:val="FFFFFF" w:themeColor="background1"/>
                <w:sz w:val="18"/>
                <w:szCs w:val="28"/>
              </w:rPr>
            </w:pPr>
            <w:r w:rsidRPr="00AC0B2D">
              <w:rPr>
                <w:b/>
                <w:color w:val="FFFFFF" w:themeColor="background1"/>
                <w:sz w:val="18"/>
                <w:szCs w:val="28"/>
              </w:rPr>
              <w:t>Criterio de aceptación</w:t>
            </w:r>
          </w:p>
        </w:tc>
      </w:tr>
      <w:tr w:rsidR="00263B71" w:rsidRPr="00AC0B2D" w14:paraId="61B2E3B7" w14:textId="77777777" w:rsidTr="00AC0B2D">
        <w:trPr>
          <w:jc w:val="center"/>
        </w:trPr>
        <w:tc>
          <w:tcPr>
            <w:tcW w:w="1367" w:type="dxa"/>
            <w:vAlign w:val="center"/>
          </w:tcPr>
          <w:p w14:paraId="4064F49E" w14:textId="77777777" w:rsidR="00263B71" w:rsidRPr="00AC0B2D" w:rsidRDefault="00263B71" w:rsidP="00AC0B2D">
            <w:pPr>
              <w:spacing w:after="0"/>
              <w:jc w:val="left"/>
              <w:rPr>
                <w:sz w:val="18"/>
                <w:szCs w:val="28"/>
              </w:rPr>
            </w:pPr>
            <w:r w:rsidRPr="00AC0B2D">
              <w:rPr>
                <w:sz w:val="18"/>
                <w:szCs w:val="28"/>
              </w:rPr>
              <w:t>Tablero y lámina</w:t>
            </w:r>
          </w:p>
        </w:tc>
        <w:tc>
          <w:tcPr>
            <w:tcW w:w="2482" w:type="dxa"/>
            <w:vAlign w:val="center"/>
          </w:tcPr>
          <w:p w14:paraId="7C091C79" w14:textId="77777777" w:rsidR="00263B71" w:rsidRPr="00AC0B2D" w:rsidRDefault="00263B71" w:rsidP="00AC0B2D">
            <w:pPr>
              <w:spacing w:after="0"/>
              <w:jc w:val="left"/>
              <w:rPr>
                <w:sz w:val="18"/>
                <w:szCs w:val="28"/>
              </w:rPr>
            </w:pPr>
            <w:r w:rsidRPr="00AC0B2D">
              <w:rPr>
                <w:sz w:val="18"/>
                <w:szCs w:val="28"/>
              </w:rPr>
              <w:t>Ficha técnica/certificado del material; espesor y dimensiones</w:t>
            </w:r>
          </w:p>
        </w:tc>
        <w:tc>
          <w:tcPr>
            <w:tcW w:w="2305" w:type="dxa"/>
            <w:vAlign w:val="center"/>
          </w:tcPr>
          <w:p w14:paraId="04964E50" w14:textId="77777777" w:rsidR="00263B71" w:rsidRPr="00AC0B2D" w:rsidRDefault="00263B71" w:rsidP="00AC0B2D">
            <w:pPr>
              <w:spacing w:after="0"/>
              <w:jc w:val="left"/>
              <w:rPr>
                <w:sz w:val="18"/>
                <w:szCs w:val="28"/>
              </w:rPr>
            </w:pPr>
            <w:r w:rsidRPr="00AC0B2D">
              <w:rPr>
                <w:sz w:val="18"/>
                <w:szCs w:val="28"/>
              </w:rPr>
              <w:t>Cada lote de suministro y verificación dimensional por muestra</w:t>
            </w:r>
          </w:p>
        </w:tc>
        <w:tc>
          <w:tcPr>
            <w:tcW w:w="2231" w:type="dxa"/>
            <w:vAlign w:val="center"/>
          </w:tcPr>
          <w:p w14:paraId="15470C63" w14:textId="77777777" w:rsidR="00263B71" w:rsidRPr="00AC0B2D" w:rsidRDefault="00263B71" w:rsidP="00AC0B2D">
            <w:pPr>
              <w:spacing w:after="0"/>
              <w:jc w:val="left"/>
              <w:rPr>
                <w:sz w:val="18"/>
                <w:szCs w:val="28"/>
              </w:rPr>
            </w:pPr>
            <w:r w:rsidRPr="00AC0B2D">
              <w:rPr>
                <w:sz w:val="18"/>
                <w:szCs w:val="28"/>
              </w:rPr>
              <w:t>Cumplimiento de Apéndice A, diseño y norma aplicable</w:t>
            </w:r>
          </w:p>
        </w:tc>
      </w:tr>
      <w:tr w:rsidR="00263B71" w:rsidRPr="00AC0B2D" w14:paraId="531757C5" w14:textId="77777777" w:rsidTr="00AC0B2D">
        <w:trPr>
          <w:jc w:val="center"/>
        </w:trPr>
        <w:tc>
          <w:tcPr>
            <w:tcW w:w="1367" w:type="dxa"/>
            <w:vAlign w:val="center"/>
          </w:tcPr>
          <w:p w14:paraId="26D6D4B3" w14:textId="77777777" w:rsidR="00263B71" w:rsidRPr="00AC0B2D" w:rsidRDefault="00263B71" w:rsidP="00AC0B2D">
            <w:pPr>
              <w:spacing w:after="0"/>
              <w:jc w:val="left"/>
              <w:rPr>
                <w:sz w:val="18"/>
                <w:szCs w:val="28"/>
              </w:rPr>
            </w:pPr>
            <w:r w:rsidRPr="00AC0B2D">
              <w:rPr>
                <w:sz w:val="18"/>
                <w:szCs w:val="28"/>
              </w:rPr>
              <w:t>Película retrorreflectiva</w:t>
            </w:r>
          </w:p>
        </w:tc>
        <w:tc>
          <w:tcPr>
            <w:tcW w:w="2482" w:type="dxa"/>
            <w:vAlign w:val="center"/>
          </w:tcPr>
          <w:p w14:paraId="1AAA9C1D" w14:textId="77777777" w:rsidR="00263B71" w:rsidRPr="00AC0B2D" w:rsidRDefault="00263B71" w:rsidP="00AC0B2D">
            <w:pPr>
              <w:spacing w:after="0"/>
              <w:jc w:val="left"/>
              <w:rPr>
                <w:sz w:val="18"/>
                <w:szCs w:val="28"/>
              </w:rPr>
            </w:pPr>
            <w:r w:rsidRPr="00AC0B2D">
              <w:rPr>
                <w:sz w:val="18"/>
                <w:szCs w:val="28"/>
              </w:rPr>
              <w:t>Identificación de fabricante, referencia, lote y tipo; certificado o soporte de conformidad</w:t>
            </w:r>
          </w:p>
        </w:tc>
        <w:tc>
          <w:tcPr>
            <w:tcW w:w="2305" w:type="dxa"/>
            <w:vAlign w:val="center"/>
          </w:tcPr>
          <w:p w14:paraId="1E33CA25" w14:textId="77777777" w:rsidR="00263B71" w:rsidRPr="00AC0B2D" w:rsidRDefault="00263B71" w:rsidP="00AC0B2D">
            <w:pPr>
              <w:spacing w:after="0"/>
              <w:jc w:val="left"/>
              <w:rPr>
                <w:sz w:val="18"/>
                <w:szCs w:val="28"/>
              </w:rPr>
            </w:pPr>
            <w:r w:rsidRPr="00AC0B2D">
              <w:rPr>
                <w:sz w:val="18"/>
                <w:szCs w:val="28"/>
              </w:rPr>
              <w:t>Cada lote de película o señales suministradas</w:t>
            </w:r>
          </w:p>
        </w:tc>
        <w:tc>
          <w:tcPr>
            <w:tcW w:w="2231" w:type="dxa"/>
            <w:vAlign w:val="center"/>
          </w:tcPr>
          <w:p w14:paraId="43DEBD77" w14:textId="77777777" w:rsidR="00263B71" w:rsidRPr="00AC0B2D" w:rsidRDefault="00263B71" w:rsidP="00AC0B2D">
            <w:pPr>
              <w:spacing w:after="0"/>
              <w:jc w:val="left"/>
              <w:rPr>
                <w:sz w:val="18"/>
                <w:szCs w:val="28"/>
              </w:rPr>
            </w:pPr>
            <w:r w:rsidRPr="00AC0B2D">
              <w:rPr>
                <w:sz w:val="18"/>
                <w:szCs w:val="28"/>
              </w:rPr>
              <w:t>Tipo y desempeño compatibles con NTC 4739 y especificación contractual</w:t>
            </w:r>
          </w:p>
        </w:tc>
      </w:tr>
      <w:tr w:rsidR="00263B71" w:rsidRPr="00AC0B2D" w14:paraId="3B48AA0B" w14:textId="77777777" w:rsidTr="00AC0B2D">
        <w:trPr>
          <w:jc w:val="center"/>
        </w:trPr>
        <w:tc>
          <w:tcPr>
            <w:tcW w:w="1367" w:type="dxa"/>
            <w:vAlign w:val="center"/>
          </w:tcPr>
          <w:p w14:paraId="418EFCBA" w14:textId="77777777" w:rsidR="00263B71" w:rsidRPr="00AC0B2D" w:rsidRDefault="00263B71" w:rsidP="00AC0B2D">
            <w:pPr>
              <w:spacing w:after="0"/>
              <w:jc w:val="left"/>
              <w:rPr>
                <w:sz w:val="18"/>
                <w:szCs w:val="28"/>
              </w:rPr>
            </w:pPr>
            <w:r w:rsidRPr="00AC0B2D">
              <w:rPr>
                <w:sz w:val="18"/>
                <w:szCs w:val="28"/>
              </w:rPr>
              <w:t>Impresión, tintas y colores</w:t>
            </w:r>
          </w:p>
        </w:tc>
        <w:tc>
          <w:tcPr>
            <w:tcW w:w="2482" w:type="dxa"/>
            <w:vAlign w:val="center"/>
          </w:tcPr>
          <w:p w14:paraId="25825572" w14:textId="77777777" w:rsidR="00263B71" w:rsidRPr="00AC0B2D" w:rsidRDefault="00263B71" w:rsidP="00AC0B2D">
            <w:pPr>
              <w:spacing w:after="0"/>
              <w:jc w:val="left"/>
              <w:rPr>
                <w:sz w:val="18"/>
                <w:szCs w:val="28"/>
              </w:rPr>
            </w:pPr>
            <w:r w:rsidRPr="00AC0B2D">
              <w:rPr>
                <w:sz w:val="18"/>
                <w:szCs w:val="28"/>
              </w:rPr>
              <w:t>Ficha del sistema compatible con la película; inspección de uniformidad</w:t>
            </w:r>
          </w:p>
        </w:tc>
        <w:tc>
          <w:tcPr>
            <w:tcW w:w="2305" w:type="dxa"/>
            <w:vAlign w:val="center"/>
          </w:tcPr>
          <w:p w14:paraId="1414C325" w14:textId="77777777" w:rsidR="00263B71" w:rsidRPr="00AC0B2D" w:rsidRDefault="00263B71" w:rsidP="00AC0B2D">
            <w:pPr>
              <w:spacing w:after="0"/>
              <w:jc w:val="left"/>
              <w:rPr>
                <w:sz w:val="18"/>
                <w:szCs w:val="28"/>
              </w:rPr>
            </w:pPr>
            <w:r w:rsidRPr="00AC0B2D">
              <w:rPr>
                <w:sz w:val="18"/>
                <w:szCs w:val="28"/>
              </w:rPr>
              <w:t>Cada lote / inspección visual del 100%</w:t>
            </w:r>
          </w:p>
        </w:tc>
        <w:tc>
          <w:tcPr>
            <w:tcW w:w="2231" w:type="dxa"/>
            <w:vAlign w:val="center"/>
          </w:tcPr>
          <w:p w14:paraId="7B8F15EA" w14:textId="77777777" w:rsidR="00263B71" w:rsidRPr="00AC0B2D" w:rsidRDefault="00263B71" w:rsidP="00AC0B2D">
            <w:pPr>
              <w:spacing w:after="0"/>
              <w:jc w:val="left"/>
              <w:rPr>
                <w:sz w:val="18"/>
                <w:szCs w:val="28"/>
              </w:rPr>
            </w:pPr>
            <w:r w:rsidRPr="00AC0B2D">
              <w:rPr>
                <w:sz w:val="18"/>
                <w:szCs w:val="28"/>
              </w:rPr>
              <w:t>Sin manchas, decoloración, burbujas, desprendimientos ni defectos visibles</w:t>
            </w:r>
          </w:p>
        </w:tc>
      </w:tr>
      <w:tr w:rsidR="00263B71" w:rsidRPr="00AC0B2D" w14:paraId="0F809EB8" w14:textId="77777777" w:rsidTr="00AC0B2D">
        <w:trPr>
          <w:jc w:val="center"/>
        </w:trPr>
        <w:tc>
          <w:tcPr>
            <w:tcW w:w="1367" w:type="dxa"/>
            <w:vAlign w:val="center"/>
          </w:tcPr>
          <w:p w14:paraId="6DB04188" w14:textId="77777777" w:rsidR="00263B71" w:rsidRPr="00AC0B2D" w:rsidRDefault="00263B71" w:rsidP="00AC0B2D">
            <w:pPr>
              <w:spacing w:after="0"/>
              <w:jc w:val="left"/>
              <w:rPr>
                <w:sz w:val="18"/>
                <w:szCs w:val="28"/>
              </w:rPr>
            </w:pPr>
            <w:r w:rsidRPr="00AC0B2D">
              <w:rPr>
                <w:sz w:val="18"/>
                <w:szCs w:val="28"/>
              </w:rPr>
              <w:t>Soportes y herrajes</w:t>
            </w:r>
          </w:p>
        </w:tc>
        <w:tc>
          <w:tcPr>
            <w:tcW w:w="2482" w:type="dxa"/>
            <w:vAlign w:val="center"/>
          </w:tcPr>
          <w:p w14:paraId="1DCF00EF" w14:textId="77777777" w:rsidR="00263B71" w:rsidRPr="00AC0B2D" w:rsidRDefault="00263B71" w:rsidP="00AC0B2D">
            <w:pPr>
              <w:spacing w:after="0"/>
              <w:jc w:val="left"/>
              <w:rPr>
                <w:sz w:val="18"/>
                <w:szCs w:val="28"/>
              </w:rPr>
            </w:pPr>
            <w:r w:rsidRPr="00AC0B2D">
              <w:rPr>
                <w:sz w:val="18"/>
                <w:szCs w:val="28"/>
              </w:rPr>
              <w:t>Material, dimensiones, protección anticorrosiva y estado</w:t>
            </w:r>
          </w:p>
        </w:tc>
        <w:tc>
          <w:tcPr>
            <w:tcW w:w="2305" w:type="dxa"/>
            <w:vAlign w:val="center"/>
          </w:tcPr>
          <w:p w14:paraId="2963947C" w14:textId="77777777" w:rsidR="00263B71" w:rsidRPr="00AC0B2D" w:rsidRDefault="00263B71" w:rsidP="00AC0B2D">
            <w:pPr>
              <w:spacing w:after="0"/>
              <w:jc w:val="left"/>
              <w:rPr>
                <w:sz w:val="18"/>
                <w:szCs w:val="28"/>
              </w:rPr>
            </w:pPr>
            <w:r w:rsidRPr="00AC0B2D">
              <w:rPr>
                <w:sz w:val="18"/>
                <w:szCs w:val="28"/>
              </w:rPr>
              <w:t>Cada lote; control dimensional por muestra</w:t>
            </w:r>
          </w:p>
        </w:tc>
        <w:tc>
          <w:tcPr>
            <w:tcW w:w="2231" w:type="dxa"/>
            <w:vAlign w:val="center"/>
          </w:tcPr>
          <w:p w14:paraId="6C4433B5" w14:textId="77777777" w:rsidR="00263B71" w:rsidRPr="00AC0B2D" w:rsidRDefault="00263B71" w:rsidP="00AC0B2D">
            <w:pPr>
              <w:spacing w:after="0"/>
              <w:jc w:val="left"/>
              <w:rPr>
                <w:sz w:val="18"/>
                <w:szCs w:val="28"/>
              </w:rPr>
            </w:pPr>
            <w:r w:rsidRPr="00AC0B2D">
              <w:rPr>
                <w:sz w:val="18"/>
                <w:szCs w:val="28"/>
              </w:rPr>
              <w:t>Conforme a diseño, Apéndice A y especificación del ítem</w:t>
            </w:r>
          </w:p>
        </w:tc>
      </w:tr>
    </w:tbl>
    <w:p w14:paraId="4E9C21C2" w14:textId="77777777" w:rsidR="00AC0B2D" w:rsidRPr="00DF172C" w:rsidRDefault="00AC0B2D" w:rsidP="00AC0B2D">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74A6E422" w14:textId="77777777" w:rsidR="00263B71" w:rsidRDefault="00263B71" w:rsidP="00263B71">
      <w:pPr>
        <w:pStyle w:val="Ttulo2"/>
      </w:pPr>
      <w:r w:rsidRPr="00263B71">
        <w:t>2.2 VERIFICACIÓN DIMENSIONAL Y VISUAL</w:t>
      </w:r>
    </w:p>
    <w:p w14:paraId="418AD9F9" w14:textId="77777777" w:rsidR="00263B71" w:rsidRDefault="00263B71" w:rsidP="00AC0B2D">
      <w:r>
        <w:t>La inspección visual del producto terminado será del cien por ciento (100 %) de las señales suministradas o instaladas. Se verificará que no existan deformaciones, bordes peligrosos, daños de película, impresiones defectuosas, perforaciones indebidas, elementos sueltos o cualquier condición que reduzca la legibilidad, retrorreflectividad, estabilidad o durabilidad.</w:t>
      </w:r>
    </w:p>
    <w:p w14:paraId="06D8F569" w14:textId="77777777" w:rsidR="00263B71" w:rsidRDefault="00263B71" w:rsidP="00AC0B2D">
      <w:r>
        <w:lastRenderedPageBreak/>
        <w:t>La verificación dimensional se efectuará como mínimo sobre una muestra de cinco (5) unidades por cada lote de hasta cincuenta (50) señales del mismo tipo de fabricación, o sobre la totalidad cuando el lote sea inferior a cinco (5) unidades. Si se detecta una unidad fuera de tolerancia, se ampliará la revisión al lote completo para la característica afectada.</w:t>
      </w:r>
    </w:p>
    <w:p w14:paraId="4C4B695A" w14:textId="77777777" w:rsidR="00263B71" w:rsidRDefault="00263B71" w:rsidP="00263B71">
      <w:pPr>
        <w:pStyle w:val="Ttulo2"/>
      </w:pPr>
      <w:r w:rsidRPr="00263B71">
        <w:t>2.3 RETRORREFLECTIVIDAD DE SEÑALES</w:t>
      </w:r>
    </w:p>
    <w:p w14:paraId="041581FB" w14:textId="77777777" w:rsidR="00263B71" w:rsidRDefault="00263B71" w:rsidP="00AC0B2D">
      <w:r>
        <w:t>La película retrorreflectiva deberá acreditar el tipo y desempeño exigidos por la NTC 4739 y por el Manual de Señalización Vial vigente. La aceptación ordinaria podrá sustentarse mediante trazabilidad del material, certificado del fabricante o certificado de conformidad aplicable, sin perjuicio de mediciones instrumentales cuando sean contractualmente exigidas o existan dudas razonables sobre el desempeño.</w:t>
      </w:r>
    </w:p>
    <w:p w14:paraId="48283D52" w14:textId="77777777" w:rsidR="00263B71" w:rsidRDefault="00263B71" w:rsidP="00AC0B2D">
      <w:r>
        <w:t>Cuando se realicen mediciones de retrorreflectividad, el equipo deberá ser compatible con la geometría de medición aplicable y encontrarse calibrado o verificado. Los valores obtenidos se compararán con los mínimos correspondientes al tipo, color y condición del material evaluado.</w:t>
      </w:r>
    </w:p>
    <w:p w14:paraId="4AC54309" w14:textId="77777777" w:rsidR="00263B71" w:rsidRDefault="00263B71" w:rsidP="00263B71">
      <w:pPr>
        <w:pStyle w:val="Ttulo2"/>
      </w:pPr>
      <w:r w:rsidRPr="00263B71">
        <w:t>2.4 INSTALACIÓN, VERTICALIDAD Y FIJACIÓN</w:t>
      </w:r>
    </w:p>
    <w:p w14:paraId="0CA99EB8" w14:textId="77777777" w:rsidR="00263B71" w:rsidRDefault="00263B71" w:rsidP="00AC0B2D">
      <w:r>
        <w:t>Para cada señal instalada se verificará ubicación, orientación, altura, separación lateral, verticalidad, estabilidad, fijación, acabado de cimentación y ausencia de interferencias. La inspección será del cien por ciento (100 %) de los elementos instalados.</w:t>
      </w:r>
    </w:p>
    <w:p w14:paraId="623AA247" w14:textId="77777777" w:rsidR="00263B71" w:rsidRDefault="00263B71" w:rsidP="00AC0B2D">
      <w:r>
        <w:t>Cuando se utilice concreto para cimentaciones, el control se efectuará conforme al numeral 6 de este Apéndice. Los anclajes, pernos y sistemas de fijación deberán quedar firmes, protegidos y sin elementos expuestos que generen riesgo.</w:t>
      </w:r>
    </w:p>
    <w:p w14:paraId="7E7068C9" w14:textId="77777777" w:rsidR="00263B71" w:rsidRDefault="00263B71" w:rsidP="00263B71">
      <w:pPr>
        <w:pStyle w:val="Ttulo2"/>
      </w:pPr>
      <w:r w:rsidRPr="00263B71">
        <w:t>2.5 MANTENIMIENTO Y REHABILITACIÓN</w:t>
      </w:r>
    </w:p>
    <w:p w14:paraId="3970F5E9" w14:textId="77777777" w:rsidR="00263B71" w:rsidRDefault="00263B71" w:rsidP="00AC0B2D">
      <w:r>
        <w:t>Las señales objeto de mantenimiento o rehabilitación serán inspeccionadas antes y después de la intervención. La aceptación requerirá que el elemento conserve integridad estructural, legibilidad, estabilidad, orientación y condiciones funcionales. Cuando el deterioro de la película, tablero o soporte impida recuperar el desempeño requerido, la actividad de mantenimiento no podrá utilizarse para justificar la permanencia del elemento y deberá aplicarse el tratamiento autorizado por la STT.</w:t>
      </w:r>
    </w:p>
    <w:p w14:paraId="3D96AE1B" w14:textId="77777777" w:rsidR="00263B71" w:rsidRDefault="00263B71" w:rsidP="00263B71">
      <w:pPr>
        <w:pStyle w:val="Ttulo1"/>
      </w:pPr>
      <w:r w:rsidRPr="00263B71">
        <w:t>3. CONTROL DE CALIDAD – SEÑALIZACIÓN HORIZONTAL</w:t>
      </w:r>
    </w:p>
    <w:p w14:paraId="58A22011" w14:textId="77777777" w:rsidR="00263B71" w:rsidRDefault="00263B71" w:rsidP="00263B71">
      <w:pPr>
        <w:pStyle w:val="Ttulo2"/>
      </w:pPr>
      <w:r w:rsidRPr="00263B71">
        <w:t>3.1 RECEPCIÓN DE MATERIALES</w:t>
      </w:r>
    </w:p>
    <w:p w14:paraId="5EB51958" w14:textId="70C24D6A" w:rsidR="00263B71" w:rsidRDefault="00263B71" w:rsidP="00AC0B2D">
      <w:r>
        <w:t>Los materiales de demarcación deberán recibirse identificados, cerrados, dentro de su vida útil y con información suficiente para establecer fabricante, referencia, color, lote y fecha de fabricación. No se aceptarán productos contaminados, vencidos, alterados o almacenados en condiciones incompatibles con las recomendaciones técnicas.</w:t>
      </w:r>
    </w:p>
    <w:p w14:paraId="13315286" w14:textId="5EDB0195" w:rsidR="00AC0B2D" w:rsidRDefault="00AC0B2D" w:rsidP="00AC0B2D">
      <w:pPr>
        <w:pStyle w:val="Descripcin"/>
        <w:keepNext/>
        <w:spacing w:after="0"/>
        <w:jc w:val="center"/>
      </w:pPr>
      <w:r>
        <w:t xml:space="preserve">Tabla </w:t>
      </w:r>
      <w:r>
        <w:fldChar w:fldCharType="begin"/>
      </w:r>
      <w:r>
        <w:instrText xml:space="preserve"> SEQ Tabla \* ARABIC </w:instrText>
      </w:r>
      <w:r>
        <w:fldChar w:fldCharType="separate"/>
      </w:r>
      <w:r>
        <w:rPr>
          <w:noProof/>
        </w:rPr>
        <w:t>2</w:t>
      </w:r>
      <w:r>
        <w:rPr>
          <w:noProof/>
        </w:rPr>
        <w:fldChar w:fldCharType="end"/>
      </w:r>
      <w:r>
        <w:t>.</w:t>
      </w:r>
      <w:r w:rsidRPr="00AC0B2D">
        <w:t xml:space="preserve"> </w:t>
      </w:r>
      <w:r>
        <w:t>Recepción de materiales</w:t>
      </w:r>
    </w:p>
    <w:tbl>
      <w:tblPr>
        <w:tblStyle w:val="Tablaconcuadrcula"/>
        <w:tblW w:w="0" w:type="auto"/>
        <w:jc w:val="center"/>
        <w:tblLook w:val="04A0" w:firstRow="1" w:lastRow="0" w:firstColumn="1" w:lastColumn="0" w:noHBand="0" w:noVBand="1"/>
      </w:tblPr>
      <w:tblGrid>
        <w:gridCol w:w="1674"/>
        <w:gridCol w:w="3423"/>
        <w:gridCol w:w="1167"/>
        <w:gridCol w:w="3004"/>
      </w:tblGrid>
      <w:tr w:rsidR="00AC0B2D" w:rsidRPr="00AC0B2D" w14:paraId="0D24E493" w14:textId="77777777" w:rsidTr="00AC0B2D">
        <w:trPr>
          <w:tblHeader/>
          <w:jc w:val="center"/>
        </w:trPr>
        <w:tc>
          <w:tcPr>
            <w:tcW w:w="1674" w:type="dxa"/>
            <w:shd w:val="clear" w:color="auto" w:fill="0B5E55"/>
            <w:vAlign w:val="center"/>
          </w:tcPr>
          <w:p w14:paraId="649A37C2" w14:textId="77777777" w:rsidR="00263B71" w:rsidRPr="00AC0B2D" w:rsidRDefault="00263B71" w:rsidP="00AC0B2D">
            <w:pPr>
              <w:spacing w:after="0"/>
              <w:jc w:val="center"/>
              <w:rPr>
                <w:rFonts w:cs="Arial"/>
                <w:color w:val="FFFFFF" w:themeColor="background1"/>
                <w:sz w:val="18"/>
                <w:szCs w:val="28"/>
              </w:rPr>
            </w:pPr>
            <w:r w:rsidRPr="00AC0B2D">
              <w:rPr>
                <w:rFonts w:cs="Arial"/>
                <w:b/>
                <w:color w:val="FFFFFF" w:themeColor="background1"/>
                <w:sz w:val="18"/>
                <w:szCs w:val="28"/>
              </w:rPr>
              <w:t>Material</w:t>
            </w:r>
          </w:p>
        </w:tc>
        <w:tc>
          <w:tcPr>
            <w:tcW w:w="3423" w:type="dxa"/>
            <w:shd w:val="clear" w:color="auto" w:fill="0B5E55"/>
            <w:vAlign w:val="center"/>
          </w:tcPr>
          <w:p w14:paraId="0B59F1CF" w14:textId="77777777" w:rsidR="00263B71" w:rsidRPr="00AC0B2D" w:rsidRDefault="00263B71" w:rsidP="00AC0B2D">
            <w:pPr>
              <w:spacing w:after="0"/>
              <w:jc w:val="center"/>
              <w:rPr>
                <w:rFonts w:cs="Arial"/>
                <w:color w:val="FFFFFF" w:themeColor="background1"/>
                <w:sz w:val="18"/>
                <w:szCs w:val="28"/>
              </w:rPr>
            </w:pPr>
            <w:r w:rsidRPr="00AC0B2D">
              <w:rPr>
                <w:rFonts w:cs="Arial"/>
                <w:b/>
                <w:color w:val="FFFFFF" w:themeColor="background1"/>
                <w:sz w:val="18"/>
                <w:szCs w:val="28"/>
              </w:rPr>
              <w:t>Control mínimo</w:t>
            </w:r>
          </w:p>
        </w:tc>
        <w:tc>
          <w:tcPr>
            <w:tcW w:w="1167" w:type="dxa"/>
            <w:shd w:val="clear" w:color="auto" w:fill="0B5E55"/>
            <w:vAlign w:val="center"/>
          </w:tcPr>
          <w:p w14:paraId="149E4DFF" w14:textId="77777777" w:rsidR="00263B71" w:rsidRPr="00AC0B2D" w:rsidRDefault="00263B71" w:rsidP="00AC0B2D">
            <w:pPr>
              <w:spacing w:after="0"/>
              <w:jc w:val="center"/>
              <w:rPr>
                <w:rFonts w:cs="Arial"/>
                <w:color w:val="FFFFFF" w:themeColor="background1"/>
                <w:sz w:val="18"/>
                <w:szCs w:val="28"/>
              </w:rPr>
            </w:pPr>
            <w:r w:rsidRPr="00AC0B2D">
              <w:rPr>
                <w:rFonts w:cs="Arial"/>
                <w:b/>
                <w:color w:val="FFFFFF" w:themeColor="background1"/>
                <w:sz w:val="18"/>
                <w:szCs w:val="28"/>
              </w:rPr>
              <w:t>Frecuencia mínima</w:t>
            </w:r>
          </w:p>
        </w:tc>
        <w:tc>
          <w:tcPr>
            <w:tcW w:w="3004" w:type="dxa"/>
            <w:shd w:val="clear" w:color="auto" w:fill="0B5E55"/>
            <w:vAlign w:val="center"/>
          </w:tcPr>
          <w:p w14:paraId="1822E12B" w14:textId="77777777" w:rsidR="00263B71" w:rsidRPr="00AC0B2D" w:rsidRDefault="00263B71" w:rsidP="00AC0B2D">
            <w:pPr>
              <w:spacing w:after="0"/>
              <w:jc w:val="center"/>
              <w:rPr>
                <w:rFonts w:cs="Arial"/>
                <w:color w:val="FFFFFF" w:themeColor="background1"/>
                <w:sz w:val="18"/>
                <w:szCs w:val="28"/>
              </w:rPr>
            </w:pPr>
            <w:r w:rsidRPr="00AC0B2D">
              <w:rPr>
                <w:rFonts w:cs="Arial"/>
                <w:b/>
                <w:color w:val="FFFFFF" w:themeColor="background1"/>
                <w:sz w:val="18"/>
                <w:szCs w:val="28"/>
              </w:rPr>
              <w:t>Aceptación</w:t>
            </w:r>
          </w:p>
        </w:tc>
      </w:tr>
      <w:tr w:rsidR="00263B71" w:rsidRPr="00AC0B2D" w14:paraId="79B8420F" w14:textId="77777777" w:rsidTr="00AC0B2D">
        <w:trPr>
          <w:jc w:val="center"/>
        </w:trPr>
        <w:tc>
          <w:tcPr>
            <w:tcW w:w="1674" w:type="dxa"/>
            <w:vAlign w:val="center"/>
          </w:tcPr>
          <w:p w14:paraId="5B61867C" w14:textId="77777777" w:rsidR="00263B71" w:rsidRPr="00AC0B2D" w:rsidRDefault="00263B71" w:rsidP="00AC0B2D">
            <w:pPr>
              <w:spacing w:after="0"/>
              <w:jc w:val="left"/>
              <w:rPr>
                <w:rFonts w:cs="Arial"/>
                <w:sz w:val="17"/>
                <w:szCs w:val="17"/>
              </w:rPr>
            </w:pPr>
            <w:r w:rsidRPr="00AC0B2D">
              <w:rPr>
                <w:rFonts w:cs="Arial"/>
                <w:sz w:val="17"/>
                <w:szCs w:val="17"/>
              </w:rPr>
              <w:t>Plástico de aplicación en frío</w:t>
            </w:r>
          </w:p>
        </w:tc>
        <w:tc>
          <w:tcPr>
            <w:tcW w:w="3423" w:type="dxa"/>
            <w:vAlign w:val="center"/>
          </w:tcPr>
          <w:p w14:paraId="47712DE5" w14:textId="77777777" w:rsidR="00263B71" w:rsidRPr="00AC0B2D" w:rsidRDefault="00263B71" w:rsidP="00AC0B2D">
            <w:pPr>
              <w:spacing w:after="0"/>
              <w:jc w:val="left"/>
              <w:rPr>
                <w:rFonts w:cs="Arial"/>
                <w:sz w:val="17"/>
                <w:szCs w:val="17"/>
              </w:rPr>
            </w:pPr>
            <w:r w:rsidRPr="00AC0B2D">
              <w:rPr>
                <w:rFonts w:cs="Arial"/>
                <w:sz w:val="17"/>
                <w:szCs w:val="17"/>
              </w:rPr>
              <w:t>Ficha técnica, lote, color, vida útil, sistema de aplicación y compatibilidad</w:t>
            </w:r>
          </w:p>
        </w:tc>
        <w:tc>
          <w:tcPr>
            <w:tcW w:w="1167" w:type="dxa"/>
            <w:vAlign w:val="center"/>
          </w:tcPr>
          <w:p w14:paraId="5BFA84C7" w14:textId="77777777" w:rsidR="00263B71" w:rsidRPr="00AC0B2D" w:rsidRDefault="00263B71" w:rsidP="00AC0B2D">
            <w:pPr>
              <w:spacing w:after="0"/>
              <w:jc w:val="left"/>
              <w:rPr>
                <w:rFonts w:cs="Arial"/>
                <w:sz w:val="17"/>
                <w:szCs w:val="17"/>
              </w:rPr>
            </w:pPr>
            <w:r w:rsidRPr="00AC0B2D">
              <w:rPr>
                <w:rFonts w:cs="Arial"/>
                <w:sz w:val="17"/>
                <w:szCs w:val="17"/>
              </w:rPr>
              <w:t>Cada lote</w:t>
            </w:r>
          </w:p>
        </w:tc>
        <w:tc>
          <w:tcPr>
            <w:tcW w:w="3004" w:type="dxa"/>
            <w:vAlign w:val="center"/>
          </w:tcPr>
          <w:p w14:paraId="34C4B749" w14:textId="77777777" w:rsidR="00263B71" w:rsidRPr="00AC0B2D" w:rsidRDefault="00263B71" w:rsidP="00AC0B2D">
            <w:pPr>
              <w:spacing w:after="0"/>
              <w:jc w:val="left"/>
              <w:rPr>
                <w:rFonts w:cs="Arial"/>
                <w:sz w:val="17"/>
                <w:szCs w:val="17"/>
              </w:rPr>
            </w:pPr>
            <w:r w:rsidRPr="00AC0B2D">
              <w:rPr>
                <w:rFonts w:cs="Arial"/>
                <w:sz w:val="17"/>
                <w:szCs w:val="17"/>
              </w:rPr>
              <w:t>Cumplimiento NTC 4744-1 y especificación del sistema</w:t>
            </w:r>
          </w:p>
        </w:tc>
      </w:tr>
      <w:tr w:rsidR="00263B71" w:rsidRPr="00AC0B2D" w14:paraId="7570DBB2" w14:textId="77777777" w:rsidTr="00AC0B2D">
        <w:trPr>
          <w:jc w:val="center"/>
        </w:trPr>
        <w:tc>
          <w:tcPr>
            <w:tcW w:w="1674" w:type="dxa"/>
            <w:vAlign w:val="center"/>
          </w:tcPr>
          <w:p w14:paraId="2CCB31C9" w14:textId="77777777" w:rsidR="00263B71" w:rsidRPr="00AC0B2D" w:rsidRDefault="00263B71" w:rsidP="00AC0B2D">
            <w:pPr>
              <w:spacing w:after="0"/>
              <w:jc w:val="left"/>
              <w:rPr>
                <w:rFonts w:cs="Arial"/>
                <w:sz w:val="17"/>
                <w:szCs w:val="17"/>
              </w:rPr>
            </w:pPr>
            <w:r w:rsidRPr="00AC0B2D">
              <w:rPr>
                <w:rFonts w:cs="Arial"/>
                <w:sz w:val="17"/>
                <w:szCs w:val="17"/>
              </w:rPr>
              <w:t>Termoplástico, cuando aplique</w:t>
            </w:r>
          </w:p>
        </w:tc>
        <w:tc>
          <w:tcPr>
            <w:tcW w:w="3423" w:type="dxa"/>
            <w:vAlign w:val="center"/>
          </w:tcPr>
          <w:p w14:paraId="0A41BB13" w14:textId="77777777" w:rsidR="00263B71" w:rsidRPr="00AC0B2D" w:rsidRDefault="00263B71" w:rsidP="00AC0B2D">
            <w:pPr>
              <w:spacing w:after="0"/>
              <w:jc w:val="left"/>
              <w:rPr>
                <w:rFonts w:cs="Arial"/>
                <w:sz w:val="17"/>
                <w:szCs w:val="17"/>
              </w:rPr>
            </w:pPr>
            <w:r w:rsidRPr="00AC0B2D">
              <w:rPr>
                <w:rFonts w:cs="Arial"/>
                <w:sz w:val="17"/>
                <w:szCs w:val="17"/>
              </w:rPr>
              <w:t>Ficha técnica, lote, color y propiedades del producto</w:t>
            </w:r>
          </w:p>
        </w:tc>
        <w:tc>
          <w:tcPr>
            <w:tcW w:w="1167" w:type="dxa"/>
            <w:vAlign w:val="center"/>
          </w:tcPr>
          <w:p w14:paraId="16B26D38" w14:textId="77777777" w:rsidR="00263B71" w:rsidRPr="00AC0B2D" w:rsidRDefault="00263B71" w:rsidP="00AC0B2D">
            <w:pPr>
              <w:spacing w:after="0"/>
              <w:jc w:val="left"/>
              <w:rPr>
                <w:rFonts w:cs="Arial"/>
                <w:sz w:val="17"/>
                <w:szCs w:val="17"/>
              </w:rPr>
            </w:pPr>
            <w:r w:rsidRPr="00AC0B2D">
              <w:rPr>
                <w:rFonts w:cs="Arial"/>
                <w:sz w:val="17"/>
                <w:szCs w:val="17"/>
              </w:rPr>
              <w:t>Cada lote</w:t>
            </w:r>
          </w:p>
        </w:tc>
        <w:tc>
          <w:tcPr>
            <w:tcW w:w="3004" w:type="dxa"/>
            <w:vAlign w:val="center"/>
          </w:tcPr>
          <w:p w14:paraId="5614C25A" w14:textId="77777777" w:rsidR="00263B71" w:rsidRPr="00AC0B2D" w:rsidRDefault="00263B71" w:rsidP="00AC0B2D">
            <w:pPr>
              <w:spacing w:after="0"/>
              <w:jc w:val="left"/>
              <w:rPr>
                <w:rFonts w:cs="Arial"/>
                <w:sz w:val="17"/>
                <w:szCs w:val="17"/>
              </w:rPr>
            </w:pPr>
            <w:r w:rsidRPr="00AC0B2D">
              <w:rPr>
                <w:rFonts w:cs="Arial"/>
                <w:sz w:val="17"/>
                <w:szCs w:val="17"/>
              </w:rPr>
              <w:t>Cumplimiento de norma técnica aplicable y Apéndice A</w:t>
            </w:r>
          </w:p>
        </w:tc>
      </w:tr>
      <w:tr w:rsidR="00263B71" w:rsidRPr="00AC0B2D" w14:paraId="1CE0E12D" w14:textId="77777777" w:rsidTr="00AC0B2D">
        <w:trPr>
          <w:jc w:val="center"/>
        </w:trPr>
        <w:tc>
          <w:tcPr>
            <w:tcW w:w="1674" w:type="dxa"/>
            <w:vAlign w:val="center"/>
          </w:tcPr>
          <w:p w14:paraId="05A9362D" w14:textId="77777777" w:rsidR="00263B71" w:rsidRPr="00AC0B2D" w:rsidRDefault="00263B71" w:rsidP="00AC0B2D">
            <w:pPr>
              <w:spacing w:after="0"/>
              <w:jc w:val="left"/>
              <w:rPr>
                <w:rFonts w:cs="Arial"/>
                <w:sz w:val="17"/>
                <w:szCs w:val="17"/>
              </w:rPr>
            </w:pPr>
            <w:r w:rsidRPr="00AC0B2D">
              <w:rPr>
                <w:rFonts w:cs="Arial"/>
                <w:sz w:val="17"/>
                <w:szCs w:val="17"/>
              </w:rPr>
              <w:t>Microesferas de vidrio</w:t>
            </w:r>
          </w:p>
        </w:tc>
        <w:tc>
          <w:tcPr>
            <w:tcW w:w="3423" w:type="dxa"/>
            <w:vAlign w:val="center"/>
          </w:tcPr>
          <w:p w14:paraId="47900F39" w14:textId="77777777" w:rsidR="00263B71" w:rsidRPr="00AC0B2D" w:rsidRDefault="00263B71" w:rsidP="00AC0B2D">
            <w:pPr>
              <w:spacing w:after="0"/>
              <w:jc w:val="left"/>
              <w:rPr>
                <w:rFonts w:cs="Arial"/>
                <w:sz w:val="17"/>
                <w:szCs w:val="17"/>
              </w:rPr>
            </w:pPr>
            <w:r w:rsidRPr="00AC0B2D">
              <w:rPr>
                <w:rFonts w:cs="Arial"/>
                <w:sz w:val="17"/>
                <w:szCs w:val="17"/>
              </w:rPr>
              <w:t>Certificado/ficha, granulometría y tratamiento cuando corresponda</w:t>
            </w:r>
          </w:p>
        </w:tc>
        <w:tc>
          <w:tcPr>
            <w:tcW w:w="1167" w:type="dxa"/>
            <w:vAlign w:val="center"/>
          </w:tcPr>
          <w:p w14:paraId="7CA4E45B" w14:textId="77777777" w:rsidR="00263B71" w:rsidRPr="00AC0B2D" w:rsidRDefault="00263B71" w:rsidP="00AC0B2D">
            <w:pPr>
              <w:spacing w:after="0"/>
              <w:jc w:val="left"/>
              <w:rPr>
                <w:rFonts w:cs="Arial"/>
                <w:sz w:val="17"/>
                <w:szCs w:val="17"/>
              </w:rPr>
            </w:pPr>
            <w:r w:rsidRPr="00AC0B2D">
              <w:rPr>
                <w:rFonts w:cs="Arial"/>
                <w:sz w:val="17"/>
                <w:szCs w:val="17"/>
              </w:rPr>
              <w:t>Cada lote</w:t>
            </w:r>
          </w:p>
        </w:tc>
        <w:tc>
          <w:tcPr>
            <w:tcW w:w="3004" w:type="dxa"/>
            <w:vAlign w:val="center"/>
          </w:tcPr>
          <w:p w14:paraId="5CD9716A" w14:textId="77777777" w:rsidR="00263B71" w:rsidRPr="00AC0B2D" w:rsidRDefault="00263B71" w:rsidP="00AC0B2D">
            <w:pPr>
              <w:spacing w:after="0"/>
              <w:jc w:val="left"/>
              <w:rPr>
                <w:rFonts w:cs="Arial"/>
                <w:sz w:val="17"/>
                <w:szCs w:val="17"/>
              </w:rPr>
            </w:pPr>
            <w:r w:rsidRPr="00AC0B2D">
              <w:rPr>
                <w:rFonts w:cs="Arial"/>
                <w:sz w:val="17"/>
                <w:szCs w:val="17"/>
              </w:rPr>
              <w:t>Cumplimiento NTC 2072 y sistema de demarcación</w:t>
            </w:r>
          </w:p>
        </w:tc>
      </w:tr>
      <w:tr w:rsidR="00263B71" w:rsidRPr="00AC0B2D" w14:paraId="7E1F3E89" w14:textId="77777777" w:rsidTr="00AC0B2D">
        <w:trPr>
          <w:jc w:val="center"/>
        </w:trPr>
        <w:tc>
          <w:tcPr>
            <w:tcW w:w="1674" w:type="dxa"/>
            <w:vAlign w:val="center"/>
          </w:tcPr>
          <w:p w14:paraId="7A2B43E0" w14:textId="77777777" w:rsidR="00263B71" w:rsidRPr="00AC0B2D" w:rsidRDefault="00263B71" w:rsidP="00AC0B2D">
            <w:pPr>
              <w:spacing w:after="0"/>
              <w:jc w:val="left"/>
              <w:rPr>
                <w:rFonts w:cs="Arial"/>
                <w:sz w:val="17"/>
                <w:szCs w:val="17"/>
              </w:rPr>
            </w:pPr>
            <w:r w:rsidRPr="00AC0B2D">
              <w:rPr>
                <w:rFonts w:cs="Arial"/>
                <w:sz w:val="17"/>
                <w:szCs w:val="17"/>
              </w:rPr>
              <w:t>Granulado antideslizante</w:t>
            </w:r>
          </w:p>
        </w:tc>
        <w:tc>
          <w:tcPr>
            <w:tcW w:w="3423" w:type="dxa"/>
            <w:vAlign w:val="center"/>
          </w:tcPr>
          <w:p w14:paraId="68D7E1FB" w14:textId="77777777" w:rsidR="00263B71" w:rsidRPr="00AC0B2D" w:rsidRDefault="00263B71" w:rsidP="00AC0B2D">
            <w:pPr>
              <w:spacing w:after="0"/>
              <w:jc w:val="left"/>
              <w:rPr>
                <w:rFonts w:cs="Arial"/>
                <w:sz w:val="17"/>
                <w:szCs w:val="17"/>
              </w:rPr>
            </w:pPr>
            <w:r w:rsidRPr="00AC0B2D">
              <w:rPr>
                <w:rFonts w:cs="Arial"/>
                <w:sz w:val="17"/>
                <w:szCs w:val="17"/>
              </w:rPr>
              <w:t>Ficha/certificado e identificación del lote</w:t>
            </w:r>
          </w:p>
        </w:tc>
        <w:tc>
          <w:tcPr>
            <w:tcW w:w="1167" w:type="dxa"/>
            <w:vAlign w:val="center"/>
          </w:tcPr>
          <w:p w14:paraId="3D0552E5" w14:textId="77777777" w:rsidR="00263B71" w:rsidRPr="00AC0B2D" w:rsidRDefault="00263B71" w:rsidP="00AC0B2D">
            <w:pPr>
              <w:spacing w:after="0"/>
              <w:jc w:val="left"/>
              <w:rPr>
                <w:rFonts w:cs="Arial"/>
                <w:sz w:val="17"/>
                <w:szCs w:val="17"/>
              </w:rPr>
            </w:pPr>
            <w:r w:rsidRPr="00AC0B2D">
              <w:rPr>
                <w:rFonts w:cs="Arial"/>
                <w:sz w:val="17"/>
                <w:szCs w:val="17"/>
              </w:rPr>
              <w:t>Cada lote</w:t>
            </w:r>
          </w:p>
        </w:tc>
        <w:tc>
          <w:tcPr>
            <w:tcW w:w="3004" w:type="dxa"/>
            <w:vAlign w:val="center"/>
          </w:tcPr>
          <w:p w14:paraId="1049E693" w14:textId="77777777" w:rsidR="00263B71" w:rsidRPr="00AC0B2D" w:rsidRDefault="00263B71" w:rsidP="00AC0B2D">
            <w:pPr>
              <w:spacing w:after="0"/>
              <w:jc w:val="left"/>
              <w:rPr>
                <w:rFonts w:cs="Arial"/>
                <w:sz w:val="17"/>
                <w:szCs w:val="17"/>
              </w:rPr>
            </w:pPr>
            <w:r w:rsidRPr="00AC0B2D">
              <w:rPr>
                <w:rFonts w:cs="Arial"/>
                <w:sz w:val="17"/>
                <w:szCs w:val="17"/>
              </w:rPr>
              <w:t>Compatible con sistema y requisito de resistencia al deslizamiento</w:t>
            </w:r>
          </w:p>
        </w:tc>
      </w:tr>
      <w:tr w:rsidR="00263B71" w:rsidRPr="00AC0B2D" w14:paraId="3CA59838" w14:textId="77777777" w:rsidTr="00AC0B2D">
        <w:trPr>
          <w:jc w:val="center"/>
        </w:trPr>
        <w:tc>
          <w:tcPr>
            <w:tcW w:w="1674" w:type="dxa"/>
            <w:vAlign w:val="center"/>
          </w:tcPr>
          <w:p w14:paraId="0FAF0343" w14:textId="77777777" w:rsidR="00263B71" w:rsidRPr="00AC0B2D" w:rsidRDefault="00263B71" w:rsidP="00AC0B2D">
            <w:pPr>
              <w:spacing w:after="0"/>
              <w:jc w:val="left"/>
              <w:rPr>
                <w:rFonts w:cs="Arial"/>
                <w:sz w:val="17"/>
                <w:szCs w:val="17"/>
              </w:rPr>
            </w:pPr>
            <w:r w:rsidRPr="00AC0B2D">
              <w:rPr>
                <w:rFonts w:cs="Arial"/>
                <w:sz w:val="17"/>
                <w:szCs w:val="17"/>
              </w:rPr>
              <w:t>Imprimante acrílico negro</w:t>
            </w:r>
          </w:p>
        </w:tc>
        <w:tc>
          <w:tcPr>
            <w:tcW w:w="3423" w:type="dxa"/>
            <w:vAlign w:val="center"/>
          </w:tcPr>
          <w:p w14:paraId="481CCD9F" w14:textId="77777777" w:rsidR="00263B71" w:rsidRPr="00AC0B2D" w:rsidRDefault="00263B71" w:rsidP="00AC0B2D">
            <w:pPr>
              <w:spacing w:after="0"/>
              <w:jc w:val="left"/>
              <w:rPr>
                <w:rFonts w:cs="Arial"/>
                <w:sz w:val="17"/>
                <w:szCs w:val="17"/>
              </w:rPr>
            </w:pPr>
            <w:r w:rsidRPr="00AC0B2D">
              <w:rPr>
                <w:rFonts w:cs="Arial"/>
                <w:sz w:val="17"/>
                <w:szCs w:val="17"/>
              </w:rPr>
              <w:t>Ficha técnica, lote, compatibilidad y vida útil</w:t>
            </w:r>
          </w:p>
        </w:tc>
        <w:tc>
          <w:tcPr>
            <w:tcW w:w="1167" w:type="dxa"/>
            <w:vAlign w:val="center"/>
          </w:tcPr>
          <w:p w14:paraId="14093404" w14:textId="77777777" w:rsidR="00263B71" w:rsidRPr="00AC0B2D" w:rsidRDefault="00263B71" w:rsidP="00AC0B2D">
            <w:pPr>
              <w:spacing w:after="0"/>
              <w:jc w:val="left"/>
              <w:rPr>
                <w:rFonts w:cs="Arial"/>
                <w:sz w:val="17"/>
                <w:szCs w:val="17"/>
              </w:rPr>
            </w:pPr>
            <w:r w:rsidRPr="00AC0B2D">
              <w:rPr>
                <w:rFonts w:cs="Arial"/>
                <w:sz w:val="17"/>
                <w:szCs w:val="17"/>
              </w:rPr>
              <w:t>Cada lote</w:t>
            </w:r>
          </w:p>
        </w:tc>
        <w:tc>
          <w:tcPr>
            <w:tcW w:w="3004" w:type="dxa"/>
            <w:vAlign w:val="center"/>
          </w:tcPr>
          <w:p w14:paraId="401D3C78" w14:textId="77777777" w:rsidR="00263B71" w:rsidRPr="00AC0B2D" w:rsidRDefault="00263B71" w:rsidP="00AC0B2D">
            <w:pPr>
              <w:spacing w:after="0"/>
              <w:jc w:val="left"/>
              <w:rPr>
                <w:rFonts w:cs="Arial"/>
                <w:sz w:val="17"/>
                <w:szCs w:val="17"/>
              </w:rPr>
            </w:pPr>
            <w:r w:rsidRPr="00AC0B2D">
              <w:rPr>
                <w:rFonts w:cs="Arial"/>
                <w:sz w:val="17"/>
                <w:szCs w:val="17"/>
              </w:rPr>
              <w:t>Uso como preparación del sustrato, no como método de borrado</w:t>
            </w:r>
          </w:p>
        </w:tc>
      </w:tr>
    </w:tbl>
    <w:p w14:paraId="55543595" w14:textId="77777777" w:rsidR="00AC0B2D" w:rsidRPr="00DF172C" w:rsidRDefault="00AC0B2D" w:rsidP="00AC0B2D">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37CD60E7" w14:textId="77777777" w:rsidR="00263B71" w:rsidRDefault="00263B71" w:rsidP="00263B71">
      <w:pPr>
        <w:spacing w:after="100"/>
      </w:pPr>
    </w:p>
    <w:p w14:paraId="5D0B5F79" w14:textId="77777777" w:rsidR="00263B71" w:rsidRDefault="00263B71" w:rsidP="00263B71">
      <w:pPr>
        <w:pStyle w:val="Ttulo2"/>
      </w:pPr>
      <w:r w:rsidRPr="00263B71">
        <w:lastRenderedPageBreak/>
        <w:t>3.2 CONDICIONES PREVIAS Y AMBIENTALES</w:t>
      </w:r>
    </w:p>
    <w:p w14:paraId="185A91D5" w14:textId="77777777" w:rsidR="00263B71" w:rsidRDefault="00263B71" w:rsidP="00217F6C">
      <w:r>
        <w:t>Antes y durante la aplicación se controlarán limpieza, sequedad y condición de la superficie, temperatura ambiente y del sustrato cuando resulten relevantes para el producto, presencia de humedad, precipitación y demás variables establecidas por el fabricante o la norma aplicable.</w:t>
      </w:r>
    </w:p>
    <w:p w14:paraId="659948EE" w14:textId="77777777" w:rsidR="00263B71" w:rsidRDefault="00263B71" w:rsidP="00217F6C">
      <w:r>
        <w:t>Como mínimo se registrarán las condiciones al inicio de cada jornada y nuevamente cuando se presenten cambios ambientales apreciables, interrupciones prolongadas, cambio de frente o cambio de material. No se aplicará demarcación sobre superficies húmedas, contaminadas o en condiciones incompatibles con el sistema utilizado.</w:t>
      </w:r>
    </w:p>
    <w:p w14:paraId="448FC746" w14:textId="77777777" w:rsidR="00263B71" w:rsidRDefault="00263B71" w:rsidP="00263B71">
      <w:pPr>
        <w:pStyle w:val="Ttulo2"/>
      </w:pPr>
      <w:r w:rsidRPr="00263B71">
        <w:t>3.3 CONTROL DE DOSIFICACIÓN Y ESPESOR</w:t>
      </w:r>
    </w:p>
    <w:p w14:paraId="5ADCA916" w14:textId="77777777" w:rsidR="00263B71" w:rsidRDefault="00263B71" w:rsidP="00217F6C">
      <w:r>
        <w:t>El Contratista deberá controlar la dosificación y espesor del material de manera continua durante la aplicación. Para los sistemas contemplados en el Apéndice A se verificarán los espesores secos mínimos allí establecidos: veintidós (22) mils para plástico en frío aplicado por pulverización; cincuenta (50) mils para plástico en frío aplicado por extrusión, zapatón o procedimiento manual; noventa (90) mils para termoplástico por extrusión cuando esté contractualmente previsto; y cuatro (4) mils para imprimante acrílico negro, salvo exigencia superior de la normativa, ficha técnica aprobada o diseño.</w:t>
      </w:r>
    </w:p>
    <w:p w14:paraId="5E4F96F8" w14:textId="77777777" w:rsidR="00263B71" w:rsidRDefault="00263B71" w:rsidP="00217F6C">
      <w:r>
        <w:t>Se efectuará como mínimo una verificación de espesor por cada 500 m lineales de demarcación continua o fracción ejecutada en una jornada, y una verificación por cada 100 m² o fracción de marcas, símbolos o áreas demarcadas. Cuando un mismo frente utilice diferentes colores, materiales o métodos de aplicación, cada combinación se controlará separadamente.</w:t>
      </w:r>
    </w:p>
    <w:p w14:paraId="2E5F8A1A" w14:textId="77777777" w:rsidR="00263B71" w:rsidRDefault="00263B71" w:rsidP="00217F6C">
      <w:r>
        <w:t>Si una medición resulta inferior al mínimo exigido, se delimitará el tramo o área afectada mediante mediciones adicionales y se aplicará el tratamiento correctivo técnicamente procedente. La corrección no podrá generar espesores, relieves o acabados que afecten la seguridad o funcionalidad.</w:t>
      </w:r>
    </w:p>
    <w:p w14:paraId="2241D167" w14:textId="77777777" w:rsidR="00263B71" w:rsidRDefault="00263B71" w:rsidP="00263B71">
      <w:pPr>
        <w:pStyle w:val="Ttulo2"/>
      </w:pPr>
      <w:r w:rsidRPr="00263B71">
        <w:t>3.4 GEOMETRÍA, DIMENSIONES Y APARIENCIA</w:t>
      </w:r>
    </w:p>
    <w:p w14:paraId="520B1A9C" w14:textId="77777777" w:rsidR="00263B71" w:rsidRDefault="00263B71" w:rsidP="00217F6C">
      <w:r>
        <w:t>La geometría, ancho, longitud, separación, alineamiento y configuración de líneas, símbolos y marcas se verificarán contra el diseño y el Manual vigente. Se realizará inspección visual del cien por ciento (100 %) de la demarcación ejecutada y medición dimensional como mínimo una vez por cada 100 m de línea o en cada símbolo, flecha, paso peatonal o marca individual.</w:t>
      </w:r>
    </w:p>
    <w:p w14:paraId="0F08A35F" w14:textId="77777777" w:rsidR="00263B71" w:rsidRDefault="00263B71" w:rsidP="00217F6C">
      <w:r>
        <w:t>No se aceptarán bordes excesivamente irregulares, salpicaduras, discontinuidades no previstas, pérdida de definición, geometrías que induzcan a error, marcas contradictorias o restos visibles de demarcaciones anuladas que generen confusión.</w:t>
      </w:r>
    </w:p>
    <w:p w14:paraId="59703F0A" w14:textId="77777777" w:rsidR="00263B71" w:rsidRDefault="00263B71" w:rsidP="00263B71">
      <w:pPr>
        <w:pStyle w:val="Ttulo2"/>
      </w:pPr>
      <w:r w:rsidRPr="00263B71">
        <w:t>3.5 MICROESFERAS Y MATERIAL ANTIDESLIZANTE</w:t>
      </w:r>
    </w:p>
    <w:p w14:paraId="422F4012" w14:textId="77777777" w:rsidR="00263B71" w:rsidRDefault="00263B71" w:rsidP="00217F6C">
      <w:r>
        <w:t>La aplicación de microesferas y granulados deberá ser uniforme y corresponder al sistema aprobado. El Contratista deberá conservar la trazabilidad del material y controlar su dosificación conforme a la ficha técnica y a la NTC aplicable.</w:t>
      </w:r>
    </w:p>
    <w:p w14:paraId="29B9B96C" w14:textId="77777777" w:rsidR="00263B71" w:rsidRDefault="00263B71" w:rsidP="00217F6C">
      <w:r>
        <w:t>En pasos peatonales y demás superficies donde el diseño priorice resistencia al deslizamiento, la composición superficial deberá corresponder a lo definido en la especificación técnica y el presupuesto. La presencia de microesferas no podrá utilizarse en contravía de la configuración expresamente establecida para el ítem.</w:t>
      </w:r>
    </w:p>
    <w:p w14:paraId="550B37A1" w14:textId="77777777" w:rsidR="00263B71" w:rsidRDefault="00263B71" w:rsidP="00263B71">
      <w:pPr>
        <w:pStyle w:val="Ttulo2"/>
      </w:pPr>
      <w:r w:rsidRPr="00263B71">
        <w:t>3.6 RETRORREFLECTIVIDAD</w:t>
      </w:r>
    </w:p>
    <w:p w14:paraId="2A61FBB3" w14:textId="77777777" w:rsidR="00263B71" w:rsidRDefault="00263B71" w:rsidP="00217F6C">
      <w:r>
        <w:t>La retrorreflectividad de la demarcación se evaluará conforme a la NTC 4744-3 y a los valores mínimos aplicables al material, color, condición y periodo de evaluación. Las mediciones deberán efectuarse con retrorreflectómetro adecuado, sobre superficie limpia y en condiciones compatibles con el método.</w:t>
      </w:r>
    </w:p>
    <w:p w14:paraId="0C01BE33" w14:textId="77777777" w:rsidR="00263B71" w:rsidRDefault="00263B71" w:rsidP="00217F6C">
      <w:r>
        <w:lastRenderedPageBreak/>
        <w:t>Como control de recepción inicial, se efectuará como mínimo una serie de mediciones por cada 500 m lineales o fracción de línea continua ejecutada y por cada 250 m² o fracción de marcas o áreas, distribuyendo los puntos de manera representativa. Cuando la norma aplicable establezca una frecuencia o procedimiento más exigente, prevalecerá dicha disposición.</w:t>
      </w:r>
    </w:p>
    <w:p w14:paraId="39EA5889" w14:textId="77777777" w:rsidR="00263B71" w:rsidRDefault="00263B71" w:rsidP="00217F6C">
      <w:r>
        <w:t>Los resultados deberán conservarse individualmente y permitir identificar la ubicación de cada lectura. No se aceptará como único criterio el promedio de un conjunto cuando existan valores puntuales que evidencien sectores manifiestamente deficientes.</w:t>
      </w:r>
    </w:p>
    <w:p w14:paraId="6E534779" w14:textId="77777777" w:rsidR="00263B71" w:rsidRDefault="00263B71" w:rsidP="00263B71">
      <w:pPr>
        <w:pStyle w:val="Ttulo2"/>
      </w:pPr>
      <w:r w:rsidRPr="00263B71">
        <w:t>3.7 RESISTENCIA AL DESLIZAMIENTO</w:t>
      </w:r>
    </w:p>
    <w:p w14:paraId="0BE9E6A5" w14:textId="77777777" w:rsidR="00263B71" w:rsidRDefault="00263B71" w:rsidP="00217F6C">
      <w:r>
        <w:t>En pasos peatonales, áreas extensas, superficies coloreadas o tratamientos donde la resistencia al deslizamiento sea una condición de seguridad, se efectuarán controles mediante método técnicamente reconocido y equipo adecuado. El criterio de aceptación será el establecido por la norma aplicable, el Manual vigente o la especificación técnica aprobada para el sistema.</w:t>
      </w:r>
    </w:p>
    <w:p w14:paraId="2741FAD2" w14:textId="77777777" w:rsidR="00263B71" w:rsidRDefault="00263B71" w:rsidP="00217F6C">
      <w:r>
        <w:t>Como mínimo se realizará una verificación por cada 250 m² o fracción de superficie homogénea y al menos una por cada intervención independiente cuando su área sea inferior. Si el resultado es no conforme, se delimitará el área afectada y se corregirá antes del recibo.</w:t>
      </w:r>
    </w:p>
    <w:p w14:paraId="29400A94" w14:textId="77777777" w:rsidR="00263B71" w:rsidRDefault="00263B71" w:rsidP="00263B71">
      <w:pPr>
        <w:pStyle w:val="Ttulo2"/>
      </w:pPr>
      <w:r w:rsidRPr="00263B71">
        <w:t>3.8 TIEMPO DE SECADO O HABILITACIÓN</w:t>
      </w:r>
    </w:p>
    <w:p w14:paraId="18E2A3C3" w14:textId="77777777" w:rsidR="00263B71" w:rsidRDefault="00263B71" w:rsidP="00217F6C">
      <w:r>
        <w:t>La demarcación no podrá habilitarse al tránsito hasta que el material alcance la condición necesaria para evitar transferencia, levantamiento, deformación o contaminación. Cuando resulte aplicable, el tiempo de secado podrá verificarse mediante el método establecido en la NTC 5734 o la norma que la sustituya.</w:t>
      </w:r>
    </w:p>
    <w:p w14:paraId="49B13B11" w14:textId="77777777" w:rsidR="00263B71" w:rsidRDefault="00263B71" w:rsidP="00217F6C">
      <w:r>
        <w:t>La apertura al tránsito deberá quedar registrada cuando las condiciones del material, clima o intervención hagan necesario controlar este parámetro.</w:t>
      </w:r>
    </w:p>
    <w:p w14:paraId="2F33E31A" w14:textId="77777777" w:rsidR="00263B71" w:rsidRDefault="00263B71" w:rsidP="00263B71">
      <w:pPr>
        <w:pStyle w:val="Ttulo2"/>
      </w:pPr>
      <w:r w:rsidRPr="00263B71">
        <w:t>3.9 BORRADO DE MARCAS VIALES</w:t>
      </w:r>
    </w:p>
    <w:p w14:paraId="749C33CF" w14:textId="77777777" w:rsidR="00263B71" w:rsidRDefault="00263B71" w:rsidP="00217F6C">
      <w:r>
        <w:t>La aceptación del borrado se realizará mediante inspección visual del cien por ciento (100 %) del área tratada. No deberán permanecer restos capaces de generar lectura contradictoria, especialmente en condiciones nocturnas o de pavimento húmedo. Tampoco se aceptarán daños excesivos del pavimento, surcos peligrosos, desprendimientos o tratamientos superficiales utilizados únicamente para ocultar la marca.</w:t>
      </w:r>
    </w:p>
    <w:p w14:paraId="277C8476" w14:textId="77777777" w:rsidR="00263B71" w:rsidRDefault="00263B71" w:rsidP="00217F6C">
      <w:r>
        <w:t>Cuando exista duda sobre la persistencia visual o retrorreflectiva de la marca retirada, la supervisión podrá solicitar verificación nocturna o medición instrumental para establecer la necesidad de tratamiento adicional.</w:t>
      </w:r>
    </w:p>
    <w:p w14:paraId="6EF26ADF" w14:textId="77777777" w:rsidR="00263B71" w:rsidRDefault="00263B71" w:rsidP="00263B71">
      <w:pPr>
        <w:pStyle w:val="Ttulo1"/>
      </w:pPr>
      <w:r w:rsidRPr="00263B71">
        <w:t>4. CONTROL DE CALIDAD – DISPOSITIVOS PARA LA REGULACIÓN Y SEGURIDAD DEL TRÁNSITO</w:t>
      </w:r>
    </w:p>
    <w:p w14:paraId="64FADC34" w14:textId="77777777" w:rsidR="00263B71" w:rsidRDefault="00263B71" w:rsidP="00263B71">
      <w:pPr>
        <w:pStyle w:val="Ttulo2"/>
      </w:pPr>
      <w:r w:rsidRPr="00263B71">
        <w:t>4.1 CONTROL GENERAL DE RECEPCIÓN</w:t>
      </w:r>
    </w:p>
    <w:p w14:paraId="06DEA603" w14:textId="77777777" w:rsidR="00263B71" w:rsidRDefault="00263B71" w:rsidP="00217F6C">
      <w:r>
        <w:t>Los dispositivos deberán recibirse con identificación suficiente del fabricante, referencia, material y lote cuando aplique. Se verificará que se encuentren libres de fisuras, deformaciones, pérdidas de material, reflectivos desprendidos, superficies cortantes o defectos que afecten su función.</w:t>
      </w:r>
    </w:p>
    <w:p w14:paraId="269382E1" w14:textId="77777777" w:rsidR="00263B71" w:rsidRDefault="00263B71" w:rsidP="00217F6C">
      <w:r>
        <w:t>La inspección visual será del cien por ciento (100 %) de los dispositivos. La verificación dimensional se realizará como mínimo sobre cinco (5) unidades por lote de hasta cien (100) unidades del mismo tipo, o sobre la totalidad cuando el lote sea inferior a cinco (5). Si se detecta incumplimiento dimensional, se ampliará la revisión al lote afectado.</w:t>
      </w:r>
    </w:p>
    <w:p w14:paraId="0410B7A6" w14:textId="77777777" w:rsidR="00263B71" w:rsidRDefault="00263B71" w:rsidP="00263B71">
      <w:pPr>
        <w:pStyle w:val="Ttulo2"/>
      </w:pPr>
      <w:r w:rsidRPr="00263B71">
        <w:lastRenderedPageBreak/>
        <w:t>4.2 TACHAS RETRORREFLECTIVAS</w:t>
      </w:r>
    </w:p>
    <w:p w14:paraId="106220D7" w14:textId="77777777" w:rsidR="00263B71" w:rsidRDefault="00263B71" w:rsidP="00217F6C">
      <w:r>
        <w:t>Las tachas deberán cumplir la NTC 4745 y las características previstas en el Apéndice A. Para cada lote se exigirá ficha técnica y soporte de conformidad del producto. Se verificará tipo, color, configuración retrorreflectiva, dimensiones, integridad del cuerpo y condición de las caras reflectivas.</w:t>
      </w:r>
    </w:p>
    <w:p w14:paraId="1F92A12A" w14:textId="77777777" w:rsidR="00263B71" w:rsidRPr="00217F6C" w:rsidRDefault="00263B71" w:rsidP="00217F6C">
      <w:r>
        <w:t xml:space="preserve">Después de la instalación se verificará el cien por ciento (100 %) de las unidades respecto de ubicación, orientación, adherencia y estabilidad. No se aceptarán tachas móviles, fracturadas, mal orientadas o con material adhesivo que </w:t>
      </w:r>
      <w:r w:rsidRPr="00217F6C">
        <w:t>cubra las superficies retrorreflectivas.</w:t>
      </w:r>
    </w:p>
    <w:p w14:paraId="573D7F8E" w14:textId="3847E596" w:rsidR="00263B71" w:rsidRDefault="00263B71" w:rsidP="00263B71">
      <w:pPr>
        <w:pStyle w:val="Ttulo2"/>
      </w:pPr>
      <w:r w:rsidRPr="00263B71">
        <w:t>4.3 ESTOPEROLES, TACHONES, BORDILLOS, HITOS Y OTROS DISPOSITIVOS</w:t>
      </w:r>
    </w:p>
    <w:p w14:paraId="545B2604" w14:textId="461D7560" w:rsidR="00217F6C" w:rsidRDefault="00217F6C" w:rsidP="00217F6C">
      <w:pPr>
        <w:pStyle w:val="Descripcin"/>
        <w:keepNext/>
        <w:spacing w:after="0"/>
        <w:jc w:val="center"/>
      </w:pPr>
      <w:r>
        <w:t xml:space="preserve">Tabla </w:t>
      </w:r>
      <w:r>
        <w:fldChar w:fldCharType="begin"/>
      </w:r>
      <w:r>
        <w:instrText xml:space="preserve"> SEQ Tabla \* ARABIC </w:instrText>
      </w:r>
      <w:r>
        <w:fldChar w:fldCharType="separate"/>
      </w:r>
      <w:r>
        <w:rPr>
          <w:noProof/>
        </w:rPr>
        <w:t>3</w:t>
      </w:r>
      <w:r>
        <w:rPr>
          <w:noProof/>
        </w:rPr>
        <w:fldChar w:fldCharType="end"/>
      </w:r>
      <w:r>
        <w:t>.</w:t>
      </w:r>
      <w:r w:rsidRPr="00AC0B2D">
        <w:t xml:space="preserve"> </w:t>
      </w:r>
      <w:r w:rsidRPr="00217F6C">
        <w:t>Estoperoles, tachones, bordillos, hitos y otros dispositivos</w:t>
      </w:r>
    </w:p>
    <w:tbl>
      <w:tblPr>
        <w:tblStyle w:val="Tablaconcuadrcula"/>
        <w:tblW w:w="0" w:type="auto"/>
        <w:jc w:val="center"/>
        <w:tblLook w:val="04A0" w:firstRow="1" w:lastRow="0" w:firstColumn="1" w:lastColumn="0" w:noHBand="0" w:noVBand="1"/>
      </w:tblPr>
      <w:tblGrid>
        <w:gridCol w:w="1814"/>
        <w:gridCol w:w="2953"/>
        <w:gridCol w:w="2004"/>
        <w:gridCol w:w="2551"/>
      </w:tblGrid>
      <w:tr w:rsidR="00263B71" w:rsidRPr="00217F6C" w14:paraId="0A4CE649" w14:textId="77777777" w:rsidTr="00D0346B">
        <w:trPr>
          <w:trHeight w:val="329"/>
          <w:tblHeader/>
          <w:jc w:val="center"/>
        </w:trPr>
        <w:tc>
          <w:tcPr>
            <w:tcW w:w="1814" w:type="dxa"/>
            <w:shd w:val="clear" w:color="auto" w:fill="0B5E55"/>
            <w:vAlign w:val="center"/>
          </w:tcPr>
          <w:p w14:paraId="6D53465F" w14:textId="77777777" w:rsidR="00263B71" w:rsidRPr="00D0346B" w:rsidRDefault="00263B71" w:rsidP="00217F6C">
            <w:pPr>
              <w:spacing w:after="0"/>
              <w:jc w:val="center"/>
              <w:rPr>
                <w:color w:val="FFFFFF" w:themeColor="background1"/>
                <w:sz w:val="18"/>
                <w:szCs w:val="28"/>
              </w:rPr>
            </w:pPr>
            <w:r w:rsidRPr="00D0346B">
              <w:rPr>
                <w:b/>
                <w:color w:val="FFFFFF" w:themeColor="background1"/>
                <w:sz w:val="18"/>
                <w:szCs w:val="28"/>
              </w:rPr>
              <w:t>Dispositivo</w:t>
            </w:r>
          </w:p>
        </w:tc>
        <w:tc>
          <w:tcPr>
            <w:tcW w:w="2953" w:type="dxa"/>
            <w:shd w:val="clear" w:color="auto" w:fill="0B5E55"/>
            <w:vAlign w:val="center"/>
          </w:tcPr>
          <w:p w14:paraId="2EBF97E9" w14:textId="77777777" w:rsidR="00263B71" w:rsidRPr="00D0346B" w:rsidRDefault="00263B71" w:rsidP="00217F6C">
            <w:pPr>
              <w:spacing w:after="0"/>
              <w:jc w:val="center"/>
              <w:rPr>
                <w:color w:val="FFFFFF" w:themeColor="background1"/>
                <w:sz w:val="18"/>
                <w:szCs w:val="28"/>
              </w:rPr>
            </w:pPr>
            <w:r w:rsidRPr="00D0346B">
              <w:rPr>
                <w:b/>
                <w:color w:val="FFFFFF" w:themeColor="background1"/>
                <w:sz w:val="18"/>
                <w:szCs w:val="28"/>
              </w:rPr>
              <w:t>Variables de control</w:t>
            </w:r>
          </w:p>
        </w:tc>
        <w:tc>
          <w:tcPr>
            <w:tcW w:w="2004" w:type="dxa"/>
            <w:shd w:val="clear" w:color="auto" w:fill="0B5E55"/>
            <w:vAlign w:val="center"/>
          </w:tcPr>
          <w:p w14:paraId="0733809E" w14:textId="77777777" w:rsidR="00263B71" w:rsidRPr="00D0346B" w:rsidRDefault="00263B71" w:rsidP="00217F6C">
            <w:pPr>
              <w:spacing w:after="0"/>
              <w:jc w:val="center"/>
              <w:rPr>
                <w:color w:val="FFFFFF" w:themeColor="background1"/>
                <w:sz w:val="18"/>
                <w:szCs w:val="28"/>
              </w:rPr>
            </w:pPr>
            <w:r w:rsidRPr="00D0346B">
              <w:rPr>
                <w:b/>
                <w:color w:val="FFFFFF" w:themeColor="background1"/>
                <w:sz w:val="18"/>
                <w:szCs w:val="28"/>
              </w:rPr>
              <w:t>Frecuencia mínima</w:t>
            </w:r>
          </w:p>
        </w:tc>
        <w:tc>
          <w:tcPr>
            <w:tcW w:w="2551" w:type="dxa"/>
            <w:shd w:val="clear" w:color="auto" w:fill="0B5E55"/>
            <w:vAlign w:val="center"/>
          </w:tcPr>
          <w:p w14:paraId="5DD9DF00" w14:textId="77777777" w:rsidR="00263B71" w:rsidRPr="00D0346B" w:rsidRDefault="00263B71" w:rsidP="00217F6C">
            <w:pPr>
              <w:spacing w:after="0"/>
              <w:jc w:val="center"/>
              <w:rPr>
                <w:color w:val="FFFFFF" w:themeColor="background1"/>
                <w:sz w:val="18"/>
                <w:szCs w:val="28"/>
              </w:rPr>
            </w:pPr>
            <w:r w:rsidRPr="00D0346B">
              <w:rPr>
                <w:b/>
                <w:color w:val="FFFFFF" w:themeColor="background1"/>
                <w:sz w:val="18"/>
                <w:szCs w:val="28"/>
              </w:rPr>
              <w:t>Criterio general</w:t>
            </w:r>
          </w:p>
        </w:tc>
      </w:tr>
      <w:tr w:rsidR="00263B71" w:rsidRPr="00217F6C" w14:paraId="2C293A43" w14:textId="77777777" w:rsidTr="00217F6C">
        <w:trPr>
          <w:jc w:val="center"/>
        </w:trPr>
        <w:tc>
          <w:tcPr>
            <w:tcW w:w="1814" w:type="dxa"/>
            <w:vAlign w:val="center"/>
          </w:tcPr>
          <w:p w14:paraId="432B257B" w14:textId="77777777" w:rsidR="00263B71" w:rsidRPr="00217F6C" w:rsidRDefault="00263B71" w:rsidP="00217F6C">
            <w:pPr>
              <w:spacing w:after="0"/>
              <w:jc w:val="left"/>
              <w:rPr>
                <w:sz w:val="18"/>
                <w:szCs w:val="28"/>
              </w:rPr>
            </w:pPr>
            <w:r w:rsidRPr="00217F6C">
              <w:rPr>
                <w:sz w:val="18"/>
                <w:szCs w:val="28"/>
              </w:rPr>
              <w:t>Estoperoles</w:t>
            </w:r>
          </w:p>
        </w:tc>
        <w:tc>
          <w:tcPr>
            <w:tcW w:w="2953" w:type="dxa"/>
            <w:vAlign w:val="center"/>
          </w:tcPr>
          <w:p w14:paraId="6949CAE7" w14:textId="77777777" w:rsidR="00263B71" w:rsidRPr="00217F6C" w:rsidRDefault="00263B71" w:rsidP="00217F6C">
            <w:pPr>
              <w:spacing w:after="0"/>
              <w:jc w:val="left"/>
              <w:rPr>
                <w:sz w:val="18"/>
                <w:szCs w:val="28"/>
              </w:rPr>
            </w:pPr>
            <w:r w:rsidRPr="00217F6C">
              <w:rPr>
                <w:sz w:val="18"/>
                <w:szCs w:val="28"/>
              </w:rPr>
              <w:t>Dimensiones, material, acabado, fijación y alineamiento</w:t>
            </w:r>
          </w:p>
        </w:tc>
        <w:tc>
          <w:tcPr>
            <w:tcW w:w="2004" w:type="dxa"/>
            <w:vAlign w:val="center"/>
          </w:tcPr>
          <w:p w14:paraId="4EF9FD59" w14:textId="77777777" w:rsidR="00263B71" w:rsidRPr="00217F6C" w:rsidRDefault="00263B71" w:rsidP="00217F6C">
            <w:pPr>
              <w:spacing w:after="0"/>
              <w:jc w:val="left"/>
              <w:rPr>
                <w:sz w:val="18"/>
                <w:szCs w:val="28"/>
              </w:rPr>
            </w:pPr>
            <w:r w:rsidRPr="00217F6C">
              <w:rPr>
                <w:sz w:val="18"/>
                <w:szCs w:val="28"/>
              </w:rPr>
              <w:t>Recepción por lote + 100% instalación</w:t>
            </w:r>
          </w:p>
        </w:tc>
        <w:tc>
          <w:tcPr>
            <w:tcW w:w="2551" w:type="dxa"/>
            <w:vAlign w:val="center"/>
          </w:tcPr>
          <w:p w14:paraId="67791BB7" w14:textId="77777777" w:rsidR="00263B71" w:rsidRPr="00217F6C" w:rsidRDefault="00263B71" w:rsidP="00217F6C">
            <w:pPr>
              <w:spacing w:after="0"/>
              <w:jc w:val="left"/>
              <w:rPr>
                <w:sz w:val="18"/>
                <w:szCs w:val="28"/>
              </w:rPr>
            </w:pPr>
            <w:r w:rsidRPr="00217F6C">
              <w:rPr>
                <w:sz w:val="18"/>
                <w:szCs w:val="28"/>
              </w:rPr>
              <w:t>Sin movimiento, aristas peligrosas ni fijaciones expuestas</w:t>
            </w:r>
          </w:p>
        </w:tc>
      </w:tr>
      <w:tr w:rsidR="00263B71" w:rsidRPr="00217F6C" w14:paraId="27B7C2CC" w14:textId="77777777" w:rsidTr="00217F6C">
        <w:trPr>
          <w:jc w:val="center"/>
        </w:trPr>
        <w:tc>
          <w:tcPr>
            <w:tcW w:w="1814" w:type="dxa"/>
            <w:vAlign w:val="center"/>
          </w:tcPr>
          <w:p w14:paraId="44ACDCB4" w14:textId="77777777" w:rsidR="00263B71" w:rsidRPr="00217F6C" w:rsidRDefault="00263B71" w:rsidP="00217F6C">
            <w:pPr>
              <w:spacing w:after="0"/>
              <w:jc w:val="left"/>
              <w:rPr>
                <w:sz w:val="18"/>
                <w:szCs w:val="28"/>
              </w:rPr>
            </w:pPr>
            <w:r w:rsidRPr="00217F6C">
              <w:rPr>
                <w:sz w:val="18"/>
                <w:szCs w:val="28"/>
              </w:rPr>
              <w:t>Tachones</w:t>
            </w:r>
          </w:p>
        </w:tc>
        <w:tc>
          <w:tcPr>
            <w:tcW w:w="2953" w:type="dxa"/>
            <w:vAlign w:val="center"/>
          </w:tcPr>
          <w:p w14:paraId="369BC05B" w14:textId="77777777" w:rsidR="00263B71" w:rsidRPr="00217F6C" w:rsidRDefault="00263B71" w:rsidP="00217F6C">
            <w:pPr>
              <w:spacing w:after="0"/>
              <w:jc w:val="left"/>
              <w:rPr>
                <w:sz w:val="18"/>
                <w:szCs w:val="28"/>
              </w:rPr>
            </w:pPr>
            <w:r w:rsidRPr="00217F6C">
              <w:rPr>
                <w:sz w:val="18"/>
                <w:szCs w:val="28"/>
              </w:rPr>
              <w:t>Dimensiones, integridad, reflectivos, anclaje y orientación</w:t>
            </w:r>
          </w:p>
        </w:tc>
        <w:tc>
          <w:tcPr>
            <w:tcW w:w="2004" w:type="dxa"/>
            <w:vAlign w:val="center"/>
          </w:tcPr>
          <w:p w14:paraId="102F2A2B" w14:textId="77777777" w:rsidR="00263B71" w:rsidRPr="00217F6C" w:rsidRDefault="00263B71" w:rsidP="00217F6C">
            <w:pPr>
              <w:spacing w:after="0"/>
              <w:jc w:val="left"/>
              <w:rPr>
                <w:sz w:val="18"/>
                <w:szCs w:val="28"/>
              </w:rPr>
            </w:pPr>
            <w:r w:rsidRPr="00217F6C">
              <w:rPr>
                <w:sz w:val="18"/>
                <w:szCs w:val="28"/>
              </w:rPr>
              <w:t>Recepción por lote + 100% instalación</w:t>
            </w:r>
          </w:p>
        </w:tc>
        <w:tc>
          <w:tcPr>
            <w:tcW w:w="2551" w:type="dxa"/>
            <w:vAlign w:val="center"/>
          </w:tcPr>
          <w:p w14:paraId="7C71758E" w14:textId="77777777" w:rsidR="00263B71" w:rsidRPr="00217F6C" w:rsidRDefault="00263B71" w:rsidP="00217F6C">
            <w:pPr>
              <w:spacing w:after="0"/>
              <w:jc w:val="left"/>
              <w:rPr>
                <w:sz w:val="18"/>
                <w:szCs w:val="28"/>
              </w:rPr>
            </w:pPr>
            <w:r w:rsidRPr="00217F6C">
              <w:rPr>
                <w:sz w:val="18"/>
                <w:szCs w:val="28"/>
              </w:rPr>
              <w:t>Conforme diseño/Manual; estable y visible</w:t>
            </w:r>
          </w:p>
        </w:tc>
      </w:tr>
      <w:tr w:rsidR="00263B71" w:rsidRPr="00217F6C" w14:paraId="43EFFEBD" w14:textId="77777777" w:rsidTr="00217F6C">
        <w:trPr>
          <w:jc w:val="center"/>
        </w:trPr>
        <w:tc>
          <w:tcPr>
            <w:tcW w:w="1814" w:type="dxa"/>
            <w:vAlign w:val="center"/>
          </w:tcPr>
          <w:p w14:paraId="4FB8C97A" w14:textId="77777777" w:rsidR="00263B71" w:rsidRPr="00217F6C" w:rsidRDefault="00263B71" w:rsidP="00217F6C">
            <w:pPr>
              <w:spacing w:after="0"/>
              <w:jc w:val="left"/>
              <w:rPr>
                <w:sz w:val="18"/>
                <w:szCs w:val="28"/>
              </w:rPr>
            </w:pPr>
            <w:r w:rsidRPr="00217F6C">
              <w:rPr>
                <w:sz w:val="18"/>
                <w:szCs w:val="28"/>
              </w:rPr>
              <w:t>Bordillos traspasables/no traspasables</w:t>
            </w:r>
          </w:p>
        </w:tc>
        <w:tc>
          <w:tcPr>
            <w:tcW w:w="2953" w:type="dxa"/>
            <w:vAlign w:val="center"/>
          </w:tcPr>
          <w:p w14:paraId="7F161E17" w14:textId="77777777" w:rsidR="00263B71" w:rsidRPr="00217F6C" w:rsidRDefault="00263B71" w:rsidP="00217F6C">
            <w:pPr>
              <w:spacing w:after="0"/>
              <w:jc w:val="left"/>
              <w:rPr>
                <w:sz w:val="18"/>
                <w:szCs w:val="28"/>
              </w:rPr>
            </w:pPr>
            <w:r w:rsidRPr="00217F6C">
              <w:rPr>
                <w:sz w:val="18"/>
                <w:szCs w:val="28"/>
              </w:rPr>
              <w:t>Dimensiones, integridad, reflectivos cuando apliquen, continuidad y anclaje</w:t>
            </w:r>
          </w:p>
        </w:tc>
        <w:tc>
          <w:tcPr>
            <w:tcW w:w="2004" w:type="dxa"/>
            <w:vAlign w:val="center"/>
          </w:tcPr>
          <w:p w14:paraId="0E8D5138" w14:textId="77777777" w:rsidR="00263B71" w:rsidRPr="00217F6C" w:rsidRDefault="00263B71" w:rsidP="00217F6C">
            <w:pPr>
              <w:spacing w:after="0"/>
              <w:jc w:val="left"/>
              <w:rPr>
                <w:sz w:val="18"/>
                <w:szCs w:val="28"/>
              </w:rPr>
            </w:pPr>
            <w:r w:rsidRPr="00217F6C">
              <w:rPr>
                <w:sz w:val="18"/>
                <w:szCs w:val="28"/>
              </w:rPr>
              <w:t>Recepción por lote + 100% instalación</w:t>
            </w:r>
          </w:p>
        </w:tc>
        <w:tc>
          <w:tcPr>
            <w:tcW w:w="2551" w:type="dxa"/>
            <w:vAlign w:val="center"/>
          </w:tcPr>
          <w:p w14:paraId="5E71845E" w14:textId="77777777" w:rsidR="00263B71" w:rsidRPr="00217F6C" w:rsidRDefault="00263B71" w:rsidP="00217F6C">
            <w:pPr>
              <w:spacing w:after="0"/>
              <w:jc w:val="left"/>
              <w:rPr>
                <w:sz w:val="18"/>
                <w:szCs w:val="28"/>
              </w:rPr>
            </w:pPr>
            <w:r w:rsidRPr="00217F6C">
              <w:rPr>
                <w:sz w:val="18"/>
                <w:szCs w:val="28"/>
              </w:rPr>
              <w:t>Alineados, estables, sin discontinuidades peligrosas</w:t>
            </w:r>
          </w:p>
        </w:tc>
      </w:tr>
      <w:tr w:rsidR="00263B71" w:rsidRPr="00217F6C" w14:paraId="17711FD4" w14:textId="77777777" w:rsidTr="00217F6C">
        <w:trPr>
          <w:jc w:val="center"/>
        </w:trPr>
        <w:tc>
          <w:tcPr>
            <w:tcW w:w="1814" w:type="dxa"/>
            <w:vAlign w:val="center"/>
          </w:tcPr>
          <w:p w14:paraId="690C6469" w14:textId="77777777" w:rsidR="00263B71" w:rsidRPr="00217F6C" w:rsidRDefault="00263B71" w:rsidP="00217F6C">
            <w:pPr>
              <w:spacing w:after="0"/>
              <w:jc w:val="left"/>
              <w:rPr>
                <w:sz w:val="18"/>
                <w:szCs w:val="28"/>
              </w:rPr>
            </w:pPr>
            <w:r w:rsidRPr="00217F6C">
              <w:rPr>
                <w:sz w:val="18"/>
                <w:szCs w:val="28"/>
              </w:rPr>
              <w:t>Hitos/delineadores</w:t>
            </w:r>
          </w:p>
        </w:tc>
        <w:tc>
          <w:tcPr>
            <w:tcW w:w="2953" w:type="dxa"/>
            <w:vAlign w:val="center"/>
          </w:tcPr>
          <w:p w14:paraId="1B75027D" w14:textId="77777777" w:rsidR="00263B71" w:rsidRPr="00217F6C" w:rsidRDefault="00263B71" w:rsidP="00217F6C">
            <w:pPr>
              <w:spacing w:after="0"/>
              <w:jc w:val="left"/>
              <w:rPr>
                <w:sz w:val="18"/>
                <w:szCs w:val="28"/>
              </w:rPr>
            </w:pPr>
            <w:r w:rsidRPr="00217F6C">
              <w:rPr>
                <w:sz w:val="18"/>
                <w:szCs w:val="28"/>
              </w:rPr>
              <w:t>Altura, material, flexibilidad cuando aplique, reflectivos, verticalidad y fijación</w:t>
            </w:r>
          </w:p>
        </w:tc>
        <w:tc>
          <w:tcPr>
            <w:tcW w:w="2004" w:type="dxa"/>
            <w:vAlign w:val="center"/>
          </w:tcPr>
          <w:p w14:paraId="72ED2FED" w14:textId="77777777" w:rsidR="00263B71" w:rsidRPr="00217F6C" w:rsidRDefault="00263B71" w:rsidP="00217F6C">
            <w:pPr>
              <w:spacing w:after="0"/>
              <w:jc w:val="left"/>
              <w:rPr>
                <w:sz w:val="18"/>
                <w:szCs w:val="28"/>
              </w:rPr>
            </w:pPr>
            <w:r w:rsidRPr="00217F6C">
              <w:rPr>
                <w:sz w:val="18"/>
                <w:szCs w:val="28"/>
              </w:rPr>
              <w:t>Recepción por lote + 100% instalación</w:t>
            </w:r>
          </w:p>
        </w:tc>
        <w:tc>
          <w:tcPr>
            <w:tcW w:w="2551" w:type="dxa"/>
            <w:vAlign w:val="center"/>
          </w:tcPr>
          <w:p w14:paraId="105491FC" w14:textId="77777777" w:rsidR="00263B71" w:rsidRPr="00217F6C" w:rsidRDefault="00263B71" w:rsidP="00217F6C">
            <w:pPr>
              <w:spacing w:after="0"/>
              <w:jc w:val="left"/>
              <w:rPr>
                <w:sz w:val="18"/>
                <w:szCs w:val="28"/>
              </w:rPr>
            </w:pPr>
            <w:r w:rsidRPr="00217F6C">
              <w:rPr>
                <w:sz w:val="18"/>
                <w:szCs w:val="28"/>
              </w:rPr>
              <w:t>Recuperación/estabilidad y visibilidad compatibles con ficha aprobada</w:t>
            </w:r>
          </w:p>
        </w:tc>
      </w:tr>
    </w:tbl>
    <w:p w14:paraId="50BC941F" w14:textId="77777777" w:rsidR="00217F6C" w:rsidRPr="00DF172C" w:rsidRDefault="00217F6C" w:rsidP="00217F6C">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245519B6" w14:textId="77777777" w:rsidR="00263B71" w:rsidRDefault="00263B71" w:rsidP="00263B71">
      <w:pPr>
        <w:pStyle w:val="Ttulo2"/>
      </w:pPr>
      <w:r w:rsidRPr="00263B71">
        <w:t>4.4 ENSAYOS DE PRODUCTO</w:t>
      </w:r>
    </w:p>
    <w:p w14:paraId="6FC8145C" w14:textId="77777777" w:rsidR="00263B71" w:rsidRDefault="00263B71" w:rsidP="00C000B8">
      <w:r>
        <w:t>Cuando el dispositivo se encuentre regulado por una NTC específica, el Contratista deberá aportar los certificados o informes de ensayo que demuestren el cumplimiento de las propiedades exigibles al producto. Los informes deberán corresponder al tipo y referencia efectivamente suministrados.</w:t>
      </w:r>
    </w:p>
    <w:p w14:paraId="69C204EE" w14:textId="77777777" w:rsidR="00263B71" w:rsidRDefault="00263B71" w:rsidP="00C000B8">
      <w:r>
        <w:t>No se exigirá repetir en obra ensayos destructivos de fabricación para cada suministro cuando exista certificación válida y trazable, salvo que los documentos contractuales lo establezcan o existan dudas razonables sobre la autenticidad, correspondencia o desempeño del producto.</w:t>
      </w:r>
    </w:p>
    <w:p w14:paraId="534413DF" w14:textId="77777777" w:rsidR="00263B71" w:rsidRDefault="00263B71" w:rsidP="00263B71">
      <w:pPr>
        <w:pStyle w:val="Ttulo2"/>
      </w:pPr>
      <w:r w:rsidRPr="00263B71">
        <w:t>4.5 RESALTOS Y BANDAS REDUCTORAS</w:t>
      </w:r>
    </w:p>
    <w:p w14:paraId="75BB440D" w14:textId="77777777" w:rsidR="00263B71" w:rsidRDefault="00263B71" w:rsidP="000B7149">
      <w:r>
        <w:t>Los resaltos y bandas se controlarán respecto de ubicación, geometría, dimensiones, pendientes o transiciones, compactación o fijación, acabado superficial, drenaje, demarcación y señalización asociada. La verificación geométrica será del cien por ciento (100 %) de las unidades ejecutadas.</w:t>
      </w:r>
    </w:p>
    <w:p w14:paraId="2C2E9219" w14:textId="29426790" w:rsidR="00263B71" w:rsidRDefault="00263B71" w:rsidP="000B7149">
      <w:r>
        <w:t>Los materiales asfálticos, concretos, prefabricados o sistemas modulares utilizados deberán cumplir los controles correspondientes a su naturaleza. No se aceptarán resaltos con deformaciones, desprendimientos, aristas abruptas no previstas, piezas sueltas, empozamientos o geometría diferente a la autorizada.</w:t>
      </w:r>
    </w:p>
    <w:p w14:paraId="738BBA94" w14:textId="77777777" w:rsidR="000B7149" w:rsidRDefault="000B7149" w:rsidP="000B7149"/>
    <w:p w14:paraId="11A787CD" w14:textId="77777777" w:rsidR="00263B71" w:rsidRDefault="00263B71" w:rsidP="00263B71">
      <w:pPr>
        <w:pStyle w:val="Ttulo1"/>
      </w:pPr>
      <w:r w:rsidRPr="00263B71">
        <w:t>5. CONTROL DE CALIDAD – INTERVENCIONES PEATONALES Y CICLISTAS</w:t>
      </w:r>
    </w:p>
    <w:p w14:paraId="63117838" w14:textId="77777777" w:rsidR="00263B71" w:rsidRDefault="00263B71" w:rsidP="00263B71">
      <w:pPr>
        <w:pStyle w:val="Ttulo2"/>
      </w:pPr>
      <w:r w:rsidRPr="00263B71">
        <w:t>5.1 CRITERIOS GENERALES</w:t>
      </w:r>
    </w:p>
    <w:p w14:paraId="303DF7C0" w14:textId="77777777" w:rsidR="00263B71" w:rsidRDefault="00263B71" w:rsidP="00A6581E">
      <w:r>
        <w:t>Las intervenciones destinadas a peatones y ciclistas se verificarán integralmente, considerando no solo el elemento instalado sino la continuidad, legibilidad, accesibilidad, visibilidad y ausencia de obstáculos de la solución final.</w:t>
      </w:r>
    </w:p>
    <w:p w14:paraId="545660CF" w14:textId="77777777" w:rsidR="00263B71" w:rsidRDefault="00263B71" w:rsidP="00A6581E">
      <w:r>
        <w:t>Las demarcaciones se controlarán conforme al Capítulo 3 y los dispositivos conforme al Capítulo 4. Las superficies, rampas, elementos táctiles y obras menores se controlarán conforme al Capítulo 6 cuando formen parte del alcance contractual.</w:t>
      </w:r>
    </w:p>
    <w:p w14:paraId="10CCB9CC" w14:textId="77777777" w:rsidR="00263B71" w:rsidRDefault="00263B71" w:rsidP="00263B71">
      <w:pPr>
        <w:pStyle w:val="Ttulo2"/>
      </w:pPr>
      <w:r w:rsidRPr="00263B71">
        <w:lastRenderedPageBreak/>
        <w:t>5.2 VERIFICACIÓN FUNCIONAL</w:t>
      </w:r>
    </w:p>
    <w:p w14:paraId="19007D5C" w14:textId="6BAC8B87" w:rsidR="00263B71" w:rsidRDefault="00263B71" w:rsidP="00A6581E">
      <w:r>
        <w:t>La supervisión verificará el cien por ciento (100 %) de los pasos peatonales, senderos, islas, refugios, canalizaciones y configuraciones ciclistas terminadas respecto de su correspondencia con el diseño. No se aceptarán soluciones que orienten a los usuarios hacia obstáculos, zonas sin continuidad, desniveles peligrosos, elementos de mobiliario, drenajes abiertos o trayectorias incompatibles con la operación vial.</w:t>
      </w:r>
    </w:p>
    <w:p w14:paraId="5571A3EA" w14:textId="77777777" w:rsidR="000B7149" w:rsidRDefault="000B7149" w:rsidP="00A6581E"/>
    <w:p w14:paraId="42D5F961" w14:textId="77777777" w:rsidR="00263B71" w:rsidRDefault="00263B71" w:rsidP="00263B71">
      <w:pPr>
        <w:pStyle w:val="Ttulo1"/>
      </w:pPr>
      <w:r w:rsidRPr="00263B71">
        <w:t>6. CONTROL DE CALIDAD – OBRAS MENORES COMPLEMENTARIAS</w:t>
      </w:r>
    </w:p>
    <w:p w14:paraId="25CCD89B" w14:textId="77777777" w:rsidR="00263B71" w:rsidRDefault="00263B71" w:rsidP="00263B71">
      <w:pPr>
        <w:pStyle w:val="Ttulo2"/>
      </w:pPr>
      <w:r w:rsidRPr="00263B71">
        <w:t>6.1 PRINCIPIO DE APLICACIÓN</w:t>
      </w:r>
    </w:p>
    <w:p w14:paraId="3E9E6808" w14:textId="77777777" w:rsidR="00263B71" w:rsidRDefault="00263B71" w:rsidP="00A6581E">
      <w:r>
        <w:t>Los controles de este capítulo serán aplicables únicamente a las obras menores necesarias para la instalación, restitución o funcionamiento de los elementos de señalización autorizados. No sustituyen especificaciones particulares que resulten obligatorias para concretos, mezclas asfálticas, rellenos, anclajes u otros materiales.</w:t>
      </w:r>
    </w:p>
    <w:p w14:paraId="5E09DDCF" w14:textId="77777777" w:rsidR="00263B71" w:rsidRDefault="00263B71" w:rsidP="00263B71">
      <w:pPr>
        <w:pStyle w:val="Ttulo2"/>
      </w:pPr>
      <w:r w:rsidRPr="00263B71">
        <w:t>6.2 CONCRETOS Y MORTEROS</w:t>
      </w:r>
    </w:p>
    <w:p w14:paraId="3B8F4569" w14:textId="77777777" w:rsidR="00263B71" w:rsidRDefault="00263B71" w:rsidP="00A6581E">
      <w:r>
        <w:t>El concreto o mortero utilizado en cimentaciones, pedestales, restituciones o elementos menores deberá corresponder a la resistencia y características definidas en el diseño, APU o especificación aplicable. Se verificará procedencia, dosificación cuando corresponda, consistencia, colocación, compactación, acabado y curado.</w:t>
      </w:r>
    </w:p>
    <w:p w14:paraId="0266A69D" w14:textId="77777777" w:rsidR="00263B71" w:rsidRDefault="00263B71" w:rsidP="00A6581E">
      <w:r>
        <w:t>Cuando el volumen acumulado de concreto estructural o de cimentación en una jornada sea igual o superior a 1,0 m³, o cuando la supervisión lo requiera por la función del elemento, se efectuará control de resistencia mediante muestras elaboradas y ensayadas conforme a la normativa técnica aplicable. Para volúmenes menores y dispersos podrá aceptarse control documental y de dosificación, salvo que el diseño o una norma exijan ensayo.</w:t>
      </w:r>
    </w:p>
    <w:p w14:paraId="371283DE" w14:textId="77777777" w:rsidR="00263B71" w:rsidRDefault="00263B71" w:rsidP="00A6581E">
      <w:r>
        <w:t>Las cimentaciones prefabricadas o productos industrializados podrán aceptarse mediante certificados y controles dimensionales cuando técnicamente corresponda.</w:t>
      </w:r>
    </w:p>
    <w:p w14:paraId="5C59A348" w14:textId="77777777" w:rsidR="00263B71" w:rsidRDefault="00263B71" w:rsidP="00263B71">
      <w:pPr>
        <w:pStyle w:val="Ttulo2"/>
      </w:pPr>
      <w:r w:rsidRPr="00263B71">
        <w:t>6.3 MEZCLAS ASFÁLTICAS Y RIEGO DE LIGA</w:t>
      </w:r>
    </w:p>
    <w:p w14:paraId="75D9E482" w14:textId="77777777" w:rsidR="00263B71" w:rsidRDefault="00263B71" w:rsidP="00A6581E">
      <w:r>
        <w:t>Para resaltos u otras restituciones en mezcla asfáltica se verificará el tipo de mezcla autorizado, temperatura cuando resulte aplicable, condición de la superficie, riego de liga, espesor, compactación, geometría y acabado. Los soportes de suministro deberán permitir identificar procedencia y tipo de mezcla.</w:t>
      </w:r>
    </w:p>
    <w:p w14:paraId="432049E2" w14:textId="77777777" w:rsidR="00263B71" w:rsidRDefault="00263B71" w:rsidP="00A6581E">
      <w:r>
        <w:t>Cuando la actividad corresponda a volúmenes pequeños y localizados, el control de aceptación podrá basarse en trazabilidad del material, control de ejecución, dimensiones y condición final, sin perjuicio de ensayos adicionales cuando se identifiquen fallas de compactación, segregación, desprendimiento o deformación.</w:t>
      </w:r>
    </w:p>
    <w:p w14:paraId="48BF4A47" w14:textId="77777777" w:rsidR="00263B71" w:rsidRDefault="00263B71" w:rsidP="00263B71">
      <w:pPr>
        <w:pStyle w:val="Ttulo2"/>
      </w:pPr>
      <w:r w:rsidRPr="00263B71">
        <w:t>6.4 EXCAVACIONES, RELLENOS Y RESTITUCIONES</w:t>
      </w:r>
    </w:p>
    <w:p w14:paraId="6D916433" w14:textId="77777777" w:rsidR="00263B71" w:rsidRDefault="00263B71" w:rsidP="00A6581E">
      <w:r>
        <w:t>Se verificará que las excavaciones correspondan a las dimensiones necesarias, que los fondos sean estables y que los rellenos se coloquen con materiales adecuados y compactación suficiente para evitar asentamientos. La superficie restituida deberá mantener continuidad, nivel y condición segura respecto del área adyacente.</w:t>
      </w:r>
    </w:p>
    <w:p w14:paraId="7DBDF3A2" w14:textId="77777777" w:rsidR="00263B71" w:rsidRDefault="00263B71" w:rsidP="00A6581E">
      <w:r>
        <w:t>Cuando la magnitud del relleno o su función lo justifique, podrán efectuarse ensayos de densidad o compactación conforme al método aplicable. Las pequeñas excavaciones aisladas para postes o anclajes se controlarán principalmente mediante inspección del material, procedimiento de colocación y estabilidad final.</w:t>
      </w:r>
    </w:p>
    <w:p w14:paraId="7B387879" w14:textId="77777777" w:rsidR="00263B71" w:rsidRDefault="00263B71" w:rsidP="00263B71">
      <w:pPr>
        <w:pStyle w:val="Ttulo2"/>
      </w:pPr>
      <w:r w:rsidRPr="00263B71">
        <w:lastRenderedPageBreak/>
        <w:t>6.5 ANCLAJES Y FIJACIONES</w:t>
      </w:r>
    </w:p>
    <w:p w14:paraId="4072A614" w14:textId="77777777" w:rsidR="00263B71" w:rsidRDefault="00263B71" w:rsidP="000B7149">
      <w:r>
        <w:t>Los anclajes mecánicos, químicos, pernos, espigos y adhesivos deberán corresponder al sistema aprobado. Se verificará diámetro y profundidad de perforación cuando aplique, limpieza, cantidad o llenado de adhesivo, tiempo de curado, apriete y estabilidad final.</w:t>
      </w:r>
    </w:p>
    <w:p w14:paraId="095A2B4E" w14:textId="4376AE6D" w:rsidR="00263B71" w:rsidRDefault="00263B71" w:rsidP="000B7149">
      <w:r>
        <w:t>La supervisión podrá exigir pruebas de extracción o carga cuando se trate de sistemas nuevos, se presenten fallas de fijación, existan dudas sobre el sustrato o el fabricante establezca un procedimiento de comprobación. El criterio de aceptación será el definido por el diseño o la ficha técnica aprobada.</w:t>
      </w:r>
    </w:p>
    <w:p w14:paraId="3B0E6224" w14:textId="77777777" w:rsidR="000B7149" w:rsidRDefault="000B7149" w:rsidP="000B7149"/>
    <w:p w14:paraId="633C013D" w14:textId="77777777" w:rsidR="00263B71" w:rsidRDefault="00263B71" w:rsidP="00263B71">
      <w:pPr>
        <w:pStyle w:val="Ttulo1"/>
      </w:pPr>
      <w:r w:rsidRPr="00263B71">
        <w:t>7. PLAN DE INSPECCIÓN, ENSAYOS Y ACEPTACIÓN</w:t>
      </w:r>
    </w:p>
    <w:p w14:paraId="100859F4" w14:textId="77777777" w:rsidR="00263B71" w:rsidRDefault="00263B71" w:rsidP="00263B71">
      <w:pPr>
        <w:pStyle w:val="Ttulo2"/>
      </w:pPr>
      <w:r w:rsidRPr="00263B71">
        <w:t>7.1 PRESENTACIÓN DEL PLAN</w:t>
      </w:r>
    </w:p>
    <w:p w14:paraId="2B6FA27C" w14:textId="77777777" w:rsidR="00263B71" w:rsidRDefault="00263B71" w:rsidP="000B7149">
      <w:r>
        <w:t>Antes de iniciar las actividades de instalación, el Contratista deberá presentar para conocimiento de la supervisión un Plan de Inspección y Ensayos coherente con el programa de trabajo y con los materiales efectivamente previstos. Este documento no reemplazará las obligaciones del presente Apéndice y podrá actualizarse cuando se incorporen nuevos lotes, proveedores, tecnologías o frentes.</w:t>
      </w:r>
    </w:p>
    <w:p w14:paraId="74B93567" w14:textId="77777777" w:rsidR="00263B71" w:rsidRDefault="00263B71" w:rsidP="000B7149">
      <w:r>
        <w:t>El Plan deberá identificar como mínimo: actividad o material, requisito a controlar, método, frecuencia, responsable, registro previsto, punto de control, criterio de aceptación y tratamiento de resultados no conformes.</w:t>
      </w:r>
    </w:p>
    <w:p w14:paraId="00429FC4" w14:textId="77777777" w:rsidR="00263B71" w:rsidRDefault="00263B71" w:rsidP="00263B71">
      <w:pPr>
        <w:pStyle w:val="Ttulo2"/>
      </w:pPr>
      <w:r w:rsidRPr="00263B71">
        <w:t>7.2 PUNTOS DE CONTROL</w:t>
      </w:r>
    </w:p>
    <w:p w14:paraId="16F7D2AF" w14:textId="77777777" w:rsidR="00263B71" w:rsidRDefault="00263B71" w:rsidP="000B7149">
      <w:pPr>
        <w:pStyle w:val="Prrafodelista"/>
        <w:numPr>
          <w:ilvl w:val="0"/>
          <w:numId w:val="41"/>
        </w:numPr>
      </w:pPr>
      <w:r>
        <w:t>Punto documental: verificación previa de fichas, certificados, lotes y soportes.</w:t>
      </w:r>
    </w:p>
    <w:p w14:paraId="3C5A4B0F" w14:textId="77777777" w:rsidR="00263B71" w:rsidRDefault="00263B71" w:rsidP="000B7149">
      <w:pPr>
        <w:pStyle w:val="Prrafodelista"/>
        <w:numPr>
          <w:ilvl w:val="0"/>
          <w:numId w:val="41"/>
        </w:numPr>
      </w:pPr>
      <w:r>
        <w:t>Punto de recepción: inspección del material antes de incorporarlo a la obra.</w:t>
      </w:r>
    </w:p>
    <w:p w14:paraId="6EFE4B3B" w14:textId="77777777" w:rsidR="00263B71" w:rsidRDefault="00263B71" w:rsidP="000B7149">
      <w:pPr>
        <w:pStyle w:val="Prrafodelista"/>
        <w:numPr>
          <w:ilvl w:val="0"/>
          <w:numId w:val="41"/>
        </w:numPr>
      </w:pPr>
      <w:r>
        <w:t>Punto de proceso: control durante aplicación, fabricación o instalación.</w:t>
      </w:r>
    </w:p>
    <w:p w14:paraId="2C98FF1C" w14:textId="77777777" w:rsidR="00263B71" w:rsidRDefault="00263B71" w:rsidP="000B7149">
      <w:pPr>
        <w:pStyle w:val="Prrafodelista"/>
        <w:numPr>
          <w:ilvl w:val="0"/>
          <w:numId w:val="41"/>
        </w:numPr>
      </w:pPr>
      <w:r>
        <w:t>Punto de aceptación: medición o inspección del producto terminado.</w:t>
      </w:r>
    </w:p>
    <w:p w14:paraId="047FA593" w14:textId="77777777" w:rsidR="00263B71" w:rsidRDefault="00263B71" w:rsidP="000B7149">
      <w:pPr>
        <w:pStyle w:val="Prrafodelista"/>
        <w:numPr>
          <w:ilvl w:val="0"/>
          <w:numId w:val="41"/>
        </w:numPr>
      </w:pPr>
      <w:r>
        <w:t>Punto de cierre: comprobación de correcciones, resultados pendientes y consolidación del expediente de calidad.</w:t>
      </w:r>
    </w:p>
    <w:p w14:paraId="2FFFA80F" w14:textId="2003CF57" w:rsidR="00263B71" w:rsidRDefault="00263B71" w:rsidP="00263B71">
      <w:pPr>
        <w:pStyle w:val="Ttulo2"/>
      </w:pPr>
      <w:r w:rsidRPr="00263B71">
        <w:t>7.3 MATRIZ RESUMEN DE CONTROL</w:t>
      </w:r>
    </w:p>
    <w:p w14:paraId="6845244B" w14:textId="39376C98" w:rsidR="000B7149" w:rsidRDefault="000B7149" w:rsidP="000B7149">
      <w:pPr>
        <w:pStyle w:val="Descripcin"/>
        <w:keepNext/>
        <w:spacing w:after="0"/>
        <w:jc w:val="center"/>
      </w:pPr>
      <w:r>
        <w:t xml:space="preserve">Tabla </w:t>
      </w:r>
      <w:r>
        <w:fldChar w:fldCharType="begin"/>
      </w:r>
      <w:r>
        <w:instrText xml:space="preserve"> SEQ Tabla \* ARABIC </w:instrText>
      </w:r>
      <w:r>
        <w:fldChar w:fldCharType="separate"/>
      </w:r>
      <w:r>
        <w:rPr>
          <w:noProof/>
        </w:rPr>
        <w:t>4</w:t>
      </w:r>
      <w:r>
        <w:rPr>
          <w:noProof/>
        </w:rPr>
        <w:fldChar w:fldCharType="end"/>
      </w:r>
      <w:r>
        <w:t>.</w:t>
      </w:r>
      <w:r w:rsidRPr="00AC0B2D">
        <w:t xml:space="preserve"> </w:t>
      </w:r>
      <w:r>
        <w:t>Matriz resumen de control</w:t>
      </w:r>
    </w:p>
    <w:tbl>
      <w:tblPr>
        <w:tblStyle w:val="Tablaconcuadrcula"/>
        <w:tblW w:w="0" w:type="auto"/>
        <w:jc w:val="center"/>
        <w:tblLook w:val="04A0" w:firstRow="1" w:lastRow="0" w:firstColumn="1" w:lastColumn="0" w:noHBand="0" w:noVBand="1"/>
      </w:tblPr>
      <w:tblGrid>
        <w:gridCol w:w="2110"/>
        <w:gridCol w:w="2203"/>
        <w:gridCol w:w="1568"/>
        <w:gridCol w:w="1969"/>
        <w:gridCol w:w="1195"/>
      </w:tblGrid>
      <w:tr w:rsidR="000B7149" w:rsidRPr="000B7149" w14:paraId="11401022" w14:textId="77777777" w:rsidTr="000B7149">
        <w:trPr>
          <w:tblHeader/>
          <w:jc w:val="center"/>
        </w:trPr>
        <w:tc>
          <w:tcPr>
            <w:tcW w:w="2110" w:type="dxa"/>
            <w:shd w:val="clear" w:color="auto" w:fill="0B5E55"/>
            <w:vAlign w:val="center"/>
          </w:tcPr>
          <w:p w14:paraId="00BDC952" w14:textId="77777777" w:rsidR="000B7149" w:rsidRPr="000B7149" w:rsidRDefault="000B7149" w:rsidP="000B7149">
            <w:pPr>
              <w:spacing w:after="0"/>
              <w:jc w:val="center"/>
              <w:rPr>
                <w:rFonts w:cs="Arial"/>
                <w:color w:val="FFFFFF" w:themeColor="background1"/>
                <w:sz w:val="16"/>
                <w:szCs w:val="16"/>
              </w:rPr>
            </w:pPr>
            <w:r w:rsidRPr="000B7149">
              <w:rPr>
                <w:rFonts w:cs="Arial"/>
                <w:b/>
                <w:color w:val="FFFFFF" w:themeColor="background1"/>
                <w:sz w:val="16"/>
                <w:szCs w:val="16"/>
              </w:rPr>
              <w:t>Elemento/actividad</w:t>
            </w:r>
          </w:p>
        </w:tc>
        <w:tc>
          <w:tcPr>
            <w:tcW w:w="2203" w:type="dxa"/>
            <w:shd w:val="clear" w:color="auto" w:fill="0B5E55"/>
            <w:vAlign w:val="center"/>
          </w:tcPr>
          <w:p w14:paraId="0BE0FBE6" w14:textId="77777777" w:rsidR="000B7149" w:rsidRPr="000B7149" w:rsidRDefault="000B7149" w:rsidP="000B7149">
            <w:pPr>
              <w:spacing w:after="0"/>
              <w:jc w:val="center"/>
              <w:rPr>
                <w:rFonts w:cs="Arial"/>
                <w:color w:val="FFFFFF" w:themeColor="background1"/>
                <w:sz w:val="16"/>
                <w:szCs w:val="16"/>
              </w:rPr>
            </w:pPr>
            <w:r w:rsidRPr="000B7149">
              <w:rPr>
                <w:rFonts w:cs="Arial"/>
                <w:b/>
                <w:color w:val="FFFFFF" w:themeColor="background1"/>
                <w:sz w:val="16"/>
                <w:szCs w:val="16"/>
              </w:rPr>
              <w:t>Control principal</w:t>
            </w:r>
          </w:p>
        </w:tc>
        <w:tc>
          <w:tcPr>
            <w:tcW w:w="1488" w:type="dxa"/>
            <w:shd w:val="clear" w:color="auto" w:fill="0B5E55"/>
            <w:vAlign w:val="center"/>
          </w:tcPr>
          <w:p w14:paraId="512C675E" w14:textId="77777777" w:rsidR="000B7149" w:rsidRPr="000B7149" w:rsidRDefault="000B7149" w:rsidP="000B7149">
            <w:pPr>
              <w:spacing w:after="0"/>
              <w:jc w:val="center"/>
              <w:rPr>
                <w:rFonts w:cs="Arial"/>
                <w:color w:val="FFFFFF" w:themeColor="background1"/>
                <w:sz w:val="16"/>
                <w:szCs w:val="16"/>
              </w:rPr>
            </w:pPr>
            <w:r w:rsidRPr="000B7149">
              <w:rPr>
                <w:rFonts w:cs="Arial"/>
                <w:b/>
                <w:color w:val="FFFFFF" w:themeColor="background1"/>
                <w:sz w:val="16"/>
                <w:szCs w:val="16"/>
              </w:rPr>
              <w:t>Frecuencia mínima</w:t>
            </w:r>
          </w:p>
        </w:tc>
        <w:tc>
          <w:tcPr>
            <w:tcW w:w="1865" w:type="dxa"/>
            <w:shd w:val="clear" w:color="auto" w:fill="0B5E55"/>
            <w:vAlign w:val="center"/>
          </w:tcPr>
          <w:p w14:paraId="2F866B10" w14:textId="77777777" w:rsidR="000B7149" w:rsidRPr="000B7149" w:rsidRDefault="000B7149" w:rsidP="000B7149">
            <w:pPr>
              <w:spacing w:after="0"/>
              <w:jc w:val="center"/>
              <w:rPr>
                <w:rFonts w:cs="Arial"/>
                <w:color w:val="FFFFFF" w:themeColor="background1"/>
                <w:sz w:val="16"/>
                <w:szCs w:val="16"/>
              </w:rPr>
            </w:pPr>
            <w:r w:rsidRPr="000B7149">
              <w:rPr>
                <w:rFonts w:cs="Arial"/>
                <w:b/>
                <w:color w:val="FFFFFF" w:themeColor="background1"/>
                <w:sz w:val="16"/>
                <w:szCs w:val="16"/>
              </w:rPr>
              <w:t>Referencia</w:t>
            </w:r>
          </w:p>
        </w:tc>
        <w:tc>
          <w:tcPr>
            <w:tcW w:w="1137" w:type="dxa"/>
            <w:shd w:val="clear" w:color="auto" w:fill="0B5E55"/>
            <w:vAlign w:val="center"/>
          </w:tcPr>
          <w:p w14:paraId="52C601CE" w14:textId="77777777" w:rsidR="000B7149" w:rsidRPr="000B7149" w:rsidRDefault="000B7149" w:rsidP="000B7149">
            <w:pPr>
              <w:spacing w:after="0"/>
              <w:jc w:val="center"/>
              <w:rPr>
                <w:rFonts w:cs="Arial"/>
                <w:color w:val="FFFFFF" w:themeColor="background1"/>
                <w:sz w:val="16"/>
                <w:szCs w:val="16"/>
              </w:rPr>
            </w:pPr>
            <w:r w:rsidRPr="000B7149">
              <w:rPr>
                <w:rFonts w:cs="Arial"/>
                <w:b/>
                <w:color w:val="FFFFFF" w:themeColor="background1"/>
                <w:sz w:val="16"/>
                <w:szCs w:val="16"/>
              </w:rPr>
              <w:t>Aceptación</w:t>
            </w:r>
          </w:p>
        </w:tc>
      </w:tr>
      <w:tr w:rsidR="000B7149" w:rsidRPr="000B7149" w14:paraId="77932AB5" w14:textId="77777777" w:rsidTr="000B7149">
        <w:trPr>
          <w:jc w:val="center"/>
        </w:trPr>
        <w:tc>
          <w:tcPr>
            <w:tcW w:w="2110" w:type="dxa"/>
            <w:vAlign w:val="center"/>
          </w:tcPr>
          <w:p w14:paraId="61B7A916" w14:textId="77777777" w:rsidR="000B7149" w:rsidRPr="000B7149" w:rsidRDefault="000B7149" w:rsidP="000B7149">
            <w:pPr>
              <w:spacing w:after="0"/>
              <w:jc w:val="left"/>
              <w:rPr>
                <w:rFonts w:cs="Arial"/>
                <w:sz w:val="16"/>
                <w:szCs w:val="16"/>
              </w:rPr>
            </w:pPr>
            <w:r w:rsidRPr="000B7149">
              <w:rPr>
                <w:rFonts w:cs="Arial"/>
                <w:sz w:val="16"/>
                <w:szCs w:val="16"/>
              </w:rPr>
              <w:t>Señal vertical nueva</w:t>
            </w:r>
          </w:p>
        </w:tc>
        <w:tc>
          <w:tcPr>
            <w:tcW w:w="2203" w:type="dxa"/>
            <w:vAlign w:val="center"/>
          </w:tcPr>
          <w:p w14:paraId="5DDEAECC" w14:textId="77777777" w:rsidR="000B7149" w:rsidRPr="000B7149" w:rsidRDefault="000B7149" w:rsidP="000B7149">
            <w:pPr>
              <w:spacing w:after="0"/>
              <w:jc w:val="left"/>
              <w:rPr>
                <w:rFonts w:cs="Arial"/>
                <w:sz w:val="16"/>
                <w:szCs w:val="16"/>
              </w:rPr>
            </w:pPr>
            <w:r w:rsidRPr="000B7149">
              <w:rPr>
                <w:rFonts w:cs="Arial"/>
                <w:sz w:val="16"/>
                <w:szCs w:val="16"/>
              </w:rPr>
              <w:t>Documental + visual + dimensional + instalación</w:t>
            </w:r>
          </w:p>
        </w:tc>
        <w:tc>
          <w:tcPr>
            <w:tcW w:w="1488" w:type="dxa"/>
            <w:vAlign w:val="center"/>
          </w:tcPr>
          <w:p w14:paraId="42E4A0F9" w14:textId="77777777" w:rsidR="000B7149" w:rsidRPr="000B7149" w:rsidRDefault="000B7149" w:rsidP="000B7149">
            <w:pPr>
              <w:spacing w:after="0"/>
              <w:jc w:val="left"/>
              <w:rPr>
                <w:rFonts w:cs="Arial"/>
                <w:sz w:val="16"/>
                <w:szCs w:val="16"/>
              </w:rPr>
            </w:pPr>
            <w:r w:rsidRPr="000B7149">
              <w:rPr>
                <w:rFonts w:cs="Arial"/>
                <w:sz w:val="16"/>
                <w:szCs w:val="16"/>
              </w:rPr>
              <w:t>Cada lote; 100% inspección final</w:t>
            </w:r>
          </w:p>
        </w:tc>
        <w:tc>
          <w:tcPr>
            <w:tcW w:w="1865" w:type="dxa"/>
            <w:vAlign w:val="center"/>
          </w:tcPr>
          <w:p w14:paraId="58005AA1" w14:textId="77777777" w:rsidR="000B7149" w:rsidRPr="000B7149" w:rsidRDefault="000B7149" w:rsidP="000B7149">
            <w:pPr>
              <w:spacing w:after="0"/>
              <w:jc w:val="left"/>
              <w:rPr>
                <w:rFonts w:cs="Arial"/>
                <w:sz w:val="16"/>
                <w:szCs w:val="16"/>
              </w:rPr>
            </w:pPr>
            <w:r w:rsidRPr="000B7149">
              <w:rPr>
                <w:rFonts w:cs="Arial"/>
                <w:sz w:val="16"/>
                <w:szCs w:val="16"/>
              </w:rPr>
              <w:t>NTC 4739 / Manual / Apéndice A</w:t>
            </w:r>
          </w:p>
        </w:tc>
        <w:tc>
          <w:tcPr>
            <w:tcW w:w="1137" w:type="dxa"/>
            <w:vAlign w:val="center"/>
          </w:tcPr>
          <w:p w14:paraId="20A1BB17" w14:textId="77777777" w:rsidR="000B7149" w:rsidRPr="000B7149" w:rsidRDefault="000B7149" w:rsidP="000B7149">
            <w:pPr>
              <w:spacing w:after="0"/>
              <w:jc w:val="left"/>
              <w:rPr>
                <w:rFonts w:cs="Arial"/>
                <w:sz w:val="16"/>
                <w:szCs w:val="16"/>
              </w:rPr>
            </w:pPr>
            <w:r w:rsidRPr="000B7149">
              <w:rPr>
                <w:rFonts w:cs="Arial"/>
                <w:sz w:val="16"/>
                <w:szCs w:val="16"/>
              </w:rPr>
              <w:t>Conforme antes del recibo</w:t>
            </w:r>
          </w:p>
        </w:tc>
      </w:tr>
      <w:tr w:rsidR="000B7149" w:rsidRPr="000B7149" w14:paraId="59B5DCC1" w14:textId="77777777" w:rsidTr="000B7149">
        <w:trPr>
          <w:jc w:val="center"/>
        </w:trPr>
        <w:tc>
          <w:tcPr>
            <w:tcW w:w="2110" w:type="dxa"/>
            <w:vAlign w:val="center"/>
          </w:tcPr>
          <w:p w14:paraId="63DA5B49" w14:textId="77777777" w:rsidR="000B7149" w:rsidRPr="000B7149" w:rsidRDefault="000B7149" w:rsidP="000B7149">
            <w:pPr>
              <w:spacing w:after="0"/>
              <w:jc w:val="left"/>
              <w:rPr>
                <w:rFonts w:cs="Arial"/>
                <w:sz w:val="16"/>
                <w:szCs w:val="16"/>
              </w:rPr>
            </w:pPr>
            <w:r w:rsidRPr="000B7149">
              <w:rPr>
                <w:rFonts w:cs="Arial"/>
                <w:sz w:val="16"/>
                <w:szCs w:val="16"/>
              </w:rPr>
              <w:t>Señal rehabilitada</w:t>
            </w:r>
          </w:p>
        </w:tc>
        <w:tc>
          <w:tcPr>
            <w:tcW w:w="2203" w:type="dxa"/>
            <w:vAlign w:val="center"/>
          </w:tcPr>
          <w:p w14:paraId="4AECF156" w14:textId="77777777" w:rsidR="000B7149" w:rsidRPr="000B7149" w:rsidRDefault="000B7149" w:rsidP="000B7149">
            <w:pPr>
              <w:spacing w:after="0"/>
              <w:jc w:val="left"/>
              <w:rPr>
                <w:rFonts w:cs="Arial"/>
                <w:sz w:val="16"/>
                <w:szCs w:val="16"/>
              </w:rPr>
            </w:pPr>
            <w:r w:rsidRPr="000B7149">
              <w:rPr>
                <w:rFonts w:cs="Arial"/>
                <w:sz w:val="16"/>
                <w:szCs w:val="16"/>
              </w:rPr>
              <w:t>Estado inicial/final + estabilidad + legibilidad</w:t>
            </w:r>
          </w:p>
        </w:tc>
        <w:tc>
          <w:tcPr>
            <w:tcW w:w="1488" w:type="dxa"/>
            <w:vAlign w:val="center"/>
          </w:tcPr>
          <w:p w14:paraId="7EF346B5" w14:textId="77777777" w:rsidR="000B7149" w:rsidRPr="000B7149" w:rsidRDefault="000B7149" w:rsidP="000B7149">
            <w:pPr>
              <w:spacing w:after="0"/>
              <w:jc w:val="left"/>
              <w:rPr>
                <w:rFonts w:cs="Arial"/>
                <w:sz w:val="16"/>
                <w:szCs w:val="16"/>
              </w:rPr>
            </w:pPr>
            <w:r w:rsidRPr="000B7149">
              <w:rPr>
                <w:rFonts w:cs="Arial"/>
                <w:sz w:val="16"/>
                <w:szCs w:val="16"/>
              </w:rPr>
              <w:t>100%</w:t>
            </w:r>
          </w:p>
        </w:tc>
        <w:tc>
          <w:tcPr>
            <w:tcW w:w="1865" w:type="dxa"/>
            <w:vAlign w:val="center"/>
          </w:tcPr>
          <w:p w14:paraId="55EC7F1F" w14:textId="77777777" w:rsidR="000B7149" w:rsidRPr="000B7149" w:rsidRDefault="000B7149" w:rsidP="000B7149">
            <w:pPr>
              <w:spacing w:after="0"/>
              <w:jc w:val="left"/>
              <w:rPr>
                <w:rFonts w:cs="Arial"/>
                <w:sz w:val="16"/>
                <w:szCs w:val="16"/>
              </w:rPr>
            </w:pPr>
            <w:r w:rsidRPr="000B7149">
              <w:rPr>
                <w:rFonts w:cs="Arial"/>
                <w:sz w:val="16"/>
                <w:szCs w:val="16"/>
              </w:rPr>
              <w:t>Apéndice A</w:t>
            </w:r>
          </w:p>
        </w:tc>
        <w:tc>
          <w:tcPr>
            <w:tcW w:w="1137" w:type="dxa"/>
            <w:vAlign w:val="center"/>
          </w:tcPr>
          <w:p w14:paraId="6CD59B5B" w14:textId="77777777" w:rsidR="000B7149" w:rsidRPr="000B7149" w:rsidRDefault="000B7149" w:rsidP="000B7149">
            <w:pPr>
              <w:spacing w:after="0"/>
              <w:jc w:val="left"/>
              <w:rPr>
                <w:rFonts w:cs="Arial"/>
                <w:sz w:val="16"/>
                <w:szCs w:val="16"/>
              </w:rPr>
            </w:pPr>
            <w:r w:rsidRPr="000B7149">
              <w:rPr>
                <w:rFonts w:cs="Arial"/>
                <w:sz w:val="16"/>
                <w:szCs w:val="16"/>
              </w:rPr>
              <w:t>Funcional y sin defectos incompatibles</w:t>
            </w:r>
          </w:p>
        </w:tc>
      </w:tr>
      <w:tr w:rsidR="000B7149" w:rsidRPr="000B7149" w14:paraId="07F9B477" w14:textId="77777777" w:rsidTr="000B7149">
        <w:trPr>
          <w:jc w:val="center"/>
        </w:trPr>
        <w:tc>
          <w:tcPr>
            <w:tcW w:w="2110" w:type="dxa"/>
            <w:vAlign w:val="center"/>
          </w:tcPr>
          <w:p w14:paraId="30E2CB21" w14:textId="77777777" w:rsidR="000B7149" w:rsidRPr="000B7149" w:rsidRDefault="000B7149" w:rsidP="000B7149">
            <w:pPr>
              <w:spacing w:after="0"/>
              <w:jc w:val="left"/>
              <w:rPr>
                <w:rFonts w:cs="Arial"/>
                <w:sz w:val="16"/>
                <w:szCs w:val="16"/>
              </w:rPr>
            </w:pPr>
            <w:r w:rsidRPr="000B7149">
              <w:rPr>
                <w:rFonts w:cs="Arial"/>
                <w:sz w:val="16"/>
                <w:szCs w:val="16"/>
              </w:rPr>
              <w:t>Plástico en frío – línea</w:t>
            </w:r>
          </w:p>
        </w:tc>
        <w:tc>
          <w:tcPr>
            <w:tcW w:w="2203" w:type="dxa"/>
            <w:vAlign w:val="center"/>
          </w:tcPr>
          <w:p w14:paraId="079783DD" w14:textId="77777777" w:rsidR="000B7149" w:rsidRPr="000B7149" w:rsidRDefault="000B7149" w:rsidP="000B7149">
            <w:pPr>
              <w:spacing w:after="0"/>
              <w:jc w:val="left"/>
              <w:rPr>
                <w:rFonts w:cs="Arial"/>
                <w:sz w:val="16"/>
                <w:szCs w:val="16"/>
              </w:rPr>
            </w:pPr>
            <w:r w:rsidRPr="000B7149">
              <w:rPr>
                <w:rFonts w:cs="Arial"/>
                <w:sz w:val="16"/>
                <w:szCs w:val="16"/>
              </w:rPr>
              <w:t>Material + ambiente + espesor + geometría + retrorreflectividad</w:t>
            </w:r>
          </w:p>
        </w:tc>
        <w:tc>
          <w:tcPr>
            <w:tcW w:w="1488" w:type="dxa"/>
            <w:vAlign w:val="center"/>
          </w:tcPr>
          <w:p w14:paraId="5AAA64B7" w14:textId="1175FD8C" w:rsidR="000B7149" w:rsidRPr="000B7149" w:rsidRDefault="000B7149" w:rsidP="000B7149">
            <w:pPr>
              <w:spacing w:after="0"/>
              <w:jc w:val="left"/>
              <w:rPr>
                <w:rFonts w:cs="Arial"/>
                <w:sz w:val="16"/>
                <w:szCs w:val="16"/>
              </w:rPr>
            </w:pPr>
            <w:r w:rsidRPr="000B7149">
              <w:rPr>
                <w:rFonts w:cs="Arial"/>
                <w:sz w:val="16"/>
                <w:szCs w:val="16"/>
              </w:rPr>
              <w:t>Espesor y retro: cada 500 m</w:t>
            </w:r>
            <w:r w:rsidR="005C614D">
              <w:rPr>
                <w:rFonts w:cs="Arial"/>
                <w:sz w:val="16"/>
                <w:szCs w:val="16"/>
              </w:rPr>
              <w:t>L</w:t>
            </w:r>
            <w:r w:rsidRPr="000B7149">
              <w:rPr>
                <w:rFonts w:cs="Arial"/>
                <w:sz w:val="16"/>
                <w:szCs w:val="16"/>
              </w:rPr>
              <w:t xml:space="preserve"> o fracción; visual 100%</w:t>
            </w:r>
          </w:p>
        </w:tc>
        <w:tc>
          <w:tcPr>
            <w:tcW w:w="1865" w:type="dxa"/>
            <w:vAlign w:val="center"/>
          </w:tcPr>
          <w:p w14:paraId="55E6997F" w14:textId="77777777" w:rsidR="000B7149" w:rsidRPr="000B7149" w:rsidRDefault="000B7149" w:rsidP="000B7149">
            <w:pPr>
              <w:spacing w:after="0"/>
              <w:jc w:val="left"/>
              <w:rPr>
                <w:rFonts w:cs="Arial"/>
                <w:sz w:val="16"/>
                <w:szCs w:val="16"/>
              </w:rPr>
            </w:pPr>
            <w:r w:rsidRPr="000B7149">
              <w:rPr>
                <w:rFonts w:cs="Arial"/>
                <w:sz w:val="16"/>
                <w:szCs w:val="16"/>
              </w:rPr>
              <w:t>NTC 4744</w:t>
            </w:r>
          </w:p>
        </w:tc>
        <w:tc>
          <w:tcPr>
            <w:tcW w:w="1137" w:type="dxa"/>
            <w:vAlign w:val="center"/>
          </w:tcPr>
          <w:p w14:paraId="0A9B6EE3" w14:textId="77777777" w:rsidR="000B7149" w:rsidRPr="000B7149" w:rsidRDefault="000B7149" w:rsidP="000B7149">
            <w:pPr>
              <w:spacing w:after="0"/>
              <w:jc w:val="left"/>
              <w:rPr>
                <w:rFonts w:cs="Arial"/>
                <w:sz w:val="16"/>
                <w:szCs w:val="16"/>
              </w:rPr>
            </w:pPr>
            <w:r w:rsidRPr="000B7149">
              <w:rPr>
                <w:rFonts w:cs="Arial"/>
                <w:sz w:val="16"/>
                <w:szCs w:val="16"/>
              </w:rPr>
              <w:t>Cumplimiento de mínimos aplicables</w:t>
            </w:r>
          </w:p>
        </w:tc>
      </w:tr>
      <w:tr w:rsidR="000B7149" w:rsidRPr="000B7149" w14:paraId="0ECB2239" w14:textId="77777777" w:rsidTr="000B7149">
        <w:trPr>
          <w:jc w:val="center"/>
        </w:trPr>
        <w:tc>
          <w:tcPr>
            <w:tcW w:w="2110" w:type="dxa"/>
            <w:vAlign w:val="center"/>
          </w:tcPr>
          <w:p w14:paraId="118CDCF9" w14:textId="77777777" w:rsidR="000B7149" w:rsidRPr="000B7149" w:rsidRDefault="000B7149" w:rsidP="000B7149">
            <w:pPr>
              <w:spacing w:after="0"/>
              <w:jc w:val="left"/>
              <w:rPr>
                <w:rFonts w:cs="Arial"/>
                <w:sz w:val="16"/>
                <w:szCs w:val="16"/>
              </w:rPr>
            </w:pPr>
            <w:r w:rsidRPr="000B7149">
              <w:rPr>
                <w:rFonts w:cs="Arial"/>
                <w:sz w:val="16"/>
                <w:szCs w:val="16"/>
              </w:rPr>
              <w:t>Plástico en frío – marcas/áreas</w:t>
            </w:r>
          </w:p>
        </w:tc>
        <w:tc>
          <w:tcPr>
            <w:tcW w:w="2203" w:type="dxa"/>
            <w:vAlign w:val="center"/>
          </w:tcPr>
          <w:p w14:paraId="64060895" w14:textId="77777777" w:rsidR="000B7149" w:rsidRPr="000B7149" w:rsidRDefault="000B7149" w:rsidP="000B7149">
            <w:pPr>
              <w:spacing w:after="0"/>
              <w:jc w:val="left"/>
              <w:rPr>
                <w:rFonts w:cs="Arial"/>
                <w:sz w:val="16"/>
                <w:szCs w:val="16"/>
              </w:rPr>
            </w:pPr>
            <w:r w:rsidRPr="000B7149">
              <w:rPr>
                <w:rFonts w:cs="Arial"/>
                <w:sz w:val="16"/>
                <w:szCs w:val="16"/>
              </w:rPr>
              <w:t>Material + espesor + geometría + retro/deslizamiento según uso</w:t>
            </w:r>
          </w:p>
        </w:tc>
        <w:tc>
          <w:tcPr>
            <w:tcW w:w="1488" w:type="dxa"/>
            <w:vAlign w:val="center"/>
          </w:tcPr>
          <w:p w14:paraId="56842AF2" w14:textId="77777777" w:rsidR="000B7149" w:rsidRPr="000B7149" w:rsidRDefault="000B7149" w:rsidP="000B7149">
            <w:pPr>
              <w:spacing w:after="0"/>
              <w:jc w:val="left"/>
              <w:rPr>
                <w:rFonts w:cs="Arial"/>
                <w:sz w:val="16"/>
                <w:szCs w:val="16"/>
              </w:rPr>
            </w:pPr>
            <w:r w:rsidRPr="000B7149">
              <w:rPr>
                <w:rFonts w:cs="Arial"/>
                <w:sz w:val="16"/>
                <w:szCs w:val="16"/>
              </w:rPr>
              <w:t>Espesor cada 100 m²; retro/deslizamiento cada 250 m² o fracción</w:t>
            </w:r>
          </w:p>
        </w:tc>
        <w:tc>
          <w:tcPr>
            <w:tcW w:w="1865" w:type="dxa"/>
            <w:vAlign w:val="center"/>
          </w:tcPr>
          <w:p w14:paraId="2770788E" w14:textId="77777777" w:rsidR="000B7149" w:rsidRPr="000B7149" w:rsidRDefault="000B7149" w:rsidP="000B7149">
            <w:pPr>
              <w:spacing w:after="0"/>
              <w:jc w:val="left"/>
              <w:rPr>
                <w:rFonts w:cs="Arial"/>
                <w:sz w:val="16"/>
                <w:szCs w:val="16"/>
              </w:rPr>
            </w:pPr>
            <w:r w:rsidRPr="000B7149">
              <w:rPr>
                <w:rFonts w:cs="Arial"/>
                <w:sz w:val="16"/>
                <w:szCs w:val="16"/>
              </w:rPr>
              <w:t>NTC 4744</w:t>
            </w:r>
          </w:p>
        </w:tc>
        <w:tc>
          <w:tcPr>
            <w:tcW w:w="1137" w:type="dxa"/>
            <w:vAlign w:val="center"/>
          </w:tcPr>
          <w:p w14:paraId="20CDB5FB" w14:textId="77777777" w:rsidR="000B7149" w:rsidRPr="000B7149" w:rsidRDefault="000B7149" w:rsidP="000B7149">
            <w:pPr>
              <w:spacing w:after="0"/>
              <w:jc w:val="left"/>
              <w:rPr>
                <w:rFonts w:cs="Arial"/>
                <w:sz w:val="16"/>
                <w:szCs w:val="16"/>
              </w:rPr>
            </w:pPr>
            <w:r w:rsidRPr="000B7149">
              <w:rPr>
                <w:rFonts w:cs="Arial"/>
                <w:sz w:val="16"/>
                <w:szCs w:val="16"/>
              </w:rPr>
              <w:t>Cumplimiento de mínimos aplicables</w:t>
            </w:r>
          </w:p>
        </w:tc>
      </w:tr>
      <w:tr w:rsidR="000B7149" w:rsidRPr="000B7149" w14:paraId="35B7F3E3" w14:textId="77777777" w:rsidTr="000B7149">
        <w:trPr>
          <w:jc w:val="center"/>
        </w:trPr>
        <w:tc>
          <w:tcPr>
            <w:tcW w:w="2110" w:type="dxa"/>
            <w:vAlign w:val="center"/>
          </w:tcPr>
          <w:p w14:paraId="21EC957D" w14:textId="77777777" w:rsidR="000B7149" w:rsidRPr="000B7149" w:rsidRDefault="000B7149" w:rsidP="000B7149">
            <w:pPr>
              <w:spacing w:after="0"/>
              <w:jc w:val="left"/>
              <w:rPr>
                <w:rFonts w:cs="Arial"/>
                <w:sz w:val="16"/>
                <w:szCs w:val="16"/>
              </w:rPr>
            </w:pPr>
            <w:r w:rsidRPr="000B7149">
              <w:rPr>
                <w:rFonts w:cs="Arial"/>
                <w:sz w:val="16"/>
                <w:szCs w:val="16"/>
              </w:rPr>
              <w:t>Imprimante</w:t>
            </w:r>
          </w:p>
        </w:tc>
        <w:tc>
          <w:tcPr>
            <w:tcW w:w="2203" w:type="dxa"/>
            <w:vAlign w:val="center"/>
          </w:tcPr>
          <w:p w14:paraId="0C2F9968" w14:textId="77777777" w:rsidR="000B7149" w:rsidRPr="000B7149" w:rsidRDefault="000B7149" w:rsidP="000B7149">
            <w:pPr>
              <w:spacing w:after="0"/>
              <w:jc w:val="left"/>
              <w:rPr>
                <w:rFonts w:cs="Arial"/>
                <w:sz w:val="16"/>
                <w:szCs w:val="16"/>
              </w:rPr>
            </w:pPr>
            <w:r w:rsidRPr="000B7149">
              <w:rPr>
                <w:rFonts w:cs="Arial"/>
                <w:sz w:val="16"/>
                <w:szCs w:val="16"/>
              </w:rPr>
              <w:t>Material + compatibilidad + espesor</w:t>
            </w:r>
          </w:p>
        </w:tc>
        <w:tc>
          <w:tcPr>
            <w:tcW w:w="1488" w:type="dxa"/>
            <w:vAlign w:val="center"/>
          </w:tcPr>
          <w:p w14:paraId="191CD8B7" w14:textId="77777777" w:rsidR="000B7149" w:rsidRPr="000B7149" w:rsidRDefault="000B7149" w:rsidP="000B7149">
            <w:pPr>
              <w:spacing w:after="0"/>
              <w:jc w:val="left"/>
              <w:rPr>
                <w:rFonts w:cs="Arial"/>
                <w:sz w:val="16"/>
                <w:szCs w:val="16"/>
              </w:rPr>
            </w:pPr>
            <w:r w:rsidRPr="000B7149">
              <w:rPr>
                <w:rFonts w:cs="Arial"/>
                <w:sz w:val="16"/>
                <w:szCs w:val="16"/>
              </w:rPr>
              <w:t>Cada lote; espesor según frente asociado</w:t>
            </w:r>
          </w:p>
        </w:tc>
        <w:tc>
          <w:tcPr>
            <w:tcW w:w="1865" w:type="dxa"/>
            <w:vAlign w:val="center"/>
          </w:tcPr>
          <w:p w14:paraId="02B2A539" w14:textId="77777777" w:rsidR="000B7149" w:rsidRPr="000B7149" w:rsidRDefault="000B7149" w:rsidP="000B7149">
            <w:pPr>
              <w:spacing w:after="0"/>
              <w:jc w:val="left"/>
              <w:rPr>
                <w:rFonts w:cs="Arial"/>
                <w:sz w:val="16"/>
                <w:szCs w:val="16"/>
              </w:rPr>
            </w:pPr>
            <w:r w:rsidRPr="000B7149">
              <w:rPr>
                <w:rFonts w:cs="Arial"/>
                <w:sz w:val="16"/>
                <w:szCs w:val="16"/>
              </w:rPr>
              <w:t>Ficha/Apéndice A</w:t>
            </w:r>
          </w:p>
        </w:tc>
        <w:tc>
          <w:tcPr>
            <w:tcW w:w="1137" w:type="dxa"/>
            <w:vAlign w:val="center"/>
          </w:tcPr>
          <w:p w14:paraId="1A792CCA" w14:textId="77777777" w:rsidR="000B7149" w:rsidRPr="000B7149" w:rsidRDefault="000B7149" w:rsidP="000B7149">
            <w:pPr>
              <w:spacing w:after="0"/>
              <w:jc w:val="left"/>
              <w:rPr>
                <w:rFonts w:cs="Arial"/>
                <w:sz w:val="16"/>
                <w:szCs w:val="16"/>
              </w:rPr>
            </w:pPr>
            <w:r w:rsidRPr="000B7149">
              <w:rPr>
                <w:rFonts w:cs="Arial"/>
                <w:sz w:val="16"/>
                <w:szCs w:val="16"/>
              </w:rPr>
              <w:t>≥ mínimo especificado cuando aplique</w:t>
            </w:r>
          </w:p>
        </w:tc>
      </w:tr>
      <w:tr w:rsidR="000B7149" w:rsidRPr="000B7149" w14:paraId="7DE97C33" w14:textId="77777777" w:rsidTr="000B7149">
        <w:trPr>
          <w:jc w:val="center"/>
        </w:trPr>
        <w:tc>
          <w:tcPr>
            <w:tcW w:w="2110" w:type="dxa"/>
            <w:vAlign w:val="center"/>
          </w:tcPr>
          <w:p w14:paraId="6D142647" w14:textId="77777777" w:rsidR="000B7149" w:rsidRPr="000B7149" w:rsidRDefault="000B7149" w:rsidP="000B7149">
            <w:pPr>
              <w:spacing w:after="0"/>
              <w:jc w:val="left"/>
              <w:rPr>
                <w:rFonts w:cs="Arial"/>
                <w:sz w:val="16"/>
                <w:szCs w:val="16"/>
              </w:rPr>
            </w:pPr>
            <w:r w:rsidRPr="000B7149">
              <w:rPr>
                <w:rFonts w:cs="Arial"/>
                <w:sz w:val="16"/>
                <w:szCs w:val="16"/>
              </w:rPr>
              <w:t>Tachas</w:t>
            </w:r>
          </w:p>
        </w:tc>
        <w:tc>
          <w:tcPr>
            <w:tcW w:w="2203" w:type="dxa"/>
            <w:vAlign w:val="center"/>
          </w:tcPr>
          <w:p w14:paraId="390D5154" w14:textId="77777777" w:rsidR="000B7149" w:rsidRPr="000B7149" w:rsidRDefault="000B7149" w:rsidP="000B7149">
            <w:pPr>
              <w:spacing w:after="0"/>
              <w:jc w:val="left"/>
              <w:rPr>
                <w:rFonts w:cs="Arial"/>
                <w:sz w:val="16"/>
                <w:szCs w:val="16"/>
              </w:rPr>
            </w:pPr>
            <w:r w:rsidRPr="000B7149">
              <w:rPr>
                <w:rFonts w:cs="Arial"/>
                <w:sz w:val="16"/>
                <w:szCs w:val="16"/>
              </w:rPr>
              <w:t>Documental + dimensional + integridad + fijación</w:t>
            </w:r>
          </w:p>
        </w:tc>
        <w:tc>
          <w:tcPr>
            <w:tcW w:w="1488" w:type="dxa"/>
            <w:vAlign w:val="center"/>
          </w:tcPr>
          <w:p w14:paraId="4EF5CDC5" w14:textId="77777777" w:rsidR="000B7149" w:rsidRPr="000B7149" w:rsidRDefault="000B7149" w:rsidP="000B7149">
            <w:pPr>
              <w:spacing w:after="0"/>
              <w:jc w:val="left"/>
              <w:rPr>
                <w:rFonts w:cs="Arial"/>
                <w:sz w:val="16"/>
                <w:szCs w:val="16"/>
              </w:rPr>
            </w:pPr>
            <w:r w:rsidRPr="000B7149">
              <w:rPr>
                <w:rFonts w:cs="Arial"/>
                <w:sz w:val="16"/>
                <w:szCs w:val="16"/>
              </w:rPr>
              <w:t>Cada lote; instalación 100%</w:t>
            </w:r>
          </w:p>
        </w:tc>
        <w:tc>
          <w:tcPr>
            <w:tcW w:w="1865" w:type="dxa"/>
            <w:vAlign w:val="center"/>
          </w:tcPr>
          <w:p w14:paraId="46E3D8A1" w14:textId="77777777" w:rsidR="000B7149" w:rsidRPr="000B7149" w:rsidRDefault="000B7149" w:rsidP="000B7149">
            <w:pPr>
              <w:spacing w:after="0"/>
              <w:jc w:val="left"/>
              <w:rPr>
                <w:rFonts w:cs="Arial"/>
                <w:sz w:val="16"/>
                <w:szCs w:val="16"/>
              </w:rPr>
            </w:pPr>
            <w:r w:rsidRPr="000B7149">
              <w:rPr>
                <w:rFonts w:cs="Arial"/>
                <w:sz w:val="16"/>
                <w:szCs w:val="16"/>
              </w:rPr>
              <w:t>NTC 4745</w:t>
            </w:r>
          </w:p>
        </w:tc>
        <w:tc>
          <w:tcPr>
            <w:tcW w:w="1137" w:type="dxa"/>
            <w:vAlign w:val="center"/>
          </w:tcPr>
          <w:p w14:paraId="2DFA7F11" w14:textId="77777777" w:rsidR="000B7149" w:rsidRPr="000B7149" w:rsidRDefault="000B7149" w:rsidP="000B7149">
            <w:pPr>
              <w:spacing w:after="0"/>
              <w:jc w:val="left"/>
              <w:rPr>
                <w:rFonts w:cs="Arial"/>
                <w:sz w:val="16"/>
                <w:szCs w:val="16"/>
              </w:rPr>
            </w:pPr>
            <w:r w:rsidRPr="000B7149">
              <w:rPr>
                <w:rFonts w:cs="Arial"/>
                <w:sz w:val="16"/>
                <w:szCs w:val="16"/>
              </w:rPr>
              <w:t xml:space="preserve">Conformes, estables y </w:t>
            </w:r>
            <w:r w:rsidRPr="000B7149">
              <w:rPr>
                <w:rFonts w:cs="Arial"/>
                <w:sz w:val="16"/>
                <w:szCs w:val="16"/>
              </w:rPr>
              <w:lastRenderedPageBreak/>
              <w:t>orientadas</w:t>
            </w:r>
          </w:p>
        </w:tc>
      </w:tr>
      <w:tr w:rsidR="000B7149" w:rsidRPr="000B7149" w14:paraId="4DE26FDD" w14:textId="77777777" w:rsidTr="000B7149">
        <w:trPr>
          <w:jc w:val="center"/>
        </w:trPr>
        <w:tc>
          <w:tcPr>
            <w:tcW w:w="2110" w:type="dxa"/>
            <w:vAlign w:val="center"/>
          </w:tcPr>
          <w:p w14:paraId="5AF6C0D1" w14:textId="77777777" w:rsidR="000B7149" w:rsidRPr="000B7149" w:rsidRDefault="000B7149" w:rsidP="000B7149">
            <w:pPr>
              <w:spacing w:after="0"/>
              <w:jc w:val="left"/>
              <w:rPr>
                <w:rFonts w:cs="Arial"/>
                <w:sz w:val="16"/>
                <w:szCs w:val="16"/>
              </w:rPr>
            </w:pPr>
            <w:r w:rsidRPr="000B7149">
              <w:rPr>
                <w:rFonts w:cs="Arial"/>
                <w:sz w:val="16"/>
                <w:szCs w:val="16"/>
              </w:rPr>
              <w:lastRenderedPageBreak/>
              <w:t>Tachones/bordillos/</w:t>
            </w:r>
          </w:p>
          <w:p w14:paraId="014EA63E" w14:textId="4B216399" w:rsidR="000B7149" w:rsidRPr="000B7149" w:rsidRDefault="000B7149" w:rsidP="000B7149">
            <w:pPr>
              <w:spacing w:after="0"/>
              <w:jc w:val="left"/>
              <w:rPr>
                <w:rFonts w:cs="Arial"/>
                <w:sz w:val="16"/>
                <w:szCs w:val="16"/>
              </w:rPr>
            </w:pPr>
            <w:r w:rsidRPr="000B7149">
              <w:rPr>
                <w:rFonts w:cs="Arial"/>
                <w:sz w:val="16"/>
                <w:szCs w:val="16"/>
              </w:rPr>
              <w:t>hitos/estoperoles</w:t>
            </w:r>
          </w:p>
        </w:tc>
        <w:tc>
          <w:tcPr>
            <w:tcW w:w="2203" w:type="dxa"/>
            <w:vAlign w:val="center"/>
          </w:tcPr>
          <w:p w14:paraId="414C59C9" w14:textId="77777777" w:rsidR="000B7149" w:rsidRPr="000B7149" w:rsidRDefault="000B7149" w:rsidP="000B7149">
            <w:pPr>
              <w:spacing w:after="0"/>
              <w:jc w:val="left"/>
              <w:rPr>
                <w:rFonts w:cs="Arial"/>
                <w:sz w:val="16"/>
                <w:szCs w:val="16"/>
              </w:rPr>
            </w:pPr>
            <w:r w:rsidRPr="000B7149">
              <w:rPr>
                <w:rFonts w:cs="Arial"/>
                <w:sz w:val="16"/>
                <w:szCs w:val="16"/>
              </w:rPr>
              <w:t>Documental + dimensional + integridad + anclaje</w:t>
            </w:r>
          </w:p>
        </w:tc>
        <w:tc>
          <w:tcPr>
            <w:tcW w:w="1488" w:type="dxa"/>
            <w:vAlign w:val="center"/>
          </w:tcPr>
          <w:p w14:paraId="291D55E1" w14:textId="77777777" w:rsidR="000B7149" w:rsidRPr="000B7149" w:rsidRDefault="000B7149" w:rsidP="000B7149">
            <w:pPr>
              <w:spacing w:after="0"/>
              <w:jc w:val="left"/>
              <w:rPr>
                <w:rFonts w:cs="Arial"/>
                <w:sz w:val="16"/>
                <w:szCs w:val="16"/>
              </w:rPr>
            </w:pPr>
            <w:r w:rsidRPr="000B7149">
              <w:rPr>
                <w:rFonts w:cs="Arial"/>
                <w:sz w:val="16"/>
                <w:szCs w:val="16"/>
              </w:rPr>
              <w:t>Cada lote; instalación 100%</w:t>
            </w:r>
          </w:p>
        </w:tc>
        <w:tc>
          <w:tcPr>
            <w:tcW w:w="1865" w:type="dxa"/>
            <w:vAlign w:val="center"/>
          </w:tcPr>
          <w:p w14:paraId="65746038" w14:textId="77777777" w:rsidR="000B7149" w:rsidRPr="000B7149" w:rsidRDefault="000B7149" w:rsidP="000B7149">
            <w:pPr>
              <w:spacing w:after="0"/>
              <w:jc w:val="left"/>
              <w:rPr>
                <w:rFonts w:cs="Arial"/>
                <w:sz w:val="16"/>
                <w:szCs w:val="16"/>
              </w:rPr>
            </w:pPr>
            <w:r w:rsidRPr="000B7149">
              <w:rPr>
                <w:rFonts w:cs="Arial"/>
                <w:sz w:val="16"/>
                <w:szCs w:val="16"/>
              </w:rPr>
              <w:t>Manual/ficha/Apéndice A</w:t>
            </w:r>
          </w:p>
        </w:tc>
        <w:tc>
          <w:tcPr>
            <w:tcW w:w="1137" w:type="dxa"/>
            <w:vAlign w:val="center"/>
          </w:tcPr>
          <w:p w14:paraId="3C9C291F" w14:textId="77777777" w:rsidR="000B7149" w:rsidRPr="000B7149" w:rsidRDefault="000B7149" w:rsidP="000B7149">
            <w:pPr>
              <w:spacing w:after="0"/>
              <w:jc w:val="left"/>
              <w:rPr>
                <w:rFonts w:cs="Arial"/>
                <w:sz w:val="16"/>
                <w:szCs w:val="16"/>
              </w:rPr>
            </w:pPr>
            <w:r w:rsidRPr="000B7149">
              <w:rPr>
                <w:rFonts w:cs="Arial"/>
                <w:sz w:val="16"/>
                <w:szCs w:val="16"/>
              </w:rPr>
              <w:t>Conformes y estables</w:t>
            </w:r>
          </w:p>
        </w:tc>
      </w:tr>
      <w:tr w:rsidR="000B7149" w:rsidRPr="000B7149" w14:paraId="2BF3A357" w14:textId="77777777" w:rsidTr="000B7149">
        <w:trPr>
          <w:jc w:val="center"/>
        </w:trPr>
        <w:tc>
          <w:tcPr>
            <w:tcW w:w="2110" w:type="dxa"/>
            <w:vAlign w:val="center"/>
          </w:tcPr>
          <w:p w14:paraId="02EA56D1" w14:textId="77777777" w:rsidR="000B7149" w:rsidRPr="000B7149" w:rsidRDefault="000B7149" w:rsidP="000B7149">
            <w:pPr>
              <w:spacing w:after="0"/>
              <w:jc w:val="left"/>
              <w:rPr>
                <w:rFonts w:cs="Arial"/>
                <w:sz w:val="16"/>
                <w:szCs w:val="16"/>
              </w:rPr>
            </w:pPr>
            <w:r w:rsidRPr="000B7149">
              <w:rPr>
                <w:rFonts w:cs="Arial"/>
                <w:sz w:val="16"/>
                <w:szCs w:val="16"/>
              </w:rPr>
              <w:t>Resaltos</w:t>
            </w:r>
          </w:p>
        </w:tc>
        <w:tc>
          <w:tcPr>
            <w:tcW w:w="2203" w:type="dxa"/>
            <w:vAlign w:val="center"/>
          </w:tcPr>
          <w:p w14:paraId="7311481F" w14:textId="77777777" w:rsidR="000B7149" w:rsidRPr="000B7149" w:rsidRDefault="000B7149" w:rsidP="000B7149">
            <w:pPr>
              <w:spacing w:after="0"/>
              <w:jc w:val="left"/>
              <w:rPr>
                <w:rFonts w:cs="Arial"/>
                <w:sz w:val="16"/>
                <w:szCs w:val="16"/>
              </w:rPr>
            </w:pPr>
            <w:r w:rsidRPr="000B7149">
              <w:rPr>
                <w:rFonts w:cs="Arial"/>
                <w:sz w:val="16"/>
                <w:szCs w:val="16"/>
              </w:rPr>
              <w:t>Geometría + materiales + compactación/fijación + acabado</w:t>
            </w:r>
          </w:p>
        </w:tc>
        <w:tc>
          <w:tcPr>
            <w:tcW w:w="1488" w:type="dxa"/>
            <w:vAlign w:val="center"/>
          </w:tcPr>
          <w:p w14:paraId="7908AFF1" w14:textId="77777777" w:rsidR="000B7149" w:rsidRPr="000B7149" w:rsidRDefault="000B7149" w:rsidP="000B7149">
            <w:pPr>
              <w:spacing w:after="0"/>
              <w:jc w:val="left"/>
              <w:rPr>
                <w:rFonts w:cs="Arial"/>
                <w:sz w:val="16"/>
                <w:szCs w:val="16"/>
              </w:rPr>
            </w:pPr>
            <w:r w:rsidRPr="000B7149">
              <w:rPr>
                <w:rFonts w:cs="Arial"/>
                <w:sz w:val="16"/>
                <w:szCs w:val="16"/>
              </w:rPr>
              <w:t>100% de unidades</w:t>
            </w:r>
          </w:p>
        </w:tc>
        <w:tc>
          <w:tcPr>
            <w:tcW w:w="1865" w:type="dxa"/>
            <w:vAlign w:val="center"/>
          </w:tcPr>
          <w:p w14:paraId="5D52A9DC" w14:textId="77777777" w:rsidR="000B7149" w:rsidRPr="000B7149" w:rsidRDefault="000B7149" w:rsidP="000B7149">
            <w:pPr>
              <w:spacing w:after="0"/>
              <w:jc w:val="left"/>
              <w:rPr>
                <w:rFonts w:cs="Arial"/>
                <w:sz w:val="16"/>
                <w:szCs w:val="16"/>
              </w:rPr>
            </w:pPr>
            <w:r w:rsidRPr="000B7149">
              <w:rPr>
                <w:rFonts w:cs="Arial"/>
                <w:sz w:val="16"/>
                <w:szCs w:val="16"/>
              </w:rPr>
              <w:t>Manual/diseño/Apéndice A</w:t>
            </w:r>
          </w:p>
        </w:tc>
        <w:tc>
          <w:tcPr>
            <w:tcW w:w="1137" w:type="dxa"/>
            <w:vAlign w:val="center"/>
          </w:tcPr>
          <w:p w14:paraId="474B39C2" w14:textId="77777777" w:rsidR="000B7149" w:rsidRPr="000B7149" w:rsidRDefault="000B7149" w:rsidP="000B7149">
            <w:pPr>
              <w:spacing w:after="0"/>
              <w:jc w:val="left"/>
              <w:rPr>
                <w:rFonts w:cs="Arial"/>
                <w:sz w:val="16"/>
                <w:szCs w:val="16"/>
              </w:rPr>
            </w:pPr>
            <w:r w:rsidRPr="000B7149">
              <w:rPr>
                <w:rFonts w:cs="Arial"/>
                <w:sz w:val="16"/>
                <w:szCs w:val="16"/>
              </w:rPr>
              <w:t>Geometría y condición final conformes</w:t>
            </w:r>
          </w:p>
        </w:tc>
      </w:tr>
      <w:tr w:rsidR="000B7149" w:rsidRPr="000B7149" w14:paraId="3FF4DD54" w14:textId="77777777" w:rsidTr="000B7149">
        <w:trPr>
          <w:jc w:val="center"/>
        </w:trPr>
        <w:tc>
          <w:tcPr>
            <w:tcW w:w="2110" w:type="dxa"/>
            <w:vAlign w:val="center"/>
          </w:tcPr>
          <w:p w14:paraId="3CCE0E9B" w14:textId="77777777" w:rsidR="000B7149" w:rsidRPr="000B7149" w:rsidRDefault="000B7149" w:rsidP="000B7149">
            <w:pPr>
              <w:spacing w:after="0"/>
              <w:jc w:val="left"/>
              <w:rPr>
                <w:rFonts w:cs="Arial"/>
                <w:sz w:val="16"/>
                <w:szCs w:val="16"/>
              </w:rPr>
            </w:pPr>
            <w:r w:rsidRPr="000B7149">
              <w:rPr>
                <w:rFonts w:cs="Arial"/>
                <w:sz w:val="16"/>
                <w:szCs w:val="16"/>
              </w:rPr>
              <w:t>Concretos menores</w:t>
            </w:r>
          </w:p>
        </w:tc>
        <w:tc>
          <w:tcPr>
            <w:tcW w:w="2203" w:type="dxa"/>
            <w:vAlign w:val="center"/>
          </w:tcPr>
          <w:p w14:paraId="48132D85" w14:textId="77777777" w:rsidR="000B7149" w:rsidRPr="000B7149" w:rsidRDefault="000B7149" w:rsidP="000B7149">
            <w:pPr>
              <w:spacing w:after="0"/>
              <w:jc w:val="left"/>
              <w:rPr>
                <w:rFonts w:cs="Arial"/>
                <w:sz w:val="16"/>
                <w:szCs w:val="16"/>
              </w:rPr>
            </w:pPr>
            <w:r w:rsidRPr="000B7149">
              <w:rPr>
                <w:rFonts w:cs="Arial"/>
                <w:sz w:val="16"/>
                <w:szCs w:val="16"/>
              </w:rPr>
              <w:t>Documental/proceso; resistencia cuando aplique</w:t>
            </w:r>
          </w:p>
        </w:tc>
        <w:tc>
          <w:tcPr>
            <w:tcW w:w="1488" w:type="dxa"/>
            <w:vAlign w:val="center"/>
          </w:tcPr>
          <w:p w14:paraId="22C61FA9" w14:textId="77777777" w:rsidR="000B7149" w:rsidRPr="000B7149" w:rsidRDefault="000B7149" w:rsidP="000B7149">
            <w:pPr>
              <w:spacing w:after="0"/>
              <w:jc w:val="left"/>
              <w:rPr>
                <w:rFonts w:cs="Arial"/>
                <w:sz w:val="16"/>
                <w:szCs w:val="16"/>
              </w:rPr>
            </w:pPr>
            <w:r w:rsidRPr="000B7149">
              <w:rPr>
                <w:rFonts w:cs="Arial"/>
                <w:sz w:val="16"/>
                <w:szCs w:val="16"/>
              </w:rPr>
              <w:t>Según numeral 6.2</w:t>
            </w:r>
          </w:p>
        </w:tc>
        <w:tc>
          <w:tcPr>
            <w:tcW w:w="1865" w:type="dxa"/>
            <w:vAlign w:val="center"/>
          </w:tcPr>
          <w:p w14:paraId="25B94FCB" w14:textId="77777777" w:rsidR="000B7149" w:rsidRPr="000B7149" w:rsidRDefault="000B7149" w:rsidP="000B7149">
            <w:pPr>
              <w:spacing w:after="0"/>
              <w:jc w:val="left"/>
              <w:rPr>
                <w:rFonts w:cs="Arial"/>
                <w:sz w:val="16"/>
                <w:szCs w:val="16"/>
              </w:rPr>
            </w:pPr>
            <w:r w:rsidRPr="000B7149">
              <w:rPr>
                <w:rFonts w:cs="Arial"/>
                <w:sz w:val="16"/>
                <w:szCs w:val="16"/>
              </w:rPr>
              <w:t>Norma de concreto aplicable</w:t>
            </w:r>
          </w:p>
        </w:tc>
        <w:tc>
          <w:tcPr>
            <w:tcW w:w="1137" w:type="dxa"/>
            <w:vAlign w:val="center"/>
          </w:tcPr>
          <w:p w14:paraId="5136D777" w14:textId="77777777" w:rsidR="000B7149" w:rsidRPr="000B7149" w:rsidRDefault="000B7149" w:rsidP="000B7149">
            <w:pPr>
              <w:spacing w:after="0"/>
              <w:jc w:val="left"/>
              <w:rPr>
                <w:rFonts w:cs="Arial"/>
                <w:sz w:val="16"/>
                <w:szCs w:val="16"/>
              </w:rPr>
            </w:pPr>
            <w:r w:rsidRPr="000B7149">
              <w:rPr>
                <w:rFonts w:cs="Arial"/>
                <w:sz w:val="16"/>
                <w:szCs w:val="16"/>
              </w:rPr>
              <w:t>Resistencia y acabado conformes</w:t>
            </w:r>
          </w:p>
        </w:tc>
      </w:tr>
      <w:tr w:rsidR="000B7149" w:rsidRPr="000B7149" w14:paraId="32184BC6" w14:textId="77777777" w:rsidTr="000B7149">
        <w:trPr>
          <w:jc w:val="center"/>
        </w:trPr>
        <w:tc>
          <w:tcPr>
            <w:tcW w:w="2110" w:type="dxa"/>
            <w:vAlign w:val="center"/>
          </w:tcPr>
          <w:p w14:paraId="2FDBA4FA" w14:textId="77777777" w:rsidR="000B7149" w:rsidRPr="000B7149" w:rsidRDefault="000B7149" w:rsidP="000B7149">
            <w:pPr>
              <w:spacing w:after="0"/>
              <w:jc w:val="left"/>
              <w:rPr>
                <w:rFonts w:cs="Arial"/>
                <w:sz w:val="16"/>
                <w:szCs w:val="16"/>
              </w:rPr>
            </w:pPr>
            <w:r w:rsidRPr="000B7149">
              <w:rPr>
                <w:rFonts w:cs="Arial"/>
                <w:sz w:val="16"/>
                <w:szCs w:val="16"/>
              </w:rPr>
              <w:t>Anclajes</w:t>
            </w:r>
          </w:p>
        </w:tc>
        <w:tc>
          <w:tcPr>
            <w:tcW w:w="2203" w:type="dxa"/>
            <w:vAlign w:val="center"/>
          </w:tcPr>
          <w:p w14:paraId="1854CCE9" w14:textId="77777777" w:rsidR="000B7149" w:rsidRPr="000B7149" w:rsidRDefault="000B7149" w:rsidP="000B7149">
            <w:pPr>
              <w:spacing w:after="0"/>
              <w:jc w:val="left"/>
              <w:rPr>
                <w:rFonts w:cs="Arial"/>
                <w:sz w:val="16"/>
                <w:szCs w:val="16"/>
              </w:rPr>
            </w:pPr>
            <w:r w:rsidRPr="000B7149">
              <w:rPr>
                <w:rFonts w:cs="Arial"/>
                <w:sz w:val="16"/>
                <w:szCs w:val="16"/>
              </w:rPr>
              <w:t>Instalación + estabilidad; extracción cuando se justifique</w:t>
            </w:r>
          </w:p>
        </w:tc>
        <w:tc>
          <w:tcPr>
            <w:tcW w:w="1488" w:type="dxa"/>
            <w:vAlign w:val="center"/>
          </w:tcPr>
          <w:p w14:paraId="0845C211" w14:textId="77777777" w:rsidR="000B7149" w:rsidRPr="000B7149" w:rsidRDefault="000B7149" w:rsidP="000B7149">
            <w:pPr>
              <w:spacing w:after="0"/>
              <w:jc w:val="left"/>
              <w:rPr>
                <w:rFonts w:cs="Arial"/>
                <w:sz w:val="16"/>
                <w:szCs w:val="16"/>
              </w:rPr>
            </w:pPr>
            <w:r w:rsidRPr="000B7149">
              <w:rPr>
                <w:rFonts w:cs="Arial"/>
                <w:sz w:val="16"/>
                <w:szCs w:val="16"/>
              </w:rPr>
              <w:t>100% visual; prueba según condición</w:t>
            </w:r>
          </w:p>
        </w:tc>
        <w:tc>
          <w:tcPr>
            <w:tcW w:w="1865" w:type="dxa"/>
            <w:vAlign w:val="center"/>
          </w:tcPr>
          <w:p w14:paraId="7732BB39" w14:textId="77777777" w:rsidR="000B7149" w:rsidRPr="000B7149" w:rsidRDefault="000B7149" w:rsidP="000B7149">
            <w:pPr>
              <w:spacing w:after="0"/>
              <w:jc w:val="left"/>
              <w:rPr>
                <w:rFonts w:cs="Arial"/>
                <w:sz w:val="16"/>
                <w:szCs w:val="16"/>
              </w:rPr>
            </w:pPr>
            <w:r w:rsidRPr="000B7149">
              <w:rPr>
                <w:rFonts w:cs="Arial"/>
                <w:sz w:val="16"/>
                <w:szCs w:val="16"/>
              </w:rPr>
              <w:t>Ficha/diseño</w:t>
            </w:r>
          </w:p>
        </w:tc>
        <w:tc>
          <w:tcPr>
            <w:tcW w:w="1137" w:type="dxa"/>
            <w:vAlign w:val="center"/>
          </w:tcPr>
          <w:p w14:paraId="70456A9F" w14:textId="77777777" w:rsidR="000B7149" w:rsidRPr="000B7149" w:rsidRDefault="000B7149" w:rsidP="000B7149">
            <w:pPr>
              <w:spacing w:after="0"/>
              <w:jc w:val="left"/>
              <w:rPr>
                <w:rFonts w:cs="Arial"/>
                <w:sz w:val="16"/>
                <w:szCs w:val="16"/>
              </w:rPr>
            </w:pPr>
            <w:r w:rsidRPr="000B7149">
              <w:rPr>
                <w:rFonts w:cs="Arial"/>
                <w:sz w:val="16"/>
                <w:szCs w:val="16"/>
              </w:rPr>
              <w:t>Sin movimiento ni falla</w:t>
            </w:r>
          </w:p>
        </w:tc>
      </w:tr>
    </w:tbl>
    <w:p w14:paraId="0BECC075" w14:textId="77777777" w:rsidR="000B7149" w:rsidRPr="00DF172C" w:rsidRDefault="000B7149" w:rsidP="000B7149">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4C5BF86B" w14:textId="77777777" w:rsidR="00263B71" w:rsidRDefault="00263B71" w:rsidP="00263B71">
      <w:pPr>
        <w:pStyle w:val="Ttulo2"/>
      </w:pPr>
      <w:r w:rsidRPr="00263B71">
        <w:t>7.4 INFORME DE CALIDAD POR ORDEN DE INTERVENCIÓN</w:t>
      </w:r>
    </w:p>
    <w:p w14:paraId="7F560F50" w14:textId="77777777" w:rsidR="00263B71" w:rsidRDefault="00263B71" w:rsidP="000B7149">
      <w:r>
        <w:t>Para el cierre técnico de cada Orden de Intervención, el Contratista deberá consolidar los controles aplicables y relacionar los resultados con las cantidades ejecutadas. El informe o registro de calidad podrá integrarse al formato de cierre de la Orden de Intervención siempre que contenga la información mínima exigida.</w:t>
      </w:r>
    </w:p>
    <w:p w14:paraId="2396663A" w14:textId="77777777" w:rsidR="00263B71" w:rsidRDefault="00263B71" w:rsidP="000B7149">
      <w:r>
        <w:t>No podrá cerrarse técnicamente una Orden de Intervención cuando existan ensayos obligatorios pendientes, resultados no conformes sin tratamiento, elementos rechazados sin corregir o ausencia de trazabilidad suficiente para los materiales cuya certificación sea exigible.</w:t>
      </w:r>
    </w:p>
    <w:p w14:paraId="5BDC83C7" w14:textId="77777777" w:rsidR="00263B71" w:rsidRDefault="00263B71" w:rsidP="00263B71">
      <w:pPr>
        <w:pStyle w:val="Ttulo2"/>
      </w:pPr>
      <w:r w:rsidRPr="00263B71">
        <w:t>7.5 CONSERVACIÓN DE REGISTROS</w:t>
      </w:r>
    </w:p>
    <w:p w14:paraId="35B858CA" w14:textId="77777777" w:rsidR="00263B71" w:rsidRDefault="00263B71" w:rsidP="000B7149">
      <w:r>
        <w:t>Los registros de calidad deberán conservarse durante la ejecución contractual y entregarse a la STT como parte del expediente técnico final. La organización de los archivos deberá permitir su consulta por Orden de Intervención, ubicación, elemento y fecha de ejecución.</w:t>
      </w:r>
    </w:p>
    <w:p w14:paraId="7C32FBA5" w14:textId="77777777" w:rsidR="00263B71" w:rsidRDefault="00263B71" w:rsidP="00263B71">
      <w:pPr>
        <w:pStyle w:val="Ttulo1"/>
      </w:pPr>
      <w:r w:rsidRPr="00263B71">
        <w:t>8. CRITERIOS PARA AJUSTE DE FRECUENCIAS Y CONTROLES</w:t>
      </w:r>
    </w:p>
    <w:p w14:paraId="4AECE6F8" w14:textId="77777777" w:rsidR="00263B71" w:rsidRDefault="00263B71" w:rsidP="000B7149">
      <w:r>
        <w:t>Las frecuencias establecidas en este Apéndice constituyen mínimos de control contractual. La supervisión podrá aumentar justificadamente la frecuencia cuando se presenten cambios de proveedor o lote, resultados próximos al límite de aceptación, fallas repetitivas, condiciones ambientales adversas, pérdida de trazabilidad, reclamaciones de calidad o cualquier circunstancia que genere duda técnica razonable.</w:t>
      </w:r>
    </w:p>
    <w:p w14:paraId="7D65A603" w14:textId="77777777" w:rsidR="00263B71" w:rsidRDefault="00263B71" w:rsidP="000B7149">
      <w:r>
        <w:t>La reducción de frecuencias mínimas solo procederá cuando una norma técnica aplicable contemple expresamente un esquema de control diferente o cuando exista una modificación formal de los documentos contractuales técnicamente sustentada. En ningún caso la reducción podrá utilizarse para omitir controles indispensables para la seguridad o desempeño de la intervención.</w:t>
      </w:r>
    </w:p>
    <w:p w14:paraId="3F9EACD6" w14:textId="77777777" w:rsidR="00263B71" w:rsidRDefault="00263B71" w:rsidP="000B7149">
      <w:r>
        <w:t>Los controles no previstos expresamente en este Apéndice pero exigidos por una norma obligatoria, por la ficha técnica aprobada del producto o por una especificación particular aplicable deberán ejecutarse con el mismo carácter contractual.</w:t>
      </w:r>
    </w:p>
    <w:p w14:paraId="177DADE8" w14:textId="77777777" w:rsidR="00263B71" w:rsidRPr="00263B71" w:rsidRDefault="00263B71" w:rsidP="00263B71"/>
    <w:sectPr w:rsidR="00263B71" w:rsidRPr="00263B71" w:rsidSect="009D2F21">
      <w:headerReference w:type="default" r:id="rId8"/>
      <w:footerReference w:type="default" r:id="rId9"/>
      <w:pgSz w:w="12240" w:h="15840"/>
      <w:pgMar w:top="993" w:right="1418" w:bottom="1134" w:left="1418" w:header="21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CAF5F" w14:textId="77777777" w:rsidR="00C54F38" w:rsidRDefault="00C54F38">
      <w:pPr>
        <w:spacing w:after="0"/>
      </w:pPr>
      <w:r>
        <w:separator/>
      </w:r>
    </w:p>
  </w:endnote>
  <w:endnote w:type="continuationSeparator" w:id="0">
    <w:p w14:paraId="41DF6EF8" w14:textId="77777777" w:rsidR="00C54F38" w:rsidRDefault="00C54F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75E1B" w14:textId="1A42EFD5" w:rsidR="00590D42" w:rsidRPr="00263B71" w:rsidRDefault="00263B71" w:rsidP="00263B71">
    <w:pPr>
      <w:pStyle w:val="Piedepgina"/>
    </w:pPr>
    <w:r w:rsidRPr="00263B71">
      <w:rPr>
        <w:sz w:val="14"/>
      </w:rPr>
      <w:t>Apéndice B – Control de Calidad, Ensayos y Criterios Técnicos de Aceptación – Vigencia 2026 | Secretaría de Tránsito y Transporte de Duitama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F749F" w14:textId="77777777" w:rsidR="00C54F38" w:rsidRDefault="00C54F38">
      <w:pPr>
        <w:spacing w:after="0"/>
      </w:pPr>
      <w:r>
        <w:separator/>
      </w:r>
    </w:p>
  </w:footnote>
  <w:footnote w:type="continuationSeparator" w:id="0">
    <w:p w14:paraId="4D7744DB" w14:textId="77777777" w:rsidR="00C54F38" w:rsidRDefault="00C54F3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horzAnchor="margin" w:tblpXSpec="center" w:tblpY="-538"/>
      <w:tblW w:w="90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050"/>
      <w:gridCol w:w="4837"/>
      <w:gridCol w:w="2114"/>
    </w:tblGrid>
    <w:tr w:rsidR="00F83177" w:rsidRPr="00F83177" w14:paraId="7E1108F7" w14:textId="77777777" w:rsidTr="009D2F21">
      <w:trPr>
        <w:cantSplit/>
        <w:trHeight w:val="538"/>
      </w:trPr>
      <w:tc>
        <w:tcPr>
          <w:tcW w:w="2050" w:type="dxa"/>
          <w:vMerge w:val="restart"/>
          <w:vAlign w:val="center"/>
        </w:tcPr>
        <w:p w14:paraId="647F9FE4" w14:textId="77777777" w:rsidR="00F83177" w:rsidRPr="00F83177" w:rsidRDefault="00F83177" w:rsidP="00F83177">
          <w:pPr>
            <w:pStyle w:val="Encabezado"/>
            <w:jc w:val="center"/>
            <w:rPr>
              <w:rFonts w:cs="Arial"/>
              <w:noProof/>
              <w:sz w:val="20"/>
              <w:szCs w:val="20"/>
            </w:rPr>
          </w:pPr>
          <w:r w:rsidRPr="00F83177">
            <w:rPr>
              <w:rFonts w:cs="Arial"/>
              <w:noProof/>
              <w:sz w:val="20"/>
              <w:szCs w:val="20"/>
            </w:rPr>
            <w:drawing>
              <wp:inline distT="0" distB="0" distL="0" distR="0" wp14:anchorId="1B094AD3" wp14:editId="4E8840CA">
                <wp:extent cx="1057275" cy="676275"/>
                <wp:effectExtent l="0" t="0" r="9525" b="9525"/>
                <wp:docPr id="60" name="Imagen 60" descr="Descripción: Descripción: escudo_y_let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_y_letra[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676275"/>
                        </a:xfrm>
                        <a:prstGeom prst="rect">
                          <a:avLst/>
                        </a:prstGeom>
                        <a:noFill/>
                        <a:ln>
                          <a:noFill/>
                        </a:ln>
                      </pic:spPr>
                    </pic:pic>
                  </a:graphicData>
                </a:graphic>
              </wp:inline>
            </w:drawing>
          </w:r>
        </w:p>
      </w:tc>
      <w:tc>
        <w:tcPr>
          <w:tcW w:w="4837" w:type="dxa"/>
          <w:vMerge w:val="restart"/>
          <w:tcBorders>
            <w:bottom w:val="single" w:sz="6" w:space="0" w:color="auto"/>
          </w:tcBorders>
          <w:vAlign w:val="center"/>
        </w:tcPr>
        <w:p w14:paraId="0F25CEA4" w14:textId="77777777" w:rsidR="00F83177" w:rsidRPr="00F83177" w:rsidRDefault="00F83177" w:rsidP="00F83177">
          <w:pPr>
            <w:pStyle w:val="Encabezado"/>
            <w:jc w:val="center"/>
            <w:rPr>
              <w:rFonts w:cs="Arial"/>
              <w:b/>
              <w:noProof/>
              <w:sz w:val="20"/>
              <w:szCs w:val="20"/>
            </w:rPr>
          </w:pPr>
          <w:r w:rsidRPr="00F83177">
            <w:rPr>
              <w:rFonts w:cs="Arial"/>
              <w:b/>
              <w:noProof/>
              <w:sz w:val="20"/>
              <w:szCs w:val="20"/>
            </w:rPr>
            <w:t>SISTEMA INTEGRADO DE GESTIÓN</w:t>
          </w:r>
        </w:p>
      </w:tc>
      <w:tc>
        <w:tcPr>
          <w:tcW w:w="2114" w:type="dxa"/>
          <w:tcBorders>
            <w:bottom w:val="single" w:sz="6" w:space="0" w:color="auto"/>
          </w:tcBorders>
          <w:vAlign w:val="center"/>
        </w:tcPr>
        <w:p w14:paraId="387510C4" w14:textId="77777777" w:rsidR="00F83177" w:rsidRPr="00F83177" w:rsidRDefault="00F83177" w:rsidP="00F83177">
          <w:pPr>
            <w:pStyle w:val="Encabezado"/>
            <w:jc w:val="center"/>
            <w:rPr>
              <w:rFonts w:cs="Arial"/>
              <w:b/>
              <w:bCs/>
              <w:sz w:val="14"/>
              <w:szCs w:val="18"/>
            </w:rPr>
          </w:pPr>
          <w:r w:rsidRPr="00F83177">
            <w:rPr>
              <w:rFonts w:cs="Arial"/>
              <w:b/>
              <w:sz w:val="14"/>
              <w:szCs w:val="18"/>
            </w:rPr>
            <w:t>Código: R-GJ-011</w:t>
          </w:r>
        </w:p>
      </w:tc>
    </w:tr>
    <w:tr w:rsidR="00F83177" w:rsidRPr="00F83177" w14:paraId="2F6EBF3F" w14:textId="77777777" w:rsidTr="009D2F21">
      <w:trPr>
        <w:cantSplit/>
        <w:trHeight w:val="376"/>
      </w:trPr>
      <w:tc>
        <w:tcPr>
          <w:tcW w:w="2050" w:type="dxa"/>
          <w:vMerge/>
          <w:vAlign w:val="bottom"/>
        </w:tcPr>
        <w:p w14:paraId="6E91DCCB" w14:textId="77777777" w:rsidR="00F83177" w:rsidRPr="00F83177" w:rsidRDefault="00F83177" w:rsidP="00F83177">
          <w:pPr>
            <w:pStyle w:val="Encabezado"/>
            <w:jc w:val="center"/>
            <w:rPr>
              <w:rFonts w:cs="Arial"/>
              <w:noProof/>
              <w:sz w:val="20"/>
              <w:szCs w:val="20"/>
            </w:rPr>
          </w:pPr>
        </w:p>
      </w:tc>
      <w:tc>
        <w:tcPr>
          <w:tcW w:w="4837" w:type="dxa"/>
          <w:vMerge/>
          <w:vAlign w:val="center"/>
        </w:tcPr>
        <w:p w14:paraId="6CD05BB1" w14:textId="77777777" w:rsidR="00F83177" w:rsidRPr="00F83177" w:rsidRDefault="00F83177" w:rsidP="00F83177">
          <w:pPr>
            <w:pStyle w:val="Encabezado"/>
            <w:jc w:val="center"/>
            <w:rPr>
              <w:rFonts w:cs="Arial"/>
              <w:b/>
              <w:noProof/>
              <w:sz w:val="20"/>
              <w:szCs w:val="20"/>
            </w:rPr>
          </w:pPr>
        </w:p>
      </w:tc>
      <w:tc>
        <w:tcPr>
          <w:tcW w:w="2114" w:type="dxa"/>
          <w:vAlign w:val="center"/>
        </w:tcPr>
        <w:p w14:paraId="105A9090" w14:textId="77777777" w:rsidR="00F83177" w:rsidRPr="00F83177" w:rsidRDefault="00F83177" w:rsidP="00F83177">
          <w:pPr>
            <w:pStyle w:val="Encabezado"/>
            <w:jc w:val="center"/>
            <w:rPr>
              <w:rFonts w:cs="Arial"/>
              <w:b/>
              <w:bCs/>
              <w:sz w:val="16"/>
              <w:szCs w:val="20"/>
            </w:rPr>
          </w:pPr>
          <w:r w:rsidRPr="00F83177">
            <w:rPr>
              <w:rFonts w:cs="Arial"/>
              <w:b/>
              <w:sz w:val="16"/>
              <w:szCs w:val="20"/>
            </w:rPr>
            <w:t>Fecha Aprobación:</w:t>
          </w:r>
        </w:p>
        <w:p w14:paraId="7D689024" w14:textId="77777777" w:rsidR="00F83177" w:rsidRPr="00F83177" w:rsidRDefault="00F83177" w:rsidP="00F83177">
          <w:pPr>
            <w:pStyle w:val="Encabezado"/>
            <w:jc w:val="center"/>
            <w:rPr>
              <w:rFonts w:cs="Arial"/>
              <w:b/>
              <w:bCs/>
              <w:sz w:val="14"/>
              <w:szCs w:val="18"/>
            </w:rPr>
          </w:pPr>
          <w:r w:rsidRPr="00F83177">
            <w:rPr>
              <w:rFonts w:cs="Arial"/>
              <w:b/>
              <w:sz w:val="14"/>
              <w:szCs w:val="18"/>
            </w:rPr>
            <w:t>28-04-2011</w:t>
          </w:r>
        </w:p>
      </w:tc>
    </w:tr>
    <w:tr w:rsidR="00F83177" w:rsidRPr="00F83177" w14:paraId="63362A8E" w14:textId="77777777" w:rsidTr="009D2F21">
      <w:trPr>
        <w:cantSplit/>
        <w:trHeight w:val="317"/>
      </w:trPr>
      <w:tc>
        <w:tcPr>
          <w:tcW w:w="2050" w:type="dxa"/>
          <w:vMerge/>
          <w:vAlign w:val="center"/>
        </w:tcPr>
        <w:p w14:paraId="46ABABA1" w14:textId="77777777" w:rsidR="00F83177" w:rsidRPr="00F83177" w:rsidRDefault="00F83177" w:rsidP="00F83177">
          <w:pPr>
            <w:pStyle w:val="Encabezado"/>
            <w:jc w:val="center"/>
            <w:rPr>
              <w:rFonts w:cs="Arial"/>
              <w:noProof/>
              <w:sz w:val="20"/>
              <w:szCs w:val="20"/>
            </w:rPr>
          </w:pPr>
        </w:p>
      </w:tc>
      <w:tc>
        <w:tcPr>
          <w:tcW w:w="4837" w:type="dxa"/>
          <w:vMerge w:val="restart"/>
          <w:vAlign w:val="center"/>
        </w:tcPr>
        <w:p w14:paraId="42E40DDD" w14:textId="77777777" w:rsidR="00F83177" w:rsidRPr="00F83177" w:rsidRDefault="00F83177" w:rsidP="00F83177">
          <w:pPr>
            <w:pStyle w:val="Encabezado"/>
            <w:jc w:val="center"/>
            <w:rPr>
              <w:rFonts w:cs="Arial"/>
              <w:b/>
              <w:noProof/>
              <w:sz w:val="20"/>
              <w:szCs w:val="20"/>
            </w:rPr>
          </w:pPr>
          <w:r w:rsidRPr="00F83177">
            <w:rPr>
              <w:rFonts w:cs="Arial"/>
              <w:b/>
              <w:sz w:val="20"/>
              <w:szCs w:val="20"/>
            </w:rPr>
            <w:t>ESTUDIOS Y DOCUMENTOS PREVIOS PARA CONVOCATORIA PÚBLICA</w:t>
          </w:r>
        </w:p>
      </w:tc>
      <w:tc>
        <w:tcPr>
          <w:tcW w:w="2114" w:type="dxa"/>
          <w:vAlign w:val="center"/>
        </w:tcPr>
        <w:p w14:paraId="41F4B0F9" w14:textId="77777777" w:rsidR="00F83177" w:rsidRPr="00F83177" w:rsidRDefault="00F83177" w:rsidP="00F83177">
          <w:pPr>
            <w:pStyle w:val="Encabezado"/>
            <w:jc w:val="center"/>
            <w:rPr>
              <w:rFonts w:cs="Arial"/>
              <w:b/>
              <w:bCs/>
              <w:sz w:val="14"/>
              <w:szCs w:val="18"/>
            </w:rPr>
          </w:pPr>
          <w:r w:rsidRPr="00F83177">
            <w:rPr>
              <w:rFonts w:cs="Arial"/>
              <w:b/>
              <w:sz w:val="14"/>
              <w:szCs w:val="18"/>
            </w:rPr>
            <w:t>Versión: 0</w:t>
          </w:r>
        </w:p>
      </w:tc>
    </w:tr>
    <w:tr w:rsidR="00F83177" w:rsidRPr="00F83177" w14:paraId="11EAE9D2" w14:textId="77777777" w:rsidTr="009D2F21">
      <w:trPr>
        <w:cantSplit/>
        <w:trHeight w:val="280"/>
      </w:trPr>
      <w:tc>
        <w:tcPr>
          <w:tcW w:w="2050" w:type="dxa"/>
          <w:vAlign w:val="center"/>
        </w:tcPr>
        <w:p w14:paraId="300B6B38" w14:textId="77777777" w:rsidR="00F83177" w:rsidRPr="00F83177" w:rsidRDefault="00F83177" w:rsidP="00F83177">
          <w:pPr>
            <w:pStyle w:val="Encabezado"/>
            <w:jc w:val="center"/>
            <w:rPr>
              <w:rFonts w:cs="Arial"/>
              <w:b/>
              <w:sz w:val="20"/>
              <w:szCs w:val="20"/>
            </w:rPr>
          </w:pPr>
          <w:r w:rsidRPr="00F83177">
            <w:rPr>
              <w:rFonts w:cs="Arial"/>
              <w:b/>
              <w:sz w:val="20"/>
              <w:szCs w:val="20"/>
            </w:rPr>
            <w:t>NIVEL CENTRAL</w:t>
          </w:r>
        </w:p>
      </w:tc>
      <w:tc>
        <w:tcPr>
          <w:tcW w:w="4837" w:type="dxa"/>
          <w:vMerge/>
          <w:vAlign w:val="center"/>
        </w:tcPr>
        <w:p w14:paraId="411D10D2" w14:textId="77777777" w:rsidR="00F83177" w:rsidRPr="00F83177" w:rsidRDefault="00F83177" w:rsidP="00F83177">
          <w:pPr>
            <w:pStyle w:val="Encabezado"/>
            <w:jc w:val="center"/>
            <w:rPr>
              <w:rFonts w:cs="Arial"/>
              <w:b/>
              <w:sz w:val="20"/>
              <w:szCs w:val="20"/>
            </w:rPr>
          </w:pPr>
        </w:p>
      </w:tc>
      <w:tc>
        <w:tcPr>
          <w:tcW w:w="2114" w:type="dxa"/>
          <w:vAlign w:val="center"/>
        </w:tcPr>
        <w:p w14:paraId="131B1B17" w14:textId="77777777" w:rsidR="0009205C" w:rsidRDefault="000066AE">
          <w:pPr>
            <w:jc w:val="center"/>
          </w:pPr>
          <w:r>
            <w:t xml:space="preserve">Página </w:t>
          </w:r>
          <w:r>
            <w:fldChar w:fldCharType="begin"/>
          </w:r>
          <w:r>
            <w:instrText>PAGE</w:instrText>
          </w:r>
          <w:r>
            <w:fldChar w:fldCharType="separate"/>
          </w:r>
          <w:r w:rsidR="00CA1CBC">
            <w:rPr>
              <w:noProof/>
            </w:rPr>
            <w:t>1</w:t>
          </w:r>
          <w:r>
            <w:fldChar w:fldCharType="end"/>
          </w:r>
        </w:p>
      </w:tc>
    </w:tr>
  </w:tbl>
  <w:p w14:paraId="7C18D40F" w14:textId="77777777" w:rsidR="00590D42" w:rsidRDefault="00590D42" w:rsidP="00F831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585EB1"/>
    <w:multiLevelType w:val="hybridMultilevel"/>
    <w:tmpl w:val="DAC20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4FC7840"/>
    <w:multiLevelType w:val="hybridMultilevel"/>
    <w:tmpl w:val="EBFE0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EE16B4"/>
    <w:multiLevelType w:val="hybridMultilevel"/>
    <w:tmpl w:val="4968A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D73F7B"/>
    <w:multiLevelType w:val="hybridMultilevel"/>
    <w:tmpl w:val="0DCCC8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B915D2D"/>
    <w:multiLevelType w:val="hybridMultilevel"/>
    <w:tmpl w:val="A2D2C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17C4D27"/>
    <w:multiLevelType w:val="hybridMultilevel"/>
    <w:tmpl w:val="5210A3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351328B"/>
    <w:multiLevelType w:val="hybridMultilevel"/>
    <w:tmpl w:val="94B8C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390253C"/>
    <w:multiLevelType w:val="hybridMultilevel"/>
    <w:tmpl w:val="3446F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C644CBB"/>
    <w:multiLevelType w:val="hybridMultilevel"/>
    <w:tmpl w:val="C16C08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 w:numId="22">
    <w:abstractNumId w:val="15"/>
  </w:num>
  <w:num w:numId="23">
    <w:abstractNumId w:val="13"/>
  </w:num>
  <w:num w:numId="24">
    <w:abstractNumId w:val="10"/>
  </w:num>
  <w:num w:numId="25">
    <w:abstractNumId w:val="11"/>
  </w:num>
  <w:num w:numId="26">
    <w:abstractNumId w:val="16"/>
  </w:num>
  <w:num w:numId="27">
    <w:abstractNumId w:val="9"/>
  </w:num>
  <w:num w:numId="28">
    <w:abstractNumId w:val="14"/>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17"/>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5C88"/>
    <w:rsid w:val="000066AE"/>
    <w:rsid w:val="00034616"/>
    <w:rsid w:val="00054ADB"/>
    <w:rsid w:val="0006063C"/>
    <w:rsid w:val="00082829"/>
    <w:rsid w:val="0009205C"/>
    <w:rsid w:val="000B7149"/>
    <w:rsid w:val="00143F2A"/>
    <w:rsid w:val="0015074B"/>
    <w:rsid w:val="00217F6C"/>
    <w:rsid w:val="00263B71"/>
    <w:rsid w:val="0029639D"/>
    <w:rsid w:val="002F0BF8"/>
    <w:rsid w:val="00326F90"/>
    <w:rsid w:val="00346BCD"/>
    <w:rsid w:val="00373408"/>
    <w:rsid w:val="0037663B"/>
    <w:rsid w:val="0040291F"/>
    <w:rsid w:val="00425E92"/>
    <w:rsid w:val="00432650"/>
    <w:rsid w:val="004B422C"/>
    <w:rsid w:val="004B608D"/>
    <w:rsid w:val="00504B7F"/>
    <w:rsid w:val="00564CA0"/>
    <w:rsid w:val="00590D42"/>
    <w:rsid w:val="005A407C"/>
    <w:rsid w:val="005C614D"/>
    <w:rsid w:val="00645BF4"/>
    <w:rsid w:val="006E2C6F"/>
    <w:rsid w:val="007B2D30"/>
    <w:rsid w:val="007D4B07"/>
    <w:rsid w:val="007E202A"/>
    <w:rsid w:val="007F77DF"/>
    <w:rsid w:val="00815D70"/>
    <w:rsid w:val="008F7247"/>
    <w:rsid w:val="00982700"/>
    <w:rsid w:val="009D2F21"/>
    <w:rsid w:val="009E562A"/>
    <w:rsid w:val="00A43A49"/>
    <w:rsid w:val="00A6581E"/>
    <w:rsid w:val="00AA1D8D"/>
    <w:rsid w:val="00AC0B2D"/>
    <w:rsid w:val="00B47730"/>
    <w:rsid w:val="00B51FF1"/>
    <w:rsid w:val="00B75A2D"/>
    <w:rsid w:val="00C000B8"/>
    <w:rsid w:val="00C07231"/>
    <w:rsid w:val="00C54F38"/>
    <w:rsid w:val="00CA1CBC"/>
    <w:rsid w:val="00CB0664"/>
    <w:rsid w:val="00CD0FDD"/>
    <w:rsid w:val="00D0346B"/>
    <w:rsid w:val="00D1071A"/>
    <w:rsid w:val="00D96E28"/>
    <w:rsid w:val="00DB004A"/>
    <w:rsid w:val="00DD046F"/>
    <w:rsid w:val="00DF172C"/>
    <w:rsid w:val="00E2050B"/>
    <w:rsid w:val="00EA0856"/>
    <w:rsid w:val="00ED1027"/>
    <w:rsid w:val="00F83177"/>
    <w:rsid w:val="00FC693F"/>
    <w:rsid w:val="00FF4F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5CBF4E"/>
  <w14:defaultImageDpi w14:val="300"/>
  <w15:docId w15:val="{B7C0CA0E-4BCE-4B5B-9F2E-72250D769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CBC"/>
    <w:pPr>
      <w:spacing w:after="80" w:line="240" w:lineRule="auto"/>
      <w:jc w:val="both"/>
    </w:pPr>
    <w:rPr>
      <w:rFonts w:ascii="Arial" w:hAnsi="Arial"/>
      <w:sz w:val="21"/>
      <w:lang w:val="es-CO"/>
    </w:rPr>
  </w:style>
  <w:style w:type="paragraph" w:styleId="Ttulo1">
    <w:name w:val="heading 1"/>
    <w:basedOn w:val="Normal"/>
    <w:next w:val="Normal"/>
    <w:link w:val="Ttulo1Car"/>
    <w:uiPriority w:val="9"/>
    <w:qFormat/>
    <w:rsid w:val="00CA1CBC"/>
    <w:pPr>
      <w:keepNext/>
      <w:keepLines/>
      <w:spacing w:before="140" w:after="60"/>
      <w:outlineLvl w:val="0"/>
    </w:pPr>
    <w:rPr>
      <w:rFonts w:eastAsiaTheme="majorEastAsia" w:cstheme="majorBidi"/>
      <w:b/>
      <w:bCs/>
      <w:color w:val="000000" w:themeColor="text1"/>
      <w:sz w:val="24"/>
      <w:szCs w:val="28"/>
    </w:rPr>
  </w:style>
  <w:style w:type="paragraph" w:styleId="Ttulo2">
    <w:name w:val="heading 2"/>
    <w:basedOn w:val="Normal"/>
    <w:next w:val="Normal"/>
    <w:link w:val="Ttulo2Car"/>
    <w:uiPriority w:val="9"/>
    <w:unhideWhenUsed/>
    <w:qFormat/>
    <w:rsid w:val="009D2F21"/>
    <w:pPr>
      <w:keepNext/>
      <w:keepLines/>
      <w:spacing w:before="140" w:after="60"/>
      <w:outlineLvl w:val="1"/>
    </w:pPr>
    <w:rPr>
      <w:rFonts w:eastAsiaTheme="majorEastAsia" w:cstheme="majorBidi"/>
      <w:b/>
      <w:bCs/>
      <w:color w:val="243238"/>
      <w:sz w:val="22"/>
      <w:szCs w:val="26"/>
    </w:rPr>
  </w:style>
  <w:style w:type="paragraph" w:styleId="Ttulo3">
    <w:name w:val="heading 3"/>
    <w:basedOn w:val="Normal"/>
    <w:next w:val="Normal"/>
    <w:link w:val="Ttulo3Car"/>
    <w:uiPriority w:val="9"/>
    <w:unhideWhenUsed/>
    <w:qFormat/>
    <w:rsid w:val="007B2D30"/>
    <w:pPr>
      <w:keepNext/>
      <w:keepLines/>
      <w:spacing w:before="140" w:after="60"/>
      <w:outlineLvl w:val="2"/>
    </w:pPr>
    <w:rPr>
      <w:rFonts w:eastAsiaTheme="majorEastAsia" w:cstheme="majorBidi"/>
      <w:b/>
      <w:bCs/>
      <w:color w:val="943634" w:themeColor="accent2" w:themeShade="BF"/>
      <w:sz w:val="22"/>
    </w:rPr>
  </w:style>
  <w:style w:type="paragraph" w:styleId="Ttulo4">
    <w:name w:val="heading 4"/>
    <w:basedOn w:val="Normal"/>
    <w:next w:val="Normal"/>
    <w:link w:val="Ttulo4Car"/>
    <w:uiPriority w:val="9"/>
    <w:semiHidden/>
    <w:unhideWhenUsed/>
    <w:qFormat/>
    <w:rsid w:val="00C07231"/>
    <w:pPr>
      <w:keepNext/>
      <w:keepLines/>
      <w:spacing w:before="200" w:after="0"/>
      <w:outlineLvl w:val="3"/>
    </w:pPr>
    <w:rPr>
      <w:rFonts w:eastAsiaTheme="majorEastAsia" w:cstheme="majorBidi"/>
      <w:b/>
      <w:bCs/>
      <w:i/>
      <w:iCs/>
      <w:color w:val="76923C" w:themeColor="accent3" w:themeShade="BF"/>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 Car Car Car Car Car,Encabezado Car Car,Encabezado Car Car Car Car Car,Encabezado Car Car Car Car Car Car Car Car,Haut de page,Encabezado 2,Cover Page"/>
    <w:basedOn w:val="Normal"/>
    <w:link w:val="EncabezadoCar"/>
    <w:uiPriority w:val="99"/>
    <w:unhideWhenUsed/>
    <w:rsid w:val="00E618BF"/>
    <w:pPr>
      <w:tabs>
        <w:tab w:val="center" w:pos="4680"/>
        <w:tab w:val="right" w:pos="9360"/>
      </w:tabs>
      <w:spacing w:after="0"/>
    </w:pPr>
  </w:style>
  <w:style w:type="character" w:customStyle="1" w:styleId="EncabezadoCar">
    <w:name w:val="Encabezado Car"/>
    <w:aliases w:val="h Car,h8 Car,h9 Car,h10 Car,h18 Car,encabezado Car,Encabezado Car Car Car Car Car Car Car,Encabezado Car Car Car,Encabezado Car Car Car Car Car Car1,Encabezado Car Car Car Car Car Car Car Car Car,Haut de page Car,Encabezado 2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CA1CBC"/>
    <w:rPr>
      <w:rFonts w:ascii="Arial" w:eastAsiaTheme="majorEastAsia" w:hAnsi="Arial" w:cstheme="majorBidi"/>
      <w:b/>
      <w:bCs/>
      <w:color w:val="000000" w:themeColor="text1"/>
      <w:sz w:val="24"/>
      <w:szCs w:val="28"/>
      <w:lang w:val="es-CO"/>
    </w:rPr>
  </w:style>
  <w:style w:type="character" w:customStyle="1" w:styleId="Ttulo2Car">
    <w:name w:val="Título 2 Car"/>
    <w:basedOn w:val="Fuentedeprrafopredeter"/>
    <w:link w:val="Ttulo2"/>
    <w:uiPriority w:val="9"/>
    <w:rsid w:val="009D2F21"/>
    <w:rPr>
      <w:rFonts w:ascii="Arial" w:eastAsiaTheme="majorEastAsia" w:hAnsi="Arial" w:cstheme="majorBidi"/>
      <w:b/>
      <w:bCs/>
      <w:color w:val="243238"/>
      <w:szCs w:val="26"/>
    </w:rPr>
  </w:style>
  <w:style w:type="character" w:customStyle="1" w:styleId="Ttulo3Car">
    <w:name w:val="Título 3 Car"/>
    <w:basedOn w:val="Fuentedeprrafopredeter"/>
    <w:link w:val="Ttulo3"/>
    <w:uiPriority w:val="9"/>
    <w:rsid w:val="007B2D30"/>
    <w:rPr>
      <w:rFonts w:ascii="Arial" w:eastAsiaTheme="majorEastAsia" w:hAnsi="Arial" w:cstheme="majorBidi"/>
      <w:b/>
      <w:bCs/>
      <w:color w:val="943634" w:themeColor="accent2" w:themeShade="BF"/>
      <w:lang w:val="es-CO"/>
    </w:rPr>
  </w:style>
  <w:style w:type="paragraph" w:styleId="Ttulo">
    <w:name w:val="Title"/>
    <w:basedOn w:val="Normal"/>
    <w:next w:val="Normal"/>
    <w:link w:val="Ttulo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C07231"/>
    <w:rPr>
      <w:rFonts w:ascii="Arial" w:eastAsiaTheme="majorEastAsia" w:hAnsi="Arial" w:cstheme="majorBidi"/>
      <w:b/>
      <w:bCs/>
      <w:i/>
      <w:iCs/>
      <w:color w:val="76923C" w:themeColor="accent3" w:themeShade="BF"/>
      <w:sz w:val="21"/>
      <w:lang w:val="es-CO"/>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unhideWhenUsed/>
    <w:qFormat/>
    <w:rsid w:val="00FC693F"/>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10</Pages>
  <Words>4957</Words>
  <Characters>27268</Characters>
  <Application>Microsoft Office Word</Application>
  <DocSecurity>0</DocSecurity>
  <Lines>227</Lines>
  <Paragraphs>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Apéndice A – Especificaciones Técnicas de Señalización Vial – Duitama 2026</vt:lpstr>
      <vt:lpstr/>
    </vt:vector>
  </TitlesOfParts>
  <Manager/>
  <Company/>
  <LinksUpToDate>false</LinksUpToDate>
  <CharactersWithSpaces>32161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Apéndice A – Especificaciones Técnicas de Señalización Vial – Duitama 2026</dc:title>
  <dc:subject/>
  <dc:creator>Secretaría de Tránsito y Transporte de Duitama</dc:creator>
  <cp:keywords/>
  <dc:description>generated by python-docx</dc:description>
  <cp:lastModifiedBy>Anonimo</cp:lastModifiedBy>
  <cp:revision>25</cp:revision>
  <dcterms:created xsi:type="dcterms:W3CDTF">2013-12-23T23:15:00Z</dcterms:created>
  <dcterms:modified xsi:type="dcterms:W3CDTF">2026-09-01T20:49:00Z</dcterms:modified>
  <cp:category/>
</cp:coreProperties>
</file>