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96139" w14:textId="26A79857" w:rsidR="0009205C" w:rsidRPr="00CA1CBC" w:rsidRDefault="000066AE">
      <w:pPr>
        <w:jc w:val="center"/>
        <w:rPr>
          <w:sz w:val="30"/>
          <w:szCs w:val="30"/>
        </w:rPr>
      </w:pPr>
      <w:r w:rsidRPr="00CA1CBC">
        <w:rPr>
          <w:b/>
          <w:sz w:val="30"/>
          <w:szCs w:val="30"/>
        </w:rPr>
        <w:t xml:space="preserve">APÉNDICE </w:t>
      </w:r>
      <w:r w:rsidR="00687F57">
        <w:rPr>
          <w:b/>
          <w:sz w:val="30"/>
          <w:szCs w:val="30"/>
        </w:rPr>
        <w:t>D</w:t>
      </w:r>
    </w:p>
    <w:p w14:paraId="337A994F" w14:textId="295790CD" w:rsidR="0009205C" w:rsidRPr="00CA1CBC" w:rsidRDefault="00687F57" w:rsidP="00CA1CBC">
      <w:pPr>
        <w:jc w:val="center"/>
        <w:rPr>
          <w:b/>
          <w:color w:val="0B5E55"/>
          <w:sz w:val="24"/>
          <w:szCs w:val="24"/>
        </w:rPr>
      </w:pPr>
      <w:r w:rsidRPr="00687F57">
        <w:rPr>
          <w:b/>
          <w:color w:val="0B5E55"/>
          <w:sz w:val="24"/>
          <w:szCs w:val="24"/>
        </w:rPr>
        <w:t>GARANTÍAS TÉCNICAS Y CONDICIONES DE DESEMPEÑO DE LA SEÑALIZACIÓN VIAL Y DISPOSITIVOS PARA LA REGULACIÓN Y SEGURIDAD DEL TRÁNSITO</w:t>
      </w:r>
    </w:p>
    <w:tbl>
      <w:tblPr>
        <w:tblStyle w:val="Tablaconcuadrcula"/>
        <w:tblW w:w="0" w:type="auto"/>
        <w:jc w:val="center"/>
        <w:tblLook w:val="04A0" w:firstRow="1" w:lastRow="0" w:firstColumn="1" w:lastColumn="0" w:noHBand="0" w:noVBand="1"/>
      </w:tblPr>
      <w:tblGrid>
        <w:gridCol w:w="1250"/>
        <w:gridCol w:w="2861"/>
        <w:gridCol w:w="1283"/>
        <w:gridCol w:w="2686"/>
      </w:tblGrid>
      <w:tr w:rsidR="00E3560F" w:rsidRPr="00CA1CBC" w14:paraId="6381382F" w14:textId="77777777" w:rsidTr="00E3560F">
        <w:trPr>
          <w:jc w:val="center"/>
        </w:trPr>
        <w:tc>
          <w:tcPr>
            <w:tcW w:w="1250" w:type="dxa"/>
            <w:shd w:val="clear" w:color="auto" w:fill="D9EAD3"/>
            <w:vAlign w:val="center"/>
          </w:tcPr>
          <w:p w14:paraId="01584924" w14:textId="77777777" w:rsidR="00E3560F" w:rsidRPr="00CA1CBC" w:rsidRDefault="00E3560F" w:rsidP="00E3560F">
            <w:pPr>
              <w:spacing w:after="0"/>
              <w:rPr>
                <w:sz w:val="16"/>
                <w:szCs w:val="16"/>
              </w:rPr>
            </w:pPr>
            <w:r w:rsidRPr="00CA1CBC">
              <w:rPr>
                <w:b/>
                <w:sz w:val="16"/>
                <w:szCs w:val="16"/>
              </w:rPr>
              <w:t>Entidad</w:t>
            </w:r>
          </w:p>
        </w:tc>
        <w:tc>
          <w:tcPr>
            <w:tcW w:w="2861" w:type="dxa"/>
            <w:vAlign w:val="center"/>
          </w:tcPr>
          <w:p w14:paraId="32FA8A99" w14:textId="2F7BBA47" w:rsidR="00E3560F" w:rsidRPr="00E3560F" w:rsidRDefault="00E3560F" w:rsidP="00E3560F">
            <w:pPr>
              <w:spacing w:after="0"/>
              <w:jc w:val="left"/>
              <w:rPr>
                <w:sz w:val="16"/>
                <w:szCs w:val="16"/>
              </w:rPr>
            </w:pPr>
            <w:r w:rsidRPr="00E3560F">
              <w:rPr>
                <w:sz w:val="16"/>
                <w:szCs w:val="16"/>
              </w:rPr>
              <w:t>Municipio de Duitama – Secretaría de Tránsito y Transporte</w:t>
            </w:r>
          </w:p>
        </w:tc>
        <w:tc>
          <w:tcPr>
            <w:tcW w:w="1283" w:type="dxa"/>
            <w:shd w:val="clear" w:color="auto" w:fill="D9EAD3"/>
            <w:vAlign w:val="center"/>
          </w:tcPr>
          <w:p w14:paraId="50A3E2FA" w14:textId="77777777" w:rsidR="00E3560F" w:rsidRPr="00CA1CBC" w:rsidRDefault="00E3560F" w:rsidP="00E3560F">
            <w:pPr>
              <w:spacing w:after="0"/>
              <w:rPr>
                <w:sz w:val="16"/>
                <w:szCs w:val="16"/>
              </w:rPr>
            </w:pPr>
            <w:r w:rsidRPr="00CA1CBC">
              <w:rPr>
                <w:b/>
                <w:sz w:val="16"/>
                <w:szCs w:val="16"/>
              </w:rPr>
              <w:t>Documento</w:t>
            </w:r>
          </w:p>
        </w:tc>
        <w:tc>
          <w:tcPr>
            <w:tcW w:w="2686" w:type="dxa"/>
            <w:vAlign w:val="center"/>
          </w:tcPr>
          <w:p w14:paraId="3A477C88" w14:textId="39B532A5" w:rsidR="00E3560F" w:rsidRPr="00E3560F" w:rsidRDefault="00687F57" w:rsidP="00E3560F">
            <w:pPr>
              <w:spacing w:after="0"/>
              <w:jc w:val="left"/>
              <w:rPr>
                <w:sz w:val="16"/>
                <w:szCs w:val="16"/>
              </w:rPr>
            </w:pPr>
            <w:r w:rsidRPr="00687F57">
              <w:rPr>
                <w:sz w:val="16"/>
                <w:szCs w:val="16"/>
              </w:rPr>
              <w:t>Apéndice D – Garantías Técnicas</w:t>
            </w:r>
          </w:p>
        </w:tc>
      </w:tr>
      <w:tr w:rsidR="00E3560F" w:rsidRPr="00CA1CBC" w14:paraId="7FE4A621" w14:textId="77777777" w:rsidTr="00E3560F">
        <w:trPr>
          <w:jc w:val="center"/>
        </w:trPr>
        <w:tc>
          <w:tcPr>
            <w:tcW w:w="1250" w:type="dxa"/>
            <w:shd w:val="clear" w:color="auto" w:fill="D9EAD3"/>
            <w:vAlign w:val="center"/>
          </w:tcPr>
          <w:p w14:paraId="6F55478D" w14:textId="77777777" w:rsidR="00E3560F" w:rsidRPr="00CA1CBC" w:rsidRDefault="00E3560F" w:rsidP="00E3560F">
            <w:pPr>
              <w:spacing w:after="0"/>
              <w:rPr>
                <w:sz w:val="16"/>
                <w:szCs w:val="16"/>
              </w:rPr>
            </w:pPr>
            <w:r w:rsidRPr="00CA1CBC">
              <w:rPr>
                <w:b/>
                <w:sz w:val="16"/>
                <w:szCs w:val="16"/>
              </w:rPr>
              <w:t>Aplicación</w:t>
            </w:r>
          </w:p>
        </w:tc>
        <w:tc>
          <w:tcPr>
            <w:tcW w:w="2861" w:type="dxa"/>
            <w:vAlign w:val="center"/>
          </w:tcPr>
          <w:p w14:paraId="35A6DC51" w14:textId="54BE3684" w:rsidR="00E3560F" w:rsidRPr="00E3560F" w:rsidRDefault="00E3560F" w:rsidP="00E3560F">
            <w:pPr>
              <w:spacing w:after="0"/>
              <w:jc w:val="left"/>
              <w:rPr>
                <w:sz w:val="16"/>
                <w:szCs w:val="16"/>
              </w:rPr>
            </w:pPr>
            <w:r w:rsidRPr="00E3560F">
              <w:rPr>
                <w:sz w:val="16"/>
                <w:szCs w:val="16"/>
              </w:rPr>
              <w:t>Proceso contractual de señalización vial</w:t>
            </w:r>
          </w:p>
        </w:tc>
        <w:tc>
          <w:tcPr>
            <w:tcW w:w="1283" w:type="dxa"/>
            <w:shd w:val="clear" w:color="auto" w:fill="D9EAD3"/>
            <w:vAlign w:val="center"/>
          </w:tcPr>
          <w:p w14:paraId="5D5EDF13" w14:textId="77777777" w:rsidR="00E3560F" w:rsidRPr="00CA1CBC" w:rsidRDefault="00E3560F" w:rsidP="00E3560F">
            <w:pPr>
              <w:spacing w:after="0"/>
              <w:rPr>
                <w:sz w:val="16"/>
                <w:szCs w:val="16"/>
              </w:rPr>
            </w:pPr>
            <w:r w:rsidRPr="00CA1CBC">
              <w:rPr>
                <w:b/>
                <w:sz w:val="16"/>
                <w:szCs w:val="16"/>
              </w:rPr>
              <w:t>Cobertura</w:t>
            </w:r>
          </w:p>
        </w:tc>
        <w:tc>
          <w:tcPr>
            <w:tcW w:w="2686" w:type="dxa"/>
            <w:vAlign w:val="center"/>
          </w:tcPr>
          <w:p w14:paraId="1BA0B8F7" w14:textId="291B1778" w:rsidR="00E3560F" w:rsidRPr="00E3560F" w:rsidRDefault="00687F57" w:rsidP="00E3560F">
            <w:pPr>
              <w:spacing w:after="0"/>
              <w:jc w:val="left"/>
              <w:rPr>
                <w:sz w:val="16"/>
                <w:szCs w:val="16"/>
              </w:rPr>
            </w:pPr>
            <w:r w:rsidRPr="00687F57">
              <w:rPr>
                <w:sz w:val="16"/>
                <w:szCs w:val="16"/>
              </w:rPr>
              <w:t>Elementos y actividades efectivamente ejecutados y recibidos</w:t>
            </w:r>
          </w:p>
        </w:tc>
      </w:tr>
      <w:tr w:rsidR="00E3560F" w:rsidRPr="00CA1CBC" w14:paraId="75D3E6BC" w14:textId="77777777" w:rsidTr="00E3560F">
        <w:trPr>
          <w:jc w:val="center"/>
        </w:trPr>
        <w:tc>
          <w:tcPr>
            <w:tcW w:w="1250" w:type="dxa"/>
            <w:shd w:val="clear" w:color="auto" w:fill="D9EAD3"/>
            <w:vAlign w:val="center"/>
          </w:tcPr>
          <w:p w14:paraId="01C64E5B" w14:textId="77777777" w:rsidR="00E3560F" w:rsidRPr="00CA1CBC" w:rsidRDefault="00E3560F" w:rsidP="00E3560F">
            <w:pPr>
              <w:spacing w:after="0"/>
              <w:rPr>
                <w:sz w:val="16"/>
                <w:szCs w:val="16"/>
              </w:rPr>
            </w:pPr>
            <w:r w:rsidRPr="00CA1CBC">
              <w:rPr>
                <w:b/>
                <w:sz w:val="16"/>
                <w:szCs w:val="16"/>
              </w:rPr>
              <w:t>Carácter</w:t>
            </w:r>
          </w:p>
        </w:tc>
        <w:tc>
          <w:tcPr>
            <w:tcW w:w="2861" w:type="dxa"/>
            <w:vAlign w:val="center"/>
          </w:tcPr>
          <w:p w14:paraId="2FB8B108" w14:textId="244D6351" w:rsidR="00E3560F" w:rsidRPr="00E3560F" w:rsidRDefault="00687F57" w:rsidP="00E3560F">
            <w:pPr>
              <w:spacing w:after="0"/>
              <w:jc w:val="left"/>
              <w:rPr>
                <w:sz w:val="16"/>
                <w:szCs w:val="16"/>
              </w:rPr>
            </w:pPr>
            <w:r w:rsidRPr="00687F57">
              <w:rPr>
                <w:sz w:val="16"/>
                <w:szCs w:val="16"/>
              </w:rPr>
              <w:t>Especificaciones técnicas de obligatorio cumplimiento</w:t>
            </w:r>
          </w:p>
        </w:tc>
        <w:tc>
          <w:tcPr>
            <w:tcW w:w="1283" w:type="dxa"/>
            <w:shd w:val="clear" w:color="auto" w:fill="D9EAD3"/>
            <w:vAlign w:val="center"/>
          </w:tcPr>
          <w:p w14:paraId="5B6C4DAF" w14:textId="77777777" w:rsidR="00E3560F" w:rsidRPr="00CA1CBC" w:rsidRDefault="00E3560F" w:rsidP="00E3560F">
            <w:pPr>
              <w:spacing w:after="0"/>
              <w:rPr>
                <w:sz w:val="16"/>
                <w:szCs w:val="16"/>
              </w:rPr>
            </w:pPr>
            <w:r w:rsidRPr="00CA1CBC">
              <w:rPr>
                <w:b/>
                <w:sz w:val="16"/>
                <w:szCs w:val="16"/>
              </w:rPr>
              <w:t>Complemento</w:t>
            </w:r>
          </w:p>
        </w:tc>
        <w:tc>
          <w:tcPr>
            <w:tcW w:w="2686" w:type="dxa"/>
            <w:vAlign w:val="center"/>
          </w:tcPr>
          <w:p w14:paraId="64ED11E2" w14:textId="76F90B05" w:rsidR="00E3560F" w:rsidRPr="00E3560F" w:rsidRDefault="00687F57" w:rsidP="00E3560F">
            <w:pPr>
              <w:spacing w:after="0"/>
              <w:jc w:val="left"/>
              <w:rPr>
                <w:sz w:val="16"/>
                <w:szCs w:val="16"/>
              </w:rPr>
            </w:pPr>
            <w:r w:rsidRPr="00687F57">
              <w:rPr>
                <w:sz w:val="16"/>
                <w:szCs w:val="16"/>
              </w:rPr>
              <w:t>Apéndices A, B y C y demás documentos contractuales</w:t>
            </w:r>
          </w:p>
        </w:tc>
      </w:tr>
    </w:tbl>
    <w:p w14:paraId="1240A571" w14:textId="4B28B5BA" w:rsidR="00E3560F" w:rsidRDefault="00E3560F">
      <w:pPr>
        <w:spacing w:after="200" w:line="276" w:lineRule="auto"/>
        <w:jc w:val="left"/>
      </w:pPr>
    </w:p>
    <w:p w14:paraId="0D12193B" w14:textId="77777777" w:rsidR="00687F57" w:rsidRDefault="00687F57" w:rsidP="00687F57">
      <w:pPr>
        <w:pStyle w:val="Ttulo1"/>
        <w:spacing w:before="0"/>
        <w:rPr>
          <w:rFonts w:cs="Arial"/>
          <w:szCs w:val="24"/>
        </w:rPr>
      </w:pPr>
      <w:r>
        <w:rPr>
          <w:rFonts w:cs="Arial"/>
          <w:szCs w:val="24"/>
        </w:rPr>
        <w:t>1. GENERALIDADES</w:t>
      </w:r>
    </w:p>
    <w:p w14:paraId="0A5EB50B" w14:textId="77777777" w:rsidR="00687F57" w:rsidRDefault="00687F57" w:rsidP="00687F57">
      <w:pPr>
        <w:pStyle w:val="Ttulo2"/>
        <w:spacing w:before="0"/>
        <w:rPr>
          <w:rFonts w:cs="Arial"/>
          <w:szCs w:val="22"/>
        </w:rPr>
      </w:pPr>
      <w:r>
        <w:rPr>
          <w:rFonts w:cs="Arial"/>
          <w:szCs w:val="22"/>
        </w:rPr>
        <w:t>1.1 OBJETO</w:t>
      </w:r>
    </w:p>
    <w:p w14:paraId="6E541AD8" w14:textId="77777777" w:rsidR="00687F57" w:rsidRPr="00687F57" w:rsidRDefault="00687F57" w:rsidP="00687F57">
      <w:r w:rsidRPr="00687F57">
        <w:t>El presente Apéndice establece las condiciones técnicas mínimas de garantía y desempeño aplicables a los materiales, elementos y actividades de señalización vial y dispositivos para la regulación y seguridad del tránsito ejecutados en desarrollo del contrato.</w:t>
      </w:r>
    </w:p>
    <w:p w14:paraId="2B96C4FC" w14:textId="77777777" w:rsidR="00687F57" w:rsidRPr="00687F57" w:rsidRDefault="00687F57" w:rsidP="00687F57">
      <w:r w:rsidRPr="00687F57">
        <w:t>Su finalidad es definir de manera verificable la duración exigible, cobertura, condiciones de evaluación, causales de atención, procedimiento técnico y obligaciones de corrección o reposición frente a fallas atribuibles a materiales, fabricación, suministro, preparación, aplicación, instalación o ejecución.</w:t>
      </w:r>
    </w:p>
    <w:p w14:paraId="520FBC68" w14:textId="77777777" w:rsidR="00687F57" w:rsidRDefault="00687F57" w:rsidP="00687F57">
      <w:pPr>
        <w:pStyle w:val="Ttulo2"/>
        <w:spacing w:before="0"/>
        <w:rPr>
          <w:rFonts w:cs="Arial"/>
          <w:szCs w:val="22"/>
        </w:rPr>
      </w:pPr>
      <w:r>
        <w:rPr>
          <w:rFonts w:cs="Arial"/>
          <w:szCs w:val="22"/>
        </w:rPr>
        <w:t>1.2 ALCANCE</w:t>
      </w:r>
    </w:p>
    <w:p w14:paraId="40BBB8D9" w14:textId="77777777" w:rsidR="00687F57" w:rsidRDefault="00687F57" w:rsidP="00687F57">
      <w:pPr>
        <w:rPr>
          <w:rFonts w:cs="Arial"/>
          <w:szCs w:val="21"/>
        </w:rPr>
      </w:pPr>
      <w:r>
        <w:rPr>
          <w:rFonts w:cs="Arial"/>
          <w:szCs w:val="21"/>
        </w:rPr>
        <w:t>Las garantías técnicas serán aplicables exclusivamente a los elementos y actividades efectivamente ejecutados, verificados y recibidos a satisfacción, sin que la inclusión de un elemento en este Apéndice constituya autorización de ejecución ni implique cantidades mínimas.</w:t>
      </w:r>
    </w:p>
    <w:p w14:paraId="7CAF3937" w14:textId="77777777" w:rsidR="00687F57" w:rsidRDefault="00687F57" w:rsidP="00687F57">
      <w:pPr>
        <w:rPr>
          <w:rFonts w:cs="Arial"/>
          <w:szCs w:val="21"/>
        </w:rPr>
      </w:pPr>
      <w:r>
        <w:rPr>
          <w:rFonts w:cs="Arial"/>
          <w:szCs w:val="21"/>
        </w:rPr>
        <w:t>El presente Apéndice desarrolla las remisiones a la matriz de garantías contenidas en el Apéndice A. Los controles de aceptación inicial se regirán por el Apéndice B y la trazabilidad de ubicación, inventario y planos récord por el Apéndice C.</w:t>
      </w:r>
    </w:p>
    <w:p w14:paraId="6932F1C2" w14:textId="77777777" w:rsidR="00687F57" w:rsidRDefault="00687F57" w:rsidP="00687F57">
      <w:pPr>
        <w:pStyle w:val="Ttulo2"/>
        <w:spacing w:before="0"/>
        <w:rPr>
          <w:rFonts w:cs="Arial"/>
          <w:szCs w:val="22"/>
        </w:rPr>
      </w:pPr>
      <w:r>
        <w:rPr>
          <w:rFonts w:cs="Arial"/>
          <w:szCs w:val="22"/>
        </w:rPr>
        <w:t>1.3 NATURALEZA DE LA GARANTÍA TÉCNICA</w:t>
      </w:r>
    </w:p>
    <w:p w14:paraId="62718634" w14:textId="77777777" w:rsidR="00687F57" w:rsidRDefault="00687F57" w:rsidP="00687F57">
      <w:pPr>
        <w:rPr>
          <w:rFonts w:cs="Arial"/>
          <w:szCs w:val="21"/>
        </w:rPr>
      </w:pPr>
      <w:r>
        <w:rPr>
          <w:rFonts w:cs="Arial"/>
          <w:szCs w:val="21"/>
        </w:rPr>
        <w:t>La garantía técnica corresponde a la obligación del Contratista de conservar, reparar, corregir, reinstalar o reponer, sin costo adicional para la Entidad, los elementos o trabajos que durante el periodo aplicable presenten fallas imputables al producto o a su ejecución.</w:t>
      </w:r>
    </w:p>
    <w:p w14:paraId="383653DB" w14:textId="77777777" w:rsidR="00687F57" w:rsidRDefault="00687F57" w:rsidP="00687F57">
      <w:pPr>
        <w:rPr>
          <w:rFonts w:cs="Arial"/>
          <w:szCs w:val="21"/>
        </w:rPr>
      </w:pPr>
      <w:r>
        <w:rPr>
          <w:rFonts w:cs="Arial"/>
          <w:szCs w:val="21"/>
        </w:rPr>
        <w:t>La garantía técnica prevista en este Apéndice es independiente de los amparos, pólizas y demás garantías contractuales que sean definidos en los documentos jurídicos del proceso. Este documento no establece porcentajes ni vigencias de los amparos contractuales.</w:t>
      </w:r>
    </w:p>
    <w:p w14:paraId="173BBFAB" w14:textId="77777777" w:rsidR="00687F57" w:rsidRDefault="00687F57" w:rsidP="00687F57">
      <w:pPr>
        <w:pStyle w:val="Ttulo2"/>
        <w:spacing w:before="0"/>
        <w:rPr>
          <w:rFonts w:cs="Arial"/>
          <w:szCs w:val="22"/>
        </w:rPr>
      </w:pPr>
      <w:r>
        <w:rPr>
          <w:rFonts w:cs="Arial"/>
          <w:szCs w:val="22"/>
        </w:rPr>
        <w:t>1.4 INICIO DEL CÓMPUTO</w:t>
      </w:r>
    </w:p>
    <w:p w14:paraId="6A34C50E" w14:textId="77777777" w:rsidR="00687F57" w:rsidRDefault="00687F57" w:rsidP="00687F57">
      <w:pPr>
        <w:rPr>
          <w:rFonts w:cs="Arial"/>
          <w:szCs w:val="21"/>
        </w:rPr>
      </w:pPr>
      <w:r>
        <w:rPr>
          <w:rFonts w:cs="Arial"/>
          <w:szCs w:val="21"/>
        </w:rPr>
        <w:t>El periodo de garantía técnica de cada elemento o actividad se contará a partir de su recibo a satisfacción, debidamente soportado en la Orden de Intervención, acta, registro o documento de recibo correspondiente.</w:t>
      </w:r>
    </w:p>
    <w:p w14:paraId="0578A44C" w14:textId="77777777" w:rsidR="00687F57" w:rsidRDefault="00687F57" w:rsidP="00687F57">
      <w:pPr>
        <w:rPr>
          <w:rFonts w:cs="Arial"/>
          <w:szCs w:val="21"/>
        </w:rPr>
      </w:pPr>
      <w:r>
        <w:rPr>
          <w:rFonts w:cs="Arial"/>
          <w:szCs w:val="21"/>
        </w:rPr>
        <w:t>Cuando una intervención sea corregida o repuesta en garantía, el elemento o área repuesta deberá cumplir nuevamente los requisitos de aceptación técnica.</w:t>
      </w:r>
    </w:p>
    <w:p w14:paraId="1DA185A2" w14:textId="77777777" w:rsidR="001D0445" w:rsidRPr="00F042A1" w:rsidRDefault="001D0445" w:rsidP="001D0445">
      <w:pPr>
        <w:rPr>
          <w:rFonts w:cs="Arial"/>
          <w:szCs w:val="21"/>
        </w:rPr>
      </w:pPr>
      <w:commentRangeStart w:id="0"/>
      <w:r w:rsidRPr="00F042A1">
        <w:rPr>
          <w:rFonts w:cs="Arial"/>
          <w:szCs w:val="21"/>
        </w:rPr>
        <w:t>Cuando un elemento, componente, material o actividad sea objeto de reposición o corrección como consecuencia de una reclamación de garantía atribuible al Contratista, el elemento o intervención repuesta deberá cumplir nuevamente la totalidad de los requisitos técnicos y de aceptación que le resulten aplicables.</w:t>
      </w:r>
    </w:p>
    <w:p w14:paraId="32368C3B" w14:textId="77777777" w:rsidR="001D0445" w:rsidRPr="00F042A1" w:rsidRDefault="001D0445" w:rsidP="001D0445">
      <w:pPr>
        <w:rPr>
          <w:rFonts w:cs="Arial"/>
          <w:szCs w:val="21"/>
        </w:rPr>
      </w:pPr>
      <w:r w:rsidRPr="00F042A1">
        <w:rPr>
          <w:rFonts w:cs="Arial"/>
          <w:szCs w:val="21"/>
        </w:rPr>
        <w:lastRenderedPageBreak/>
        <w:t>A partir de la fecha de recibo a satisfacción de la reposición o corrección se iniciará un nuevo periodo de garantía técnica, por una duración igual a la establecida originalmente para el elemento, componente o actividad objeto de reposición.</w:t>
      </w:r>
    </w:p>
    <w:p w14:paraId="51741C55" w14:textId="77777777" w:rsidR="001D0445" w:rsidRPr="00F042A1" w:rsidRDefault="001D0445" w:rsidP="001D0445">
      <w:pPr>
        <w:rPr>
          <w:rFonts w:cs="Arial"/>
          <w:szCs w:val="21"/>
        </w:rPr>
      </w:pPr>
      <w:r w:rsidRPr="00F042A1">
        <w:rPr>
          <w:rFonts w:cs="Arial"/>
          <w:szCs w:val="21"/>
        </w:rPr>
        <w:t>Cuando la corrección afecte únicamente una parte claramente individualizable de una intervención, el nuevo periodo de garantía se aplicará exclusivamente sobre la parte corregida o repuesta, sin modificar el periodo de garantía de los elementos que no hayan sido intervenidos.</w:t>
      </w:r>
    </w:p>
    <w:p w14:paraId="0043B4E8" w14:textId="51CA104A" w:rsidR="00687F57" w:rsidRDefault="001D0445" w:rsidP="001D0445">
      <w:pPr>
        <w:rPr>
          <w:rFonts w:cs="Arial"/>
          <w:szCs w:val="21"/>
        </w:rPr>
      </w:pPr>
      <w:r w:rsidRPr="00F042A1">
        <w:rPr>
          <w:rFonts w:cs="Arial"/>
          <w:szCs w:val="21"/>
        </w:rPr>
        <w:t>Lo anterior se aplicará sin perjuicio de las garantías, amparos y demás mecanismos contractuales establecidos en el contrato y en la normativa aplicable.</w:t>
      </w:r>
      <w:commentRangeEnd w:id="0"/>
      <w:r w:rsidR="00F042A1">
        <w:rPr>
          <w:rStyle w:val="Refdecomentario"/>
        </w:rPr>
        <w:commentReference w:id="0"/>
      </w:r>
    </w:p>
    <w:p w14:paraId="407FCBB9" w14:textId="77777777" w:rsidR="00687F57" w:rsidRDefault="00687F57" w:rsidP="00687F57">
      <w:pPr>
        <w:pStyle w:val="Ttulo2"/>
        <w:spacing w:before="0"/>
        <w:rPr>
          <w:rFonts w:cs="Arial"/>
          <w:szCs w:val="22"/>
        </w:rPr>
      </w:pPr>
      <w:r>
        <w:rPr>
          <w:rFonts w:cs="Arial"/>
          <w:szCs w:val="22"/>
        </w:rPr>
        <w:t>1.5 PRINCIPIOS</w:t>
      </w:r>
    </w:p>
    <w:p w14:paraId="01B74ED4" w14:textId="77777777" w:rsidR="00687F57" w:rsidRDefault="00687F57" w:rsidP="00687F57">
      <w:pPr>
        <w:pStyle w:val="Listaconvietas"/>
        <w:rPr>
          <w:rFonts w:cs="Arial"/>
          <w:szCs w:val="21"/>
        </w:rPr>
      </w:pPr>
      <w:r>
        <w:rPr>
          <w:rFonts w:cs="Arial"/>
          <w:szCs w:val="21"/>
        </w:rPr>
        <w:t>Imputabilidad: la garantía procede frente a fallas atribuibles al material, fabricación, suministro, preparación, aplicación, fijación, instalación o ejecución.</w:t>
      </w:r>
    </w:p>
    <w:p w14:paraId="7057DBFA" w14:textId="77777777" w:rsidR="00687F57" w:rsidRDefault="00687F57" w:rsidP="00687F57">
      <w:pPr>
        <w:pStyle w:val="Listaconvietas"/>
        <w:rPr>
          <w:rFonts w:cs="Arial"/>
          <w:szCs w:val="21"/>
        </w:rPr>
      </w:pPr>
      <w:r>
        <w:rPr>
          <w:rFonts w:cs="Arial"/>
          <w:szCs w:val="21"/>
        </w:rPr>
        <w:t>Trazabilidad: toda reclamación deberá relacionarse con ubicación, Orden de Intervención, fecha de ejecución, material o elemento y soportes disponibles.</w:t>
      </w:r>
    </w:p>
    <w:p w14:paraId="759EF22B" w14:textId="77777777" w:rsidR="00687F57" w:rsidRDefault="00687F57" w:rsidP="00687F57">
      <w:pPr>
        <w:pStyle w:val="Listaconvietas"/>
        <w:rPr>
          <w:rFonts w:cs="Arial"/>
          <w:szCs w:val="21"/>
        </w:rPr>
      </w:pPr>
      <w:r>
        <w:rPr>
          <w:rFonts w:cs="Arial"/>
          <w:szCs w:val="21"/>
        </w:rPr>
        <w:t>Proporcionalidad: la evaluación considerará las condiciones reales de exposición y servicio cuando estas hayan sido documentadas previamente.</w:t>
      </w:r>
    </w:p>
    <w:p w14:paraId="6DBD3F33" w14:textId="77777777" w:rsidR="00687F57" w:rsidRDefault="00687F57" w:rsidP="00687F57">
      <w:pPr>
        <w:pStyle w:val="Listaconvietas"/>
        <w:rPr>
          <w:rFonts w:cs="Arial"/>
          <w:szCs w:val="21"/>
        </w:rPr>
      </w:pPr>
      <w:r>
        <w:rPr>
          <w:rFonts w:cs="Arial"/>
          <w:szCs w:val="21"/>
        </w:rPr>
        <w:t>Restitución funcional: la atención deberá recuperar la condición técnica y de seguridad exigible, no limitarse a ocultar el defecto.</w:t>
      </w:r>
    </w:p>
    <w:p w14:paraId="102E70CE" w14:textId="77777777" w:rsidR="00687F57" w:rsidRDefault="00687F57" w:rsidP="00687F57">
      <w:pPr>
        <w:pStyle w:val="Listaconvietas"/>
        <w:rPr>
          <w:rFonts w:cs="Arial"/>
          <w:szCs w:val="21"/>
        </w:rPr>
      </w:pPr>
      <w:r>
        <w:rPr>
          <w:rFonts w:cs="Arial"/>
          <w:szCs w:val="21"/>
        </w:rPr>
        <w:t>No costo para la Entidad: las correcciones imputables al Contratista incluirán materiales, mano de obra, equipos, transporte, retiro, disposición y restituciones necesarias.</w:t>
      </w:r>
    </w:p>
    <w:p w14:paraId="60AA4A41" w14:textId="77777777" w:rsidR="00687F57" w:rsidRDefault="00687F57" w:rsidP="00687F57">
      <w:pPr>
        <w:pStyle w:val="Listaconvietas"/>
        <w:numPr>
          <w:ilvl w:val="0"/>
          <w:numId w:val="0"/>
        </w:numPr>
        <w:tabs>
          <w:tab w:val="left" w:pos="708"/>
        </w:tabs>
        <w:rPr>
          <w:rFonts w:cs="Arial"/>
          <w:szCs w:val="21"/>
        </w:rPr>
      </w:pPr>
    </w:p>
    <w:p w14:paraId="7FEF7B06" w14:textId="77777777" w:rsidR="00687F57" w:rsidRDefault="00687F57" w:rsidP="00687F57">
      <w:pPr>
        <w:pStyle w:val="Ttulo1"/>
        <w:spacing w:before="0"/>
        <w:rPr>
          <w:rFonts w:cs="Arial"/>
          <w:szCs w:val="24"/>
        </w:rPr>
      </w:pPr>
      <w:r>
        <w:t>2. CONDICIONES PREVIAS DE INSTALACIÓN Y DESEMPEÑO</w:t>
      </w:r>
    </w:p>
    <w:p w14:paraId="214F8619" w14:textId="77777777" w:rsidR="00687F57" w:rsidRDefault="00687F57" w:rsidP="00687F57">
      <w:pPr>
        <w:pStyle w:val="Ttulo2"/>
        <w:spacing w:before="0"/>
        <w:rPr>
          <w:rFonts w:cs="Arial"/>
          <w:szCs w:val="22"/>
        </w:rPr>
      </w:pPr>
      <w:r>
        <w:t>2.1 CONDICIONES ADECUADAS DE INSTALACIÓN</w:t>
      </w:r>
    </w:p>
    <w:p w14:paraId="02D83CBC" w14:textId="77777777" w:rsidR="00687F57" w:rsidRDefault="00687F57" w:rsidP="00687F57">
      <w:pPr>
        <w:rPr>
          <w:rFonts w:cs="Arial"/>
          <w:szCs w:val="21"/>
        </w:rPr>
      </w:pPr>
      <w:r>
        <w:t>Para efectos de la garantía técnica, se entenderán como condiciones adecuadas aquellas en las que el elemento o actividad se ejecuta sobre infraestructura compatible con el sistema especificado, con preparación suficiente de la superficie o soporte, geometría y procedimiento constructivo apropiados y condiciones de servicio que no impidan técnicamente su correcta implementación.</w:t>
      </w:r>
    </w:p>
    <w:p w14:paraId="3C9EAEFF" w14:textId="77777777" w:rsidR="00687F57" w:rsidRDefault="00687F57" w:rsidP="00687F57">
      <w:pPr>
        <w:rPr>
          <w:rFonts w:cs="Arial"/>
          <w:szCs w:val="21"/>
        </w:rPr>
      </w:pPr>
      <w:r>
        <w:t>La existencia de condiciones desfavorables no autoriza por sí sola la reducción de los periodos de garantía establecidos en el numeral 4. Antes de ejecutar, deberán evaluarse las medidas de preparación, reparación localizada, adecuación del sustrato, modificación del procedimiento o selección de un sistema técnicamente compatible.</w:t>
      </w:r>
    </w:p>
    <w:p w14:paraId="2EAC370B" w14:textId="77777777" w:rsidR="00687F57" w:rsidRDefault="00687F57" w:rsidP="00687F57">
      <w:pPr>
        <w:pStyle w:val="Ttulo2"/>
        <w:spacing w:before="0"/>
        <w:rPr>
          <w:rFonts w:cs="Arial"/>
          <w:szCs w:val="22"/>
        </w:rPr>
      </w:pPr>
      <w:r>
        <w:t>2.2 VARIABLES DE VERIFICACIÓN PREVIA</w:t>
      </w:r>
    </w:p>
    <w:p w14:paraId="1FC879A3" w14:textId="77777777" w:rsidR="00687F57" w:rsidRDefault="00687F57" w:rsidP="00687F57">
      <w:pPr>
        <w:rPr>
          <w:rFonts w:cs="Arial"/>
          <w:szCs w:val="21"/>
        </w:rPr>
      </w:pPr>
      <w:r>
        <w:t>Durante la verificación previa de cada intervención se considerarán, cuando resulten pertinentes, las siguientes variables que pueden incidir en el desempeño del elemento o actividad:</w:t>
      </w:r>
    </w:p>
    <w:p w14:paraId="68EF377B" w14:textId="77777777" w:rsidR="00687F57" w:rsidRDefault="00687F57" w:rsidP="00687F57">
      <w:pPr>
        <w:pStyle w:val="Listaconvietas"/>
        <w:rPr>
          <w:rFonts w:cs="Arial"/>
          <w:szCs w:val="21"/>
        </w:rPr>
      </w:pPr>
      <w:r>
        <w:rPr>
          <w:rFonts w:cs="Arial"/>
          <w:szCs w:val="21"/>
        </w:rPr>
        <w:t>tránsito o nivel de solicitación vehicular;</w:t>
      </w:r>
    </w:p>
    <w:p w14:paraId="3C305EA6" w14:textId="77777777" w:rsidR="00687F57" w:rsidRDefault="00687F57" w:rsidP="00687F57">
      <w:pPr>
        <w:pStyle w:val="Listaconvietas"/>
        <w:rPr>
          <w:rFonts w:cs="Arial"/>
          <w:szCs w:val="21"/>
        </w:rPr>
      </w:pPr>
      <w:r>
        <w:rPr>
          <w:rFonts w:cs="Arial"/>
          <w:szCs w:val="21"/>
        </w:rPr>
        <w:t>contaminación o presencia recurrente de agentes que afecten adherencia o visibilidad;</w:t>
      </w:r>
    </w:p>
    <w:p w14:paraId="26ABCE8A" w14:textId="77777777" w:rsidR="00687F57" w:rsidRDefault="00687F57" w:rsidP="00687F57">
      <w:pPr>
        <w:pStyle w:val="Listaconvietas"/>
        <w:rPr>
          <w:rFonts w:cs="Arial"/>
          <w:szCs w:val="21"/>
        </w:rPr>
      </w:pPr>
      <w:r>
        <w:rPr>
          <w:rFonts w:cs="Arial"/>
          <w:szCs w:val="21"/>
        </w:rPr>
        <w:t>estado y naturaleza del pavimento o sustrato;</w:t>
      </w:r>
    </w:p>
    <w:p w14:paraId="281F3B82" w14:textId="77777777" w:rsidR="00687F57" w:rsidRDefault="00687F57" w:rsidP="00687F57">
      <w:pPr>
        <w:pStyle w:val="Listaconvietas"/>
        <w:rPr>
          <w:rFonts w:cs="Arial"/>
          <w:szCs w:val="21"/>
        </w:rPr>
      </w:pPr>
      <w:r>
        <w:rPr>
          <w:rFonts w:cs="Arial"/>
          <w:szCs w:val="21"/>
        </w:rPr>
        <w:t>afectación por condiciones geométricas, maniobras, frenado, giros o invasión recurrente;</w:t>
      </w:r>
    </w:p>
    <w:p w14:paraId="513AA69E" w14:textId="77777777" w:rsidR="00687F57" w:rsidRDefault="00687F57" w:rsidP="00687F57">
      <w:pPr>
        <w:pStyle w:val="Listaconvietas"/>
        <w:rPr>
          <w:rFonts w:cs="Arial"/>
          <w:szCs w:val="21"/>
        </w:rPr>
      </w:pPr>
      <w:r>
        <w:rPr>
          <w:rFonts w:cs="Arial"/>
          <w:szCs w:val="21"/>
        </w:rPr>
        <w:t>condiciones ambientales y exposición;</w:t>
      </w:r>
    </w:p>
    <w:p w14:paraId="5216E4AC" w14:textId="77777777" w:rsidR="00687F57" w:rsidRDefault="00687F57" w:rsidP="00687F57">
      <w:pPr>
        <w:pStyle w:val="Listaconvietas"/>
        <w:rPr>
          <w:rFonts w:cs="Arial"/>
          <w:szCs w:val="21"/>
        </w:rPr>
      </w:pPr>
      <w:r>
        <w:rPr>
          <w:rFonts w:cs="Arial"/>
          <w:szCs w:val="21"/>
        </w:rPr>
        <w:t>sistema de fijación y condición del soporte;</w:t>
      </w:r>
    </w:p>
    <w:p w14:paraId="534F7C31" w14:textId="77777777" w:rsidR="00687F57" w:rsidRDefault="00687F57" w:rsidP="00687F57">
      <w:pPr>
        <w:pStyle w:val="Listaconvietas"/>
        <w:rPr>
          <w:rFonts w:cs="Arial"/>
          <w:szCs w:val="21"/>
        </w:rPr>
      </w:pPr>
      <w:r>
        <w:rPr>
          <w:rFonts w:cs="Arial"/>
          <w:szCs w:val="21"/>
        </w:rPr>
        <w:t>riesgos de impacto, vandalismo u otras condiciones externas identificables.</w:t>
      </w:r>
    </w:p>
    <w:p w14:paraId="2B5C383F" w14:textId="233E615B" w:rsidR="00687F57" w:rsidRDefault="00687F57" w:rsidP="00687F57">
      <w:pPr>
        <w:pStyle w:val="Ttulo2"/>
        <w:spacing w:before="0"/>
        <w:rPr>
          <w:rFonts w:cs="Arial"/>
          <w:szCs w:val="22"/>
        </w:rPr>
      </w:pPr>
      <w:r>
        <w:t>2.3 CLASIFICACIÓN DE CONDICIONES DEL SITIO</w:t>
      </w:r>
    </w:p>
    <w:p w14:paraId="5BD15AA7" w14:textId="77777777" w:rsidR="00E41E80" w:rsidRDefault="00E41E80" w:rsidP="00E41E80">
      <w:r>
        <w:t>Para documentar las condiciones bajo las cuales se ejecutará la intervención, podrán clasificarse las variables de tránsito o solicitación vehicular, contaminación del sustrato, estado del pavimento o superficie de instalación y afectación geométrica u operacional, conforme a la tabla siguiente.</w:t>
      </w:r>
    </w:p>
    <w:p w14:paraId="098F9A3A" w14:textId="77777777" w:rsidR="00E41E80" w:rsidRDefault="00E41E80" w:rsidP="00E41E80"/>
    <w:p w14:paraId="2B299F60" w14:textId="651C6993" w:rsidR="00491B20" w:rsidRDefault="00E41E80" w:rsidP="00E41E80">
      <w:r>
        <w:lastRenderedPageBreak/>
        <w:t>La clasificación se efectuará durante la verificación previa cuando las condiciones particulares del sitio puedan incidir de manera significativa en la selección del material, preparación de la superficie, procedimiento de instalación o desempeño esperado.</w:t>
      </w:r>
    </w:p>
    <w:tbl>
      <w:tblPr>
        <w:tblStyle w:val="Tablaconcuadrcula"/>
        <w:tblW w:w="0" w:type="auto"/>
        <w:jc w:val="center"/>
        <w:tblLook w:val="04A0" w:firstRow="1" w:lastRow="0" w:firstColumn="1" w:lastColumn="0" w:noHBand="0" w:noVBand="1"/>
      </w:tblPr>
      <w:tblGrid>
        <w:gridCol w:w="2217"/>
        <w:gridCol w:w="887"/>
        <w:gridCol w:w="5631"/>
      </w:tblGrid>
      <w:tr w:rsidR="00491B20" w:rsidRPr="00491B20" w14:paraId="390193D9" w14:textId="77777777" w:rsidTr="008F09F2">
        <w:trPr>
          <w:trHeight w:val="333"/>
          <w:jc w:val="center"/>
        </w:trPr>
        <w:tc>
          <w:tcPr>
            <w:tcW w:w="2217" w:type="dxa"/>
            <w:shd w:val="clear" w:color="auto" w:fill="0B5E55"/>
            <w:vAlign w:val="center"/>
            <w:hideMark/>
          </w:tcPr>
          <w:p w14:paraId="3D103FEF" w14:textId="77777777" w:rsidR="00491B20" w:rsidRPr="00491B20" w:rsidRDefault="00491B20" w:rsidP="00491B20">
            <w:pPr>
              <w:spacing w:after="0"/>
              <w:jc w:val="center"/>
              <w:rPr>
                <w:rFonts w:eastAsia="Times New Roman" w:cs="Arial"/>
                <w:b/>
                <w:bCs/>
                <w:color w:val="FFFFFF" w:themeColor="background1"/>
                <w:sz w:val="18"/>
                <w:szCs w:val="18"/>
                <w:lang w:eastAsia="es-CO"/>
              </w:rPr>
            </w:pPr>
            <w:r w:rsidRPr="00491B20">
              <w:rPr>
                <w:rFonts w:eastAsia="Times New Roman" w:cs="Arial"/>
                <w:b/>
                <w:bCs/>
                <w:color w:val="FFFFFF" w:themeColor="background1"/>
                <w:sz w:val="18"/>
                <w:szCs w:val="18"/>
                <w:lang w:eastAsia="es-CO"/>
              </w:rPr>
              <w:t>Variable</w:t>
            </w:r>
          </w:p>
        </w:tc>
        <w:tc>
          <w:tcPr>
            <w:tcW w:w="0" w:type="auto"/>
            <w:shd w:val="clear" w:color="auto" w:fill="0B5E55"/>
            <w:vAlign w:val="center"/>
            <w:hideMark/>
          </w:tcPr>
          <w:p w14:paraId="33718679" w14:textId="77777777" w:rsidR="00491B20" w:rsidRPr="00491B20" w:rsidRDefault="00491B20" w:rsidP="00491B20">
            <w:pPr>
              <w:spacing w:after="0"/>
              <w:jc w:val="center"/>
              <w:rPr>
                <w:rFonts w:eastAsia="Times New Roman" w:cs="Arial"/>
                <w:b/>
                <w:bCs/>
                <w:color w:val="FFFFFF" w:themeColor="background1"/>
                <w:sz w:val="18"/>
                <w:szCs w:val="18"/>
                <w:lang w:eastAsia="es-CO"/>
              </w:rPr>
            </w:pPr>
            <w:r w:rsidRPr="00491B20">
              <w:rPr>
                <w:rFonts w:eastAsia="Times New Roman" w:cs="Arial"/>
                <w:b/>
                <w:bCs/>
                <w:color w:val="FFFFFF" w:themeColor="background1"/>
                <w:sz w:val="18"/>
                <w:szCs w:val="18"/>
                <w:lang w:eastAsia="es-CO"/>
              </w:rPr>
              <w:t>Nivel</w:t>
            </w:r>
          </w:p>
        </w:tc>
        <w:tc>
          <w:tcPr>
            <w:tcW w:w="5631" w:type="dxa"/>
            <w:shd w:val="clear" w:color="auto" w:fill="0B5E55"/>
            <w:vAlign w:val="center"/>
            <w:hideMark/>
          </w:tcPr>
          <w:p w14:paraId="254090D9" w14:textId="77777777" w:rsidR="00491B20" w:rsidRPr="00491B20" w:rsidRDefault="00491B20" w:rsidP="00491B20">
            <w:pPr>
              <w:spacing w:after="0"/>
              <w:jc w:val="center"/>
              <w:rPr>
                <w:rFonts w:eastAsia="Times New Roman" w:cs="Arial"/>
                <w:b/>
                <w:bCs/>
                <w:color w:val="FFFFFF" w:themeColor="background1"/>
                <w:sz w:val="18"/>
                <w:szCs w:val="18"/>
                <w:lang w:eastAsia="es-CO"/>
              </w:rPr>
            </w:pPr>
            <w:r w:rsidRPr="00491B20">
              <w:rPr>
                <w:rFonts w:eastAsia="Times New Roman" w:cs="Arial"/>
                <w:b/>
                <w:bCs/>
                <w:color w:val="FFFFFF" w:themeColor="background1"/>
                <w:sz w:val="18"/>
                <w:szCs w:val="18"/>
                <w:lang w:eastAsia="es-CO"/>
              </w:rPr>
              <w:t>Criterio propuesto</w:t>
            </w:r>
          </w:p>
        </w:tc>
      </w:tr>
      <w:tr w:rsidR="00491B20" w:rsidRPr="008F09F2" w14:paraId="5E8DEF05" w14:textId="77777777" w:rsidTr="008F09F2">
        <w:trPr>
          <w:jc w:val="center"/>
        </w:trPr>
        <w:tc>
          <w:tcPr>
            <w:tcW w:w="2217" w:type="dxa"/>
            <w:vMerge w:val="restart"/>
            <w:vAlign w:val="center"/>
            <w:hideMark/>
          </w:tcPr>
          <w:p w14:paraId="0C91BC75"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b/>
                <w:bCs/>
                <w:sz w:val="18"/>
                <w:szCs w:val="18"/>
                <w:lang w:eastAsia="es-CO"/>
              </w:rPr>
              <w:t>Tránsito / solicitación</w:t>
            </w:r>
          </w:p>
        </w:tc>
        <w:tc>
          <w:tcPr>
            <w:tcW w:w="0" w:type="auto"/>
            <w:vAlign w:val="center"/>
            <w:hideMark/>
          </w:tcPr>
          <w:p w14:paraId="4DF79910"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b/>
                <w:bCs/>
                <w:sz w:val="18"/>
                <w:szCs w:val="18"/>
                <w:lang w:eastAsia="es-CO"/>
              </w:rPr>
              <w:t>Bajo</w:t>
            </w:r>
          </w:p>
        </w:tc>
        <w:tc>
          <w:tcPr>
            <w:tcW w:w="5631" w:type="dxa"/>
            <w:vAlign w:val="center"/>
            <w:hideMark/>
          </w:tcPr>
          <w:p w14:paraId="2EB7DC5F"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sz w:val="18"/>
                <w:szCs w:val="18"/>
                <w:lang w:eastAsia="es-CO"/>
              </w:rPr>
              <w:t>Vías locales o sectores con baja circulación vehicular y baja presencia de vehículos pesados.</w:t>
            </w:r>
          </w:p>
        </w:tc>
      </w:tr>
      <w:tr w:rsidR="00491B20" w:rsidRPr="008F09F2" w14:paraId="2F5D62FA" w14:textId="77777777" w:rsidTr="008F09F2">
        <w:trPr>
          <w:jc w:val="center"/>
        </w:trPr>
        <w:tc>
          <w:tcPr>
            <w:tcW w:w="2217" w:type="dxa"/>
            <w:vMerge/>
            <w:vAlign w:val="center"/>
            <w:hideMark/>
          </w:tcPr>
          <w:p w14:paraId="061769BD" w14:textId="77777777" w:rsidR="00491B20" w:rsidRPr="00491B20" w:rsidRDefault="00491B20" w:rsidP="00491B20">
            <w:pPr>
              <w:spacing w:after="0"/>
              <w:jc w:val="left"/>
              <w:rPr>
                <w:rFonts w:eastAsia="Times New Roman" w:cs="Arial"/>
                <w:sz w:val="18"/>
                <w:szCs w:val="18"/>
                <w:lang w:eastAsia="es-CO"/>
              </w:rPr>
            </w:pPr>
          </w:p>
        </w:tc>
        <w:tc>
          <w:tcPr>
            <w:tcW w:w="0" w:type="auto"/>
            <w:vAlign w:val="center"/>
            <w:hideMark/>
          </w:tcPr>
          <w:p w14:paraId="4B401FBF"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b/>
                <w:bCs/>
                <w:sz w:val="18"/>
                <w:szCs w:val="18"/>
                <w:lang w:eastAsia="es-CO"/>
              </w:rPr>
              <w:t>Medio</w:t>
            </w:r>
          </w:p>
        </w:tc>
        <w:tc>
          <w:tcPr>
            <w:tcW w:w="5631" w:type="dxa"/>
            <w:vAlign w:val="center"/>
            <w:hideMark/>
          </w:tcPr>
          <w:p w14:paraId="760EC30B"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sz w:val="18"/>
                <w:szCs w:val="18"/>
                <w:lang w:eastAsia="es-CO"/>
              </w:rPr>
              <w:t>Vías con circulación vehicular moderada, operación urbana regular o presencia ocasional de vehículos pesados.</w:t>
            </w:r>
          </w:p>
        </w:tc>
      </w:tr>
      <w:tr w:rsidR="00491B20" w:rsidRPr="008F09F2" w14:paraId="644CE763" w14:textId="77777777" w:rsidTr="008F09F2">
        <w:trPr>
          <w:jc w:val="center"/>
        </w:trPr>
        <w:tc>
          <w:tcPr>
            <w:tcW w:w="2217" w:type="dxa"/>
            <w:vMerge/>
            <w:vAlign w:val="center"/>
            <w:hideMark/>
          </w:tcPr>
          <w:p w14:paraId="2CAACC8A" w14:textId="77777777" w:rsidR="00491B20" w:rsidRPr="00491B20" w:rsidRDefault="00491B20" w:rsidP="00491B20">
            <w:pPr>
              <w:spacing w:after="0"/>
              <w:jc w:val="left"/>
              <w:rPr>
                <w:rFonts w:eastAsia="Times New Roman" w:cs="Arial"/>
                <w:sz w:val="18"/>
                <w:szCs w:val="18"/>
                <w:lang w:eastAsia="es-CO"/>
              </w:rPr>
            </w:pPr>
          </w:p>
        </w:tc>
        <w:tc>
          <w:tcPr>
            <w:tcW w:w="0" w:type="auto"/>
            <w:vAlign w:val="center"/>
            <w:hideMark/>
          </w:tcPr>
          <w:p w14:paraId="2F759B0F"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b/>
                <w:bCs/>
                <w:sz w:val="18"/>
                <w:szCs w:val="18"/>
                <w:lang w:eastAsia="es-CO"/>
              </w:rPr>
              <w:t>Alto</w:t>
            </w:r>
          </w:p>
        </w:tc>
        <w:tc>
          <w:tcPr>
            <w:tcW w:w="5631" w:type="dxa"/>
            <w:vAlign w:val="center"/>
            <w:hideMark/>
          </w:tcPr>
          <w:p w14:paraId="4DCA4885" w14:textId="77777777" w:rsidR="00491B20" w:rsidRPr="00491B20" w:rsidRDefault="00491B20" w:rsidP="00491B20">
            <w:pPr>
              <w:spacing w:after="0"/>
              <w:jc w:val="left"/>
              <w:rPr>
                <w:rFonts w:eastAsia="Times New Roman" w:cs="Arial"/>
                <w:sz w:val="18"/>
                <w:szCs w:val="18"/>
                <w:lang w:eastAsia="es-CO"/>
              </w:rPr>
            </w:pPr>
            <w:r w:rsidRPr="00491B20">
              <w:rPr>
                <w:rFonts w:eastAsia="Times New Roman" w:cs="Arial"/>
                <w:sz w:val="18"/>
                <w:szCs w:val="18"/>
                <w:lang w:eastAsia="es-CO"/>
              </w:rPr>
              <w:t>Corredores principales, vías con circulación vehicular elevada, tránsito frecuente de buses o vehículos pesados, zonas de alta demanda o sectores sometidos a solicitaciones vehiculares intensivas.</w:t>
            </w:r>
          </w:p>
        </w:tc>
      </w:tr>
      <w:tr w:rsidR="000145B5" w:rsidRPr="008F09F2" w14:paraId="49420942" w14:textId="77777777" w:rsidTr="008F09F2">
        <w:trPr>
          <w:jc w:val="center"/>
        </w:trPr>
        <w:tc>
          <w:tcPr>
            <w:tcW w:w="2217" w:type="dxa"/>
            <w:vMerge w:val="restart"/>
            <w:vAlign w:val="center"/>
            <w:hideMark/>
          </w:tcPr>
          <w:p w14:paraId="7555AF55"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Contaminación del sustrato</w:t>
            </w:r>
          </w:p>
        </w:tc>
        <w:tc>
          <w:tcPr>
            <w:tcW w:w="0" w:type="auto"/>
            <w:vAlign w:val="center"/>
            <w:hideMark/>
          </w:tcPr>
          <w:p w14:paraId="73343F12"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Baja</w:t>
            </w:r>
          </w:p>
        </w:tc>
        <w:tc>
          <w:tcPr>
            <w:tcW w:w="5631" w:type="dxa"/>
            <w:vAlign w:val="center"/>
            <w:hideMark/>
          </w:tcPr>
          <w:p w14:paraId="366484A9"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Superficie normalmente limpia, sin presencia recurrente de hidrocarburos, material particulado, residuos, humedad permanente u otros agentes que puedan afectar el desempeño.</w:t>
            </w:r>
          </w:p>
        </w:tc>
      </w:tr>
      <w:tr w:rsidR="000145B5" w:rsidRPr="008F09F2" w14:paraId="27235E9B" w14:textId="77777777" w:rsidTr="008F09F2">
        <w:trPr>
          <w:jc w:val="center"/>
        </w:trPr>
        <w:tc>
          <w:tcPr>
            <w:tcW w:w="2217" w:type="dxa"/>
            <w:vMerge/>
            <w:vAlign w:val="center"/>
            <w:hideMark/>
          </w:tcPr>
          <w:p w14:paraId="0569F5DB" w14:textId="77777777" w:rsidR="000145B5" w:rsidRPr="00491B20" w:rsidRDefault="000145B5" w:rsidP="00491B20">
            <w:pPr>
              <w:spacing w:after="0"/>
              <w:jc w:val="left"/>
              <w:rPr>
                <w:rFonts w:eastAsia="Times New Roman" w:cs="Arial"/>
                <w:sz w:val="18"/>
                <w:szCs w:val="18"/>
                <w:lang w:eastAsia="es-CO"/>
              </w:rPr>
            </w:pPr>
          </w:p>
        </w:tc>
        <w:tc>
          <w:tcPr>
            <w:tcW w:w="0" w:type="auto"/>
            <w:vAlign w:val="center"/>
            <w:hideMark/>
          </w:tcPr>
          <w:p w14:paraId="4D0993F8"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Media</w:t>
            </w:r>
          </w:p>
        </w:tc>
        <w:tc>
          <w:tcPr>
            <w:tcW w:w="5631" w:type="dxa"/>
            <w:vAlign w:val="center"/>
            <w:hideMark/>
          </w:tcPr>
          <w:p w14:paraId="037E80E4"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Presencia ocasional o moderada de contaminantes que pueda ser controlada mediante procedimientos ordinarios de limpieza y preparación.</w:t>
            </w:r>
          </w:p>
        </w:tc>
      </w:tr>
      <w:tr w:rsidR="000145B5" w:rsidRPr="008F09F2" w14:paraId="2A690BDB" w14:textId="77777777" w:rsidTr="008F09F2">
        <w:trPr>
          <w:jc w:val="center"/>
        </w:trPr>
        <w:tc>
          <w:tcPr>
            <w:tcW w:w="2217" w:type="dxa"/>
            <w:vMerge/>
            <w:vAlign w:val="center"/>
            <w:hideMark/>
          </w:tcPr>
          <w:p w14:paraId="12F1277E" w14:textId="77777777" w:rsidR="000145B5" w:rsidRPr="00491B20" w:rsidRDefault="000145B5" w:rsidP="00491B20">
            <w:pPr>
              <w:spacing w:after="0"/>
              <w:jc w:val="left"/>
              <w:rPr>
                <w:rFonts w:eastAsia="Times New Roman" w:cs="Arial"/>
                <w:sz w:val="18"/>
                <w:szCs w:val="18"/>
                <w:lang w:eastAsia="es-CO"/>
              </w:rPr>
            </w:pPr>
          </w:p>
        </w:tc>
        <w:tc>
          <w:tcPr>
            <w:tcW w:w="0" w:type="auto"/>
            <w:vAlign w:val="center"/>
            <w:hideMark/>
          </w:tcPr>
          <w:p w14:paraId="4884D5AE"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Alta</w:t>
            </w:r>
          </w:p>
        </w:tc>
        <w:tc>
          <w:tcPr>
            <w:tcW w:w="5631" w:type="dxa"/>
            <w:vAlign w:val="center"/>
            <w:hideMark/>
          </w:tcPr>
          <w:p w14:paraId="2B0643F0"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Presencia recurrente o significativa de hidrocarburos, polvo, residuos, humedad u otros agentes que puedan afectar la adherencia o desempeño del sistema.</w:t>
            </w:r>
          </w:p>
        </w:tc>
      </w:tr>
      <w:tr w:rsidR="000145B5" w:rsidRPr="008F09F2" w14:paraId="7F6C7AAB" w14:textId="77777777" w:rsidTr="008F09F2">
        <w:trPr>
          <w:jc w:val="center"/>
        </w:trPr>
        <w:tc>
          <w:tcPr>
            <w:tcW w:w="2217" w:type="dxa"/>
            <w:vMerge w:val="restart"/>
            <w:vAlign w:val="center"/>
            <w:hideMark/>
          </w:tcPr>
          <w:p w14:paraId="1AF896D8"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Estado del pavimento o sustrato</w:t>
            </w:r>
          </w:p>
        </w:tc>
        <w:tc>
          <w:tcPr>
            <w:tcW w:w="0" w:type="auto"/>
            <w:vAlign w:val="center"/>
            <w:hideMark/>
          </w:tcPr>
          <w:p w14:paraId="4DBF9E7B"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Bueno</w:t>
            </w:r>
          </w:p>
        </w:tc>
        <w:tc>
          <w:tcPr>
            <w:tcW w:w="5631" w:type="dxa"/>
            <w:vAlign w:val="center"/>
            <w:hideMark/>
          </w:tcPr>
          <w:p w14:paraId="4B2FAF7F"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Superficie estable, íntegra y sin deterioros relevantes que comprometan la instalación o adherencia.</w:t>
            </w:r>
          </w:p>
        </w:tc>
      </w:tr>
      <w:tr w:rsidR="000145B5" w:rsidRPr="008F09F2" w14:paraId="2B80087F" w14:textId="77777777" w:rsidTr="008F09F2">
        <w:trPr>
          <w:jc w:val="center"/>
        </w:trPr>
        <w:tc>
          <w:tcPr>
            <w:tcW w:w="2217" w:type="dxa"/>
            <w:vMerge/>
            <w:vAlign w:val="center"/>
            <w:hideMark/>
          </w:tcPr>
          <w:p w14:paraId="7FAAE2A9" w14:textId="77777777" w:rsidR="000145B5" w:rsidRPr="00491B20" w:rsidRDefault="000145B5" w:rsidP="00491B20">
            <w:pPr>
              <w:spacing w:after="0"/>
              <w:jc w:val="left"/>
              <w:rPr>
                <w:rFonts w:eastAsia="Times New Roman" w:cs="Arial"/>
                <w:sz w:val="18"/>
                <w:szCs w:val="18"/>
                <w:lang w:eastAsia="es-CO"/>
              </w:rPr>
            </w:pPr>
          </w:p>
        </w:tc>
        <w:tc>
          <w:tcPr>
            <w:tcW w:w="0" w:type="auto"/>
            <w:vAlign w:val="center"/>
            <w:hideMark/>
          </w:tcPr>
          <w:p w14:paraId="59C66700"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Regular</w:t>
            </w:r>
          </w:p>
        </w:tc>
        <w:tc>
          <w:tcPr>
            <w:tcW w:w="5631" w:type="dxa"/>
            <w:vAlign w:val="center"/>
            <w:hideMark/>
          </w:tcPr>
          <w:p w14:paraId="2B6A63B6"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Presencia de deterioros localizados, reparaciones, fisuras, pérdida superficial u otras condiciones que, aunque permiten la intervención, pueden afectar parcialmente el desempeño.</w:t>
            </w:r>
          </w:p>
        </w:tc>
      </w:tr>
      <w:tr w:rsidR="000145B5" w:rsidRPr="008F09F2" w14:paraId="7F01417F" w14:textId="77777777" w:rsidTr="008F09F2">
        <w:trPr>
          <w:jc w:val="center"/>
        </w:trPr>
        <w:tc>
          <w:tcPr>
            <w:tcW w:w="2217" w:type="dxa"/>
            <w:vMerge/>
            <w:vAlign w:val="center"/>
            <w:hideMark/>
          </w:tcPr>
          <w:p w14:paraId="69D2BFA2" w14:textId="77777777" w:rsidR="000145B5" w:rsidRPr="00491B20" w:rsidRDefault="000145B5" w:rsidP="00491B20">
            <w:pPr>
              <w:spacing w:after="0"/>
              <w:jc w:val="left"/>
              <w:rPr>
                <w:rFonts w:eastAsia="Times New Roman" w:cs="Arial"/>
                <w:sz w:val="18"/>
                <w:szCs w:val="18"/>
                <w:lang w:eastAsia="es-CO"/>
              </w:rPr>
            </w:pPr>
          </w:p>
        </w:tc>
        <w:tc>
          <w:tcPr>
            <w:tcW w:w="0" w:type="auto"/>
            <w:vAlign w:val="center"/>
            <w:hideMark/>
          </w:tcPr>
          <w:p w14:paraId="550E9F57"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Malo</w:t>
            </w:r>
          </w:p>
        </w:tc>
        <w:tc>
          <w:tcPr>
            <w:tcW w:w="5631" w:type="dxa"/>
            <w:vAlign w:val="center"/>
            <w:hideMark/>
          </w:tcPr>
          <w:p w14:paraId="2D039F41"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Deterioro generalizado, pérdida importante de material, deformaciones, fisuración severa, desprendimientos, reparaciones deficientes u otras condiciones que comprometan significativamente el desempeño.</w:t>
            </w:r>
          </w:p>
        </w:tc>
      </w:tr>
      <w:tr w:rsidR="000145B5" w:rsidRPr="008F09F2" w14:paraId="1364F74A" w14:textId="77777777" w:rsidTr="008F09F2">
        <w:trPr>
          <w:jc w:val="center"/>
        </w:trPr>
        <w:tc>
          <w:tcPr>
            <w:tcW w:w="2217" w:type="dxa"/>
            <w:vMerge w:val="restart"/>
            <w:vAlign w:val="center"/>
            <w:hideMark/>
          </w:tcPr>
          <w:p w14:paraId="6E3AB0E0"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Afectación geométrica / operacional</w:t>
            </w:r>
          </w:p>
        </w:tc>
        <w:tc>
          <w:tcPr>
            <w:tcW w:w="0" w:type="auto"/>
            <w:vAlign w:val="center"/>
            <w:hideMark/>
          </w:tcPr>
          <w:p w14:paraId="5CA0786F"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Baja</w:t>
            </w:r>
          </w:p>
        </w:tc>
        <w:tc>
          <w:tcPr>
            <w:tcW w:w="5631" w:type="dxa"/>
            <w:vAlign w:val="center"/>
            <w:hideMark/>
          </w:tcPr>
          <w:p w14:paraId="13392C4B"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Tramos con circulación predominantemente longitudinal, sin maniobras frecuentes de frenado, giro o aceleración sobre el elemento.</w:t>
            </w:r>
          </w:p>
        </w:tc>
      </w:tr>
      <w:tr w:rsidR="000145B5" w:rsidRPr="008F09F2" w14:paraId="032E9FC4" w14:textId="77777777" w:rsidTr="008F09F2">
        <w:trPr>
          <w:jc w:val="center"/>
        </w:trPr>
        <w:tc>
          <w:tcPr>
            <w:tcW w:w="2217" w:type="dxa"/>
            <w:vMerge/>
            <w:vAlign w:val="center"/>
            <w:hideMark/>
          </w:tcPr>
          <w:p w14:paraId="236F94A5" w14:textId="77777777" w:rsidR="000145B5" w:rsidRPr="00491B20" w:rsidRDefault="000145B5" w:rsidP="00491B20">
            <w:pPr>
              <w:spacing w:after="0"/>
              <w:jc w:val="left"/>
              <w:rPr>
                <w:rFonts w:eastAsia="Times New Roman" w:cs="Arial"/>
                <w:sz w:val="18"/>
                <w:szCs w:val="18"/>
                <w:lang w:eastAsia="es-CO"/>
              </w:rPr>
            </w:pPr>
          </w:p>
        </w:tc>
        <w:tc>
          <w:tcPr>
            <w:tcW w:w="0" w:type="auto"/>
            <w:vAlign w:val="center"/>
            <w:hideMark/>
          </w:tcPr>
          <w:p w14:paraId="0AA651B7"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Media</w:t>
            </w:r>
          </w:p>
        </w:tc>
        <w:tc>
          <w:tcPr>
            <w:tcW w:w="5631" w:type="dxa"/>
            <w:vAlign w:val="center"/>
            <w:hideMark/>
          </w:tcPr>
          <w:p w14:paraId="29998FCE"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Sectores próximos a intersecciones, accesos, cambios de trayectoria u otros puntos con maniobras moderadas.</w:t>
            </w:r>
          </w:p>
        </w:tc>
      </w:tr>
      <w:tr w:rsidR="000145B5" w:rsidRPr="008F09F2" w14:paraId="6A2DC68F" w14:textId="77777777" w:rsidTr="008F09F2">
        <w:trPr>
          <w:jc w:val="center"/>
        </w:trPr>
        <w:tc>
          <w:tcPr>
            <w:tcW w:w="2217" w:type="dxa"/>
            <w:vMerge/>
            <w:vAlign w:val="center"/>
            <w:hideMark/>
          </w:tcPr>
          <w:p w14:paraId="2EB3D215" w14:textId="77777777" w:rsidR="000145B5" w:rsidRPr="00491B20" w:rsidRDefault="000145B5" w:rsidP="00491B20">
            <w:pPr>
              <w:spacing w:after="0"/>
              <w:jc w:val="left"/>
              <w:rPr>
                <w:rFonts w:eastAsia="Times New Roman" w:cs="Arial"/>
                <w:sz w:val="18"/>
                <w:szCs w:val="18"/>
                <w:lang w:eastAsia="es-CO"/>
              </w:rPr>
            </w:pPr>
          </w:p>
        </w:tc>
        <w:tc>
          <w:tcPr>
            <w:tcW w:w="0" w:type="auto"/>
            <w:vAlign w:val="center"/>
            <w:hideMark/>
          </w:tcPr>
          <w:p w14:paraId="438F4C18"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b/>
                <w:bCs/>
                <w:sz w:val="18"/>
                <w:szCs w:val="18"/>
                <w:lang w:eastAsia="es-CO"/>
              </w:rPr>
              <w:t>Alta</w:t>
            </w:r>
          </w:p>
        </w:tc>
        <w:tc>
          <w:tcPr>
            <w:tcW w:w="5631" w:type="dxa"/>
            <w:vAlign w:val="center"/>
            <w:hideMark/>
          </w:tcPr>
          <w:p w14:paraId="6B6704BD" w14:textId="77777777" w:rsidR="000145B5" w:rsidRPr="00491B20" w:rsidRDefault="000145B5" w:rsidP="00491B20">
            <w:pPr>
              <w:spacing w:after="0"/>
              <w:jc w:val="left"/>
              <w:rPr>
                <w:rFonts w:eastAsia="Times New Roman" w:cs="Arial"/>
                <w:sz w:val="18"/>
                <w:szCs w:val="18"/>
                <w:lang w:eastAsia="es-CO"/>
              </w:rPr>
            </w:pPr>
            <w:r w:rsidRPr="00491B20">
              <w:rPr>
                <w:rFonts w:eastAsia="Times New Roman" w:cs="Arial"/>
                <w:sz w:val="18"/>
                <w:szCs w:val="18"/>
                <w:lang w:eastAsia="es-CO"/>
              </w:rPr>
              <w:t>Intersecciones, glorietas, aproximaciones semaforizadas, zonas de frenado/aceleración, giros frecuentes, canalizaciones u otros sitios donde exista acción transversal, torsional o elevada solicitación sobre el elemento.</w:t>
            </w:r>
          </w:p>
        </w:tc>
      </w:tr>
    </w:tbl>
    <w:p w14:paraId="6A6171E5" w14:textId="77777777" w:rsidR="00491B20" w:rsidRPr="00491B20" w:rsidRDefault="00491B20" w:rsidP="00491B20"/>
    <w:p w14:paraId="2F6AC8B3" w14:textId="77777777" w:rsidR="002B5598" w:rsidRPr="002B5598" w:rsidRDefault="002B5598" w:rsidP="002B5598">
      <w:pPr>
        <w:rPr>
          <w:rFonts w:cs="Arial"/>
          <w:szCs w:val="21"/>
        </w:rPr>
      </w:pPr>
      <w:r w:rsidRPr="002B5598">
        <w:rPr>
          <w:rFonts w:cs="Arial"/>
          <w:szCs w:val="21"/>
        </w:rPr>
        <w:t>Para la clasificación de la variable tránsito o solicitación vehicular podrán utilizarse, según disponibilidad, estudios o aforos de tránsito existentes, información institucional, clasificación funcional o jerarquía vial, presencia de rutas de transporte público, circulación habitual de vehículos pesados y observaciones de campo. La ausencia de un Tránsito Promedio Diario – TPD actualizado no impedirá efectuar la clasificación, siempre que el criterio adoptado se encuentre técnicamente sustentado.</w:t>
      </w:r>
    </w:p>
    <w:p w14:paraId="20884966" w14:textId="77777777" w:rsidR="002B5598" w:rsidRPr="002B5598" w:rsidRDefault="002B5598" w:rsidP="002B5598">
      <w:pPr>
        <w:rPr>
          <w:rFonts w:cs="Arial"/>
          <w:szCs w:val="21"/>
        </w:rPr>
      </w:pPr>
      <w:r>
        <w:t>La clasificación deberá corresponder a las condiciones verificadas en campo y tendrá carácter de soporte técnico para definir la solución y documentar la intervención. No constituirá, por sí sola, causal para reducir los periodos de garantía establecidos en el numeral 4.</w:t>
      </w:r>
    </w:p>
    <w:p w14:paraId="3C1E4A21" w14:textId="77777777" w:rsidR="002B5598" w:rsidRPr="002B5598" w:rsidRDefault="002B5598" w:rsidP="002B5598">
      <w:pPr>
        <w:rPr>
          <w:rFonts w:cs="Arial"/>
          <w:szCs w:val="21"/>
        </w:rPr>
      </w:pPr>
      <w:r>
        <w:t xml:space="preserve">Las condiciones visibles, previsibles o identificables que puedan comprometer significativamente el desempeño deberán ser informadas por el Contratista antes de la ejecución. Cuando sean técnicamente corregibles, deberán adoptarse las medidas necesarias antes de implementar la intervención. Si el Contratista ejecuta sin formular oportunamente la respectiva observación técnica, </w:t>
      </w:r>
      <w:r>
        <w:lastRenderedPageBreak/>
        <w:t>dichas condiciones no podrán invocarse posteriormente para excluir su responsabilidad, salvo circunstancias sobrevinientes o no razonablemente identificables durante la verificación previa.</w:t>
      </w:r>
    </w:p>
    <w:p w14:paraId="5B746C95" w14:textId="77777777" w:rsidR="002B5598" w:rsidRPr="002B5598" w:rsidRDefault="002B5598" w:rsidP="002B5598">
      <w:pPr>
        <w:rPr>
          <w:rFonts w:cs="Arial"/>
          <w:szCs w:val="21"/>
        </w:rPr>
      </w:pPr>
      <w:r>
        <w:t>Cuando las condiciones verificadas hagan técnicamente improcedente la solución inicialmente prevista, el Contratista deberá informar a la supervisión antes de ejecutar. La STT determinará si procede adecuar previamente el sitio, modificar la solución, utilizar un material o sistema diferente previsto contractualmente, reprogramar la intervención o no autorizarla.</w:t>
      </w:r>
    </w:p>
    <w:p w14:paraId="2732F93A" w14:textId="082D855A" w:rsidR="00687F57" w:rsidRDefault="002B5598" w:rsidP="002B5598">
      <w:pPr>
        <w:rPr>
          <w:rFonts w:cs="Arial"/>
          <w:szCs w:val="21"/>
        </w:rPr>
      </w:pPr>
      <w:r>
        <w:t>La clasificación establecida en este numeral servirá como antecedente de la Orden de Intervención y como referencia para el seguimiento posterior del desempeño, sin modificar las obligaciones mínimas de garantía publicadas.</w:t>
      </w:r>
    </w:p>
    <w:p w14:paraId="4FE152CA" w14:textId="77777777" w:rsidR="00687F57" w:rsidRDefault="00687F57" w:rsidP="00687F57">
      <w:pPr>
        <w:pStyle w:val="Ttulo2"/>
        <w:spacing w:before="0"/>
        <w:rPr>
          <w:rFonts w:cs="Arial"/>
          <w:szCs w:val="22"/>
        </w:rPr>
      </w:pPr>
      <w:r>
        <w:t>2.4 MOMENTO DE LA VERIFICACIÓN</w:t>
      </w:r>
    </w:p>
    <w:p w14:paraId="1231DF56" w14:textId="77777777" w:rsidR="00687F57" w:rsidRDefault="00687F57" w:rsidP="00687F57">
      <w:pPr>
        <w:rPr>
          <w:rFonts w:cs="Arial"/>
          <w:szCs w:val="21"/>
        </w:rPr>
      </w:pPr>
      <w:r>
        <w:t>Las condiciones relevantes del sitio deberán verificarse antes de la implementación o, como máximo, durante la verificación previa de campo. Las observaciones que incidan en la solución deberán quedar registradas antes de autorizar la ejecución.</w:t>
      </w:r>
    </w:p>
    <w:p w14:paraId="1E519274" w14:textId="77777777" w:rsidR="00687F57" w:rsidRDefault="00687F57" w:rsidP="00687F57">
      <w:pPr>
        <w:rPr>
          <w:rFonts w:cs="Arial"/>
          <w:szCs w:val="21"/>
        </w:rPr>
      </w:pPr>
      <w:r>
        <w:t>No será admisible justificar posteriormente una falla mediante condiciones que eran visibles, previsibles o verificables antes de la intervención y que no fueron oportunamente advertidas y gestionadas.</w:t>
      </w:r>
    </w:p>
    <w:p w14:paraId="3A6C2610" w14:textId="77777777" w:rsidR="00687F57" w:rsidRDefault="00687F57" w:rsidP="00687F57">
      <w:pPr>
        <w:pStyle w:val="Ttulo1"/>
        <w:spacing w:before="0"/>
        <w:rPr>
          <w:rFonts w:cs="Arial"/>
          <w:szCs w:val="24"/>
        </w:rPr>
      </w:pPr>
      <w:r>
        <w:rPr>
          <w:rFonts w:cs="Arial"/>
          <w:szCs w:val="24"/>
        </w:rPr>
        <w:t>3. COBERTURA Y EXCLUSIONES</w:t>
      </w:r>
    </w:p>
    <w:p w14:paraId="61FCF6F2" w14:textId="77777777" w:rsidR="00687F57" w:rsidRDefault="00687F57" w:rsidP="00687F57">
      <w:pPr>
        <w:pStyle w:val="Ttulo2"/>
        <w:spacing w:before="0"/>
        <w:rPr>
          <w:rFonts w:cs="Arial"/>
          <w:szCs w:val="22"/>
        </w:rPr>
      </w:pPr>
      <w:r>
        <w:rPr>
          <w:rFonts w:cs="Arial"/>
          <w:szCs w:val="22"/>
        </w:rPr>
        <w:t>3.1 FALLAS CUBIERTAS</w:t>
      </w:r>
    </w:p>
    <w:p w14:paraId="409A9887" w14:textId="77777777" w:rsidR="00687F57" w:rsidRDefault="00687F57" w:rsidP="00687F57">
      <w:pPr>
        <w:pStyle w:val="Listaconvietas"/>
        <w:rPr>
          <w:rFonts w:cs="Arial"/>
          <w:szCs w:val="21"/>
        </w:rPr>
      </w:pPr>
      <w:r>
        <w:rPr>
          <w:rFonts w:cs="Arial"/>
          <w:szCs w:val="21"/>
        </w:rPr>
        <w:t>desprendimiento, delaminación o pérdida prematura de adherencia de demarcaciones;</w:t>
      </w:r>
    </w:p>
    <w:p w14:paraId="05DA3B21" w14:textId="77777777" w:rsidR="00687F57" w:rsidRDefault="00687F57" w:rsidP="00687F57">
      <w:pPr>
        <w:pStyle w:val="Listaconvietas"/>
        <w:rPr>
          <w:rFonts w:cs="Arial"/>
          <w:szCs w:val="21"/>
        </w:rPr>
      </w:pPr>
      <w:r>
        <w:rPr>
          <w:rFonts w:cs="Arial"/>
          <w:szCs w:val="21"/>
        </w:rPr>
        <w:t>desgaste anormal o pérdida prematura de funcionalidad atribuible al sistema aplicado;</w:t>
      </w:r>
    </w:p>
    <w:p w14:paraId="201B0A6D" w14:textId="77777777" w:rsidR="00687F57" w:rsidRDefault="00687F57" w:rsidP="00687F57">
      <w:pPr>
        <w:pStyle w:val="Listaconvietas"/>
        <w:rPr>
          <w:rFonts w:cs="Arial"/>
          <w:szCs w:val="21"/>
        </w:rPr>
      </w:pPr>
      <w:r>
        <w:rPr>
          <w:rFonts w:cs="Arial"/>
          <w:szCs w:val="21"/>
        </w:rPr>
        <w:t xml:space="preserve">deficiencias de </w:t>
      </w:r>
      <w:proofErr w:type="spellStart"/>
      <w:r>
        <w:rPr>
          <w:rFonts w:cs="Arial"/>
          <w:szCs w:val="21"/>
        </w:rPr>
        <w:t>retrorreflectividad</w:t>
      </w:r>
      <w:proofErr w:type="spellEnd"/>
      <w:r>
        <w:rPr>
          <w:rFonts w:cs="Arial"/>
          <w:szCs w:val="21"/>
        </w:rPr>
        <w:t xml:space="preserve"> atribuibles al material o ejecución;</w:t>
      </w:r>
    </w:p>
    <w:p w14:paraId="486BBC3B" w14:textId="77777777" w:rsidR="00687F57" w:rsidRDefault="00687F57" w:rsidP="00687F57">
      <w:pPr>
        <w:pStyle w:val="Listaconvietas"/>
        <w:rPr>
          <w:rFonts w:cs="Arial"/>
          <w:szCs w:val="21"/>
        </w:rPr>
      </w:pPr>
      <w:r>
        <w:rPr>
          <w:rFonts w:cs="Arial"/>
          <w:szCs w:val="21"/>
        </w:rPr>
        <w:t>deformación, corrosión prematura o defectos de fabricación de señales y soportes;</w:t>
      </w:r>
    </w:p>
    <w:p w14:paraId="68210BF5" w14:textId="77777777" w:rsidR="00687F57" w:rsidRDefault="00687F57" w:rsidP="00687F57">
      <w:pPr>
        <w:pStyle w:val="Listaconvietas"/>
        <w:rPr>
          <w:rFonts w:cs="Arial"/>
          <w:szCs w:val="21"/>
        </w:rPr>
      </w:pPr>
      <w:r>
        <w:rPr>
          <w:rFonts w:cs="Arial"/>
          <w:szCs w:val="21"/>
        </w:rPr>
        <w:t>pérdida de fijación, desprendimiento, fractura o deformación de dispositivos atribuible al producto o instalación;</w:t>
      </w:r>
    </w:p>
    <w:p w14:paraId="56D49EC1" w14:textId="77777777" w:rsidR="00687F57" w:rsidRDefault="00687F57" w:rsidP="00687F57">
      <w:pPr>
        <w:pStyle w:val="Listaconvietas"/>
        <w:rPr>
          <w:rFonts w:cs="Arial"/>
          <w:szCs w:val="21"/>
        </w:rPr>
      </w:pPr>
      <w:r>
        <w:rPr>
          <w:rFonts w:cs="Arial"/>
          <w:szCs w:val="21"/>
        </w:rPr>
        <w:t>fallas de anclajes, adhesivos, cimentaciones o restituciones atribuibles al procedimiento ejecutado;</w:t>
      </w:r>
    </w:p>
    <w:p w14:paraId="35DB2968" w14:textId="77777777" w:rsidR="00687F57" w:rsidRDefault="00687F57" w:rsidP="00687F57">
      <w:pPr>
        <w:pStyle w:val="Listaconvietas"/>
        <w:rPr>
          <w:rFonts w:cs="Arial"/>
          <w:szCs w:val="21"/>
        </w:rPr>
      </w:pPr>
      <w:r>
        <w:rPr>
          <w:rFonts w:cs="Arial"/>
          <w:szCs w:val="21"/>
        </w:rPr>
        <w:t>defectos de acabado o instalación que evolucionen y afecten la seguridad, estabilidad o funcionalidad.</w:t>
      </w:r>
    </w:p>
    <w:p w14:paraId="33D045B6" w14:textId="77777777" w:rsidR="00687F57" w:rsidRDefault="00687F57" w:rsidP="00687F57">
      <w:pPr>
        <w:pStyle w:val="Ttulo2"/>
        <w:spacing w:before="0"/>
        <w:rPr>
          <w:rFonts w:cs="Arial"/>
          <w:szCs w:val="22"/>
        </w:rPr>
      </w:pPr>
      <w:r>
        <w:rPr>
          <w:rFonts w:cs="Arial"/>
          <w:szCs w:val="22"/>
        </w:rPr>
        <w:t>3.2 EVENTOS NO IMPUTABLES</w:t>
      </w:r>
    </w:p>
    <w:p w14:paraId="580F232B" w14:textId="77777777" w:rsidR="00687F57" w:rsidRDefault="00687F57" w:rsidP="00687F57">
      <w:pPr>
        <w:rPr>
          <w:rFonts w:cs="Arial"/>
          <w:szCs w:val="21"/>
        </w:rPr>
      </w:pPr>
      <w:r>
        <w:rPr>
          <w:rFonts w:cs="Arial"/>
          <w:szCs w:val="21"/>
        </w:rPr>
        <w:t>No se considerarán automáticamente fallas de garantía los daños originados exclusivamente por hechos externos no atribuibles al Contratista, tales como accidentes de tránsito, vandalismo comprobado, intervención de terceros, obras posteriores, excavaciones de redes, eventos naturales extraordinarios o modificaciones de la infraestructura ejecutadas después del recibo.</w:t>
      </w:r>
    </w:p>
    <w:p w14:paraId="57C51078" w14:textId="77777777" w:rsidR="00687F57" w:rsidRDefault="00687F57" w:rsidP="00687F57">
      <w:pPr>
        <w:rPr>
          <w:rFonts w:cs="Arial"/>
          <w:szCs w:val="21"/>
        </w:rPr>
      </w:pPr>
      <w:r>
        <w:rPr>
          <w:rFonts w:cs="Arial"/>
          <w:szCs w:val="21"/>
        </w:rPr>
        <w:t>La exclusión deberá estar soportada técnicamente. La sola manifestación de que existió vandalismo, tránsito pesado, contaminación o intervención de terceros no será suficiente cuando no exista evidencia razonable que permita relacionar el daño con dicho evento.</w:t>
      </w:r>
    </w:p>
    <w:p w14:paraId="3E15C25B" w14:textId="77777777" w:rsidR="00687F57" w:rsidRDefault="00687F57" w:rsidP="00687F57">
      <w:pPr>
        <w:pStyle w:val="Ttulo2"/>
        <w:spacing w:before="0"/>
        <w:rPr>
          <w:rFonts w:cs="Arial"/>
          <w:szCs w:val="22"/>
        </w:rPr>
      </w:pPr>
      <w:r>
        <w:rPr>
          <w:rFonts w:cs="Arial"/>
          <w:szCs w:val="22"/>
        </w:rPr>
        <w:t>3.3 CONDICIONES PREEXISTENTES</w:t>
      </w:r>
    </w:p>
    <w:p w14:paraId="63CDF313" w14:textId="77777777" w:rsidR="00687F57" w:rsidRDefault="00687F57" w:rsidP="00687F57">
      <w:pPr>
        <w:rPr>
          <w:rFonts w:cs="Arial"/>
          <w:szCs w:val="21"/>
        </w:rPr>
      </w:pPr>
      <w:r>
        <w:rPr>
          <w:rFonts w:cs="Arial"/>
          <w:szCs w:val="21"/>
        </w:rPr>
        <w:t>Las condiciones preexistentes del pavimento, soporte o infraestructura que puedan reducir el desempeño deberán quedar documentadas en la verificación previa y, cuando corresponda, reflejadas en la valoración de garantía. Si el Contratista ejecuta la actividad sin advertir una condición visible que técnicamente impedía una instalación adecuada, no podrá invocarla posteriormente como exclusión.</w:t>
      </w:r>
    </w:p>
    <w:p w14:paraId="6EF30DD2" w14:textId="77777777" w:rsidR="00687F57" w:rsidRDefault="00687F57" w:rsidP="00687F57">
      <w:pPr>
        <w:pStyle w:val="Ttulo1"/>
        <w:spacing w:before="0"/>
        <w:rPr>
          <w:rFonts w:cs="Arial"/>
          <w:szCs w:val="24"/>
        </w:rPr>
      </w:pPr>
      <w:r>
        <w:rPr>
          <w:rFonts w:cs="Arial"/>
          <w:szCs w:val="24"/>
        </w:rPr>
        <w:lastRenderedPageBreak/>
        <w:t>4. PERIODOS DE GARANTÍA TÉCNICA</w:t>
      </w:r>
    </w:p>
    <w:p w14:paraId="7D661D08" w14:textId="77777777" w:rsidR="00687F57" w:rsidRDefault="00687F57" w:rsidP="00687F57">
      <w:pPr>
        <w:pStyle w:val="Ttulo2"/>
        <w:spacing w:before="0"/>
        <w:rPr>
          <w:rFonts w:cs="Arial"/>
          <w:szCs w:val="22"/>
        </w:rPr>
      </w:pPr>
      <w:r>
        <w:t>4.1 PERIODOS DE GARANTÍA TÉCNICA</w:t>
      </w:r>
    </w:p>
    <w:p w14:paraId="1DD6CEBE" w14:textId="77777777" w:rsidR="00330700" w:rsidRPr="00330700" w:rsidRDefault="00330700" w:rsidP="00330700">
      <w:pPr>
        <w:rPr>
          <w:rFonts w:cs="Arial"/>
          <w:szCs w:val="21"/>
        </w:rPr>
      </w:pPr>
      <w:r>
        <w:t>Los periodos establecidos en este numeral corresponden a las garantías técnicas mínimas exigidas por la Secretaría de Tránsito y Transporte para los materiales, elementos y actividades efectivamente ejecutados y recibidos a satisfacción en desarrollo del contrato. Su definición responde a la naturaleza del elemento, sistema de instalación o aplicación y desempeño esperado para las intervenciones objeto del proceso.</w:t>
      </w:r>
    </w:p>
    <w:p w14:paraId="26D00D04" w14:textId="4F5A0C22" w:rsidR="00532ED2" w:rsidRPr="00532ED2" w:rsidRDefault="00330700" w:rsidP="00330700">
      <w:pPr>
        <w:rPr>
          <w:rFonts w:cs="Arial"/>
          <w:szCs w:val="21"/>
        </w:rPr>
      </w:pPr>
      <w:r>
        <w:t>Estos periodos serán exigibles conforme al alcance señalado en la tabla. Las condiciones particulares del sitio deberán ser verificadas y gestionadas antes de la ejecución conforme al Capítulo 2; no darán lugar a reducciones unilaterales o retroactivas de la garantía.</w:t>
      </w:r>
    </w:p>
    <w:p w14:paraId="5174C3E6" w14:textId="50A9F176" w:rsidR="00687F57" w:rsidRDefault="00532ED2" w:rsidP="00532ED2">
      <w:pPr>
        <w:rPr>
          <w:rFonts w:cs="Arial"/>
          <w:szCs w:val="21"/>
        </w:rPr>
      </w:pPr>
      <w:r w:rsidRPr="00532ED2">
        <w:rPr>
          <w:rFonts w:cs="Arial"/>
          <w:szCs w:val="21"/>
        </w:rPr>
        <w:t>La garantía comprenderá tanto el producto o material suministrado como su correcta instalación, aplicación, fijación, anclaje o ejecución, según corresponda, salvo que en la tabla se establezca expresamente un alcance diferente.</w:t>
      </w:r>
    </w:p>
    <w:tbl>
      <w:tblPr>
        <w:tblStyle w:val="Tablaconcuadrcula"/>
        <w:tblW w:w="0" w:type="auto"/>
        <w:jc w:val="center"/>
        <w:tblLook w:val="04A0" w:firstRow="1" w:lastRow="0" w:firstColumn="1" w:lastColumn="0" w:noHBand="0" w:noVBand="1"/>
      </w:tblPr>
      <w:tblGrid>
        <w:gridCol w:w="2551"/>
        <w:gridCol w:w="1165"/>
        <w:gridCol w:w="5039"/>
      </w:tblGrid>
      <w:tr w:rsidR="008F09F2" w:rsidRPr="00532ED2" w14:paraId="533F1732" w14:textId="77777777" w:rsidTr="00586DE2">
        <w:trPr>
          <w:tblHeader/>
          <w:jc w:val="center"/>
        </w:trPr>
        <w:tc>
          <w:tcPr>
            <w:tcW w:w="2551" w:type="dxa"/>
            <w:shd w:val="clear" w:color="auto" w:fill="0B5E55"/>
            <w:vAlign w:val="center"/>
            <w:hideMark/>
          </w:tcPr>
          <w:p w14:paraId="48BBD45E" w14:textId="77777777" w:rsidR="00532ED2" w:rsidRPr="00532ED2" w:rsidRDefault="00532ED2" w:rsidP="00532ED2">
            <w:pPr>
              <w:spacing w:after="0"/>
              <w:jc w:val="center"/>
              <w:rPr>
                <w:rFonts w:eastAsia="Times New Roman" w:cs="Arial"/>
                <w:b/>
                <w:bCs/>
                <w:color w:val="FFFFFF" w:themeColor="background1"/>
                <w:sz w:val="18"/>
                <w:szCs w:val="18"/>
                <w:lang w:eastAsia="es-CO"/>
              </w:rPr>
            </w:pPr>
            <w:r w:rsidRPr="00532ED2">
              <w:rPr>
                <w:rFonts w:eastAsia="Times New Roman" w:cs="Arial"/>
                <w:b/>
                <w:bCs/>
                <w:color w:val="FFFFFF" w:themeColor="background1"/>
                <w:sz w:val="18"/>
                <w:szCs w:val="18"/>
                <w:lang w:eastAsia="es-CO"/>
              </w:rPr>
              <w:t>Elemento o actividad</w:t>
            </w:r>
          </w:p>
        </w:tc>
        <w:tc>
          <w:tcPr>
            <w:tcW w:w="1165" w:type="dxa"/>
            <w:shd w:val="clear" w:color="auto" w:fill="0B5E55"/>
            <w:vAlign w:val="center"/>
            <w:hideMark/>
          </w:tcPr>
          <w:p w14:paraId="68CEFDCD" w14:textId="77777777" w:rsidR="00532ED2" w:rsidRPr="00532ED2" w:rsidRDefault="00532ED2" w:rsidP="00532ED2">
            <w:pPr>
              <w:spacing w:after="0"/>
              <w:jc w:val="center"/>
              <w:rPr>
                <w:rFonts w:eastAsia="Times New Roman" w:cs="Arial"/>
                <w:b/>
                <w:bCs/>
                <w:color w:val="FFFFFF" w:themeColor="background1"/>
                <w:sz w:val="18"/>
                <w:szCs w:val="18"/>
                <w:lang w:eastAsia="es-CO"/>
              </w:rPr>
            </w:pPr>
            <w:r w:rsidRPr="00532ED2">
              <w:rPr>
                <w:rFonts w:eastAsia="Times New Roman" w:cs="Arial"/>
                <w:b/>
                <w:bCs/>
                <w:color w:val="FFFFFF" w:themeColor="background1"/>
                <w:sz w:val="18"/>
                <w:szCs w:val="18"/>
                <w:lang w:eastAsia="es-CO"/>
              </w:rPr>
              <w:t>Periodo de referencia</w:t>
            </w:r>
          </w:p>
        </w:tc>
        <w:tc>
          <w:tcPr>
            <w:tcW w:w="5039" w:type="dxa"/>
            <w:shd w:val="clear" w:color="auto" w:fill="0B5E55"/>
            <w:vAlign w:val="center"/>
            <w:hideMark/>
          </w:tcPr>
          <w:p w14:paraId="67EB91A3" w14:textId="77777777" w:rsidR="00532ED2" w:rsidRPr="00532ED2" w:rsidRDefault="00532ED2" w:rsidP="00532ED2">
            <w:pPr>
              <w:spacing w:after="0"/>
              <w:jc w:val="center"/>
              <w:rPr>
                <w:rFonts w:eastAsia="Times New Roman" w:cs="Arial"/>
                <w:b/>
                <w:bCs/>
                <w:color w:val="FFFFFF" w:themeColor="background1"/>
                <w:sz w:val="18"/>
                <w:szCs w:val="18"/>
                <w:lang w:eastAsia="es-CO"/>
              </w:rPr>
            </w:pPr>
            <w:r w:rsidRPr="00532ED2">
              <w:rPr>
                <w:rFonts w:eastAsia="Times New Roman" w:cs="Arial"/>
                <w:b/>
                <w:bCs/>
                <w:color w:val="FFFFFF" w:themeColor="background1"/>
                <w:sz w:val="18"/>
                <w:szCs w:val="18"/>
                <w:lang w:eastAsia="es-CO"/>
              </w:rPr>
              <w:t>Alcance de la garantía</w:t>
            </w:r>
          </w:p>
        </w:tc>
      </w:tr>
      <w:tr w:rsidR="00532ED2" w:rsidRPr="00532ED2" w14:paraId="6855C02F" w14:textId="77777777" w:rsidTr="00586DE2">
        <w:trPr>
          <w:jc w:val="center"/>
        </w:trPr>
        <w:tc>
          <w:tcPr>
            <w:tcW w:w="2551" w:type="dxa"/>
            <w:vAlign w:val="center"/>
            <w:hideMark/>
          </w:tcPr>
          <w:p w14:paraId="3669B21B"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Señalización vertical nueva</w:t>
            </w:r>
          </w:p>
        </w:tc>
        <w:tc>
          <w:tcPr>
            <w:tcW w:w="1165" w:type="dxa"/>
            <w:vAlign w:val="center"/>
            <w:hideMark/>
          </w:tcPr>
          <w:p w14:paraId="0FE28097"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60 meses</w:t>
            </w:r>
          </w:p>
        </w:tc>
        <w:tc>
          <w:tcPr>
            <w:tcW w:w="5039" w:type="dxa"/>
            <w:vAlign w:val="center"/>
            <w:hideMark/>
          </w:tcPr>
          <w:p w14:paraId="7F6BDEF8"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 xml:space="preserve">Tablero, materiales que lo conforman, película </w:t>
            </w:r>
            <w:proofErr w:type="spellStart"/>
            <w:r w:rsidRPr="00532ED2">
              <w:rPr>
                <w:rFonts w:eastAsia="Times New Roman" w:cs="Arial"/>
                <w:sz w:val="18"/>
                <w:szCs w:val="18"/>
                <w:lang w:eastAsia="es-CO"/>
              </w:rPr>
              <w:t>retrorreflectiva</w:t>
            </w:r>
            <w:proofErr w:type="spellEnd"/>
            <w:r w:rsidRPr="00532ED2">
              <w:rPr>
                <w:rFonts w:eastAsia="Times New Roman" w:cs="Arial"/>
                <w:sz w:val="18"/>
                <w:szCs w:val="18"/>
                <w:lang w:eastAsia="es-CO"/>
              </w:rPr>
              <w:t>, impresión o aplicación gráfica, soporte, elementos de fijación, protección anticorrosiva, cimentación e instalación.</w:t>
            </w:r>
          </w:p>
        </w:tc>
      </w:tr>
      <w:tr w:rsidR="00532ED2" w:rsidRPr="00532ED2" w14:paraId="139D106A" w14:textId="77777777" w:rsidTr="00586DE2">
        <w:trPr>
          <w:jc w:val="center"/>
        </w:trPr>
        <w:tc>
          <w:tcPr>
            <w:tcW w:w="2551" w:type="dxa"/>
            <w:vAlign w:val="center"/>
            <w:hideMark/>
          </w:tcPr>
          <w:p w14:paraId="3CBAC116"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 xml:space="preserve">Plástico en frío aplicado por pulverización – espesor 22 </w:t>
            </w:r>
            <w:proofErr w:type="spellStart"/>
            <w:r w:rsidRPr="00532ED2">
              <w:rPr>
                <w:rFonts w:eastAsia="Times New Roman" w:cs="Arial"/>
                <w:b/>
                <w:bCs/>
                <w:sz w:val="18"/>
                <w:szCs w:val="18"/>
                <w:lang w:eastAsia="es-CO"/>
              </w:rPr>
              <w:t>mils</w:t>
            </w:r>
            <w:proofErr w:type="spellEnd"/>
          </w:p>
        </w:tc>
        <w:tc>
          <w:tcPr>
            <w:tcW w:w="1165" w:type="dxa"/>
            <w:vAlign w:val="center"/>
            <w:hideMark/>
          </w:tcPr>
          <w:p w14:paraId="638E460D"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36 meses</w:t>
            </w:r>
          </w:p>
        </w:tc>
        <w:tc>
          <w:tcPr>
            <w:tcW w:w="5039" w:type="dxa"/>
            <w:vAlign w:val="center"/>
            <w:hideMark/>
          </w:tcPr>
          <w:p w14:paraId="6422517D"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Adherencia, permanencia, integridad del material y desempeño funcional de la demarcación, incluida la incorporación de microesferas y demás componentes del sistema especificado.</w:t>
            </w:r>
          </w:p>
        </w:tc>
      </w:tr>
      <w:tr w:rsidR="00532ED2" w:rsidRPr="00532ED2" w14:paraId="1C29E5C4" w14:textId="77777777" w:rsidTr="00586DE2">
        <w:trPr>
          <w:jc w:val="center"/>
        </w:trPr>
        <w:tc>
          <w:tcPr>
            <w:tcW w:w="2551" w:type="dxa"/>
            <w:vAlign w:val="center"/>
            <w:hideMark/>
          </w:tcPr>
          <w:p w14:paraId="0B8B6A7C"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 xml:space="preserve">Plástico en frío aplicado por extrusión, zapatón o aplicación manual – espesor 50 </w:t>
            </w:r>
            <w:proofErr w:type="spellStart"/>
            <w:r w:rsidRPr="00532ED2">
              <w:rPr>
                <w:rFonts w:eastAsia="Times New Roman" w:cs="Arial"/>
                <w:b/>
                <w:bCs/>
                <w:sz w:val="18"/>
                <w:szCs w:val="18"/>
                <w:lang w:eastAsia="es-CO"/>
              </w:rPr>
              <w:t>mils</w:t>
            </w:r>
            <w:proofErr w:type="spellEnd"/>
          </w:p>
        </w:tc>
        <w:tc>
          <w:tcPr>
            <w:tcW w:w="1165" w:type="dxa"/>
            <w:vAlign w:val="center"/>
            <w:hideMark/>
          </w:tcPr>
          <w:p w14:paraId="7E80BE75"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48 meses</w:t>
            </w:r>
          </w:p>
        </w:tc>
        <w:tc>
          <w:tcPr>
            <w:tcW w:w="5039" w:type="dxa"/>
            <w:vAlign w:val="center"/>
            <w:hideMark/>
          </w:tcPr>
          <w:p w14:paraId="2C177D2D"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Adherencia, permanencia, integridad del material y desempeño funcional de la demarcación, incluidos los componentes del sistema especificado.</w:t>
            </w:r>
          </w:p>
        </w:tc>
      </w:tr>
      <w:tr w:rsidR="00532ED2" w:rsidRPr="00532ED2" w14:paraId="4925ADD5" w14:textId="77777777" w:rsidTr="00586DE2">
        <w:trPr>
          <w:jc w:val="center"/>
        </w:trPr>
        <w:tc>
          <w:tcPr>
            <w:tcW w:w="2551" w:type="dxa"/>
            <w:vAlign w:val="center"/>
            <w:hideMark/>
          </w:tcPr>
          <w:p w14:paraId="0E604F72"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 xml:space="preserve">Material termoplástico – espesor 90 </w:t>
            </w:r>
            <w:proofErr w:type="spellStart"/>
            <w:r w:rsidRPr="00532ED2">
              <w:rPr>
                <w:rFonts w:eastAsia="Times New Roman" w:cs="Arial"/>
                <w:b/>
                <w:bCs/>
                <w:sz w:val="18"/>
                <w:szCs w:val="18"/>
                <w:lang w:eastAsia="es-CO"/>
              </w:rPr>
              <w:t>mils</w:t>
            </w:r>
            <w:proofErr w:type="spellEnd"/>
            <w:r w:rsidRPr="00532ED2">
              <w:rPr>
                <w:rFonts w:eastAsia="Times New Roman" w:cs="Arial"/>
                <w:b/>
                <w:bCs/>
                <w:sz w:val="18"/>
                <w:szCs w:val="18"/>
                <w:lang w:eastAsia="es-CO"/>
              </w:rPr>
              <w:t>, cuando aplique</w:t>
            </w:r>
          </w:p>
        </w:tc>
        <w:tc>
          <w:tcPr>
            <w:tcW w:w="1165" w:type="dxa"/>
            <w:vAlign w:val="center"/>
            <w:hideMark/>
          </w:tcPr>
          <w:p w14:paraId="1FD48795"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48 meses</w:t>
            </w:r>
          </w:p>
        </w:tc>
        <w:tc>
          <w:tcPr>
            <w:tcW w:w="5039" w:type="dxa"/>
            <w:vAlign w:val="center"/>
            <w:hideMark/>
          </w:tcPr>
          <w:p w14:paraId="37621753"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Adherencia, permanencia, integridad y desempeño funcional del sistema aplicado.</w:t>
            </w:r>
          </w:p>
        </w:tc>
      </w:tr>
      <w:tr w:rsidR="00532ED2" w:rsidRPr="00532ED2" w14:paraId="7A5579C1" w14:textId="77777777" w:rsidTr="00586DE2">
        <w:trPr>
          <w:jc w:val="center"/>
        </w:trPr>
        <w:tc>
          <w:tcPr>
            <w:tcW w:w="2551" w:type="dxa"/>
            <w:vAlign w:val="center"/>
            <w:hideMark/>
          </w:tcPr>
          <w:p w14:paraId="458AA6AF"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 xml:space="preserve">Tachas </w:t>
            </w:r>
            <w:proofErr w:type="spellStart"/>
            <w:r w:rsidRPr="00532ED2">
              <w:rPr>
                <w:rFonts w:eastAsia="Times New Roman" w:cs="Arial"/>
                <w:b/>
                <w:bCs/>
                <w:sz w:val="18"/>
                <w:szCs w:val="18"/>
                <w:lang w:eastAsia="es-CO"/>
              </w:rPr>
              <w:t>retrorreflectivas</w:t>
            </w:r>
            <w:proofErr w:type="spellEnd"/>
          </w:p>
        </w:tc>
        <w:tc>
          <w:tcPr>
            <w:tcW w:w="1165" w:type="dxa"/>
            <w:vAlign w:val="center"/>
            <w:hideMark/>
          </w:tcPr>
          <w:p w14:paraId="73296D66"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18 meses</w:t>
            </w:r>
          </w:p>
        </w:tc>
        <w:tc>
          <w:tcPr>
            <w:tcW w:w="5039" w:type="dxa"/>
            <w:vAlign w:val="center"/>
            <w:hideMark/>
          </w:tcPr>
          <w:p w14:paraId="1756DC7E"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 xml:space="preserve">Integridad del cuerpo, elementos </w:t>
            </w:r>
            <w:proofErr w:type="spellStart"/>
            <w:r w:rsidRPr="00532ED2">
              <w:rPr>
                <w:rFonts w:eastAsia="Times New Roman" w:cs="Arial"/>
                <w:sz w:val="18"/>
                <w:szCs w:val="18"/>
                <w:lang w:eastAsia="es-CO"/>
              </w:rPr>
              <w:t>retrorreflectivos</w:t>
            </w:r>
            <w:proofErr w:type="spellEnd"/>
            <w:r w:rsidRPr="00532ED2">
              <w:rPr>
                <w:rFonts w:eastAsia="Times New Roman" w:cs="Arial"/>
                <w:sz w:val="18"/>
                <w:szCs w:val="18"/>
                <w:lang w:eastAsia="es-CO"/>
              </w:rPr>
              <w:t>, adhesivo o sistema de fijación y permanencia del dispositivo.</w:t>
            </w:r>
          </w:p>
        </w:tc>
      </w:tr>
      <w:tr w:rsidR="00532ED2" w:rsidRPr="00532ED2" w14:paraId="74DC46D4" w14:textId="77777777" w:rsidTr="00586DE2">
        <w:trPr>
          <w:jc w:val="center"/>
        </w:trPr>
        <w:tc>
          <w:tcPr>
            <w:tcW w:w="2551" w:type="dxa"/>
            <w:vAlign w:val="center"/>
            <w:hideMark/>
          </w:tcPr>
          <w:p w14:paraId="3C2CD2DB"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Estoperoles</w:t>
            </w:r>
          </w:p>
        </w:tc>
        <w:tc>
          <w:tcPr>
            <w:tcW w:w="1165" w:type="dxa"/>
            <w:vAlign w:val="center"/>
            <w:hideMark/>
          </w:tcPr>
          <w:p w14:paraId="1EA1EB36"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18 meses</w:t>
            </w:r>
          </w:p>
        </w:tc>
        <w:tc>
          <w:tcPr>
            <w:tcW w:w="5039" w:type="dxa"/>
            <w:vAlign w:val="center"/>
            <w:hideMark/>
          </w:tcPr>
          <w:p w14:paraId="44C92D51"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Integridad del elemento, anclaje, fijación y permanencia.</w:t>
            </w:r>
          </w:p>
        </w:tc>
      </w:tr>
      <w:tr w:rsidR="00532ED2" w:rsidRPr="00532ED2" w14:paraId="23FECA34" w14:textId="77777777" w:rsidTr="00586DE2">
        <w:trPr>
          <w:jc w:val="center"/>
        </w:trPr>
        <w:tc>
          <w:tcPr>
            <w:tcW w:w="2551" w:type="dxa"/>
            <w:vAlign w:val="center"/>
            <w:hideMark/>
          </w:tcPr>
          <w:p w14:paraId="41961B04"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Tachones</w:t>
            </w:r>
          </w:p>
        </w:tc>
        <w:tc>
          <w:tcPr>
            <w:tcW w:w="1165" w:type="dxa"/>
            <w:vAlign w:val="center"/>
            <w:hideMark/>
          </w:tcPr>
          <w:p w14:paraId="369746CA"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18 meses</w:t>
            </w:r>
          </w:p>
        </w:tc>
        <w:tc>
          <w:tcPr>
            <w:tcW w:w="5039" w:type="dxa"/>
            <w:vAlign w:val="center"/>
            <w:hideMark/>
          </w:tcPr>
          <w:p w14:paraId="64838128"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 xml:space="preserve">Integridad del elemento, componentes </w:t>
            </w:r>
            <w:proofErr w:type="spellStart"/>
            <w:r w:rsidRPr="00532ED2">
              <w:rPr>
                <w:rFonts w:eastAsia="Times New Roman" w:cs="Arial"/>
                <w:sz w:val="18"/>
                <w:szCs w:val="18"/>
                <w:lang w:eastAsia="es-CO"/>
              </w:rPr>
              <w:t>retrorreflectivos</w:t>
            </w:r>
            <w:proofErr w:type="spellEnd"/>
            <w:r w:rsidRPr="00532ED2">
              <w:rPr>
                <w:rFonts w:eastAsia="Times New Roman" w:cs="Arial"/>
                <w:sz w:val="18"/>
                <w:szCs w:val="18"/>
                <w:lang w:eastAsia="es-CO"/>
              </w:rPr>
              <w:t xml:space="preserve"> cuando correspondan, anclaje, fijación y permanencia.</w:t>
            </w:r>
          </w:p>
        </w:tc>
      </w:tr>
      <w:tr w:rsidR="00532ED2" w:rsidRPr="00532ED2" w14:paraId="74498656" w14:textId="77777777" w:rsidTr="00586DE2">
        <w:trPr>
          <w:jc w:val="center"/>
        </w:trPr>
        <w:tc>
          <w:tcPr>
            <w:tcW w:w="2551" w:type="dxa"/>
            <w:vAlign w:val="center"/>
            <w:hideMark/>
          </w:tcPr>
          <w:p w14:paraId="009FEB3C"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Hitos o delineadores flexibles</w:t>
            </w:r>
          </w:p>
        </w:tc>
        <w:tc>
          <w:tcPr>
            <w:tcW w:w="1165" w:type="dxa"/>
            <w:vAlign w:val="center"/>
            <w:hideMark/>
          </w:tcPr>
          <w:p w14:paraId="12101512"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18 meses</w:t>
            </w:r>
          </w:p>
        </w:tc>
        <w:tc>
          <w:tcPr>
            <w:tcW w:w="5039" w:type="dxa"/>
            <w:vAlign w:val="center"/>
            <w:hideMark/>
          </w:tcPr>
          <w:p w14:paraId="0E0516D4"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 xml:space="preserve">Integridad del elemento, recuperación funcional propia del producto, elementos </w:t>
            </w:r>
            <w:proofErr w:type="spellStart"/>
            <w:r w:rsidRPr="00532ED2">
              <w:rPr>
                <w:rFonts w:eastAsia="Times New Roman" w:cs="Arial"/>
                <w:sz w:val="18"/>
                <w:szCs w:val="18"/>
                <w:lang w:eastAsia="es-CO"/>
              </w:rPr>
              <w:t>retrorreflectivos</w:t>
            </w:r>
            <w:proofErr w:type="spellEnd"/>
            <w:r w:rsidRPr="00532ED2">
              <w:rPr>
                <w:rFonts w:eastAsia="Times New Roman" w:cs="Arial"/>
                <w:sz w:val="18"/>
                <w:szCs w:val="18"/>
                <w:lang w:eastAsia="es-CO"/>
              </w:rPr>
              <w:t>, anclaje y fijación.</w:t>
            </w:r>
          </w:p>
        </w:tc>
      </w:tr>
      <w:tr w:rsidR="00532ED2" w:rsidRPr="00532ED2" w14:paraId="2EBFE10E" w14:textId="77777777" w:rsidTr="00586DE2">
        <w:trPr>
          <w:jc w:val="center"/>
        </w:trPr>
        <w:tc>
          <w:tcPr>
            <w:tcW w:w="2551" w:type="dxa"/>
            <w:vAlign w:val="center"/>
            <w:hideMark/>
          </w:tcPr>
          <w:p w14:paraId="43B38618"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Bordillos traspasables y no traspasables prefabricados</w:t>
            </w:r>
          </w:p>
        </w:tc>
        <w:tc>
          <w:tcPr>
            <w:tcW w:w="1165" w:type="dxa"/>
            <w:vAlign w:val="center"/>
            <w:hideMark/>
          </w:tcPr>
          <w:p w14:paraId="592C17B7"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24 meses</w:t>
            </w:r>
          </w:p>
        </w:tc>
        <w:tc>
          <w:tcPr>
            <w:tcW w:w="5039" w:type="dxa"/>
            <w:vAlign w:val="center"/>
            <w:hideMark/>
          </w:tcPr>
          <w:p w14:paraId="0B96AEE3"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Integridad del elemento, anclaje, fijación, estabilidad y permanencia.</w:t>
            </w:r>
          </w:p>
        </w:tc>
      </w:tr>
      <w:tr w:rsidR="00532ED2" w:rsidRPr="00532ED2" w14:paraId="5E50D3FC" w14:textId="77777777" w:rsidTr="00586DE2">
        <w:trPr>
          <w:jc w:val="center"/>
        </w:trPr>
        <w:tc>
          <w:tcPr>
            <w:tcW w:w="2551" w:type="dxa"/>
            <w:vAlign w:val="center"/>
            <w:hideMark/>
          </w:tcPr>
          <w:p w14:paraId="12299E78"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Reductores de velocidad prefabricados de caucho, plástico u otro material autorizado</w:t>
            </w:r>
          </w:p>
        </w:tc>
        <w:tc>
          <w:tcPr>
            <w:tcW w:w="1165" w:type="dxa"/>
            <w:vAlign w:val="center"/>
            <w:hideMark/>
          </w:tcPr>
          <w:p w14:paraId="61B126E7"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24 meses</w:t>
            </w:r>
          </w:p>
        </w:tc>
        <w:tc>
          <w:tcPr>
            <w:tcW w:w="5039" w:type="dxa"/>
            <w:vAlign w:val="center"/>
            <w:hideMark/>
          </w:tcPr>
          <w:p w14:paraId="642E466E"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Integridad de módulos, elementos reflectivos cuando correspondan, anclajes, fijación, estabilidad y permanencia.</w:t>
            </w:r>
          </w:p>
        </w:tc>
      </w:tr>
      <w:tr w:rsidR="00532ED2" w:rsidRPr="00532ED2" w14:paraId="4EE15BC3" w14:textId="77777777" w:rsidTr="00586DE2">
        <w:trPr>
          <w:jc w:val="center"/>
        </w:trPr>
        <w:tc>
          <w:tcPr>
            <w:tcW w:w="2551" w:type="dxa"/>
            <w:vAlign w:val="center"/>
            <w:hideMark/>
          </w:tcPr>
          <w:p w14:paraId="5DE14535"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Bandas alertadoras prefabricadas</w:t>
            </w:r>
          </w:p>
        </w:tc>
        <w:tc>
          <w:tcPr>
            <w:tcW w:w="1165" w:type="dxa"/>
            <w:vAlign w:val="center"/>
            <w:hideMark/>
          </w:tcPr>
          <w:p w14:paraId="2628FA37"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24 meses</w:t>
            </w:r>
          </w:p>
        </w:tc>
        <w:tc>
          <w:tcPr>
            <w:tcW w:w="5039" w:type="dxa"/>
            <w:vAlign w:val="center"/>
            <w:hideMark/>
          </w:tcPr>
          <w:p w14:paraId="0D13E268"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Integridad, fijación, anclaje y permanencia del sistema.</w:t>
            </w:r>
          </w:p>
        </w:tc>
      </w:tr>
      <w:tr w:rsidR="00532ED2" w:rsidRPr="00532ED2" w14:paraId="57B1C4AE" w14:textId="77777777" w:rsidTr="00586DE2">
        <w:trPr>
          <w:jc w:val="center"/>
        </w:trPr>
        <w:tc>
          <w:tcPr>
            <w:tcW w:w="2551" w:type="dxa"/>
            <w:vAlign w:val="center"/>
            <w:hideMark/>
          </w:tcPr>
          <w:p w14:paraId="368A3995"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Bandas alertadoras ejecutadas mediante agregados u otro sistema adherido</w:t>
            </w:r>
          </w:p>
        </w:tc>
        <w:tc>
          <w:tcPr>
            <w:tcW w:w="1165" w:type="dxa"/>
            <w:vAlign w:val="center"/>
            <w:hideMark/>
          </w:tcPr>
          <w:p w14:paraId="6FCFD8A0"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36 meses</w:t>
            </w:r>
          </w:p>
        </w:tc>
        <w:tc>
          <w:tcPr>
            <w:tcW w:w="5039" w:type="dxa"/>
            <w:vAlign w:val="center"/>
            <w:hideMark/>
          </w:tcPr>
          <w:p w14:paraId="13B6679E"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Adherencia, integridad, permanencia y comportamiento del sistema ejecutado.</w:t>
            </w:r>
          </w:p>
        </w:tc>
      </w:tr>
      <w:tr w:rsidR="00532ED2" w:rsidRPr="00532ED2" w14:paraId="31321D27" w14:textId="77777777" w:rsidTr="00586DE2">
        <w:trPr>
          <w:jc w:val="center"/>
        </w:trPr>
        <w:tc>
          <w:tcPr>
            <w:tcW w:w="2551" w:type="dxa"/>
            <w:vAlign w:val="center"/>
            <w:hideMark/>
          </w:tcPr>
          <w:p w14:paraId="59D32E76"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Resaltos ejecutados en mezcla asfáltica</w:t>
            </w:r>
          </w:p>
        </w:tc>
        <w:tc>
          <w:tcPr>
            <w:tcW w:w="1165" w:type="dxa"/>
            <w:vAlign w:val="center"/>
            <w:hideMark/>
          </w:tcPr>
          <w:p w14:paraId="15AA4A40"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12 meses</w:t>
            </w:r>
          </w:p>
        </w:tc>
        <w:tc>
          <w:tcPr>
            <w:tcW w:w="5039" w:type="dxa"/>
            <w:vAlign w:val="center"/>
            <w:hideMark/>
          </w:tcPr>
          <w:p w14:paraId="40EF2383"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Integridad del elemento ejecutado, adherencia, estabilidad, geometría y ausencia de deterioros prematuros atribuibles a materiales o ejecución.</w:t>
            </w:r>
          </w:p>
        </w:tc>
      </w:tr>
      <w:tr w:rsidR="00532ED2" w:rsidRPr="00532ED2" w14:paraId="76EACFB4" w14:textId="77777777" w:rsidTr="00586DE2">
        <w:trPr>
          <w:jc w:val="center"/>
        </w:trPr>
        <w:tc>
          <w:tcPr>
            <w:tcW w:w="2551" w:type="dxa"/>
            <w:vAlign w:val="center"/>
            <w:hideMark/>
          </w:tcPr>
          <w:p w14:paraId="6A951C5C"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 xml:space="preserve">Cimentaciones, anclajes y </w:t>
            </w:r>
            <w:r w:rsidRPr="00532ED2">
              <w:rPr>
                <w:rFonts w:eastAsia="Times New Roman" w:cs="Arial"/>
                <w:b/>
                <w:bCs/>
                <w:sz w:val="18"/>
                <w:szCs w:val="18"/>
                <w:lang w:eastAsia="es-CO"/>
              </w:rPr>
              <w:lastRenderedPageBreak/>
              <w:t>obras menores asociadas</w:t>
            </w:r>
          </w:p>
        </w:tc>
        <w:tc>
          <w:tcPr>
            <w:tcW w:w="1165" w:type="dxa"/>
            <w:vAlign w:val="center"/>
            <w:hideMark/>
          </w:tcPr>
          <w:p w14:paraId="756DE24A"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lastRenderedPageBreak/>
              <w:t>12 meses</w:t>
            </w:r>
          </w:p>
        </w:tc>
        <w:tc>
          <w:tcPr>
            <w:tcW w:w="5039" w:type="dxa"/>
            <w:vAlign w:val="center"/>
            <w:hideMark/>
          </w:tcPr>
          <w:p w14:paraId="138F2E2A"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 xml:space="preserve">Estabilidad, integridad y comportamiento de la actividad </w:t>
            </w:r>
            <w:r w:rsidRPr="00532ED2">
              <w:rPr>
                <w:rFonts w:eastAsia="Times New Roman" w:cs="Arial"/>
                <w:sz w:val="18"/>
                <w:szCs w:val="18"/>
                <w:lang w:eastAsia="es-CO"/>
              </w:rPr>
              <w:lastRenderedPageBreak/>
              <w:t>ejecutada, sin perjuicio de las responsabilidades que resulten aplicables por defectos de ejecución.</w:t>
            </w:r>
          </w:p>
        </w:tc>
      </w:tr>
      <w:tr w:rsidR="00532ED2" w:rsidRPr="00532ED2" w14:paraId="68E530CD" w14:textId="77777777" w:rsidTr="00586DE2">
        <w:trPr>
          <w:jc w:val="center"/>
        </w:trPr>
        <w:tc>
          <w:tcPr>
            <w:tcW w:w="2551" w:type="dxa"/>
            <w:vAlign w:val="center"/>
            <w:hideMark/>
          </w:tcPr>
          <w:p w14:paraId="292F336A"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lastRenderedPageBreak/>
              <w:t>Mantenimiento o rehabilitación de señalización vertical</w:t>
            </w:r>
          </w:p>
        </w:tc>
        <w:tc>
          <w:tcPr>
            <w:tcW w:w="1165" w:type="dxa"/>
            <w:vAlign w:val="center"/>
            <w:hideMark/>
          </w:tcPr>
          <w:p w14:paraId="12D42946"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12 meses</w:t>
            </w:r>
          </w:p>
        </w:tc>
        <w:tc>
          <w:tcPr>
            <w:tcW w:w="5039" w:type="dxa"/>
            <w:vAlign w:val="center"/>
            <w:hideMark/>
          </w:tcPr>
          <w:p w14:paraId="70402C02"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Exclusivamente los materiales, componentes y actividades efectivamente intervenidos o sustituidos.</w:t>
            </w:r>
          </w:p>
        </w:tc>
      </w:tr>
      <w:tr w:rsidR="00532ED2" w:rsidRPr="00532ED2" w14:paraId="159A0664" w14:textId="77777777" w:rsidTr="00586DE2">
        <w:trPr>
          <w:jc w:val="center"/>
        </w:trPr>
        <w:tc>
          <w:tcPr>
            <w:tcW w:w="2551" w:type="dxa"/>
            <w:vAlign w:val="center"/>
            <w:hideMark/>
          </w:tcPr>
          <w:p w14:paraId="3B8E0DDA"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Reubicación de señalización vertical o dispositivos</w:t>
            </w:r>
          </w:p>
        </w:tc>
        <w:tc>
          <w:tcPr>
            <w:tcW w:w="1165" w:type="dxa"/>
            <w:vAlign w:val="center"/>
            <w:hideMark/>
          </w:tcPr>
          <w:p w14:paraId="53B634D1"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b/>
                <w:bCs/>
                <w:sz w:val="18"/>
                <w:szCs w:val="18"/>
                <w:lang w:eastAsia="es-CO"/>
              </w:rPr>
              <w:t>12 meses sobre la actividad ejecutada</w:t>
            </w:r>
          </w:p>
        </w:tc>
        <w:tc>
          <w:tcPr>
            <w:tcW w:w="5039" w:type="dxa"/>
            <w:vAlign w:val="center"/>
            <w:hideMark/>
          </w:tcPr>
          <w:p w14:paraId="101520DA" w14:textId="77777777" w:rsidR="00532ED2" w:rsidRPr="00532ED2" w:rsidRDefault="00532ED2" w:rsidP="00532ED2">
            <w:pPr>
              <w:spacing w:after="0"/>
              <w:jc w:val="left"/>
              <w:rPr>
                <w:rFonts w:eastAsia="Times New Roman" w:cs="Arial"/>
                <w:sz w:val="18"/>
                <w:szCs w:val="18"/>
                <w:lang w:eastAsia="es-CO"/>
              </w:rPr>
            </w:pPr>
            <w:r w:rsidRPr="00532ED2">
              <w:rPr>
                <w:rFonts w:eastAsia="Times New Roman" w:cs="Arial"/>
                <w:sz w:val="18"/>
                <w:szCs w:val="18"/>
                <w:lang w:eastAsia="es-CO"/>
              </w:rPr>
              <w:t>Nueva cimentación, anclaje, fijación, instalación y demás trabajos realizados. No implica renovación de la garantía del elemento reutilizado, salvo que este haya sido rehabilitado o sustituido.</w:t>
            </w:r>
          </w:p>
        </w:tc>
      </w:tr>
    </w:tbl>
    <w:p w14:paraId="22A11688" w14:textId="1D6C07F2" w:rsidR="00532ED2" w:rsidRDefault="00532ED2" w:rsidP="00532ED2">
      <w:pPr>
        <w:rPr>
          <w:rFonts w:cs="Arial"/>
          <w:szCs w:val="21"/>
        </w:rPr>
      </w:pPr>
    </w:p>
    <w:p w14:paraId="78DAA8B6" w14:textId="77777777" w:rsidR="000E6FF7" w:rsidRPr="000E6FF7" w:rsidRDefault="000E6FF7" w:rsidP="000E6FF7">
      <w:pPr>
        <w:rPr>
          <w:rFonts w:cs="Arial"/>
          <w:szCs w:val="21"/>
        </w:rPr>
      </w:pPr>
      <w:r w:rsidRPr="000E6FF7">
        <w:rPr>
          <w:rFonts w:cs="Arial"/>
          <w:szCs w:val="21"/>
        </w:rPr>
        <w:t>Los periodos anteriores comenzarán a contarse a partir de la fecha de recibo a satisfacción del elemento o actividad correspondiente, debidamente identificada en los registros de la respectiva Orden de Intervención.</w:t>
      </w:r>
    </w:p>
    <w:p w14:paraId="1A7E8C70" w14:textId="77777777" w:rsidR="000E6FF7" w:rsidRPr="000E6FF7" w:rsidRDefault="000E6FF7" w:rsidP="000E6FF7">
      <w:pPr>
        <w:rPr>
          <w:rFonts w:cs="Arial"/>
          <w:szCs w:val="21"/>
        </w:rPr>
      </w:pPr>
      <w:r w:rsidRPr="000E6FF7">
        <w:rPr>
          <w:rFonts w:cs="Arial"/>
          <w:szCs w:val="21"/>
        </w:rPr>
        <w:t>Cuando un elemento, componente, material o actividad sea objeto de reposición o corrección por una falla atribuible al Contratista, se aplicará lo establecido en el numeral 1.4 del presente Apéndice respecto del inicio de un nuevo periodo de garantía sobre la parte efectivamente repuesta o corregida.</w:t>
      </w:r>
    </w:p>
    <w:p w14:paraId="06DFF2CB" w14:textId="77777777" w:rsidR="000E6FF7" w:rsidRPr="000E6FF7" w:rsidRDefault="000E6FF7" w:rsidP="000E6FF7">
      <w:pPr>
        <w:rPr>
          <w:rFonts w:cs="Arial"/>
          <w:szCs w:val="21"/>
        </w:rPr>
      </w:pPr>
      <w:r>
        <w:t>Los periodos establecidos en la tabla constituyen mínimos contractuales y no podrán ser reducidos unilateralmente por el Contratista ni mediante la Orden de Intervención. Si una condición del sitio impide técnicamente cumplirlos, deberá definirse una solución compatible antes de autorizar la ejecución. Las intervenciones excepcionales o temporales se regirán por el numeral 5.3.</w:t>
      </w:r>
    </w:p>
    <w:p w14:paraId="27B679F4" w14:textId="77777777" w:rsidR="000E6FF7" w:rsidRPr="000E6FF7" w:rsidRDefault="000E6FF7" w:rsidP="000E6FF7">
      <w:pPr>
        <w:rPr>
          <w:rFonts w:cs="Arial"/>
          <w:szCs w:val="21"/>
        </w:rPr>
      </w:pPr>
      <w:r w:rsidRPr="000E6FF7">
        <w:rPr>
          <w:rFonts w:cs="Arial"/>
          <w:szCs w:val="21"/>
        </w:rPr>
        <w:t>La garantía no se limitará a la permanencia física del elemento. Durante el periodo aplicable deberá conservar las condiciones mínimas de seguridad, funcionalidad, estabilidad, adherencia, fijación, integridad y desempeño que correspondan a su naturaleza, de conformidad con las especificaciones técnicas y criterios de aceptación aplicables.</w:t>
      </w:r>
    </w:p>
    <w:p w14:paraId="54799259" w14:textId="7AF36B2F" w:rsidR="000E6FF7" w:rsidRDefault="000E6FF7" w:rsidP="000E6FF7">
      <w:pPr>
        <w:rPr>
          <w:rFonts w:cs="Arial"/>
          <w:szCs w:val="21"/>
        </w:rPr>
      </w:pPr>
      <w:r w:rsidRPr="000E6FF7">
        <w:rPr>
          <w:rFonts w:cs="Arial"/>
          <w:szCs w:val="21"/>
        </w:rPr>
        <w:t>Cuando para un producto específico el fabricante otorgue una garantía comercial superior al periodo establecido en este Apéndice, el Contratista deberá transferir a la Entidad los documentos y condiciones que permitan hacerla efectiva, sin que ello reduzca o sustituya sus obligaciones contractuales.</w:t>
      </w:r>
    </w:p>
    <w:p w14:paraId="7410A500" w14:textId="77777777" w:rsidR="00687F57" w:rsidRDefault="00687F57" w:rsidP="00687F57">
      <w:pPr>
        <w:pStyle w:val="Ttulo2"/>
        <w:spacing w:before="0"/>
        <w:rPr>
          <w:rFonts w:cs="Arial"/>
          <w:szCs w:val="22"/>
        </w:rPr>
      </w:pPr>
      <w:r>
        <w:rPr>
          <w:rFonts w:cs="Arial"/>
          <w:szCs w:val="22"/>
        </w:rPr>
        <w:t>4.2 ELEMENTOS NO INCLUIDOS EN LA TABLA</w:t>
      </w:r>
    </w:p>
    <w:p w14:paraId="3D96F83F" w14:textId="77777777" w:rsidR="00687F57" w:rsidRDefault="00687F57" w:rsidP="00687F57">
      <w:pPr>
        <w:rPr>
          <w:rFonts w:cs="Arial"/>
          <w:szCs w:val="21"/>
        </w:rPr>
      </w:pPr>
      <w:r>
        <w:t>Cuando se autorice un elemento o tecnología prevista contractualmente pero no incluida expresamente en la tabla anterior, su periodo de garantía deberá quedar definido por la Entidad antes de autorizar su ejecución, con fundamento en la ficha técnica, garantía del fabricante, naturaleza de la instalación, condiciones de servicio y desempeño esperado. En ningún caso la duración se dejará para definición posterior a la instalación.</w:t>
      </w:r>
    </w:p>
    <w:p w14:paraId="63BE5D7B" w14:textId="77777777" w:rsidR="00687F57" w:rsidRDefault="00687F57" w:rsidP="00687F57">
      <w:pPr>
        <w:rPr>
          <w:rFonts w:cs="Arial"/>
          <w:szCs w:val="21"/>
        </w:rPr>
      </w:pPr>
      <w:r>
        <w:rPr>
          <w:rFonts w:cs="Arial"/>
          <w:szCs w:val="21"/>
        </w:rPr>
        <w:t>No podrá dejarse la duración de garantía de un elemento nuevo para definición posterior a su instalación.</w:t>
      </w:r>
    </w:p>
    <w:p w14:paraId="1915144C" w14:textId="77777777" w:rsidR="00687F57" w:rsidRDefault="00687F57" w:rsidP="00687F57">
      <w:pPr>
        <w:pStyle w:val="Ttulo2"/>
        <w:spacing w:before="0"/>
        <w:rPr>
          <w:rFonts w:cs="Arial"/>
          <w:szCs w:val="22"/>
        </w:rPr>
      </w:pPr>
      <w:r>
        <w:rPr>
          <w:rFonts w:cs="Arial"/>
          <w:szCs w:val="22"/>
        </w:rPr>
        <w:t>4.3 MANTENIMIENTO, REHABILITACIÓN Y REUBICACIÓN</w:t>
      </w:r>
    </w:p>
    <w:p w14:paraId="58B86E91" w14:textId="77777777" w:rsidR="00687F57" w:rsidRDefault="00687F57" w:rsidP="00687F57">
      <w:pPr>
        <w:rPr>
          <w:rFonts w:cs="Arial"/>
          <w:szCs w:val="21"/>
        </w:rPr>
      </w:pPr>
      <w:r>
        <w:rPr>
          <w:rFonts w:cs="Arial"/>
          <w:szCs w:val="21"/>
        </w:rPr>
        <w:t>En actividades de mantenimiento o rehabilitación, la garantía se limitará a los componentes y trabajos efectivamente intervenidos. No se entenderá extendida a defectos preexistentes de partes que no hayan sido objeto de suministro, reparación o sustitución.</w:t>
      </w:r>
    </w:p>
    <w:p w14:paraId="36768B0A" w14:textId="77777777" w:rsidR="00687F57" w:rsidRDefault="00687F57" w:rsidP="00687F57">
      <w:pPr>
        <w:rPr>
          <w:rFonts w:cs="Arial"/>
          <w:szCs w:val="21"/>
        </w:rPr>
      </w:pPr>
      <w:r>
        <w:rPr>
          <w:rFonts w:cs="Arial"/>
          <w:szCs w:val="21"/>
        </w:rPr>
        <w:t>En reubicaciones, la garantía cubrirá la nueva cimentación, anclaje, fijación y los trabajos ejecutados; el elemento reutilizado conservará únicamente las obligaciones que resulten técnicamente aplicables a su condición preexistente, salvo que haya sido rehabilitado dentro del mismo ítem.</w:t>
      </w:r>
    </w:p>
    <w:p w14:paraId="7CC0DAB7" w14:textId="77777777" w:rsidR="00687F57" w:rsidRDefault="00687F57" w:rsidP="00687F57">
      <w:pPr>
        <w:pStyle w:val="Ttulo1"/>
        <w:spacing w:before="0"/>
        <w:rPr>
          <w:rFonts w:cs="Arial"/>
          <w:szCs w:val="24"/>
        </w:rPr>
      </w:pPr>
      <w:r>
        <w:lastRenderedPageBreak/>
        <w:t>5. GESTIÓN DE CONDICIONES PARTICULARES Y SOLUCIONES EXCEPCIONALES</w:t>
      </w:r>
    </w:p>
    <w:p w14:paraId="0D93A7C1" w14:textId="77777777" w:rsidR="00687F57" w:rsidRDefault="00687F57" w:rsidP="00687F57">
      <w:pPr>
        <w:pStyle w:val="Ttulo2"/>
        <w:spacing w:before="0"/>
        <w:rPr>
          <w:rFonts w:cs="Arial"/>
          <w:szCs w:val="22"/>
        </w:rPr>
      </w:pPr>
      <w:r>
        <w:t>5.1 REGLA GENERAL</w:t>
      </w:r>
    </w:p>
    <w:p w14:paraId="74974198" w14:textId="77777777" w:rsidR="00687F57" w:rsidRDefault="00687F57" w:rsidP="00687F57">
      <w:pPr>
        <w:rPr>
          <w:rFonts w:cs="Arial"/>
          <w:szCs w:val="21"/>
        </w:rPr>
      </w:pPr>
      <w:r>
        <w:t>Los periodos de garantía del numeral 4 son los mínimos exigibles para las actividades ordinarias del contrato. La clasificación de condiciones del sitio no se utilizará como fórmula matemática para disminuirlos. Su finalidad es soportar la selección de la solución, la preparación previa, el procedimiento constructivo y la trazabilidad de la intervención.</w:t>
      </w:r>
    </w:p>
    <w:p w14:paraId="69BC640B" w14:textId="77777777" w:rsidR="00687F57" w:rsidRDefault="00687F57" w:rsidP="00687F57">
      <w:pPr>
        <w:rPr>
          <w:rFonts w:cs="Arial"/>
          <w:szCs w:val="21"/>
        </w:rPr>
      </w:pPr>
      <w:r>
        <w:t>Cuando una condición desfavorable pueda corregirse razonablemente, deberá gestionarse antes de ejecutar. Cuando no sea técnicamente viable ejecutar la solución prevista con el desempeño exigido, el Contratista deberá abstenerse de intervenir hasta que la supervisión defina la actuación procedente.</w:t>
      </w:r>
    </w:p>
    <w:p w14:paraId="7B56F5B3" w14:textId="77777777" w:rsidR="00687F57" w:rsidRDefault="00687F57" w:rsidP="00687F57">
      <w:pPr>
        <w:pStyle w:val="Ttulo2"/>
        <w:spacing w:before="0"/>
        <w:rPr>
          <w:rFonts w:cs="Arial"/>
          <w:szCs w:val="22"/>
        </w:rPr>
      </w:pPr>
      <w:r>
        <w:t>5.2 CAMBIO O ADECUACIÓN DE LA SOLUCIÓN</w:t>
      </w:r>
    </w:p>
    <w:p w14:paraId="521CCFF5" w14:textId="77777777" w:rsidR="00687F57" w:rsidRDefault="00687F57" w:rsidP="00687F57">
      <w:pPr>
        <w:rPr>
          <w:rFonts w:cs="Arial"/>
          <w:szCs w:val="21"/>
        </w:rPr>
      </w:pPr>
      <w:r>
        <w:t>Si la verificación previa evidencia que el material, sistema o procedimiento inicialmente previsto no resulta compatible con las condiciones del sitio, el Contratista presentará la observación técnica y las alternativas viables. La supervisión podrá ordenar la preparación o adecuación previa del sitio, seleccionar otro ítem o sistema previsto contractualmente, reprogramar la intervención o abstenerse de autorizarla.</w:t>
      </w:r>
    </w:p>
    <w:p w14:paraId="3662D4A1" w14:textId="77777777" w:rsidR="00687F57" w:rsidRDefault="00687F57" w:rsidP="00687F57">
      <w:pPr>
        <w:rPr>
          <w:rFonts w:cs="Arial"/>
          <w:szCs w:val="21"/>
        </w:rPr>
      </w:pPr>
      <w:r>
        <w:t>Toda decisión deberá quedar asociada a la Orden de Intervención y a los registros de campo. La existencia de una condición adversa no exonera al Contratista de cumplir las especificaciones de los Apéndices A y B ni de advertir oportunamente condiciones que comprometan la calidad.</w:t>
      </w:r>
    </w:p>
    <w:p w14:paraId="0883EA2D" w14:textId="77777777" w:rsidR="00687F57" w:rsidRDefault="00687F57" w:rsidP="00687F57">
      <w:pPr>
        <w:pStyle w:val="Ttulo2"/>
        <w:spacing w:before="0"/>
        <w:rPr>
          <w:rFonts w:cs="Arial"/>
          <w:szCs w:val="22"/>
        </w:rPr>
      </w:pPr>
      <w:r>
        <w:t>5.3 INTERVENCIONES URGENTES O TEMPORALES</w:t>
      </w:r>
    </w:p>
    <w:p w14:paraId="47BB70FA" w14:textId="77777777" w:rsidR="00687F57" w:rsidRDefault="00687F57" w:rsidP="00687F57">
      <w:pPr>
        <w:rPr>
          <w:rFonts w:cs="Arial"/>
          <w:szCs w:val="21"/>
        </w:rPr>
      </w:pPr>
      <w:r>
        <w:t>Excepcionalmente, cuando por razones de seguridad vial o necesidad inmediata de servicio la STT requiera una solución temporal que, por su propia naturaleza, no corresponda a una intervención definitiva, esta condición deberá definirse expresamente antes de la ejecución y quedar identificada en la Orden de Intervención.</w:t>
      </w:r>
    </w:p>
    <w:p w14:paraId="7CE9FC3C" w14:textId="77777777" w:rsidR="00687F57" w:rsidRDefault="00687F57" w:rsidP="00687F57">
      <w:pPr>
        <w:rPr>
          <w:rFonts w:cs="Arial"/>
          <w:szCs w:val="21"/>
        </w:rPr>
      </w:pPr>
      <w:r>
        <w:t>La autorización deberá indicar el carácter temporal, alcance, material o sistema, condiciones del sitio, duración esperada, tratamiento posterior y garantía técnica aplicable. Esta figura no podrá utilizarse para disminuir la garantía de una intervención ordinaria ni para subsanar deficiencias de preparación, materiales o ejecución imputables al Contratista.</w:t>
      </w:r>
    </w:p>
    <w:p w14:paraId="377E8CB3" w14:textId="77777777" w:rsidR="00687F57" w:rsidRDefault="00687F57" w:rsidP="00687F57">
      <w:pPr>
        <w:pStyle w:val="Ttulo2"/>
        <w:spacing w:before="0"/>
        <w:rPr>
          <w:rFonts w:cs="Arial"/>
          <w:szCs w:val="22"/>
        </w:rPr>
      </w:pPr>
      <w:r>
        <w:t>5.4 SOPORTE TÉCNICO DE LA DECISIÓN</w:t>
      </w:r>
    </w:p>
    <w:p w14:paraId="0CE86F18" w14:textId="77777777" w:rsidR="00687F57" w:rsidRDefault="00687F57" w:rsidP="00687F57">
      <w:pPr>
        <w:rPr>
          <w:rFonts w:cs="Arial"/>
          <w:szCs w:val="21"/>
        </w:rPr>
      </w:pPr>
      <w:r>
        <w:t>Cuando se modifique la solución inicialmente prevista o se autorice una intervención temporal, deberá existir soporte técnico previo suficiente que permita identificar la condición encontrada, la alternativa adoptada y la decisión de la supervisión.</w:t>
      </w:r>
    </w:p>
    <w:p w14:paraId="4BFAAACF" w14:textId="77777777" w:rsidR="00687F57" w:rsidRDefault="00687F57" w:rsidP="00687F57">
      <w:pPr>
        <w:rPr>
          <w:rFonts w:cs="Arial"/>
          <w:szCs w:val="21"/>
        </w:rPr>
      </w:pPr>
      <w:r>
        <w:t>El soporte podrá incorporarse a la Orden de Intervención, acta, ficha de campo o informe técnico, según la complejidad de la situación, y hará parte de la trazabilidad de la intervención.</w:t>
      </w:r>
    </w:p>
    <w:p w14:paraId="6A779ECA" w14:textId="77777777" w:rsidR="00687F57" w:rsidRDefault="00687F57" w:rsidP="00687F57">
      <w:pPr>
        <w:pStyle w:val="Ttulo1"/>
        <w:spacing w:before="0"/>
        <w:rPr>
          <w:rFonts w:cs="Arial"/>
          <w:szCs w:val="24"/>
        </w:rPr>
      </w:pPr>
      <w:r>
        <w:t>6. REGISTRO TÉCNICO DE CONDICIONES Y DECISIONES PREVIAS</w:t>
      </w:r>
    </w:p>
    <w:p w14:paraId="0A139230" w14:textId="77777777" w:rsidR="00687F57" w:rsidRDefault="00687F57" w:rsidP="00687F57">
      <w:pPr>
        <w:pStyle w:val="Ttulo2"/>
        <w:spacing w:before="0"/>
        <w:rPr>
          <w:rFonts w:cs="Arial"/>
          <w:szCs w:val="22"/>
        </w:rPr>
      </w:pPr>
      <w:r>
        <w:t>6.1 CONTENIDO MÍNIMO CUANDO APLIQUE</w:t>
      </w:r>
    </w:p>
    <w:p w14:paraId="2BDBF702" w14:textId="69B4F0F0" w:rsidR="00687F57" w:rsidRDefault="00586DE2" w:rsidP="00687F57">
      <w:pPr>
        <w:pStyle w:val="Listaconvietas"/>
        <w:rPr>
          <w:rFonts w:cs="Arial"/>
          <w:szCs w:val="21"/>
        </w:rPr>
      </w:pPr>
      <w:r>
        <w:rPr>
          <w:rFonts w:cs="Arial"/>
          <w:szCs w:val="21"/>
        </w:rPr>
        <w:t xml:space="preserve">Identificación </w:t>
      </w:r>
      <w:r w:rsidR="00687F57">
        <w:rPr>
          <w:rFonts w:cs="Arial"/>
          <w:szCs w:val="21"/>
        </w:rPr>
        <w:t>del contrato y de la Orden de Intervención</w:t>
      </w:r>
    </w:p>
    <w:p w14:paraId="309FCAB7" w14:textId="575EDF5B" w:rsidR="00687F57" w:rsidRDefault="00586DE2" w:rsidP="00687F57">
      <w:pPr>
        <w:pStyle w:val="Listaconvietas"/>
        <w:rPr>
          <w:rFonts w:cs="Arial"/>
          <w:szCs w:val="21"/>
        </w:rPr>
      </w:pPr>
      <w:r>
        <w:rPr>
          <w:rFonts w:cs="Arial"/>
          <w:szCs w:val="21"/>
        </w:rPr>
        <w:t xml:space="preserve">Ubicación </w:t>
      </w:r>
      <w:r w:rsidR="00687F57">
        <w:rPr>
          <w:rFonts w:cs="Arial"/>
          <w:szCs w:val="21"/>
        </w:rPr>
        <w:t>del sitio y elemento o actividad evaluada</w:t>
      </w:r>
    </w:p>
    <w:p w14:paraId="7D3090CA" w14:textId="7712AE3E" w:rsidR="00687F57" w:rsidRDefault="00586DE2" w:rsidP="00687F57">
      <w:pPr>
        <w:pStyle w:val="Listaconvietas"/>
        <w:rPr>
          <w:rFonts w:cs="Arial"/>
          <w:szCs w:val="21"/>
        </w:rPr>
      </w:pPr>
      <w:r>
        <w:rPr>
          <w:rFonts w:cs="Arial"/>
          <w:szCs w:val="21"/>
        </w:rPr>
        <w:t xml:space="preserve">Fecha </w:t>
      </w:r>
      <w:r w:rsidR="00687F57">
        <w:rPr>
          <w:rFonts w:cs="Arial"/>
          <w:szCs w:val="21"/>
        </w:rPr>
        <w:t>de evaluación y fecha prevista de implementación</w:t>
      </w:r>
    </w:p>
    <w:p w14:paraId="4B2F8C12" w14:textId="139D4812" w:rsidR="00687F57" w:rsidRDefault="00586DE2" w:rsidP="00687F57">
      <w:pPr>
        <w:pStyle w:val="Listaconvietas"/>
        <w:rPr>
          <w:rFonts w:cs="Arial"/>
          <w:szCs w:val="21"/>
        </w:rPr>
      </w:pPr>
      <w:r>
        <w:rPr>
          <w:rFonts w:cs="Arial"/>
          <w:szCs w:val="21"/>
        </w:rPr>
        <w:t xml:space="preserve">Registro </w:t>
      </w:r>
      <w:r w:rsidR="00687F57">
        <w:rPr>
          <w:rFonts w:cs="Arial"/>
          <w:szCs w:val="21"/>
        </w:rPr>
        <w:t>fotográfico de las condiciones relevantes</w:t>
      </w:r>
    </w:p>
    <w:p w14:paraId="7A1D5D96" w14:textId="0778FA2F" w:rsidR="00687F57" w:rsidRDefault="00586DE2" w:rsidP="00687F57">
      <w:pPr>
        <w:pStyle w:val="Listaconvietas"/>
        <w:rPr>
          <w:rFonts w:cs="Arial"/>
          <w:szCs w:val="21"/>
        </w:rPr>
      </w:pPr>
      <w:r>
        <w:rPr>
          <w:rFonts w:cs="Arial"/>
          <w:szCs w:val="21"/>
        </w:rPr>
        <w:t xml:space="preserve">Descripción </w:t>
      </w:r>
      <w:r w:rsidR="00687F57">
        <w:rPr>
          <w:rFonts w:cs="Arial"/>
          <w:szCs w:val="21"/>
        </w:rPr>
        <w:t>del pavimento, soporte o sustrato</w:t>
      </w:r>
    </w:p>
    <w:p w14:paraId="539C3588" w14:textId="3C201DFB" w:rsidR="00687F57" w:rsidRDefault="00586DE2" w:rsidP="00687F57">
      <w:pPr>
        <w:pStyle w:val="Listaconvietas"/>
        <w:rPr>
          <w:rFonts w:cs="Arial"/>
          <w:szCs w:val="21"/>
        </w:rPr>
      </w:pPr>
      <w:r>
        <w:rPr>
          <w:rFonts w:cs="Arial"/>
          <w:szCs w:val="21"/>
        </w:rPr>
        <w:t xml:space="preserve">Características </w:t>
      </w:r>
      <w:r w:rsidR="00687F57">
        <w:rPr>
          <w:rFonts w:cs="Arial"/>
          <w:szCs w:val="21"/>
        </w:rPr>
        <w:t>de tránsito o solicitación consideradas</w:t>
      </w:r>
    </w:p>
    <w:p w14:paraId="2ABE8DEE" w14:textId="4A812E09" w:rsidR="00687F57" w:rsidRDefault="00586DE2" w:rsidP="00687F57">
      <w:pPr>
        <w:pStyle w:val="Listaconvietas"/>
        <w:rPr>
          <w:rFonts w:cs="Arial"/>
          <w:szCs w:val="21"/>
        </w:rPr>
      </w:pPr>
      <w:r>
        <w:rPr>
          <w:rFonts w:cs="Arial"/>
          <w:szCs w:val="21"/>
        </w:rPr>
        <w:t xml:space="preserve">Nivel </w:t>
      </w:r>
      <w:r w:rsidR="00687F57">
        <w:rPr>
          <w:rFonts w:cs="Arial"/>
          <w:szCs w:val="21"/>
        </w:rPr>
        <w:t>de contaminación y afectación geométrica</w:t>
      </w:r>
    </w:p>
    <w:p w14:paraId="6B57B009" w14:textId="33E17C4D" w:rsidR="00687F57" w:rsidRDefault="00586DE2" w:rsidP="00687F57">
      <w:pPr>
        <w:pStyle w:val="Listaconvietas"/>
        <w:rPr>
          <w:rFonts w:cs="Arial"/>
          <w:szCs w:val="21"/>
        </w:rPr>
      </w:pPr>
      <w:r>
        <w:rPr>
          <w:rFonts w:cs="Arial"/>
          <w:szCs w:val="21"/>
        </w:rPr>
        <w:t xml:space="preserve">Material </w:t>
      </w:r>
      <w:r w:rsidR="00687F57">
        <w:rPr>
          <w:rFonts w:cs="Arial"/>
          <w:szCs w:val="21"/>
        </w:rPr>
        <w:t>o sistema propuesto</w:t>
      </w:r>
    </w:p>
    <w:p w14:paraId="1E093B8A" w14:textId="4FCAB1F5" w:rsidR="00687F57" w:rsidRDefault="00586DE2" w:rsidP="00687F57">
      <w:pPr>
        <w:pStyle w:val="Listaconvietas"/>
        <w:rPr>
          <w:rFonts w:cs="Arial"/>
          <w:szCs w:val="21"/>
        </w:rPr>
      </w:pPr>
      <w:r>
        <w:lastRenderedPageBreak/>
        <w:t xml:space="preserve">Periodo </w:t>
      </w:r>
      <w:r w:rsidR="00687F57">
        <w:t>de garantía aplicable conforme al numeral 4</w:t>
      </w:r>
    </w:p>
    <w:p w14:paraId="633DD0C2" w14:textId="29A7C383" w:rsidR="00687F57" w:rsidRDefault="00586DE2" w:rsidP="00687F57">
      <w:pPr>
        <w:pStyle w:val="Listaconvietas"/>
        <w:rPr>
          <w:rFonts w:cs="Arial"/>
          <w:szCs w:val="21"/>
        </w:rPr>
      </w:pPr>
      <w:r>
        <w:t xml:space="preserve">Condición </w:t>
      </w:r>
      <w:r w:rsidR="00687F57">
        <w:t>particular identificada y medidas adoptadas, cuando aplique</w:t>
      </w:r>
    </w:p>
    <w:p w14:paraId="557E8216" w14:textId="63A58654" w:rsidR="00687F57" w:rsidRDefault="00586DE2" w:rsidP="00687F57">
      <w:pPr>
        <w:pStyle w:val="Listaconvietas"/>
        <w:rPr>
          <w:rFonts w:cs="Arial"/>
          <w:szCs w:val="21"/>
        </w:rPr>
      </w:pPr>
      <w:r>
        <w:t xml:space="preserve">Alternativas </w:t>
      </w:r>
      <w:r w:rsidR="00687F57">
        <w:t>evaluadas cuando haya sido necesario modificar la solución</w:t>
      </w:r>
    </w:p>
    <w:p w14:paraId="71515723" w14:textId="7EAE81B1" w:rsidR="00687F57" w:rsidRDefault="00586DE2" w:rsidP="00687F57">
      <w:pPr>
        <w:pStyle w:val="Listaconvietas"/>
        <w:rPr>
          <w:rFonts w:cs="Arial"/>
          <w:szCs w:val="21"/>
        </w:rPr>
      </w:pPr>
      <w:r>
        <w:rPr>
          <w:rFonts w:cs="Arial"/>
          <w:szCs w:val="21"/>
        </w:rPr>
        <w:t xml:space="preserve">Recomendaciones </w:t>
      </w:r>
      <w:r w:rsidR="00687F57">
        <w:rPr>
          <w:rFonts w:cs="Arial"/>
          <w:szCs w:val="21"/>
        </w:rPr>
        <w:t>y conclusiones</w:t>
      </w:r>
    </w:p>
    <w:p w14:paraId="5888CF0D" w14:textId="42506CFB" w:rsidR="00687F57" w:rsidRDefault="00586DE2" w:rsidP="00687F57">
      <w:pPr>
        <w:pStyle w:val="Listaconvietas"/>
        <w:rPr>
          <w:rFonts w:cs="Arial"/>
          <w:szCs w:val="21"/>
        </w:rPr>
      </w:pPr>
      <w:r>
        <w:rPr>
          <w:rFonts w:cs="Arial"/>
          <w:szCs w:val="21"/>
        </w:rPr>
        <w:t xml:space="preserve">Responsables </w:t>
      </w:r>
      <w:r w:rsidR="00687F57">
        <w:rPr>
          <w:rFonts w:cs="Arial"/>
          <w:szCs w:val="21"/>
        </w:rPr>
        <w:t>de la evaluación y aprobación conforme a la estructura contractual</w:t>
      </w:r>
    </w:p>
    <w:p w14:paraId="137C10F3" w14:textId="77777777" w:rsidR="00687F57" w:rsidRDefault="00687F57" w:rsidP="00687F57">
      <w:pPr>
        <w:pStyle w:val="Ttulo2"/>
        <w:spacing w:before="0"/>
        <w:rPr>
          <w:rFonts w:cs="Arial"/>
          <w:szCs w:val="22"/>
        </w:rPr>
      </w:pPr>
      <w:r>
        <w:rPr>
          <w:rFonts w:cs="Arial"/>
          <w:szCs w:val="22"/>
        </w:rPr>
        <w:t>6.2 TRAZABILIDAD</w:t>
      </w:r>
    </w:p>
    <w:p w14:paraId="19A2EAFC" w14:textId="77777777" w:rsidR="00687F57" w:rsidRDefault="00687F57" w:rsidP="00687F57">
      <w:pPr>
        <w:rPr>
          <w:rFonts w:cs="Arial"/>
          <w:szCs w:val="21"/>
        </w:rPr>
      </w:pPr>
      <w:r>
        <w:t>El soporte deberá asociarse a la Orden de Intervención y conservarse con los registros de calidad, fotografías, inventario y plano récord. La información necesaria para el seguimiento de la garantía deberá incorporarse a la matriz prevista en el Capítulo 10.</w:t>
      </w:r>
    </w:p>
    <w:p w14:paraId="1A1D7B93" w14:textId="77777777" w:rsidR="00687F57" w:rsidRDefault="00687F57" w:rsidP="00687F57">
      <w:pPr>
        <w:pStyle w:val="Ttulo1"/>
        <w:spacing w:before="0"/>
        <w:rPr>
          <w:rFonts w:cs="Arial"/>
          <w:sz w:val="21"/>
          <w:szCs w:val="21"/>
        </w:rPr>
      </w:pPr>
      <w:r>
        <w:rPr>
          <w:rFonts w:cs="Arial"/>
          <w:sz w:val="21"/>
          <w:szCs w:val="21"/>
        </w:rPr>
        <w:t>7. VERIFICACIÓN DURANTE EL PERIODO DE GARANTÍA</w:t>
      </w:r>
    </w:p>
    <w:p w14:paraId="781A6874" w14:textId="77777777" w:rsidR="00687F57" w:rsidRDefault="00687F57" w:rsidP="00687F57">
      <w:pPr>
        <w:pStyle w:val="Ttulo2"/>
        <w:spacing w:before="0"/>
        <w:rPr>
          <w:rFonts w:cs="Arial"/>
          <w:sz w:val="21"/>
          <w:szCs w:val="21"/>
        </w:rPr>
      </w:pPr>
      <w:r>
        <w:rPr>
          <w:rFonts w:cs="Arial"/>
          <w:sz w:val="21"/>
          <w:szCs w:val="21"/>
        </w:rPr>
        <w:t>7.1 INSPECCIONES</w:t>
      </w:r>
    </w:p>
    <w:p w14:paraId="282610DE" w14:textId="77777777" w:rsidR="00687F57" w:rsidRDefault="00687F57" w:rsidP="00687F57">
      <w:pPr>
        <w:rPr>
          <w:rFonts w:cs="Arial"/>
          <w:szCs w:val="21"/>
        </w:rPr>
      </w:pPr>
      <w:r>
        <w:rPr>
          <w:rFonts w:cs="Arial"/>
          <w:szCs w:val="21"/>
        </w:rPr>
        <w:t>La STT podrá efectuar verificaciones durante el periodo de garantía mediante inspección de campo, mediciones, registros fotográficos o ensayos técnicamente procedentes. La ausencia de una inspección periódica no extingue la obligación de garantía dentro del plazo aplicable.</w:t>
      </w:r>
    </w:p>
    <w:p w14:paraId="5761EFAF" w14:textId="77777777" w:rsidR="00687F57" w:rsidRDefault="00687F57" w:rsidP="00687F57">
      <w:pPr>
        <w:rPr>
          <w:rFonts w:cs="Arial"/>
          <w:szCs w:val="21"/>
        </w:rPr>
      </w:pPr>
      <w:r>
        <w:t>Como criterio de seguimiento, la STT podrá priorizar verificaciones a los seis (6) y doce (12) meses para elementos de mayor criticidad, volumen o exposición, y efectuar revisiones adicionales cuando existan reportes, antecedentes de falla o razones técnicas que lo justifiquen. Esta periodicidad es una herramienta de gestión y no constituye requisito para la existencia o exigibilidad de la garantía.</w:t>
      </w:r>
    </w:p>
    <w:p w14:paraId="63350103" w14:textId="77777777" w:rsidR="00687F57" w:rsidRDefault="00687F57" w:rsidP="00687F57">
      <w:pPr>
        <w:pStyle w:val="Ttulo2"/>
        <w:spacing w:before="0"/>
        <w:rPr>
          <w:rFonts w:cs="Arial"/>
          <w:sz w:val="21"/>
          <w:szCs w:val="21"/>
        </w:rPr>
      </w:pPr>
      <w:r>
        <w:rPr>
          <w:rFonts w:cs="Arial"/>
          <w:sz w:val="21"/>
          <w:szCs w:val="21"/>
        </w:rPr>
        <w:t>7.2 CRITERIO DE FALLA</w:t>
      </w:r>
    </w:p>
    <w:p w14:paraId="0374B446" w14:textId="77777777" w:rsidR="00687F57" w:rsidRDefault="00687F57" w:rsidP="00687F57">
      <w:pPr>
        <w:rPr>
          <w:rFonts w:cs="Arial"/>
          <w:szCs w:val="21"/>
        </w:rPr>
      </w:pPr>
      <w:r>
        <w:rPr>
          <w:rFonts w:cs="Arial"/>
          <w:szCs w:val="21"/>
        </w:rPr>
        <w:t>La existencia de una falla se determinará contrastando la condición observada con las especificaciones de los Apéndices A y B, el desempeño exigible al elemento, los registros de aceptación inicial y las condiciones documentadas del sitio.</w:t>
      </w:r>
    </w:p>
    <w:p w14:paraId="2F348F4A" w14:textId="77777777" w:rsidR="00687F57" w:rsidRDefault="00687F57" w:rsidP="00687F57">
      <w:pPr>
        <w:rPr>
          <w:rFonts w:cs="Arial"/>
          <w:szCs w:val="21"/>
        </w:rPr>
      </w:pPr>
      <w:r>
        <w:rPr>
          <w:rFonts w:cs="Arial"/>
          <w:szCs w:val="21"/>
        </w:rPr>
        <w:t>El desgaste normal compatible con el periodo y condiciones documentadas no se considerará por sí mismo incumplimiento, salvo que produzca pérdida de los parámetros mínimos de desempeño antes de finalizar la garantía por causa imputable al Contratista.</w:t>
      </w:r>
    </w:p>
    <w:p w14:paraId="0E69C3A8" w14:textId="77777777" w:rsidR="00687F57" w:rsidRDefault="00687F57" w:rsidP="00687F57">
      <w:pPr>
        <w:pStyle w:val="Ttulo1"/>
        <w:spacing w:before="0"/>
        <w:rPr>
          <w:rFonts w:cs="Arial"/>
          <w:sz w:val="21"/>
          <w:szCs w:val="21"/>
        </w:rPr>
      </w:pPr>
      <w:r>
        <w:rPr>
          <w:rFonts w:cs="Arial"/>
          <w:sz w:val="21"/>
          <w:szCs w:val="21"/>
        </w:rPr>
        <w:t>8. PROCEDIMIENTO PARA ATENCIÓN DE GARANTÍAS</w:t>
      </w:r>
    </w:p>
    <w:p w14:paraId="0A83B93C" w14:textId="77777777" w:rsidR="00687F57" w:rsidRDefault="00687F57" w:rsidP="00687F57">
      <w:pPr>
        <w:pStyle w:val="Ttulo2"/>
        <w:spacing w:before="0"/>
        <w:rPr>
          <w:rFonts w:cs="Arial"/>
          <w:sz w:val="21"/>
          <w:szCs w:val="21"/>
        </w:rPr>
      </w:pPr>
      <w:r>
        <w:rPr>
          <w:rFonts w:cs="Arial"/>
          <w:sz w:val="21"/>
          <w:szCs w:val="21"/>
        </w:rPr>
        <w:t>8.1 REPORTE</w:t>
      </w:r>
    </w:p>
    <w:p w14:paraId="7A65E4EC" w14:textId="77777777" w:rsidR="00687F57" w:rsidRDefault="00687F57" w:rsidP="00687F57">
      <w:pPr>
        <w:rPr>
          <w:rFonts w:cs="Arial"/>
          <w:szCs w:val="21"/>
        </w:rPr>
      </w:pPr>
      <w:r>
        <w:rPr>
          <w:rFonts w:cs="Arial"/>
          <w:szCs w:val="21"/>
        </w:rPr>
        <w:t>Cuando la STT identifique una posible falla en garantía, deberá comunicar al Contratista la ubicación, elemento y condición observada, acompañando la evidencia disponible. El Contratista deberá verificar el sitio y emitir diagnóstico técnico dentro del término establecido.</w:t>
      </w:r>
    </w:p>
    <w:p w14:paraId="320C1F6E" w14:textId="77777777" w:rsidR="00687F57" w:rsidRDefault="00687F57" w:rsidP="00687F57">
      <w:pPr>
        <w:pStyle w:val="Ttulo2"/>
        <w:spacing w:before="0"/>
        <w:rPr>
          <w:rFonts w:cs="Arial"/>
          <w:sz w:val="21"/>
          <w:szCs w:val="21"/>
        </w:rPr>
      </w:pPr>
      <w:r>
        <w:t>8.2 TIEMPOS DE ATENCIÓN</w:t>
      </w:r>
    </w:p>
    <w:tbl>
      <w:tblPr>
        <w:tblStyle w:val="Tablaconcuadrcula"/>
        <w:tblW w:w="0" w:type="auto"/>
        <w:jc w:val="center"/>
        <w:tblLook w:val="04A0" w:firstRow="1" w:lastRow="0" w:firstColumn="1" w:lastColumn="0" w:noHBand="0" w:noVBand="1"/>
      </w:tblPr>
      <w:tblGrid>
        <w:gridCol w:w="3135"/>
        <w:gridCol w:w="3135"/>
        <w:gridCol w:w="3135"/>
      </w:tblGrid>
      <w:tr w:rsidR="00687F57" w:rsidRPr="00586DE2" w14:paraId="3530D77F" w14:textId="77777777" w:rsidTr="00586DE2">
        <w:trPr>
          <w:trHeight w:val="372"/>
          <w:tblHeader/>
          <w:jc w:val="center"/>
        </w:trPr>
        <w:tc>
          <w:tcPr>
            <w:tcW w:w="313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61E95CE" w14:textId="77777777" w:rsidR="00687F57" w:rsidRPr="00586DE2" w:rsidRDefault="00687F57" w:rsidP="00586DE2">
            <w:pPr>
              <w:spacing w:after="0"/>
              <w:jc w:val="center"/>
              <w:rPr>
                <w:rFonts w:cs="Arial"/>
                <w:sz w:val="20"/>
                <w:szCs w:val="20"/>
                <w:lang w:val="en-US"/>
              </w:rPr>
            </w:pPr>
            <w:r w:rsidRPr="00586DE2">
              <w:rPr>
                <w:rFonts w:cs="Arial"/>
                <w:b/>
                <w:sz w:val="20"/>
                <w:szCs w:val="20"/>
                <w:lang w:val="en-US"/>
              </w:rPr>
              <w:t xml:space="preserve">Tipo de </w:t>
            </w:r>
            <w:proofErr w:type="spellStart"/>
            <w:r w:rsidRPr="00586DE2">
              <w:rPr>
                <w:rFonts w:cs="Arial"/>
                <w:b/>
                <w:sz w:val="20"/>
                <w:szCs w:val="20"/>
                <w:lang w:val="en-US"/>
              </w:rPr>
              <w:t>novedad</w:t>
            </w:r>
            <w:proofErr w:type="spellEnd"/>
          </w:p>
        </w:tc>
        <w:tc>
          <w:tcPr>
            <w:tcW w:w="313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E65C752" w14:textId="77777777" w:rsidR="00687F57" w:rsidRPr="00586DE2" w:rsidRDefault="00687F57" w:rsidP="00586DE2">
            <w:pPr>
              <w:spacing w:after="0"/>
              <w:jc w:val="center"/>
              <w:rPr>
                <w:rFonts w:cs="Arial"/>
                <w:sz w:val="20"/>
                <w:szCs w:val="20"/>
                <w:lang w:val="en-US"/>
              </w:rPr>
            </w:pPr>
            <w:proofErr w:type="spellStart"/>
            <w:r w:rsidRPr="00586DE2">
              <w:rPr>
                <w:rFonts w:cs="Arial"/>
                <w:b/>
                <w:sz w:val="20"/>
                <w:szCs w:val="20"/>
                <w:lang w:val="en-US"/>
              </w:rPr>
              <w:t>Atención</w:t>
            </w:r>
            <w:proofErr w:type="spellEnd"/>
            <w:r w:rsidRPr="00586DE2">
              <w:rPr>
                <w:rFonts w:cs="Arial"/>
                <w:b/>
                <w:sz w:val="20"/>
                <w:szCs w:val="20"/>
                <w:lang w:val="en-US"/>
              </w:rPr>
              <w:t xml:space="preserve"> </w:t>
            </w:r>
            <w:proofErr w:type="spellStart"/>
            <w:r w:rsidRPr="00586DE2">
              <w:rPr>
                <w:rFonts w:cs="Arial"/>
                <w:b/>
                <w:sz w:val="20"/>
                <w:szCs w:val="20"/>
                <w:lang w:val="en-US"/>
              </w:rPr>
              <w:t>propuesta</w:t>
            </w:r>
            <w:proofErr w:type="spellEnd"/>
          </w:p>
        </w:tc>
        <w:tc>
          <w:tcPr>
            <w:tcW w:w="313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19C5335" w14:textId="77777777" w:rsidR="00687F57" w:rsidRPr="00586DE2" w:rsidRDefault="00687F57" w:rsidP="00586DE2">
            <w:pPr>
              <w:spacing w:after="0"/>
              <w:jc w:val="center"/>
              <w:rPr>
                <w:rFonts w:cs="Arial"/>
                <w:sz w:val="20"/>
                <w:szCs w:val="20"/>
                <w:lang w:val="en-US"/>
              </w:rPr>
            </w:pPr>
            <w:proofErr w:type="spellStart"/>
            <w:r w:rsidRPr="00586DE2">
              <w:rPr>
                <w:rFonts w:cs="Arial"/>
                <w:b/>
                <w:sz w:val="20"/>
                <w:szCs w:val="20"/>
                <w:lang w:val="en-US"/>
              </w:rPr>
              <w:t>Tratamiento</w:t>
            </w:r>
            <w:proofErr w:type="spellEnd"/>
          </w:p>
        </w:tc>
      </w:tr>
      <w:tr w:rsidR="00687F57" w:rsidRPr="00586DE2" w14:paraId="1CA6F44D" w14:textId="77777777" w:rsidTr="00586DE2">
        <w:trPr>
          <w:jc w:val="center"/>
        </w:trPr>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C7E24D"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Condición</w:t>
            </w:r>
            <w:proofErr w:type="spellEnd"/>
            <w:r w:rsidRPr="00586DE2">
              <w:rPr>
                <w:rFonts w:cs="Arial"/>
                <w:sz w:val="20"/>
                <w:szCs w:val="20"/>
                <w:lang w:val="en-US"/>
              </w:rPr>
              <w:t xml:space="preserve"> que </w:t>
            </w:r>
            <w:proofErr w:type="spellStart"/>
            <w:r w:rsidRPr="00586DE2">
              <w:rPr>
                <w:rFonts w:cs="Arial"/>
                <w:sz w:val="20"/>
                <w:szCs w:val="20"/>
                <w:lang w:val="en-US"/>
              </w:rPr>
              <w:t>represente</w:t>
            </w:r>
            <w:proofErr w:type="spellEnd"/>
            <w:r w:rsidRPr="00586DE2">
              <w:rPr>
                <w:rFonts w:cs="Arial"/>
                <w:sz w:val="20"/>
                <w:szCs w:val="20"/>
                <w:lang w:val="en-US"/>
              </w:rPr>
              <w:t xml:space="preserve"> </w:t>
            </w:r>
            <w:proofErr w:type="spellStart"/>
            <w:r w:rsidRPr="00586DE2">
              <w:rPr>
                <w:rFonts w:cs="Arial"/>
                <w:sz w:val="20"/>
                <w:szCs w:val="20"/>
                <w:lang w:val="en-US"/>
              </w:rPr>
              <w:t>riesgo</w:t>
            </w:r>
            <w:proofErr w:type="spellEnd"/>
            <w:r w:rsidRPr="00586DE2">
              <w:rPr>
                <w:rFonts w:cs="Arial"/>
                <w:sz w:val="20"/>
                <w:szCs w:val="20"/>
                <w:lang w:val="en-US"/>
              </w:rPr>
              <w:t xml:space="preserve"> </w:t>
            </w:r>
            <w:proofErr w:type="spellStart"/>
            <w:r w:rsidRPr="00586DE2">
              <w:rPr>
                <w:rFonts w:cs="Arial"/>
                <w:sz w:val="20"/>
                <w:szCs w:val="20"/>
                <w:lang w:val="en-US"/>
              </w:rPr>
              <w:t>inmediato</w:t>
            </w:r>
            <w:proofErr w:type="spellEnd"/>
            <w:r w:rsidRPr="00586DE2">
              <w:rPr>
                <w:rFonts w:cs="Arial"/>
                <w:sz w:val="20"/>
                <w:szCs w:val="20"/>
                <w:lang w:val="en-US"/>
              </w:rPr>
              <w:t xml:space="preserve"> para </w:t>
            </w:r>
            <w:proofErr w:type="spellStart"/>
            <w:r w:rsidRPr="00586DE2">
              <w:rPr>
                <w:rFonts w:cs="Arial"/>
                <w:sz w:val="20"/>
                <w:szCs w:val="20"/>
                <w:lang w:val="en-US"/>
              </w:rPr>
              <w:t>usuarios</w:t>
            </w:r>
            <w:proofErr w:type="spellEnd"/>
          </w:p>
        </w:tc>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418288"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Aseguramiento</w:t>
            </w:r>
            <w:proofErr w:type="spellEnd"/>
            <w:r w:rsidRPr="00586DE2">
              <w:rPr>
                <w:rFonts w:cs="Arial"/>
                <w:sz w:val="20"/>
                <w:szCs w:val="20"/>
                <w:lang w:val="en-US"/>
              </w:rPr>
              <w:t xml:space="preserve"> o </w:t>
            </w:r>
            <w:proofErr w:type="spellStart"/>
            <w:r w:rsidRPr="00586DE2">
              <w:rPr>
                <w:rFonts w:cs="Arial"/>
                <w:sz w:val="20"/>
                <w:szCs w:val="20"/>
                <w:lang w:val="en-US"/>
              </w:rPr>
              <w:t>atención</w:t>
            </w:r>
            <w:proofErr w:type="spellEnd"/>
            <w:r w:rsidRPr="00586DE2">
              <w:rPr>
                <w:rFonts w:cs="Arial"/>
                <w:sz w:val="20"/>
                <w:szCs w:val="20"/>
                <w:lang w:val="en-US"/>
              </w:rPr>
              <w:t xml:space="preserve"> </w:t>
            </w:r>
            <w:proofErr w:type="spellStart"/>
            <w:r w:rsidRPr="00586DE2">
              <w:rPr>
                <w:rFonts w:cs="Arial"/>
                <w:sz w:val="20"/>
                <w:szCs w:val="20"/>
                <w:lang w:val="en-US"/>
              </w:rPr>
              <w:t>inicial</w:t>
            </w:r>
            <w:proofErr w:type="spellEnd"/>
            <w:r w:rsidRPr="00586DE2">
              <w:rPr>
                <w:rFonts w:cs="Arial"/>
                <w:sz w:val="20"/>
                <w:szCs w:val="20"/>
                <w:lang w:val="en-US"/>
              </w:rPr>
              <w:t xml:space="preserve">: </w:t>
            </w:r>
            <w:proofErr w:type="spellStart"/>
            <w:r w:rsidRPr="00586DE2">
              <w:rPr>
                <w:rFonts w:cs="Arial"/>
                <w:sz w:val="20"/>
                <w:szCs w:val="20"/>
                <w:lang w:val="en-US"/>
              </w:rPr>
              <w:t>máximo</w:t>
            </w:r>
            <w:proofErr w:type="spellEnd"/>
            <w:r w:rsidRPr="00586DE2">
              <w:rPr>
                <w:rFonts w:cs="Arial"/>
                <w:sz w:val="20"/>
                <w:szCs w:val="20"/>
                <w:lang w:val="en-US"/>
              </w:rPr>
              <w:t xml:space="preserve"> 24 horas</w:t>
            </w:r>
          </w:p>
        </w:tc>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397E16"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Reposición</w:t>
            </w:r>
            <w:proofErr w:type="spellEnd"/>
            <w:r w:rsidRPr="00586DE2">
              <w:rPr>
                <w:rFonts w:cs="Arial"/>
                <w:sz w:val="20"/>
                <w:szCs w:val="20"/>
                <w:lang w:val="en-US"/>
              </w:rPr>
              <w:t xml:space="preserve"> </w:t>
            </w:r>
            <w:proofErr w:type="spellStart"/>
            <w:r w:rsidRPr="00586DE2">
              <w:rPr>
                <w:rFonts w:cs="Arial"/>
                <w:sz w:val="20"/>
                <w:szCs w:val="20"/>
                <w:lang w:val="en-US"/>
              </w:rPr>
              <w:t>definitiva</w:t>
            </w:r>
            <w:proofErr w:type="spellEnd"/>
            <w:r w:rsidRPr="00586DE2">
              <w:rPr>
                <w:rFonts w:cs="Arial"/>
                <w:sz w:val="20"/>
                <w:szCs w:val="20"/>
                <w:lang w:val="en-US"/>
              </w:rPr>
              <w:t xml:space="preserve"> </w:t>
            </w:r>
            <w:proofErr w:type="spellStart"/>
            <w:r w:rsidRPr="00586DE2">
              <w:rPr>
                <w:rFonts w:cs="Arial"/>
                <w:sz w:val="20"/>
                <w:szCs w:val="20"/>
                <w:lang w:val="en-US"/>
              </w:rPr>
              <w:t>según</w:t>
            </w:r>
            <w:proofErr w:type="spellEnd"/>
            <w:r w:rsidRPr="00586DE2">
              <w:rPr>
                <w:rFonts w:cs="Arial"/>
                <w:sz w:val="20"/>
                <w:szCs w:val="20"/>
                <w:lang w:val="en-US"/>
              </w:rPr>
              <w:t xml:space="preserve"> </w:t>
            </w:r>
            <w:proofErr w:type="spellStart"/>
            <w:r w:rsidRPr="00586DE2">
              <w:rPr>
                <w:rFonts w:cs="Arial"/>
                <w:sz w:val="20"/>
                <w:szCs w:val="20"/>
                <w:lang w:val="en-US"/>
              </w:rPr>
              <w:t>disponibilidad</w:t>
            </w:r>
            <w:proofErr w:type="spellEnd"/>
            <w:r w:rsidRPr="00586DE2">
              <w:rPr>
                <w:rFonts w:cs="Arial"/>
                <w:sz w:val="20"/>
                <w:szCs w:val="20"/>
                <w:lang w:val="en-US"/>
              </w:rPr>
              <w:t xml:space="preserve"> y </w:t>
            </w:r>
            <w:proofErr w:type="spellStart"/>
            <w:r w:rsidRPr="00586DE2">
              <w:rPr>
                <w:rFonts w:cs="Arial"/>
                <w:sz w:val="20"/>
                <w:szCs w:val="20"/>
                <w:lang w:val="en-US"/>
              </w:rPr>
              <w:t>condición</w:t>
            </w:r>
            <w:proofErr w:type="spellEnd"/>
            <w:r w:rsidRPr="00586DE2">
              <w:rPr>
                <w:rFonts w:cs="Arial"/>
                <w:sz w:val="20"/>
                <w:szCs w:val="20"/>
                <w:lang w:val="en-US"/>
              </w:rPr>
              <w:t xml:space="preserve"> </w:t>
            </w:r>
            <w:proofErr w:type="spellStart"/>
            <w:r w:rsidRPr="00586DE2">
              <w:rPr>
                <w:rFonts w:cs="Arial"/>
                <w:sz w:val="20"/>
                <w:szCs w:val="20"/>
                <w:lang w:val="en-US"/>
              </w:rPr>
              <w:t>técnica</w:t>
            </w:r>
            <w:proofErr w:type="spellEnd"/>
          </w:p>
        </w:tc>
      </w:tr>
      <w:tr w:rsidR="00687F57" w:rsidRPr="00586DE2" w14:paraId="779C9B49" w14:textId="77777777" w:rsidTr="00586DE2">
        <w:trPr>
          <w:jc w:val="center"/>
        </w:trPr>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F6ED70"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Falla</w:t>
            </w:r>
            <w:proofErr w:type="spellEnd"/>
            <w:r w:rsidRPr="00586DE2">
              <w:rPr>
                <w:rFonts w:cs="Arial"/>
                <w:sz w:val="20"/>
                <w:szCs w:val="20"/>
                <w:lang w:val="en-US"/>
              </w:rPr>
              <w:t xml:space="preserve"> </w:t>
            </w:r>
            <w:proofErr w:type="spellStart"/>
            <w:r w:rsidRPr="00586DE2">
              <w:rPr>
                <w:rFonts w:cs="Arial"/>
                <w:sz w:val="20"/>
                <w:szCs w:val="20"/>
                <w:lang w:val="en-US"/>
              </w:rPr>
              <w:t>funcional</w:t>
            </w:r>
            <w:proofErr w:type="spellEnd"/>
            <w:r w:rsidRPr="00586DE2">
              <w:rPr>
                <w:rFonts w:cs="Arial"/>
                <w:sz w:val="20"/>
                <w:szCs w:val="20"/>
                <w:lang w:val="en-US"/>
              </w:rPr>
              <w:t xml:space="preserve"> sin </w:t>
            </w:r>
            <w:proofErr w:type="spellStart"/>
            <w:r w:rsidRPr="00586DE2">
              <w:rPr>
                <w:rFonts w:cs="Arial"/>
                <w:sz w:val="20"/>
                <w:szCs w:val="20"/>
                <w:lang w:val="en-US"/>
              </w:rPr>
              <w:t>riesgo</w:t>
            </w:r>
            <w:proofErr w:type="spellEnd"/>
            <w:r w:rsidRPr="00586DE2">
              <w:rPr>
                <w:rFonts w:cs="Arial"/>
                <w:sz w:val="20"/>
                <w:szCs w:val="20"/>
                <w:lang w:val="en-US"/>
              </w:rPr>
              <w:t xml:space="preserve"> </w:t>
            </w:r>
            <w:proofErr w:type="spellStart"/>
            <w:r w:rsidRPr="00586DE2">
              <w:rPr>
                <w:rFonts w:cs="Arial"/>
                <w:sz w:val="20"/>
                <w:szCs w:val="20"/>
                <w:lang w:val="en-US"/>
              </w:rPr>
              <w:t>inmediato</w:t>
            </w:r>
            <w:proofErr w:type="spellEnd"/>
          </w:p>
        </w:tc>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FFB5C1"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Visita</w:t>
            </w:r>
            <w:proofErr w:type="spellEnd"/>
            <w:r w:rsidRPr="00586DE2">
              <w:rPr>
                <w:rFonts w:cs="Arial"/>
                <w:sz w:val="20"/>
                <w:szCs w:val="20"/>
                <w:lang w:val="en-US"/>
              </w:rPr>
              <w:t>/</w:t>
            </w:r>
            <w:proofErr w:type="spellStart"/>
            <w:r w:rsidRPr="00586DE2">
              <w:rPr>
                <w:rFonts w:cs="Arial"/>
                <w:sz w:val="20"/>
                <w:szCs w:val="20"/>
                <w:lang w:val="en-US"/>
              </w:rPr>
              <w:t>diagnóstico</w:t>
            </w:r>
            <w:proofErr w:type="spellEnd"/>
            <w:r w:rsidRPr="00586DE2">
              <w:rPr>
                <w:rFonts w:cs="Arial"/>
                <w:sz w:val="20"/>
                <w:szCs w:val="20"/>
                <w:lang w:val="en-US"/>
              </w:rPr>
              <w:t xml:space="preserve">: </w:t>
            </w:r>
            <w:proofErr w:type="spellStart"/>
            <w:r w:rsidRPr="00586DE2">
              <w:rPr>
                <w:rFonts w:cs="Arial"/>
                <w:sz w:val="20"/>
                <w:szCs w:val="20"/>
                <w:lang w:val="en-US"/>
              </w:rPr>
              <w:t>máximo</w:t>
            </w:r>
            <w:proofErr w:type="spellEnd"/>
            <w:r w:rsidRPr="00586DE2">
              <w:rPr>
                <w:rFonts w:cs="Arial"/>
                <w:sz w:val="20"/>
                <w:szCs w:val="20"/>
                <w:lang w:val="en-US"/>
              </w:rPr>
              <w:t xml:space="preserve"> 3 días </w:t>
            </w:r>
            <w:proofErr w:type="spellStart"/>
            <w:r w:rsidRPr="00586DE2">
              <w:rPr>
                <w:rFonts w:cs="Arial"/>
                <w:sz w:val="20"/>
                <w:szCs w:val="20"/>
                <w:lang w:val="en-US"/>
              </w:rPr>
              <w:t>hábiles</w:t>
            </w:r>
            <w:proofErr w:type="spellEnd"/>
          </w:p>
        </w:tc>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CA5AD"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Corrección</w:t>
            </w:r>
            <w:proofErr w:type="spellEnd"/>
            <w:r w:rsidRPr="00586DE2">
              <w:rPr>
                <w:rFonts w:cs="Arial"/>
                <w:sz w:val="20"/>
                <w:szCs w:val="20"/>
                <w:lang w:val="en-US"/>
              </w:rPr>
              <w:t xml:space="preserve"> </w:t>
            </w:r>
            <w:proofErr w:type="spellStart"/>
            <w:r w:rsidRPr="00586DE2">
              <w:rPr>
                <w:rFonts w:cs="Arial"/>
                <w:sz w:val="20"/>
                <w:szCs w:val="20"/>
                <w:lang w:val="en-US"/>
              </w:rPr>
              <w:t>propuesta</w:t>
            </w:r>
            <w:proofErr w:type="spellEnd"/>
            <w:r w:rsidRPr="00586DE2">
              <w:rPr>
                <w:rFonts w:cs="Arial"/>
                <w:sz w:val="20"/>
                <w:szCs w:val="20"/>
                <w:lang w:val="en-US"/>
              </w:rPr>
              <w:t xml:space="preserve">: </w:t>
            </w:r>
            <w:proofErr w:type="spellStart"/>
            <w:r w:rsidRPr="00586DE2">
              <w:rPr>
                <w:rFonts w:cs="Arial"/>
                <w:sz w:val="20"/>
                <w:szCs w:val="20"/>
                <w:lang w:val="en-US"/>
              </w:rPr>
              <w:t>máximo</w:t>
            </w:r>
            <w:proofErr w:type="spellEnd"/>
            <w:r w:rsidRPr="00586DE2">
              <w:rPr>
                <w:rFonts w:cs="Arial"/>
                <w:sz w:val="20"/>
                <w:szCs w:val="20"/>
                <w:lang w:val="en-US"/>
              </w:rPr>
              <w:t xml:space="preserve"> 5 días </w:t>
            </w:r>
            <w:proofErr w:type="spellStart"/>
            <w:r w:rsidRPr="00586DE2">
              <w:rPr>
                <w:rFonts w:cs="Arial"/>
                <w:sz w:val="20"/>
                <w:szCs w:val="20"/>
                <w:lang w:val="en-US"/>
              </w:rPr>
              <w:t>hábiles</w:t>
            </w:r>
            <w:proofErr w:type="spellEnd"/>
            <w:r w:rsidRPr="00586DE2">
              <w:rPr>
                <w:rFonts w:cs="Arial"/>
                <w:sz w:val="20"/>
                <w:szCs w:val="20"/>
                <w:lang w:val="en-US"/>
              </w:rPr>
              <w:t xml:space="preserve"> </w:t>
            </w:r>
            <w:proofErr w:type="spellStart"/>
            <w:r w:rsidRPr="00586DE2">
              <w:rPr>
                <w:rFonts w:cs="Arial"/>
                <w:sz w:val="20"/>
                <w:szCs w:val="20"/>
                <w:lang w:val="en-US"/>
              </w:rPr>
              <w:t>desde</w:t>
            </w:r>
            <w:proofErr w:type="spellEnd"/>
            <w:r w:rsidRPr="00586DE2">
              <w:rPr>
                <w:rFonts w:cs="Arial"/>
                <w:sz w:val="20"/>
                <w:szCs w:val="20"/>
                <w:lang w:val="en-US"/>
              </w:rPr>
              <w:t xml:space="preserve"> </w:t>
            </w:r>
            <w:proofErr w:type="spellStart"/>
            <w:r w:rsidRPr="00586DE2">
              <w:rPr>
                <w:rFonts w:cs="Arial"/>
                <w:sz w:val="20"/>
                <w:szCs w:val="20"/>
                <w:lang w:val="en-US"/>
              </w:rPr>
              <w:t>aceptación</w:t>
            </w:r>
            <w:proofErr w:type="spellEnd"/>
            <w:r w:rsidRPr="00586DE2">
              <w:rPr>
                <w:rFonts w:cs="Arial"/>
                <w:sz w:val="20"/>
                <w:szCs w:val="20"/>
                <w:lang w:val="en-US"/>
              </w:rPr>
              <w:t xml:space="preserve"> del </w:t>
            </w:r>
            <w:proofErr w:type="spellStart"/>
            <w:r w:rsidRPr="00586DE2">
              <w:rPr>
                <w:rFonts w:cs="Arial"/>
                <w:sz w:val="20"/>
                <w:szCs w:val="20"/>
                <w:lang w:val="en-US"/>
              </w:rPr>
              <w:t>diagnóstico</w:t>
            </w:r>
            <w:proofErr w:type="spellEnd"/>
          </w:p>
        </w:tc>
      </w:tr>
      <w:tr w:rsidR="00687F57" w:rsidRPr="00586DE2" w14:paraId="4155A66D" w14:textId="77777777" w:rsidTr="00586DE2">
        <w:trPr>
          <w:jc w:val="center"/>
        </w:trPr>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FE3DA0"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Falla</w:t>
            </w:r>
            <w:proofErr w:type="spellEnd"/>
            <w:r w:rsidRPr="00586DE2">
              <w:rPr>
                <w:rFonts w:cs="Arial"/>
                <w:sz w:val="20"/>
                <w:szCs w:val="20"/>
                <w:lang w:val="en-US"/>
              </w:rPr>
              <w:t xml:space="preserve"> que </w:t>
            </w:r>
            <w:proofErr w:type="spellStart"/>
            <w:r w:rsidRPr="00586DE2">
              <w:rPr>
                <w:rFonts w:cs="Arial"/>
                <w:sz w:val="20"/>
                <w:szCs w:val="20"/>
                <w:lang w:val="en-US"/>
              </w:rPr>
              <w:t>requiera</w:t>
            </w:r>
            <w:proofErr w:type="spellEnd"/>
            <w:r w:rsidRPr="00586DE2">
              <w:rPr>
                <w:rFonts w:cs="Arial"/>
                <w:sz w:val="20"/>
                <w:szCs w:val="20"/>
                <w:lang w:val="en-US"/>
              </w:rPr>
              <w:t xml:space="preserve"> </w:t>
            </w:r>
            <w:proofErr w:type="spellStart"/>
            <w:r w:rsidRPr="00586DE2">
              <w:rPr>
                <w:rFonts w:cs="Arial"/>
                <w:sz w:val="20"/>
                <w:szCs w:val="20"/>
                <w:lang w:val="en-US"/>
              </w:rPr>
              <w:t>fabricación</w:t>
            </w:r>
            <w:proofErr w:type="spellEnd"/>
            <w:r w:rsidRPr="00586DE2">
              <w:rPr>
                <w:rFonts w:cs="Arial"/>
                <w:sz w:val="20"/>
                <w:szCs w:val="20"/>
                <w:lang w:val="en-US"/>
              </w:rPr>
              <w:t xml:space="preserve"> o </w:t>
            </w:r>
            <w:proofErr w:type="spellStart"/>
            <w:r w:rsidRPr="00586DE2">
              <w:rPr>
                <w:rFonts w:cs="Arial"/>
                <w:sz w:val="20"/>
                <w:szCs w:val="20"/>
                <w:lang w:val="en-US"/>
              </w:rPr>
              <w:t>suministro</w:t>
            </w:r>
            <w:proofErr w:type="spellEnd"/>
            <w:r w:rsidRPr="00586DE2">
              <w:rPr>
                <w:rFonts w:cs="Arial"/>
                <w:sz w:val="20"/>
                <w:szCs w:val="20"/>
                <w:lang w:val="en-US"/>
              </w:rPr>
              <w:t xml:space="preserve"> especial</w:t>
            </w:r>
          </w:p>
        </w:tc>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8EF194"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Diagnóstico</w:t>
            </w:r>
            <w:proofErr w:type="spellEnd"/>
            <w:r w:rsidRPr="00586DE2">
              <w:rPr>
                <w:rFonts w:cs="Arial"/>
                <w:sz w:val="20"/>
                <w:szCs w:val="20"/>
                <w:lang w:val="en-US"/>
              </w:rPr>
              <w:t xml:space="preserve">: </w:t>
            </w:r>
            <w:proofErr w:type="spellStart"/>
            <w:r w:rsidRPr="00586DE2">
              <w:rPr>
                <w:rFonts w:cs="Arial"/>
                <w:sz w:val="20"/>
                <w:szCs w:val="20"/>
                <w:lang w:val="en-US"/>
              </w:rPr>
              <w:t>máximo</w:t>
            </w:r>
            <w:proofErr w:type="spellEnd"/>
            <w:r w:rsidRPr="00586DE2">
              <w:rPr>
                <w:rFonts w:cs="Arial"/>
                <w:sz w:val="20"/>
                <w:szCs w:val="20"/>
                <w:lang w:val="en-US"/>
              </w:rPr>
              <w:t xml:space="preserve"> 3 días </w:t>
            </w:r>
            <w:proofErr w:type="spellStart"/>
            <w:r w:rsidRPr="00586DE2">
              <w:rPr>
                <w:rFonts w:cs="Arial"/>
                <w:sz w:val="20"/>
                <w:szCs w:val="20"/>
                <w:lang w:val="en-US"/>
              </w:rPr>
              <w:t>hábiles</w:t>
            </w:r>
            <w:proofErr w:type="spellEnd"/>
          </w:p>
        </w:tc>
        <w:tc>
          <w:tcPr>
            <w:tcW w:w="3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D6750F" w14:textId="77777777" w:rsidR="00687F57" w:rsidRPr="00586DE2" w:rsidRDefault="00687F57" w:rsidP="00586DE2">
            <w:pPr>
              <w:spacing w:after="0"/>
              <w:jc w:val="left"/>
              <w:rPr>
                <w:rFonts w:cs="Arial"/>
                <w:sz w:val="20"/>
                <w:szCs w:val="20"/>
                <w:lang w:val="en-US"/>
              </w:rPr>
            </w:pPr>
            <w:proofErr w:type="spellStart"/>
            <w:r w:rsidRPr="00586DE2">
              <w:rPr>
                <w:rFonts w:cs="Arial"/>
                <w:sz w:val="20"/>
                <w:szCs w:val="20"/>
                <w:lang w:val="en-US"/>
              </w:rPr>
              <w:t>Cronograma</w:t>
            </w:r>
            <w:proofErr w:type="spellEnd"/>
            <w:r w:rsidRPr="00586DE2">
              <w:rPr>
                <w:rFonts w:cs="Arial"/>
                <w:sz w:val="20"/>
                <w:szCs w:val="20"/>
                <w:lang w:val="en-US"/>
              </w:rPr>
              <w:t xml:space="preserve"> </w:t>
            </w:r>
            <w:proofErr w:type="spellStart"/>
            <w:r w:rsidRPr="00586DE2">
              <w:rPr>
                <w:rFonts w:cs="Arial"/>
                <w:sz w:val="20"/>
                <w:szCs w:val="20"/>
                <w:lang w:val="en-US"/>
              </w:rPr>
              <w:t>técnicamente</w:t>
            </w:r>
            <w:proofErr w:type="spellEnd"/>
            <w:r w:rsidRPr="00586DE2">
              <w:rPr>
                <w:rFonts w:cs="Arial"/>
                <w:sz w:val="20"/>
                <w:szCs w:val="20"/>
                <w:lang w:val="en-US"/>
              </w:rPr>
              <w:t xml:space="preserve"> </w:t>
            </w:r>
            <w:proofErr w:type="spellStart"/>
            <w:r w:rsidRPr="00586DE2">
              <w:rPr>
                <w:rFonts w:cs="Arial"/>
                <w:sz w:val="20"/>
                <w:szCs w:val="20"/>
                <w:lang w:val="en-US"/>
              </w:rPr>
              <w:t>sustentado</w:t>
            </w:r>
            <w:proofErr w:type="spellEnd"/>
            <w:r w:rsidRPr="00586DE2">
              <w:rPr>
                <w:rFonts w:cs="Arial"/>
                <w:sz w:val="20"/>
                <w:szCs w:val="20"/>
                <w:lang w:val="en-US"/>
              </w:rPr>
              <w:t xml:space="preserve"> y </w:t>
            </w:r>
            <w:proofErr w:type="spellStart"/>
            <w:r w:rsidRPr="00586DE2">
              <w:rPr>
                <w:rFonts w:cs="Arial"/>
                <w:sz w:val="20"/>
                <w:szCs w:val="20"/>
                <w:lang w:val="en-US"/>
              </w:rPr>
              <w:t>aprobado</w:t>
            </w:r>
            <w:proofErr w:type="spellEnd"/>
            <w:r w:rsidRPr="00586DE2">
              <w:rPr>
                <w:rFonts w:cs="Arial"/>
                <w:sz w:val="20"/>
                <w:szCs w:val="20"/>
                <w:lang w:val="en-US"/>
              </w:rPr>
              <w:t xml:space="preserve"> por </w:t>
            </w:r>
            <w:proofErr w:type="spellStart"/>
            <w:r w:rsidRPr="00586DE2">
              <w:rPr>
                <w:rFonts w:cs="Arial"/>
                <w:sz w:val="20"/>
                <w:szCs w:val="20"/>
                <w:lang w:val="en-US"/>
              </w:rPr>
              <w:t>supervisión</w:t>
            </w:r>
            <w:proofErr w:type="spellEnd"/>
          </w:p>
        </w:tc>
      </w:tr>
    </w:tbl>
    <w:p w14:paraId="0DDE859B" w14:textId="77777777" w:rsidR="00687F57" w:rsidRDefault="00687F57" w:rsidP="00687F57">
      <w:pPr>
        <w:rPr>
          <w:rFonts w:cs="Arial"/>
          <w:szCs w:val="21"/>
        </w:rPr>
      </w:pPr>
    </w:p>
    <w:p w14:paraId="2CB85544" w14:textId="77777777" w:rsidR="00687F57" w:rsidRDefault="00687F57" w:rsidP="00687F57">
      <w:pPr>
        <w:rPr>
          <w:rFonts w:cs="Arial"/>
          <w:szCs w:val="21"/>
        </w:rPr>
      </w:pPr>
      <w:r>
        <w:t xml:space="preserve">Los tiempos indicados son obligaciones de atención frente a reportes de garantía. Cuando la corrección definitiva dependa de fabricación o suministro especial, el Contratista deberá presentar </w:t>
      </w:r>
      <w:r>
        <w:lastRenderedPageBreak/>
        <w:t>dentro del término de diagnóstico un cronograma técnicamente sustentado para aprobación de la supervisión, sin perjuicio de adoptar medidas inmediatas de seguridad cuando sean necesarias.</w:t>
      </w:r>
    </w:p>
    <w:p w14:paraId="36ABCFE5" w14:textId="77777777" w:rsidR="00687F57" w:rsidRDefault="00687F57" w:rsidP="00687F57">
      <w:pPr>
        <w:pStyle w:val="Ttulo2"/>
        <w:spacing w:before="0"/>
        <w:rPr>
          <w:rFonts w:cs="Arial"/>
          <w:sz w:val="21"/>
          <w:szCs w:val="21"/>
        </w:rPr>
      </w:pPr>
      <w:r>
        <w:rPr>
          <w:rFonts w:cs="Arial"/>
          <w:sz w:val="21"/>
          <w:szCs w:val="21"/>
        </w:rPr>
        <w:t>8.3 DIAGNÓSTICO</w:t>
      </w:r>
    </w:p>
    <w:p w14:paraId="785354E3" w14:textId="77777777" w:rsidR="00687F57" w:rsidRDefault="00687F57" w:rsidP="00687F57">
      <w:pPr>
        <w:rPr>
          <w:rFonts w:cs="Arial"/>
          <w:szCs w:val="21"/>
        </w:rPr>
      </w:pPr>
      <w:r>
        <w:rPr>
          <w:rFonts w:cs="Arial"/>
          <w:szCs w:val="21"/>
        </w:rPr>
        <w:t>El diagnóstico deberá indicar causa probable, imputabilidad, alcance afectado, tratamiento propuesto y plazo de corrección. Cuando exista controversia técnica, la supervisión podrá requerir ensayos, mediciones o concepto especializado.</w:t>
      </w:r>
    </w:p>
    <w:p w14:paraId="2FEC7A5B" w14:textId="77777777" w:rsidR="00687F57" w:rsidRDefault="00687F57" w:rsidP="00687F57">
      <w:pPr>
        <w:pStyle w:val="Ttulo2"/>
        <w:spacing w:before="0"/>
        <w:rPr>
          <w:rFonts w:cs="Arial"/>
          <w:sz w:val="21"/>
          <w:szCs w:val="21"/>
        </w:rPr>
      </w:pPr>
      <w:r>
        <w:rPr>
          <w:rFonts w:cs="Arial"/>
          <w:sz w:val="21"/>
          <w:szCs w:val="21"/>
        </w:rPr>
        <w:t>8.4 REPOSICIÓN O CORRECCIÓN</w:t>
      </w:r>
    </w:p>
    <w:p w14:paraId="1E1ED27F" w14:textId="77777777" w:rsidR="00687F57" w:rsidRDefault="00687F57" w:rsidP="00687F57">
      <w:pPr>
        <w:rPr>
          <w:rFonts w:cs="Arial"/>
          <w:szCs w:val="21"/>
        </w:rPr>
      </w:pPr>
      <w:r>
        <w:rPr>
          <w:rFonts w:cs="Arial"/>
          <w:szCs w:val="21"/>
        </w:rPr>
        <w:t>La reposición deberá comprender todas las actividades necesarias para restituir el elemento: retiro seguro, preparación, materiales, transporte, instalación, manejo de tránsito propio de la actividad, reparación de superficie afectada, limpieza, controles de calidad, actualización de registros e inventario cuando corresponda.</w:t>
      </w:r>
    </w:p>
    <w:p w14:paraId="1F7E1905" w14:textId="77777777" w:rsidR="00687F57" w:rsidRDefault="00687F57" w:rsidP="00687F57">
      <w:pPr>
        <w:rPr>
          <w:rFonts w:cs="Arial"/>
          <w:szCs w:val="21"/>
        </w:rPr>
      </w:pPr>
      <w:r>
        <w:rPr>
          <w:rFonts w:cs="Arial"/>
          <w:szCs w:val="21"/>
        </w:rPr>
        <w:t>No se aceptarán reparaciones parciales que mantengan una condición de desempeño inferior a la originalmente exigida.</w:t>
      </w:r>
    </w:p>
    <w:p w14:paraId="4392A836" w14:textId="77777777" w:rsidR="00687F57" w:rsidRDefault="00687F57" w:rsidP="00687F57">
      <w:pPr>
        <w:pStyle w:val="Ttulo2"/>
        <w:spacing w:before="0"/>
        <w:rPr>
          <w:rFonts w:cs="Arial"/>
          <w:sz w:val="21"/>
          <w:szCs w:val="21"/>
        </w:rPr>
      </w:pPr>
      <w:r>
        <w:rPr>
          <w:rFonts w:cs="Arial"/>
          <w:sz w:val="21"/>
          <w:szCs w:val="21"/>
        </w:rPr>
        <w:t>8.5 CIERRE DE LA ATENCIÓN</w:t>
      </w:r>
    </w:p>
    <w:p w14:paraId="6C4BFFD3" w14:textId="77777777" w:rsidR="00687F57" w:rsidRDefault="00687F57" w:rsidP="00687F57">
      <w:pPr>
        <w:rPr>
          <w:rFonts w:cs="Arial"/>
          <w:szCs w:val="21"/>
        </w:rPr>
      </w:pPr>
      <w:r>
        <w:rPr>
          <w:rFonts w:cs="Arial"/>
          <w:szCs w:val="21"/>
        </w:rPr>
        <w:t>La atención se cerrará una vez la STT verifique la corrección y se actualicen los registros correspondientes. Cuando exista reposición de un elemento inventariable, deberá actualizarse su historial conforme al Apéndice C.</w:t>
      </w:r>
    </w:p>
    <w:p w14:paraId="3AA2242F" w14:textId="77777777" w:rsidR="00687F57" w:rsidRDefault="00687F57" w:rsidP="00687F57">
      <w:pPr>
        <w:pStyle w:val="Ttulo1"/>
        <w:spacing w:before="0"/>
        <w:rPr>
          <w:rFonts w:cs="Arial"/>
          <w:sz w:val="21"/>
          <w:szCs w:val="21"/>
        </w:rPr>
      </w:pPr>
      <w:r>
        <w:rPr>
          <w:rFonts w:cs="Arial"/>
          <w:sz w:val="21"/>
          <w:szCs w:val="21"/>
        </w:rPr>
        <w:t>9. GARANTÍAS POR TIPO DE ELEMENTO</w:t>
      </w:r>
    </w:p>
    <w:p w14:paraId="7952F384" w14:textId="77777777" w:rsidR="00687F57" w:rsidRDefault="00687F57" w:rsidP="00687F57">
      <w:pPr>
        <w:pStyle w:val="Ttulo2"/>
        <w:spacing w:before="0"/>
        <w:rPr>
          <w:rFonts w:cs="Arial"/>
          <w:sz w:val="21"/>
          <w:szCs w:val="21"/>
        </w:rPr>
      </w:pPr>
      <w:r>
        <w:rPr>
          <w:rFonts w:cs="Arial"/>
          <w:sz w:val="21"/>
          <w:szCs w:val="21"/>
        </w:rPr>
        <w:t>9.1 SEÑALIZACIÓN VERTICAL</w:t>
      </w:r>
    </w:p>
    <w:p w14:paraId="7E5503FD" w14:textId="77777777" w:rsidR="00687F57" w:rsidRDefault="00687F57" w:rsidP="00687F57">
      <w:pPr>
        <w:rPr>
          <w:rFonts w:cs="Arial"/>
          <w:szCs w:val="21"/>
        </w:rPr>
      </w:pPr>
      <w:r>
        <w:rPr>
          <w:rFonts w:cs="Arial"/>
          <w:szCs w:val="21"/>
        </w:rPr>
        <w:t xml:space="preserve">La garantía cubrirá, según corresponda, estabilidad, fijación, cimentación, integridad del tablero, protección anticorrosiva, película </w:t>
      </w:r>
      <w:proofErr w:type="spellStart"/>
      <w:r>
        <w:rPr>
          <w:rFonts w:cs="Arial"/>
          <w:szCs w:val="21"/>
        </w:rPr>
        <w:t>retrorreflectiva</w:t>
      </w:r>
      <w:proofErr w:type="spellEnd"/>
      <w:r>
        <w:rPr>
          <w:rFonts w:cs="Arial"/>
          <w:szCs w:val="21"/>
        </w:rPr>
        <w:t>, impresión y demás componentes suministrados. No cubrirá impactos vehiculares, vandalismo u otras afectaciones externas comprobadas.</w:t>
      </w:r>
    </w:p>
    <w:p w14:paraId="1E86F6A0" w14:textId="77777777" w:rsidR="00687F57" w:rsidRDefault="00687F57" w:rsidP="00687F57">
      <w:pPr>
        <w:rPr>
          <w:rFonts w:cs="Arial"/>
          <w:szCs w:val="21"/>
        </w:rPr>
      </w:pPr>
      <w:r>
        <w:rPr>
          <w:rFonts w:cs="Arial"/>
          <w:szCs w:val="21"/>
        </w:rPr>
        <w:t>La pérdida prematura de adherencia de películas, delaminación, corrosión atribuible a fabricación o preparación, deformación del tablero o inestabilidad del soporte serán causales de atención cuando sean imputables al suministro o instalación.</w:t>
      </w:r>
    </w:p>
    <w:p w14:paraId="3AB01963" w14:textId="77777777" w:rsidR="00687F57" w:rsidRDefault="00687F57" w:rsidP="00687F57">
      <w:pPr>
        <w:pStyle w:val="Ttulo2"/>
        <w:spacing w:before="0"/>
        <w:rPr>
          <w:rFonts w:cs="Arial"/>
          <w:sz w:val="21"/>
          <w:szCs w:val="21"/>
        </w:rPr>
      </w:pPr>
      <w:r>
        <w:rPr>
          <w:rFonts w:cs="Arial"/>
          <w:sz w:val="21"/>
          <w:szCs w:val="21"/>
        </w:rPr>
        <w:t>9.2 SEÑALIZACIÓN HORIZONTAL</w:t>
      </w:r>
    </w:p>
    <w:p w14:paraId="10CACCD3" w14:textId="77777777" w:rsidR="00687F57" w:rsidRDefault="00687F57" w:rsidP="00687F57">
      <w:pPr>
        <w:rPr>
          <w:rFonts w:cs="Arial"/>
          <w:szCs w:val="21"/>
        </w:rPr>
      </w:pPr>
      <w:r>
        <w:rPr>
          <w:rFonts w:cs="Arial"/>
          <w:szCs w:val="21"/>
        </w:rPr>
        <w:t xml:space="preserve">La garantía cubrirá pérdida prematura de adherencia, desprendimiento, desgaste anormal, pérdida de funcionalidad y deficiencias de </w:t>
      </w:r>
      <w:proofErr w:type="spellStart"/>
      <w:r>
        <w:rPr>
          <w:rFonts w:cs="Arial"/>
          <w:szCs w:val="21"/>
        </w:rPr>
        <w:t>retrorreflectividad</w:t>
      </w:r>
      <w:proofErr w:type="spellEnd"/>
      <w:r>
        <w:rPr>
          <w:rFonts w:cs="Arial"/>
          <w:szCs w:val="21"/>
        </w:rPr>
        <w:t xml:space="preserve"> atribuibles al material o procedimiento constructivo. La reposición incluirá preparación y restitución completa de la marca afectada.</w:t>
      </w:r>
    </w:p>
    <w:p w14:paraId="4F2076AB" w14:textId="77777777" w:rsidR="00687F57" w:rsidRDefault="00687F57" w:rsidP="00687F57">
      <w:pPr>
        <w:rPr>
          <w:rFonts w:cs="Arial"/>
          <w:szCs w:val="21"/>
        </w:rPr>
      </w:pPr>
      <w:r>
        <w:rPr>
          <w:rFonts w:cs="Arial"/>
          <w:szCs w:val="21"/>
        </w:rPr>
        <w:t>La evaluación deberá considerar el material aplicado, espesor, registros de control inicial, tránsito, estado del pavimento, contaminación, geometría y demás condiciones documentadas.</w:t>
      </w:r>
    </w:p>
    <w:p w14:paraId="2B756AEB" w14:textId="77777777" w:rsidR="00687F57" w:rsidRDefault="00687F57" w:rsidP="00687F57">
      <w:pPr>
        <w:pStyle w:val="Ttulo2"/>
        <w:spacing w:before="0"/>
        <w:rPr>
          <w:rFonts w:cs="Arial"/>
          <w:sz w:val="21"/>
          <w:szCs w:val="21"/>
        </w:rPr>
      </w:pPr>
      <w:r>
        <w:rPr>
          <w:rFonts w:cs="Arial"/>
          <w:sz w:val="21"/>
          <w:szCs w:val="21"/>
        </w:rPr>
        <w:t>9.3 TACHAS, ESTOPEROLES, TACHONES, BORDILLOS E HITOS</w:t>
      </w:r>
    </w:p>
    <w:p w14:paraId="52938952" w14:textId="77777777" w:rsidR="00687F57" w:rsidRDefault="00687F57" w:rsidP="00687F57">
      <w:pPr>
        <w:rPr>
          <w:rFonts w:cs="Arial"/>
          <w:szCs w:val="21"/>
        </w:rPr>
      </w:pPr>
      <w:r>
        <w:rPr>
          <w:rFonts w:cs="Arial"/>
          <w:szCs w:val="21"/>
        </w:rPr>
        <w:t xml:space="preserve">La garantía cubrirá defectos de fabricación, pérdida prematura de fijación, desprendimiento de elementos </w:t>
      </w:r>
      <w:proofErr w:type="spellStart"/>
      <w:r>
        <w:rPr>
          <w:rFonts w:cs="Arial"/>
          <w:szCs w:val="21"/>
        </w:rPr>
        <w:t>retrorreflectivos</w:t>
      </w:r>
      <w:proofErr w:type="spellEnd"/>
      <w:r>
        <w:rPr>
          <w:rFonts w:cs="Arial"/>
          <w:szCs w:val="21"/>
        </w:rPr>
        <w:t>, fractura o deformación atribuible al producto o instalación y fallas del sistema de anclaje.</w:t>
      </w:r>
    </w:p>
    <w:p w14:paraId="0107E15D" w14:textId="77777777" w:rsidR="00687F57" w:rsidRDefault="00687F57" w:rsidP="00687F57">
      <w:pPr>
        <w:rPr>
          <w:rFonts w:cs="Arial"/>
          <w:szCs w:val="21"/>
        </w:rPr>
      </w:pPr>
      <w:r>
        <w:rPr>
          <w:rFonts w:cs="Arial"/>
          <w:szCs w:val="21"/>
        </w:rPr>
        <w:t>Cuando la falla de un dispositivo deje perforaciones, adhesivos, elementos metálicos o daños en la superficie, la atención deberá incluir su retiro y restitución segura.</w:t>
      </w:r>
    </w:p>
    <w:p w14:paraId="265D66B5" w14:textId="77777777" w:rsidR="00687F57" w:rsidRDefault="00687F57" w:rsidP="00687F57">
      <w:pPr>
        <w:pStyle w:val="Ttulo2"/>
        <w:spacing w:before="0"/>
        <w:rPr>
          <w:rFonts w:cs="Arial"/>
          <w:sz w:val="21"/>
          <w:szCs w:val="21"/>
        </w:rPr>
      </w:pPr>
      <w:r>
        <w:rPr>
          <w:rFonts w:cs="Arial"/>
          <w:sz w:val="21"/>
          <w:szCs w:val="21"/>
        </w:rPr>
        <w:t>9.4 REDUCTORES Y OBRAS MENORES</w:t>
      </w:r>
    </w:p>
    <w:p w14:paraId="6839F0E4" w14:textId="77777777" w:rsidR="00687F57" w:rsidRDefault="00687F57" w:rsidP="00687F57">
      <w:pPr>
        <w:rPr>
          <w:rFonts w:cs="Arial"/>
          <w:szCs w:val="21"/>
        </w:rPr>
      </w:pPr>
      <w:r>
        <w:rPr>
          <w:rFonts w:cs="Arial"/>
          <w:szCs w:val="21"/>
        </w:rPr>
        <w:t>La garantía cubrirá defectos imputables a materiales y ejecución, incluyendo desprendimientos, piezas sueltas, deformaciones prematuras, fallas de anclaje, asentamientos o deterioros localizados asociados al procedimiento ejecutado.</w:t>
      </w:r>
    </w:p>
    <w:p w14:paraId="11DB3695" w14:textId="77777777" w:rsidR="00687F57" w:rsidRDefault="00687F57" w:rsidP="00687F57">
      <w:pPr>
        <w:rPr>
          <w:rFonts w:cs="Arial"/>
          <w:szCs w:val="21"/>
        </w:rPr>
      </w:pPr>
      <w:r>
        <w:rPr>
          <w:rFonts w:cs="Arial"/>
          <w:szCs w:val="21"/>
        </w:rPr>
        <w:t>En resaltos asfálticos o de concreto se distinguirán las fallas del elemento ejecutado de deterioros generales del pavimento preexistente que hayan sido debidamente documentados.</w:t>
      </w:r>
    </w:p>
    <w:p w14:paraId="21C9A289" w14:textId="77777777" w:rsidR="00687F57" w:rsidRDefault="00687F57" w:rsidP="00687F57">
      <w:pPr>
        <w:pStyle w:val="Ttulo2"/>
        <w:spacing w:before="0"/>
        <w:rPr>
          <w:rFonts w:cs="Arial"/>
          <w:sz w:val="21"/>
          <w:szCs w:val="21"/>
        </w:rPr>
      </w:pPr>
      <w:r>
        <w:rPr>
          <w:rFonts w:cs="Arial"/>
          <w:sz w:val="21"/>
          <w:szCs w:val="21"/>
        </w:rPr>
        <w:lastRenderedPageBreak/>
        <w:t>9.5 ACTIVIDADES DE MANTENIMIENTO</w:t>
      </w:r>
    </w:p>
    <w:p w14:paraId="4F6D2248" w14:textId="77777777" w:rsidR="00687F57" w:rsidRDefault="00687F57" w:rsidP="00687F57">
      <w:pPr>
        <w:rPr>
          <w:rFonts w:cs="Arial"/>
          <w:szCs w:val="21"/>
        </w:rPr>
      </w:pPr>
      <w:r>
        <w:rPr>
          <w:rFonts w:cs="Arial"/>
          <w:szCs w:val="21"/>
        </w:rPr>
        <w:t>La garantía de mantenimiento se aplicará sobre el alcance efectivamente intervenido. Cuando la actividad no incluya sustitución de un componente, la garantía no podrá interpretarse como renovación integral de la vida útil del elemento preexistente.</w:t>
      </w:r>
    </w:p>
    <w:p w14:paraId="28C90D0F" w14:textId="50EAB927" w:rsidR="00687F57" w:rsidRDefault="00687F57" w:rsidP="005411F5">
      <w:pPr>
        <w:pStyle w:val="Ttulo1"/>
        <w:tabs>
          <w:tab w:val="left" w:pos="5088"/>
        </w:tabs>
        <w:spacing w:before="0"/>
        <w:rPr>
          <w:rFonts w:cs="Arial"/>
          <w:sz w:val="21"/>
          <w:szCs w:val="21"/>
        </w:rPr>
      </w:pPr>
      <w:r>
        <w:rPr>
          <w:rFonts w:cs="Arial"/>
          <w:sz w:val="21"/>
          <w:szCs w:val="21"/>
        </w:rPr>
        <w:t>10. REGISTRO Y CONTROL DE GARANTÍAS</w:t>
      </w:r>
      <w:r w:rsidR="005411F5">
        <w:rPr>
          <w:rFonts w:cs="Arial"/>
          <w:sz w:val="21"/>
          <w:szCs w:val="21"/>
        </w:rPr>
        <w:tab/>
      </w:r>
    </w:p>
    <w:p w14:paraId="4406B750" w14:textId="77777777" w:rsidR="00687F57" w:rsidRDefault="00687F57" w:rsidP="00687F57">
      <w:pPr>
        <w:pStyle w:val="Ttulo2"/>
        <w:spacing w:before="0"/>
        <w:rPr>
          <w:rFonts w:cs="Arial"/>
          <w:sz w:val="21"/>
          <w:szCs w:val="21"/>
        </w:rPr>
      </w:pPr>
      <w:r>
        <w:rPr>
          <w:rFonts w:cs="Arial"/>
          <w:sz w:val="21"/>
          <w:szCs w:val="21"/>
        </w:rPr>
        <w:t>10.1 REGISTRO MÍNIMO</w:t>
      </w:r>
    </w:p>
    <w:p w14:paraId="50B3611C" w14:textId="77777777" w:rsidR="00687F57" w:rsidRDefault="00687F57" w:rsidP="00687F57">
      <w:pPr>
        <w:rPr>
          <w:rFonts w:cs="Arial"/>
          <w:szCs w:val="21"/>
        </w:rPr>
      </w:pPr>
      <w:r>
        <w:t>Cada elemento, actividad o frente recibido deberá permitir identificar como mínimo el periodo de garantía aplicable, fecha de inicio, fecha de vencimiento, ubicación, Orden de Intervención y novedades presentadas durante su vigencia.</w:t>
      </w:r>
    </w:p>
    <w:p w14:paraId="0CA16257" w14:textId="77777777" w:rsidR="00687F57" w:rsidRDefault="00687F57" w:rsidP="00687F57">
      <w:pPr>
        <w:rPr>
          <w:rFonts w:cs="Arial"/>
          <w:szCs w:val="21"/>
        </w:rPr>
      </w:pPr>
      <w:r>
        <w:t>El Contratista deberá llevar y mantener actualizada una matriz editable de seguimiento de garantías, vinculada al inventario y a las Órdenes de Intervención. La STT definirá o aprobará el formato electrónico al inicio de la ejecución contractual; su diligenciamiento y entrega constituyen obligación de trazabilidad y no sustituyen los registros exigidos en los demás Apéndices.</w:t>
      </w:r>
    </w:p>
    <w:p w14:paraId="26465E0D" w14:textId="77777777" w:rsidR="00687F57" w:rsidRDefault="00687F57" w:rsidP="00687F57">
      <w:pPr>
        <w:pStyle w:val="Ttulo2"/>
        <w:spacing w:before="0"/>
        <w:rPr>
          <w:rFonts w:cs="Arial"/>
          <w:sz w:val="21"/>
          <w:szCs w:val="21"/>
        </w:rPr>
      </w:pPr>
      <w:r>
        <w:rPr>
          <w:rFonts w:cs="Arial"/>
          <w:sz w:val="21"/>
          <w:szCs w:val="21"/>
        </w:rPr>
        <w:t>10.2 MATRIZ DE SEGUIMIENTO</w:t>
      </w:r>
    </w:p>
    <w:tbl>
      <w:tblPr>
        <w:tblStyle w:val="Tablaconcuadrcula"/>
        <w:tblW w:w="0" w:type="auto"/>
        <w:jc w:val="center"/>
        <w:tblLook w:val="04A0" w:firstRow="1" w:lastRow="0" w:firstColumn="1" w:lastColumn="0" w:noHBand="0" w:noVBand="1"/>
      </w:tblPr>
      <w:tblGrid>
        <w:gridCol w:w="3709"/>
        <w:gridCol w:w="4702"/>
      </w:tblGrid>
      <w:tr w:rsidR="00687F57" w14:paraId="7E9D7A04" w14:textId="77777777" w:rsidTr="00586DE2">
        <w:trPr>
          <w:trHeight w:val="405"/>
          <w:tblHeader/>
          <w:jc w:val="center"/>
        </w:trPr>
        <w:tc>
          <w:tcPr>
            <w:tcW w:w="37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492E645" w14:textId="77777777" w:rsidR="00687F57" w:rsidRDefault="00687F57" w:rsidP="00586DE2">
            <w:pPr>
              <w:spacing w:after="0"/>
              <w:jc w:val="center"/>
              <w:rPr>
                <w:rFonts w:cs="Arial"/>
                <w:szCs w:val="21"/>
                <w:lang w:val="en-US"/>
              </w:rPr>
            </w:pPr>
            <w:r>
              <w:rPr>
                <w:rFonts w:cs="Arial"/>
                <w:b/>
                <w:szCs w:val="21"/>
                <w:lang w:val="en-US"/>
              </w:rPr>
              <w:t>Campo</w:t>
            </w:r>
          </w:p>
        </w:tc>
        <w:tc>
          <w:tcPr>
            <w:tcW w:w="470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298E532" w14:textId="77777777" w:rsidR="00687F57" w:rsidRDefault="00687F57" w:rsidP="00586DE2">
            <w:pPr>
              <w:spacing w:after="0"/>
              <w:jc w:val="center"/>
              <w:rPr>
                <w:rFonts w:cs="Arial"/>
                <w:szCs w:val="21"/>
                <w:lang w:val="en-US"/>
              </w:rPr>
            </w:pPr>
            <w:proofErr w:type="spellStart"/>
            <w:r>
              <w:rPr>
                <w:rFonts w:cs="Arial"/>
                <w:b/>
                <w:szCs w:val="21"/>
                <w:lang w:val="en-US"/>
              </w:rPr>
              <w:t>Contenido</w:t>
            </w:r>
            <w:proofErr w:type="spellEnd"/>
            <w:r>
              <w:rPr>
                <w:rFonts w:cs="Arial"/>
                <w:b/>
                <w:szCs w:val="21"/>
                <w:lang w:val="en-US"/>
              </w:rPr>
              <w:t xml:space="preserve"> </w:t>
            </w:r>
            <w:proofErr w:type="spellStart"/>
            <w:r>
              <w:rPr>
                <w:rFonts w:cs="Arial"/>
                <w:b/>
                <w:szCs w:val="21"/>
                <w:lang w:val="en-US"/>
              </w:rPr>
              <w:t>mínimo</w:t>
            </w:r>
            <w:proofErr w:type="spellEnd"/>
          </w:p>
        </w:tc>
      </w:tr>
      <w:tr w:rsidR="0036612C" w14:paraId="156DB1B5" w14:textId="77777777" w:rsidTr="00586DE2">
        <w:trPr>
          <w:jc w:val="center"/>
        </w:trPr>
        <w:tc>
          <w:tcPr>
            <w:tcW w:w="3709" w:type="dxa"/>
            <w:vAlign w:val="center"/>
          </w:tcPr>
          <w:p w14:paraId="204E1573" w14:textId="77777777" w:rsidR="0036612C" w:rsidRDefault="001E53D6" w:rsidP="00586DE2">
            <w:pPr>
              <w:spacing w:after="0"/>
              <w:jc w:val="left"/>
            </w:pPr>
            <w:r>
              <w:t>ID / ubicación</w:t>
            </w:r>
          </w:p>
        </w:tc>
        <w:tc>
          <w:tcPr>
            <w:tcW w:w="4702" w:type="dxa"/>
            <w:vAlign w:val="center"/>
          </w:tcPr>
          <w:p w14:paraId="6E99981E" w14:textId="77777777" w:rsidR="0036612C" w:rsidRDefault="001E53D6" w:rsidP="00586DE2">
            <w:pPr>
              <w:spacing w:after="0"/>
              <w:jc w:val="left"/>
            </w:pPr>
            <w:r>
              <w:t>Identificación del elemento, actividad o frente y localización</w:t>
            </w:r>
          </w:p>
        </w:tc>
      </w:tr>
      <w:tr w:rsidR="0036612C" w14:paraId="1B9BFA67" w14:textId="77777777" w:rsidTr="00586DE2">
        <w:trPr>
          <w:jc w:val="center"/>
        </w:trPr>
        <w:tc>
          <w:tcPr>
            <w:tcW w:w="3709" w:type="dxa"/>
            <w:vAlign w:val="center"/>
          </w:tcPr>
          <w:p w14:paraId="2C473B81" w14:textId="77777777" w:rsidR="0036612C" w:rsidRDefault="001E53D6" w:rsidP="00586DE2">
            <w:pPr>
              <w:spacing w:after="0"/>
              <w:jc w:val="left"/>
            </w:pPr>
            <w:r>
              <w:t>OI</w:t>
            </w:r>
          </w:p>
        </w:tc>
        <w:tc>
          <w:tcPr>
            <w:tcW w:w="4702" w:type="dxa"/>
            <w:vAlign w:val="center"/>
          </w:tcPr>
          <w:p w14:paraId="43C29A08" w14:textId="77777777" w:rsidR="0036612C" w:rsidRDefault="001E53D6" w:rsidP="00586DE2">
            <w:pPr>
              <w:spacing w:after="0"/>
              <w:jc w:val="left"/>
            </w:pPr>
            <w:r>
              <w:t>Orden de Intervención asociada</w:t>
            </w:r>
          </w:p>
        </w:tc>
      </w:tr>
      <w:tr w:rsidR="0036612C" w14:paraId="6B614191" w14:textId="77777777" w:rsidTr="00586DE2">
        <w:trPr>
          <w:jc w:val="center"/>
        </w:trPr>
        <w:tc>
          <w:tcPr>
            <w:tcW w:w="3709" w:type="dxa"/>
            <w:vAlign w:val="center"/>
          </w:tcPr>
          <w:p w14:paraId="49E1FE8F" w14:textId="77777777" w:rsidR="0036612C" w:rsidRDefault="001E53D6" w:rsidP="00586DE2">
            <w:pPr>
              <w:spacing w:after="0"/>
              <w:jc w:val="left"/>
            </w:pPr>
            <w:r>
              <w:t>Elemento / actividad</w:t>
            </w:r>
          </w:p>
        </w:tc>
        <w:tc>
          <w:tcPr>
            <w:tcW w:w="4702" w:type="dxa"/>
            <w:vAlign w:val="center"/>
          </w:tcPr>
          <w:p w14:paraId="7DEF962D" w14:textId="77777777" w:rsidR="0036612C" w:rsidRDefault="001E53D6" w:rsidP="00586DE2">
            <w:pPr>
              <w:spacing w:after="0"/>
              <w:jc w:val="left"/>
            </w:pPr>
            <w:r>
              <w:t>Sistema, material o ac</w:t>
            </w:r>
            <w:r>
              <w:t>tividad ejecutada</w:t>
            </w:r>
          </w:p>
        </w:tc>
      </w:tr>
      <w:tr w:rsidR="0036612C" w14:paraId="24214398" w14:textId="77777777" w:rsidTr="00586DE2">
        <w:trPr>
          <w:jc w:val="center"/>
        </w:trPr>
        <w:tc>
          <w:tcPr>
            <w:tcW w:w="3709" w:type="dxa"/>
            <w:vAlign w:val="center"/>
          </w:tcPr>
          <w:p w14:paraId="0D1D5662" w14:textId="77777777" w:rsidR="0036612C" w:rsidRDefault="001E53D6" w:rsidP="00586DE2">
            <w:pPr>
              <w:spacing w:after="0"/>
              <w:jc w:val="left"/>
            </w:pPr>
            <w:r>
              <w:t>Fecha de ejecución</w:t>
            </w:r>
          </w:p>
        </w:tc>
        <w:tc>
          <w:tcPr>
            <w:tcW w:w="4702" w:type="dxa"/>
            <w:vAlign w:val="center"/>
          </w:tcPr>
          <w:p w14:paraId="3987A713" w14:textId="77777777" w:rsidR="0036612C" w:rsidRDefault="001E53D6" w:rsidP="00586DE2">
            <w:pPr>
              <w:spacing w:after="0"/>
              <w:jc w:val="left"/>
            </w:pPr>
            <w:r>
              <w:t>Fecha de instalación o ejecución</w:t>
            </w:r>
          </w:p>
        </w:tc>
      </w:tr>
      <w:tr w:rsidR="0036612C" w14:paraId="48A1298C" w14:textId="77777777" w:rsidTr="00586DE2">
        <w:trPr>
          <w:jc w:val="center"/>
        </w:trPr>
        <w:tc>
          <w:tcPr>
            <w:tcW w:w="3709" w:type="dxa"/>
            <w:vAlign w:val="center"/>
          </w:tcPr>
          <w:p w14:paraId="2B2AE0D5" w14:textId="77777777" w:rsidR="0036612C" w:rsidRDefault="001E53D6" w:rsidP="00586DE2">
            <w:pPr>
              <w:spacing w:after="0"/>
              <w:jc w:val="left"/>
            </w:pPr>
            <w:r>
              <w:t>Fecha de recibo</w:t>
            </w:r>
          </w:p>
        </w:tc>
        <w:tc>
          <w:tcPr>
            <w:tcW w:w="4702" w:type="dxa"/>
            <w:vAlign w:val="center"/>
          </w:tcPr>
          <w:p w14:paraId="27001137" w14:textId="77777777" w:rsidR="0036612C" w:rsidRDefault="001E53D6" w:rsidP="00586DE2">
            <w:pPr>
              <w:spacing w:after="0"/>
              <w:jc w:val="left"/>
            </w:pPr>
            <w:r>
              <w:t>Fecha de recibo a satisfacción e inicio de garantía</w:t>
            </w:r>
          </w:p>
        </w:tc>
      </w:tr>
      <w:tr w:rsidR="0036612C" w14:paraId="1FAB99E6" w14:textId="77777777" w:rsidTr="00586DE2">
        <w:trPr>
          <w:jc w:val="center"/>
        </w:trPr>
        <w:tc>
          <w:tcPr>
            <w:tcW w:w="3709" w:type="dxa"/>
            <w:vAlign w:val="center"/>
          </w:tcPr>
          <w:p w14:paraId="69C3AD09" w14:textId="77777777" w:rsidR="0036612C" w:rsidRDefault="001E53D6" w:rsidP="00586DE2">
            <w:pPr>
              <w:spacing w:after="0"/>
              <w:jc w:val="left"/>
            </w:pPr>
            <w:r>
              <w:t>Garantía exigible</w:t>
            </w:r>
          </w:p>
        </w:tc>
        <w:tc>
          <w:tcPr>
            <w:tcW w:w="4702" w:type="dxa"/>
            <w:vAlign w:val="center"/>
          </w:tcPr>
          <w:p w14:paraId="12D20F8F" w14:textId="77777777" w:rsidR="0036612C" w:rsidRDefault="001E53D6" w:rsidP="00586DE2">
            <w:pPr>
              <w:spacing w:after="0"/>
              <w:jc w:val="left"/>
            </w:pPr>
            <w:r>
              <w:t>Periodo aplicable en meses</w:t>
            </w:r>
          </w:p>
        </w:tc>
      </w:tr>
      <w:tr w:rsidR="0036612C" w14:paraId="63162887" w14:textId="77777777" w:rsidTr="00586DE2">
        <w:trPr>
          <w:jc w:val="center"/>
        </w:trPr>
        <w:tc>
          <w:tcPr>
            <w:tcW w:w="3709" w:type="dxa"/>
            <w:vAlign w:val="center"/>
          </w:tcPr>
          <w:p w14:paraId="153BC1D5" w14:textId="77777777" w:rsidR="0036612C" w:rsidRDefault="001E53D6" w:rsidP="00586DE2">
            <w:pPr>
              <w:spacing w:after="0"/>
              <w:jc w:val="left"/>
            </w:pPr>
            <w:r>
              <w:t>Fecha de vencimiento</w:t>
            </w:r>
          </w:p>
        </w:tc>
        <w:tc>
          <w:tcPr>
            <w:tcW w:w="4702" w:type="dxa"/>
            <w:vAlign w:val="center"/>
          </w:tcPr>
          <w:p w14:paraId="3087C17A" w14:textId="77777777" w:rsidR="0036612C" w:rsidRDefault="001E53D6" w:rsidP="00586DE2">
            <w:pPr>
              <w:spacing w:after="0"/>
              <w:jc w:val="left"/>
            </w:pPr>
            <w:r>
              <w:t xml:space="preserve">Fecha calculada de terminación de la </w:t>
            </w:r>
            <w:r>
              <w:t>garantía</w:t>
            </w:r>
          </w:p>
        </w:tc>
      </w:tr>
      <w:tr w:rsidR="0036612C" w14:paraId="3DB8E22A" w14:textId="77777777" w:rsidTr="00586DE2">
        <w:trPr>
          <w:jc w:val="center"/>
        </w:trPr>
        <w:tc>
          <w:tcPr>
            <w:tcW w:w="3709" w:type="dxa"/>
            <w:vAlign w:val="center"/>
          </w:tcPr>
          <w:p w14:paraId="641DC09F" w14:textId="77777777" w:rsidR="0036612C" w:rsidRDefault="001E53D6" w:rsidP="00586DE2">
            <w:pPr>
              <w:spacing w:after="0"/>
              <w:jc w:val="left"/>
            </w:pPr>
            <w:r>
              <w:t>Fabricante / referencia / lote</w:t>
            </w:r>
          </w:p>
        </w:tc>
        <w:tc>
          <w:tcPr>
            <w:tcW w:w="4702" w:type="dxa"/>
            <w:vAlign w:val="center"/>
          </w:tcPr>
          <w:p w14:paraId="64737E15" w14:textId="77777777" w:rsidR="0036612C" w:rsidRDefault="001E53D6" w:rsidP="00586DE2">
            <w:pPr>
              <w:spacing w:after="0"/>
              <w:jc w:val="left"/>
            </w:pPr>
            <w:r>
              <w:t>Cuando resulte aplicable al material o dispositivo</w:t>
            </w:r>
          </w:p>
        </w:tc>
      </w:tr>
      <w:tr w:rsidR="0036612C" w14:paraId="3622D49B" w14:textId="77777777" w:rsidTr="00586DE2">
        <w:trPr>
          <w:jc w:val="center"/>
        </w:trPr>
        <w:tc>
          <w:tcPr>
            <w:tcW w:w="3709" w:type="dxa"/>
            <w:vAlign w:val="center"/>
          </w:tcPr>
          <w:p w14:paraId="78C94CBB" w14:textId="77777777" w:rsidR="0036612C" w:rsidRDefault="001E53D6" w:rsidP="00586DE2">
            <w:pPr>
              <w:spacing w:after="0"/>
              <w:jc w:val="left"/>
            </w:pPr>
            <w:r>
              <w:t>Condición del sitio</w:t>
            </w:r>
          </w:p>
        </w:tc>
        <w:tc>
          <w:tcPr>
            <w:tcW w:w="4702" w:type="dxa"/>
            <w:vAlign w:val="center"/>
          </w:tcPr>
          <w:p w14:paraId="5D919C37" w14:textId="77777777" w:rsidR="0036612C" w:rsidRDefault="001E53D6" w:rsidP="00586DE2">
            <w:pPr>
              <w:spacing w:after="0"/>
              <w:jc w:val="left"/>
            </w:pPr>
            <w:r>
              <w:t>Clasificación o antecedente relevante, cuando aplique</w:t>
            </w:r>
          </w:p>
        </w:tc>
      </w:tr>
      <w:tr w:rsidR="0036612C" w14:paraId="2EB34C33" w14:textId="77777777" w:rsidTr="00586DE2">
        <w:trPr>
          <w:jc w:val="center"/>
        </w:trPr>
        <w:tc>
          <w:tcPr>
            <w:tcW w:w="3709" w:type="dxa"/>
            <w:vAlign w:val="center"/>
          </w:tcPr>
          <w:p w14:paraId="714303FD" w14:textId="77777777" w:rsidR="0036612C" w:rsidRDefault="001E53D6" w:rsidP="00586DE2">
            <w:pPr>
              <w:spacing w:after="0"/>
              <w:jc w:val="left"/>
            </w:pPr>
            <w:r>
              <w:t>Novedades</w:t>
            </w:r>
          </w:p>
        </w:tc>
        <w:tc>
          <w:tcPr>
            <w:tcW w:w="4702" w:type="dxa"/>
            <w:vAlign w:val="center"/>
          </w:tcPr>
          <w:p w14:paraId="32FCFE44" w14:textId="77777777" w:rsidR="0036612C" w:rsidRDefault="001E53D6" w:rsidP="00586DE2">
            <w:pPr>
              <w:spacing w:after="0"/>
              <w:jc w:val="left"/>
            </w:pPr>
            <w:r>
              <w:t>Reportes, inspecciones o reclamaciones durante la garantía</w:t>
            </w:r>
          </w:p>
        </w:tc>
      </w:tr>
      <w:tr w:rsidR="0036612C" w14:paraId="7DE13A8D" w14:textId="77777777" w:rsidTr="00586DE2">
        <w:trPr>
          <w:jc w:val="center"/>
        </w:trPr>
        <w:tc>
          <w:tcPr>
            <w:tcW w:w="3709" w:type="dxa"/>
            <w:vAlign w:val="center"/>
          </w:tcPr>
          <w:p w14:paraId="2F7EFDAC" w14:textId="77777777" w:rsidR="0036612C" w:rsidRDefault="001E53D6" w:rsidP="00586DE2">
            <w:pPr>
              <w:spacing w:after="0"/>
              <w:jc w:val="left"/>
            </w:pPr>
            <w:r>
              <w:t xml:space="preserve">Atención </w:t>
            </w:r>
            <w:r>
              <w:t>realizada</w:t>
            </w:r>
          </w:p>
        </w:tc>
        <w:tc>
          <w:tcPr>
            <w:tcW w:w="4702" w:type="dxa"/>
            <w:vAlign w:val="center"/>
          </w:tcPr>
          <w:p w14:paraId="35D66B5A" w14:textId="77777777" w:rsidR="0036612C" w:rsidRDefault="001E53D6" w:rsidP="00586DE2">
            <w:pPr>
              <w:spacing w:after="0"/>
              <w:jc w:val="left"/>
            </w:pPr>
            <w:r>
              <w:t>Fecha y descripción de corrección o reposición</w:t>
            </w:r>
          </w:p>
        </w:tc>
      </w:tr>
      <w:tr w:rsidR="0036612C" w14:paraId="264D2CBC" w14:textId="77777777" w:rsidTr="00586DE2">
        <w:trPr>
          <w:jc w:val="center"/>
        </w:trPr>
        <w:tc>
          <w:tcPr>
            <w:tcW w:w="3709" w:type="dxa"/>
            <w:vAlign w:val="center"/>
          </w:tcPr>
          <w:p w14:paraId="449031C7" w14:textId="77777777" w:rsidR="0036612C" w:rsidRDefault="001E53D6" w:rsidP="00586DE2">
            <w:pPr>
              <w:spacing w:after="0"/>
              <w:jc w:val="left"/>
            </w:pPr>
            <w:r>
              <w:t>Nuevo vencimiento</w:t>
            </w:r>
          </w:p>
        </w:tc>
        <w:tc>
          <w:tcPr>
            <w:tcW w:w="4702" w:type="dxa"/>
            <w:vAlign w:val="center"/>
          </w:tcPr>
          <w:p w14:paraId="6AD27130" w14:textId="77777777" w:rsidR="0036612C" w:rsidRDefault="001E53D6" w:rsidP="00586DE2">
            <w:pPr>
              <w:spacing w:after="0"/>
              <w:jc w:val="left"/>
            </w:pPr>
            <w:r>
              <w:t>Cuando una reposición o corrección reinicie garantía conforme al numeral 1.4</w:t>
            </w:r>
          </w:p>
        </w:tc>
      </w:tr>
      <w:tr w:rsidR="0036612C" w14:paraId="2B8CB47E" w14:textId="77777777" w:rsidTr="00586DE2">
        <w:trPr>
          <w:jc w:val="center"/>
        </w:trPr>
        <w:tc>
          <w:tcPr>
            <w:tcW w:w="3709" w:type="dxa"/>
            <w:vAlign w:val="center"/>
          </w:tcPr>
          <w:p w14:paraId="79B9EA28" w14:textId="77777777" w:rsidR="0036612C" w:rsidRDefault="001E53D6" w:rsidP="00586DE2">
            <w:pPr>
              <w:spacing w:after="0"/>
              <w:jc w:val="left"/>
            </w:pPr>
            <w:r>
              <w:t>Estado</w:t>
            </w:r>
          </w:p>
        </w:tc>
        <w:tc>
          <w:tcPr>
            <w:tcW w:w="4702" w:type="dxa"/>
            <w:vAlign w:val="center"/>
          </w:tcPr>
          <w:p w14:paraId="6C58F3C5" w14:textId="77777777" w:rsidR="0036612C" w:rsidRDefault="001E53D6" w:rsidP="00586DE2">
            <w:pPr>
              <w:spacing w:after="0"/>
              <w:jc w:val="left"/>
            </w:pPr>
            <w:r>
              <w:t>Vigente / en evaluación / atendida / vencida</w:t>
            </w:r>
          </w:p>
        </w:tc>
      </w:tr>
      <w:tr w:rsidR="0036612C" w14:paraId="73F70BA4" w14:textId="77777777" w:rsidTr="00586DE2">
        <w:trPr>
          <w:jc w:val="center"/>
        </w:trPr>
        <w:tc>
          <w:tcPr>
            <w:tcW w:w="3709" w:type="dxa"/>
            <w:vAlign w:val="center"/>
          </w:tcPr>
          <w:p w14:paraId="4FF51D37" w14:textId="77777777" w:rsidR="0036612C" w:rsidRDefault="001E53D6" w:rsidP="00586DE2">
            <w:pPr>
              <w:spacing w:after="0"/>
              <w:jc w:val="left"/>
            </w:pPr>
            <w:r>
              <w:t>Soporte</w:t>
            </w:r>
          </w:p>
        </w:tc>
        <w:tc>
          <w:tcPr>
            <w:tcW w:w="4702" w:type="dxa"/>
            <w:vAlign w:val="center"/>
          </w:tcPr>
          <w:p w14:paraId="096E9FD9" w14:textId="77777777" w:rsidR="0036612C" w:rsidRDefault="001E53D6" w:rsidP="00586DE2">
            <w:pPr>
              <w:spacing w:after="0"/>
              <w:jc w:val="left"/>
            </w:pPr>
            <w:r>
              <w:t xml:space="preserve">Código o enlace al acta, </w:t>
            </w:r>
            <w:r>
              <w:t>registro, informe, fotografía u otro soporte</w:t>
            </w:r>
          </w:p>
        </w:tc>
      </w:tr>
    </w:tbl>
    <w:p w14:paraId="24F8EB17" w14:textId="77777777" w:rsidR="00687F57" w:rsidRDefault="00687F57" w:rsidP="00687F57">
      <w:pPr>
        <w:rPr>
          <w:rFonts w:cs="Arial"/>
          <w:szCs w:val="21"/>
        </w:rPr>
      </w:pPr>
    </w:p>
    <w:p w14:paraId="7C5FA63F" w14:textId="77777777" w:rsidR="00687F57" w:rsidRDefault="00687F57" w:rsidP="00687F57">
      <w:pPr>
        <w:pStyle w:val="Ttulo2"/>
        <w:spacing w:before="0"/>
        <w:rPr>
          <w:rFonts w:cs="Arial"/>
          <w:sz w:val="21"/>
          <w:szCs w:val="21"/>
        </w:rPr>
      </w:pPr>
      <w:r>
        <w:rPr>
          <w:rFonts w:cs="Arial"/>
          <w:sz w:val="21"/>
          <w:szCs w:val="21"/>
        </w:rPr>
        <w:t>10.3 ENTREGA FINAL</w:t>
      </w:r>
    </w:p>
    <w:p w14:paraId="7C79B75E" w14:textId="77777777" w:rsidR="00687F57" w:rsidRDefault="00687F57" w:rsidP="00687F57">
      <w:pPr>
        <w:rPr>
          <w:rFonts w:cs="Arial"/>
          <w:szCs w:val="21"/>
        </w:rPr>
      </w:pPr>
      <w:r>
        <w:t>Al finalizar el contrato, el Contratista deberá entregar la matriz consolidada y editable de garantías vigentes, con la totalidad de los elementos y actividades recibidos, identificando aquellos cuyo periodo se extienda más allá de la terminación contractual, sus fechas de vencimiento, novedades y canales definidos para atención. La entrega de la matriz no limita ni extingue las obligaciones de garantía que continúen vigentes.</w:t>
      </w:r>
    </w:p>
    <w:p w14:paraId="55902DDF" w14:textId="77777777" w:rsidR="00687F57" w:rsidRDefault="00687F57" w:rsidP="00687F57">
      <w:pPr>
        <w:rPr>
          <w:rFonts w:cs="Arial"/>
          <w:szCs w:val="21"/>
        </w:rPr>
      </w:pPr>
    </w:p>
    <w:p w14:paraId="4A67BB63" w14:textId="77777777" w:rsidR="00687F57" w:rsidRPr="00DF172C" w:rsidRDefault="00687F57" w:rsidP="00E3560F"/>
    <w:sectPr w:rsidR="00687F57" w:rsidRPr="00DF172C" w:rsidSect="009D2F21">
      <w:headerReference w:type="default" r:id="rId12"/>
      <w:footerReference w:type="default" r:id="rId13"/>
      <w:pgSz w:w="12240" w:h="15840"/>
      <w:pgMar w:top="993" w:right="1418" w:bottom="1134" w:left="1418" w:header="2154" w:footer="454"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nonimo" w:date="2026-09-21T13:32:00Z" w:initials="A">
    <w:p w14:paraId="2E6AE787" w14:textId="4F5972ED" w:rsidR="00F042A1" w:rsidRDefault="00F042A1">
      <w:pPr>
        <w:pStyle w:val="Textocomentario"/>
      </w:pPr>
      <w:r>
        <w:rPr>
          <w:rStyle w:val="Refdecomentario"/>
        </w:rPr>
        <w:annotationRef/>
      </w:r>
      <w:r>
        <w:t>Revisar tiempos de garantías desde lo jurídico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E6AE7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5BB06F" w16cex:dateUtc="2026-09-21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6AE787" w16cid:durableId="2E5BB0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51348" w14:textId="77777777" w:rsidR="001E53D6" w:rsidRDefault="001E53D6">
      <w:pPr>
        <w:spacing w:after="0"/>
      </w:pPr>
      <w:r>
        <w:separator/>
      </w:r>
    </w:p>
  </w:endnote>
  <w:endnote w:type="continuationSeparator" w:id="0">
    <w:p w14:paraId="08C8B55D" w14:textId="77777777" w:rsidR="001E53D6" w:rsidRDefault="001E53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5E1B" w14:textId="6F9EB0F7" w:rsidR="00590D42" w:rsidRPr="00263B71" w:rsidRDefault="00E3560F" w:rsidP="005411F5">
    <w:pPr>
      <w:pStyle w:val="Piedepgina"/>
      <w:jc w:val="center"/>
    </w:pPr>
    <w:r w:rsidRPr="00E3560F">
      <w:rPr>
        <w:sz w:val="14"/>
      </w:rPr>
      <w:t>Apéndice D – Garantías Técnicas y Condiciones de Desempeño – Vigencia 2026 | Secretaría de Tránsito y Transporte de Duitama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52060" w14:textId="77777777" w:rsidR="001E53D6" w:rsidRDefault="001E53D6">
      <w:pPr>
        <w:spacing w:after="0"/>
      </w:pPr>
      <w:r>
        <w:separator/>
      </w:r>
    </w:p>
  </w:footnote>
  <w:footnote w:type="continuationSeparator" w:id="0">
    <w:p w14:paraId="274E9D1C" w14:textId="77777777" w:rsidR="001E53D6" w:rsidRDefault="001E53D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horzAnchor="margin" w:tblpXSpec="center" w:tblpY="-538"/>
      <w:tblW w:w="90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50"/>
      <w:gridCol w:w="4837"/>
      <w:gridCol w:w="2114"/>
    </w:tblGrid>
    <w:tr w:rsidR="00F83177" w:rsidRPr="00F83177" w14:paraId="7E1108F7" w14:textId="77777777" w:rsidTr="009D2F21">
      <w:trPr>
        <w:cantSplit/>
        <w:trHeight w:val="538"/>
      </w:trPr>
      <w:tc>
        <w:tcPr>
          <w:tcW w:w="2050" w:type="dxa"/>
          <w:vMerge w:val="restart"/>
          <w:vAlign w:val="center"/>
        </w:tcPr>
        <w:p w14:paraId="647F9FE4" w14:textId="77777777" w:rsidR="00F83177" w:rsidRPr="00F83177" w:rsidRDefault="00F83177" w:rsidP="00F83177">
          <w:pPr>
            <w:pStyle w:val="Encabezado"/>
            <w:jc w:val="center"/>
            <w:rPr>
              <w:rFonts w:cs="Arial"/>
              <w:noProof/>
              <w:sz w:val="20"/>
              <w:szCs w:val="20"/>
            </w:rPr>
          </w:pPr>
          <w:r w:rsidRPr="00F83177">
            <w:rPr>
              <w:rFonts w:cs="Arial"/>
              <w:noProof/>
              <w:sz w:val="20"/>
              <w:szCs w:val="20"/>
            </w:rPr>
            <w:drawing>
              <wp:inline distT="0" distB="0" distL="0" distR="0" wp14:anchorId="1B094AD3" wp14:editId="4E8840CA">
                <wp:extent cx="1057275" cy="676275"/>
                <wp:effectExtent l="0" t="0" r="9525" b="9525"/>
                <wp:docPr id="60" name="Imagen 60" descr="Descripción: Descripción: escudo_y_let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_y_let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676275"/>
                        </a:xfrm>
                        <a:prstGeom prst="rect">
                          <a:avLst/>
                        </a:prstGeom>
                        <a:noFill/>
                        <a:ln>
                          <a:noFill/>
                        </a:ln>
                      </pic:spPr>
                    </pic:pic>
                  </a:graphicData>
                </a:graphic>
              </wp:inline>
            </w:drawing>
          </w:r>
        </w:p>
      </w:tc>
      <w:tc>
        <w:tcPr>
          <w:tcW w:w="4837" w:type="dxa"/>
          <w:vMerge w:val="restart"/>
          <w:tcBorders>
            <w:bottom w:val="single" w:sz="6" w:space="0" w:color="auto"/>
          </w:tcBorders>
          <w:vAlign w:val="center"/>
        </w:tcPr>
        <w:p w14:paraId="0F25CEA4" w14:textId="77777777" w:rsidR="00F83177" w:rsidRPr="00F83177" w:rsidRDefault="00F83177" w:rsidP="00F83177">
          <w:pPr>
            <w:pStyle w:val="Encabezado"/>
            <w:jc w:val="center"/>
            <w:rPr>
              <w:rFonts w:cs="Arial"/>
              <w:b/>
              <w:noProof/>
              <w:sz w:val="20"/>
              <w:szCs w:val="20"/>
            </w:rPr>
          </w:pPr>
          <w:r w:rsidRPr="00F83177">
            <w:rPr>
              <w:rFonts w:cs="Arial"/>
              <w:b/>
              <w:noProof/>
              <w:sz w:val="20"/>
              <w:szCs w:val="20"/>
            </w:rPr>
            <w:t>SISTEMA INTEGRADO DE GESTIÓN</w:t>
          </w:r>
        </w:p>
      </w:tc>
      <w:tc>
        <w:tcPr>
          <w:tcW w:w="2114" w:type="dxa"/>
          <w:tcBorders>
            <w:bottom w:val="single" w:sz="6" w:space="0" w:color="auto"/>
          </w:tcBorders>
          <w:vAlign w:val="center"/>
        </w:tcPr>
        <w:p w14:paraId="387510C4" w14:textId="77777777" w:rsidR="00F83177" w:rsidRPr="00F83177" w:rsidRDefault="00F83177" w:rsidP="00F83177">
          <w:pPr>
            <w:pStyle w:val="Encabezado"/>
            <w:jc w:val="center"/>
            <w:rPr>
              <w:rFonts w:cs="Arial"/>
              <w:b/>
              <w:bCs/>
              <w:sz w:val="14"/>
              <w:szCs w:val="18"/>
            </w:rPr>
          </w:pPr>
          <w:r w:rsidRPr="00F83177">
            <w:rPr>
              <w:rFonts w:cs="Arial"/>
              <w:b/>
              <w:sz w:val="14"/>
              <w:szCs w:val="18"/>
            </w:rPr>
            <w:t>Código: R-GJ-011</w:t>
          </w:r>
        </w:p>
      </w:tc>
    </w:tr>
    <w:tr w:rsidR="00F83177" w:rsidRPr="00F83177" w14:paraId="2F6EBF3F" w14:textId="77777777" w:rsidTr="009D2F21">
      <w:trPr>
        <w:cantSplit/>
        <w:trHeight w:val="376"/>
      </w:trPr>
      <w:tc>
        <w:tcPr>
          <w:tcW w:w="2050" w:type="dxa"/>
          <w:vMerge/>
          <w:vAlign w:val="bottom"/>
        </w:tcPr>
        <w:p w14:paraId="6E91DCCB" w14:textId="77777777" w:rsidR="00F83177" w:rsidRPr="00F83177" w:rsidRDefault="00F83177" w:rsidP="00F83177">
          <w:pPr>
            <w:pStyle w:val="Encabezado"/>
            <w:jc w:val="center"/>
            <w:rPr>
              <w:rFonts w:cs="Arial"/>
              <w:noProof/>
              <w:sz w:val="20"/>
              <w:szCs w:val="20"/>
            </w:rPr>
          </w:pPr>
        </w:p>
      </w:tc>
      <w:tc>
        <w:tcPr>
          <w:tcW w:w="4837" w:type="dxa"/>
          <w:vMerge/>
          <w:vAlign w:val="center"/>
        </w:tcPr>
        <w:p w14:paraId="6CD05BB1" w14:textId="77777777" w:rsidR="00F83177" w:rsidRPr="00F83177" w:rsidRDefault="00F83177" w:rsidP="00F83177">
          <w:pPr>
            <w:pStyle w:val="Encabezado"/>
            <w:jc w:val="center"/>
            <w:rPr>
              <w:rFonts w:cs="Arial"/>
              <w:b/>
              <w:noProof/>
              <w:sz w:val="20"/>
              <w:szCs w:val="20"/>
            </w:rPr>
          </w:pPr>
        </w:p>
      </w:tc>
      <w:tc>
        <w:tcPr>
          <w:tcW w:w="2114" w:type="dxa"/>
          <w:vAlign w:val="center"/>
        </w:tcPr>
        <w:p w14:paraId="105A9090" w14:textId="77777777" w:rsidR="00F83177" w:rsidRPr="00F83177" w:rsidRDefault="00F83177" w:rsidP="00F83177">
          <w:pPr>
            <w:pStyle w:val="Encabezado"/>
            <w:jc w:val="center"/>
            <w:rPr>
              <w:rFonts w:cs="Arial"/>
              <w:b/>
              <w:bCs/>
              <w:sz w:val="16"/>
              <w:szCs w:val="20"/>
            </w:rPr>
          </w:pPr>
          <w:r w:rsidRPr="00F83177">
            <w:rPr>
              <w:rFonts w:cs="Arial"/>
              <w:b/>
              <w:sz w:val="16"/>
              <w:szCs w:val="20"/>
            </w:rPr>
            <w:t>Fecha Aprobación:</w:t>
          </w:r>
        </w:p>
        <w:p w14:paraId="7D689024" w14:textId="77777777" w:rsidR="00F83177" w:rsidRPr="00F83177" w:rsidRDefault="00F83177" w:rsidP="00F83177">
          <w:pPr>
            <w:pStyle w:val="Encabezado"/>
            <w:jc w:val="center"/>
            <w:rPr>
              <w:rFonts w:cs="Arial"/>
              <w:b/>
              <w:bCs/>
              <w:sz w:val="14"/>
              <w:szCs w:val="18"/>
            </w:rPr>
          </w:pPr>
          <w:r w:rsidRPr="00F83177">
            <w:rPr>
              <w:rFonts w:cs="Arial"/>
              <w:b/>
              <w:sz w:val="14"/>
              <w:szCs w:val="18"/>
            </w:rPr>
            <w:t>28-04-2011</w:t>
          </w:r>
        </w:p>
      </w:tc>
    </w:tr>
    <w:tr w:rsidR="00F83177" w:rsidRPr="00F83177" w14:paraId="63362A8E" w14:textId="77777777" w:rsidTr="009D2F21">
      <w:trPr>
        <w:cantSplit/>
        <w:trHeight w:val="317"/>
      </w:trPr>
      <w:tc>
        <w:tcPr>
          <w:tcW w:w="2050" w:type="dxa"/>
          <w:vMerge/>
          <w:vAlign w:val="center"/>
        </w:tcPr>
        <w:p w14:paraId="46ABABA1" w14:textId="77777777" w:rsidR="00F83177" w:rsidRPr="00F83177" w:rsidRDefault="00F83177" w:rsidP="00F83177">
          <w:pPr>
            <w:pStyle w:val="Encabezado"/>
            <w:jc w:val="center"/>
            <w:rPr>
              <w:rFonts w:cs="Arial"/>
              <w:noProof/>
              <w:sz w:val="20"/>
              <w:szCs w:val="20"/>
            </w:rPr>
          </w:pPr>
        </w:p>
      </w:tc>
      <w:tc>
        <w:tcPr>
          <w:tcW w:w="4837" w:type="dxa"/>
          <w:vMerge w:val="restart"/>
          <w:vAlign w:val="center"/>
        </w:tcPr>
        <w:p w14:paraId="42E40DDD" w14:textId="77777777" w:rsidR="00F83177" w:rsidRPr="00F83177" w:rsidRDefault="00F83177" w:rsidP="00F83177">
          <w:pPr>
            <w:pStyle w:val="Encabezado"/>
            <w:jc w:val="center"/>
            <w:rPr>
              <w:rFonts w:cs="Arial"/>
              <w:b/>
              <w:noProof/>
              <w:sz w:val="20"/>
              <w:szCs w:val="20"/>
            </w:rPr>
          </w:pPr>
          <w:r w:rsidRPr="00F83177">
            <w:rPr>
              <w:rFonts w:cs="Arial"/>
              <w:b/>
              <w:sz w:val="20"/>
              <w:szCs w:val="20"/>
            </w:rPr>
            <w:t>ESTUDIOS Y DOCUMENTOS PREVIOS PARA CONVOCATORIA PÚBLICA</w:t>
          </w:r>
        </w:p>
      </w:tc>
      <w:tc>
        <w:tcPr>
          <w:tcW w:w="2114" w:type="dxa"/>
          <w:vAlign w:val="center"/>
        </w:tcPr>
        <w:p w14:paraId="41F4B0F9" w14:textId="77777777" w:rsidR="00F83177" w:rsidRPr="00F83177" w:rsidRDefault="00F83177" w:rsidP="00F83177">
          <w:pPr>
            <w:pStyle w:val="Encabezado"/>
            <w:jc w:val="center"/>
            <w:rPr>
              <w:rFonts w:cs="Arial"/>
              <w:b/>
              <w:bCs/>
              <w:sz w:val="14"/>
              <w:szCs w:val="18"/>
            </w:rPr>
          </w:pPr>
          <w:r w:rsidRPr="00F83177">
            <w:rPr>
              <w:rFonts w:cs="Arial"/>
              <w:b/>
              <w:sz w:val="14"/>
              <w:szCs w:val="18"/>
            </w:rPr>
            <w:t>Versión: 0</w:t>
          </w:r>
        </w:p>
      </w:tc>
    </w:tr>
    <w:tr w:rsidR="00F83177" w:rsidRPr="00F83177" w14:paraId="11EAE9D2" w14:textId="77777777" w:rsidTr="009D2F21">
      <w:trPr>
        <w:cantSplit/>
        <w:trHeight w:val="280"/>
      </w:trPr>
      <w:tc>
        <w:tcPr>
          <w:tcW w:w="2050" w:type="dxa"/>
          <w:vAlign w:val="center"/>
        </w:tcPr>
        <w:p w14:paraId="300B6B38" w14:textId="77777777" w:rsidR="00F83177" w:rsidRPr="00F83177" w:rsidRDefault="00F83177" w:rsidP="00F83177">
          <w:pPr>
            <w:pStyle w:val="Encabezado"/>
            <w:jc w:val="center"/>
            <w:rPr>
              <w:rFonts w:cs="Arial"/>
              <w:b/>
              <w:sz w:val="20"/>
              <w:szCs w:val="20"/>
            </w:rPr>
          </w:pPr>
          <w:r w:rsidRPr="00F83177">
            <w:rPr>
              <w:rFonts w:cs="Arial"/>
              <w:b/>
              <w:sz w:val="20"/>
              <w:szCs w:val="20"/>
            </w:rPr>
            <w:t>NIVEL CENTRAL</w:t>
          </w:r>
        </w:p>
      </w:tc>
      <w:tc>
        <w:tcPr>
          <w:tcW w:w="4837" w:type="dxa"/>
          <w:vMerge/>
          <w:vAlign w:val="center"/>
        </w:tcPr>
        <w:p w14:paraId="411D10D2" w14:textId="77777777" w:rsidR="00F83177" w:rsidRPr="00F83177" w:rsidRDefault="00F83177" w:rsidP="00F83177">
          <w:pPr>
            <w:pStyle w:val="Encabezado"/>
            <w:jc w:val="center"/>
            <w:rPr>
              <w:rFonts w:cs="Arial"/>
              <w:b/>
              <w:sz w:val="20"/>
              <w:szCs w:val="20"/>
            </w:rPr>
          </w:pPr>
        </w:p>
      </w:tc>
      <w:tc>
        <w:tcPr>
          <w:tcW w:w="2114" w:type="dxa"/>
          <w:vAlign w:val="center"/>
        </w:tcPr>
        <w:p w14:paraId="131B1B17" w14:textId="77777777" w:rsidR="0009205C" w:rsidRDefault="000066AE">
          <w:pPr>
            <w:jc w:val="center"/>
          </w:pPr>
          <w:r>
            <w:t xml:space="preserve">Página </w:t>
          </w:r>
          <w:r>
            <w:fldChar w:fldCharType="begin"/>
          </w:r>
          <w:r>
            <w:instrText>PAGE</w:instrText>
          </w:r>
          <w:r>
            <w:fldChar w:fldCharType="separate"/>
          </w:r>
          <w:r w:rsidR="00CA1CBC">
            <w:rPr>
              <w:noProof/>
            </w:rPr>
            <w:t>1</w:t>
          </w:r>
          <w:r>
            <w:fldChar w:fldCharType="end"/>
          </w:r>
        </w:p>
      </w:tc>
    </w:tr>
  </w:tbl>
  <w:p w14:paraId="7C18D40F" w14:textId="77777777" w:rsidR="00590D42" w:rsidRDefault="00590D42" w:rsidP="00F831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85EB1"/>
    <w:multiLevelType w:val="hybridMultilevel"/>
    <w:tmpl w:val="DAC20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FC7840"/>
    <w:multiLevelType w:val="hybridMultilevel"/>
    <w:tmpl w:val="EBFE0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EE16B4"/>
    <w:multiLevelType w:val="hybridMultilevel"/>
    <w:tmpl w:val="4968A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D73F7B"/>
    <w:multiLevelType w:val="hybridMultilevel"/>
    <w:tmpl w:val="0DCCC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915D2D"/>
    <w:multiLevelType w:val="hybridMultilevel"/>
    <w:tmpl w:val="A2D2C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17C4D27"/>
    <w:multiLevelType w:val="hybridMultilevel"/>
    <w:tmpl w:val="5210A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351328B"/>
    <w:multiLevelType w:val="hybridMultilevel"/>
    <w:tmpl w:val="94B8C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390253C"/>
    <w:multiLevelType w:val="hybridMultilevel"/>
    <w:tmpl w:val="3446F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C644CBB"/>
    <w:multiLevelType w:val="hybridMultilevel"/>
    <w:tmpl w:val="C16C0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15"/>
  </w:num>
  <w:num w:numId="23">
    <w:abstractNumId w:val="13"/>
  </w:num>
  <w:num w:numId="24">
    <w:abstractNumId w:val="10"/>
  </w:num>
  <w:num w:numId="25">
    <w:abstractNumId w:val="11"/>
  </w:num>
  <w:num w:numId="26">
    <w:abstractNumId w:val="16"/>
  </w:num>
  <w:num w:numId="27">
    <w:abstractNumId w:val="9"/>
  </w:num>
  <w:num w:numId="28">
    <w:abstractNumId w:val="14"/>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17"/>
  </w:num>
  <w:num w:numId="41">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onimo">
    <w15:presenceInfo w15:providerId="None" w15:userId="Anonim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C88"/>
    <w:rsid w:val="000066AE"/>
    <w:rsid w:val="000145B5"/>
    <w:rsid w:val="00034616"/>
    <w:rsid w:val="00054ADB"/>
    <w:rsid w:val="0006063C"/>
    <w:rsid w:val="00082829"/>
    <w:rsid w:val="0009205C"/>
    <w:rsid w:val="000963A8"/>
    <w:rsid w:val="000B7149"/>
    <w:rsid w:val="000E6FF7"/>
    <w:rsid w:val="00143F2A"/>
    <w:rsid w:val="0015074B"/>
    <w:rsid w:val="001D0445"/>
    <w:rsid w:val="001E53D6"/>
    <w:rsid w:val="00217F6C"/>
    <w:rsid w:val="00263B71"/>
    <w:rsid w:val="0029639D"/>
    <w:rsid w:val="002B5598"/>
    <w:rsid w:val="002F0BF8"/>
    <w:rsid w:val="00326F90"/>
    <w:rsid w:val="00330700"/>
    <w:rsid w:val="00346BCD"/>
    <w:rsid w:val="0036612C"/>
    <w:rsid w:val="00373408"/>
    <w:rsid w:val="0037663B"/>
    <w:rsid w:val="0040291F"/>
    <w:rsid w:val="00425E92"/>
    <w:rsid w:val="00432650"/>
    <w:rsid w:val="00491B20"/>
    <w:rsid w:val="004B422C"/>
    <w:rsid w:val="004B608D"/>
    <w:rsid w:val="00504B7F"/>
    <w:rsid w:val="00532ED2"/>
    <w:rsid w:val="005411F5"/>
    <w:rsid w:val="00564CA0"/>
    <w:rsid w:val="00586DE2"/>
    <w:rsid w:val="00590D42"/>
    <w:rsid w:val="005A407C"/>
    <w:rsid w:val="005C614D"/>
    <w:rsid w:val="00645BF4"/>
    <w:rsid w:val="00687F57"/>
    <w:rsid w:val="006E2C6F"/>
    <w:rsid w:val="007B2D30"/>
    <w:rsid w:val="007D4B07"/>
    <w:rsid w:val="007E202A"/>
    <w:rsid w:val="007F77DF"/>
    <w:rsid w:val="00815D70"/>
    <w:rsid w:val="008B0AC0"/>
    <w:rsid w:val="008F09F2"/>
    <w:rsid w:val="008F7247"/>
    <w:rsid w:val="00982700"/>
    <w:rsid w:val="009D2F21"/>
    <w:rsid w:val="009E562A"/>
    <w:rsid w:val="00A43A49"/>
    <w:rsid w:val="00A6581E"/>
    <w:rsid w:val="00AA1D8D"/>
    <w:rsid w:val="00AA4DB6"/>
    <w:rsid w:val="00AC0B2D"/>
    <w:rsid w:val="00B47730"/>
    <w:rsid w:val="00B51FF1"/>
    <w:rsid w:val="00B67531"/>
    <w:rsid w:val="00B75A2D"/>
    <w:rsid w:val="00C000B8"/>
    <w:rsid w:val="00C07231"/>
    <w:rsid w:val="00C54F38"/>
    <w:rsid w:val="00CA1CBC"/>
    <w:rsid w:val="00CB0664"/>
    <w:rsid w:val="00CD0FDD"/>
    <w:rsid w:val="00D0346B"/>
    <w:rsid w:val="00D1071A"/>
    <w:rsid w:val="00D96E28"/>
    <w:rsid w:val="00DB004A"/>
    <w:rsid w:val="00DD046F"/>
    <w:rsid w:val="00DF172C"/>
    <w:rsid w:val="00E2050B"/>
    <w:rsid w:val="00E3560F"/>
    <w:rsid w:val="00E41E80"/>
    <w:rsid w:val="00E4328F"/>
    <w:rsid w:val="00EA0856"/>
    <w:rsid w:val="00ED1027"/>
    <w:rsid w:val="00F042A1"/>
    <w:rsid w:val="00F83177"/>
    <w:rsid w:val="00FC693F"/>
    <w:rsid w:val="00FF4F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5CBF4E"/>
  <w14:defaultImageDpi w14:val="300"/>
  <w15:docId w15:val="{B7C0CA0E-4BCE-4B5B-9F2E-72250D76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CBC"/>
    <w:pPr>
      <w:spacing w:after="80" w:line="240" w:lineRule="auto"/>
      <w:jc w:val="both"/>
    </w:pPr>
    <w:rPr>
      <w:rFonts w:ascii="Arial" w:hAnsi="Arial"/>
      <w:sz w:val="21"/>
      <w:lang w:val="es-CO"/>
    </w:rPr>
  </w:style>
  <w:style w:type="paragraph" w:styleId="Ttulo1">
    <w:name w:val="heading 1"/>
    <w:basedOn w:val="Normal"/>
    <w:next w:val="Normal"/>
    <w:link w:val="Ttulo1Car"/>
    <w:uiPriority w:val="9"/>
    <w:qFormat/>
    <w:rsid w:val="00CA1CBC"/>
    <w:pPr>
      <w:keepNext/>
      <w:keepLines/>
      <w:spacing w:before="140" w:after="60"/>
      <w:outlineLvl w:val="0"/>
    </w:pPr>
    <w:rPr>
      <w:rFonts w:eastAsiaTheme="majorEastAsia" w:cstheme="majorBidi"/>
      <w:b/>
      <w:bCs/>
      <w:color w:val="000000" w:themeColor="text1"/>
      <w:sz w:val="24"/>
      <w:szCs w:val="28"/>
    </w:rPr>
  </w:style>
  <w:style w:type="paragraph" w:styleId="Ttulo2">
    <w:name w:val="heading 2"/>
    <w:basedOn w:val="Normal"/>
    <w:next w:val="Normal"/>
    <w:link w:val="Ttulo2Car"/>
    <w:uiPriority w:val="9"/>
    <w:unhideWhenUsed/>
    <w:qFormat/>
    <w:rsid w:val="009D2F21"/>
    <w:pPr>
      <w:keepNext/>
      <w:keepLines/>
      <w:spacing w:before="140" w:after="60"/>
      <w:outlineLvl w:val="1"/>
    </w:pPr>
    <w:rPr>
      <w:rFonts w:eastAsiaTheme="majorEastAsia" w:cstheme="majorBidi"/>
      <w:b/>
      <w:bCs/>
      <w:color w:val="243238"/>
      <w:sz w:val="22"/>
      <w:szCs w:val="26"/>
    </w:rPr>
  </w:style>
  <w:style w:type="paragraph" w:styleId="Ttulo3">
    <w:name w:val="heading 3"/>
    <w:basedOn w:val="Normal"/>
    <w:next w:val="Normal"/>
    <w:link w:val="Ttulo3Car"/>
    <w:uiPriority w:val="9"/>
    <w:unhideWhenUsed/>
    <w:qFormat/>
    <w:rsid w:val="007B2D30"/>
    <w:pPr>
      <w:keepNext/>
      <w:keepLines/>
      <w:spacing w:before="140" w:after="60"/>
      <w:outlineLvl w:val="2"/>
    </w:pPr>
    <w:rPr>
      <w:rFonts w:eastAsiaTheme="majorEastAsia" w:cstheme="majorBidi"/>
      <w:b/>
      <w:bCs/>
      <w:color w:val="943634" w:themeColor="accent2" w:themeShade="BF"/>
      <w:sz w:val="22"/>
    </w:rPr>
  </w:style>
  <w:style w:type="paragraph" w:styleId="Ttulo4">
    <w:name w:val="heading 4"/>
    <w:basedOn w:val="Normal"/>
    <w:next w:val="Normal"/>
    <w:link w:val="Ttulo4Car"/>
    <w:uiPriority w:val="9"/>
    <w:semiHidden/>
    <w:unhideWhenUsed/>
    <w:qFormat/>
    <w:rsid w:val="00C07231"/>
    <w:pPr>
      <w:keepNext/>
      <w:keepLines/>
      <w:spacing w:before="200" w:after="0"/>
      <w:outlineLvl w:val="3"/>
    </w:pPr>
    <w:rPr>
      <w:rFonts w:eastAsiaTheme="majorEastAsia" w:cstheme="majorBidi"/>
      <w:b/>
      <w:bCs/>
      <w:i/>
      <w:iCs/>
      <w:color w:val="76923C" w:themeColor="accent3" w:themeShade="BF"/>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rsid w:val="00E618BF"/>
    <w:pPr>
      <w:tabs>
        <w:tab w:val="center" w:pos="4680"/>
        <w:tab w:val="right" w:pos="9360"/>
      </w:tabs>
      <w:spacing w:after="0"/>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CA1CBC"/>
    <w:rPr>
      <w:rFonts w:ascii="Arial" w:eastAsiaTheme="majorEastAsia" w:hAnsi="Arial" w:cstheme="majorBidi"/>
      <w:b/>
      <w:bCs/>
      <w:color w:val="000000" w:themeColor="text1"/>
      <w:sz w:val="24"/>
      <w:szCs w:val="28"/>
      <w:lang w:val="es-CO"/>
    </w:rPr>
  </w:style>
  <w:style w:type="character" w:customStyle="1" w:styleId="Ttulo2Car">
    <w:name w:val="Título 2 Car"/>
    <w:basedOn w:val="Fuentedeprrafopredeter"/>
    <w:link w:val="Ttulo2"/>
    <w:uiPriority w:val="9"/>
    <w:rsid w:val="009D2F21"/>
    <w:rPr>
      <w:rFonts w:ascii="Arial" w:eastAsiaTheme="majorEastAsia" w:hAnsi="Arial" w:cstheme="majorBidi"/>
      <w:b/>
      <w:bCs/>
      <w:color w:val="243238"/>
      <w:szCs w:val="26"/>
    </w:rPr>
  </w:style>
  <w:style w:type="character" w:customStyle="1" w:styleId="Ttulo3Car">
    <w:name w:val="Título 3 Car"/>
    <w:basedOn w:val="Fuentedeprrafopredeter"/>
    <w:link w:val="Ttulo3"/>
    <w:uiPriority w:val="9"/>
    <w:rsid w:val="007B2D30"/>
    <w:rPr>
      <w:rFonts w:ascii="Arial" w:eastAsiaTheme="majorEastAsia" w:hAnsi="Arial" w:cstheme="majorBidi"/>
      <w:b/>
      <w:bCs/>
      <w:color w:val="943634" w:themeColor="accent2" w:themeShade="BF"/>
      <w:lang w:val="es-CO"/>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C07231"/>
    <w:rPr>
      <w:rFonts w:ascii="Arial" w:eastAsiaTheme="majorEastAsia" w:hAnsi="Arial" w:cstheme="majorBidi"/>
      <w:b/>
      <w:bCs/>
      <w:i/>
      <w:iCs/>
      <w:color w:val="76923C" w:themeColor="accent3" w:themeShade="BF"/>
      <w:sz w:val="21"/>
      <w:lang w:val="es-CO"/>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unhideWhenUsed/>
    <w:qFormat/>
    <w:rsid w:val="00FC693F"/>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Refdecomentario">
    <w:name w:val="annotation reference"/>
    <w:basedOn w:val="Fuentedeprrafopredeter"/>
    <w:uiPriority w:val="99"/>
    <w:semiHidden/>
    <w:unhideWhenUsed/>
    <w:rsid w:val="00F042A1"/>
    <w:rPr>
      <w:sz w:val="16"/>
      <w:szCs w:val="16"/>
    </w:rPr>
  </w:style>
  <w:style w:type="paragraph" w:styleId="Textocomentario">
    <w:name w:val="annotation text"/>
    <w:basedOn w:val="Normal"/>
    <w:link w:val="TextocomentarioCar"/>
    <w:uiPriority w:val="99"/>
    <w:semiHidden/>
    <w:unhideWhenUsed/>
    <w:rsid w:val="00F042A1"/>
    <w:rPr>
      <w:sz w:val="20"/>
      <w:szCs w:val="20"/>
    </w:rPr>
  </w:style>
  <w:style w:type="character" w:customStyle="1" w:styleId="TextocomentarioCar">
    <w:name w:val="Texto comentario Car"/>
    <w:basedOn w:val="Fuentedeprrafopredeter"/>
    <w:link w:val="Textocomentario"/>
    <w:uiPriority w:val="99"/>
    <w:semiHidden/>
    <w:rsid w:val="00F042A1"/>
    <w:rPr>
      <w:rFonts w:ascii="Arial" w:hAnsi="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F042A1"/>
    <w:rPr>
      <w:b/>
      <w:bCs/>
    </w:rPr>
  </w:style>
  <w:style w:type="character" w:customStyle="1" w:styleId="AsuntodelcomentarioCar">
    <w:name w:val="Asunto del comentario Car"/>
    <w:basedOn w:val="TextocomentarioCar"/>
    <w:link w:val="Asuntodelcomentario"/>
    <w:uiPriority w:val="99"/>
    <w:semiHidden/>
    <w:rsid w:val="00F042A1"/>
    <w:rPr>
      <w:rFonts w:ascii="Arial" w:hAnsi="Arial"/>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050886">
      <w:bodyDiv w:val="1"/>
      <w:marLeft w:val="0"/>
      <w:marRight w:val="0"/>
      <w:marTop w:val="0"/>
      <w:marBottom w:val="0"/>
      <w:divBdr>
        <w:top w:val="none" w:sz="0" w:space="0" w:color="auto"/>
        <w:left w:val="none" w:sz="0" w:space="0" w:color="auto"/>
        <w:bottom w:val="none" w:sz="0" w:space="0" w:color="auto"/>
        <w:right w:val="none" w:sz="0" w:space="0" w:color="auto"/>
      </w:divBdr>
    </w:div>
    <w:div w:id="1968504864">
      <w:bodyDiv w:val="1"/>
      <w:marLeft w:val="0"/>
      <w:marRight w:val="0"/>
      <w:marTop w:val="0"/>
      <w:marBottom w:val="0"/>
      <w:divBdr>
        <w:top w:val="none" w:sz="0" w:space="0" w:color="auto"/>
        <w:left w:val="none" w:sz="0" w:space="0" w:color="auto"/>
        <w:bottom w:val="none" w:sz="0" w:space="0" w:color="auto"/>
        <w:right w:val="none" w:sz="0" w:space="0" w:color="auto"/>
      </w:divBdr>
    </w:div>
    <w:div w:id="2028824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4745</Words>
  <Characters>26100</Characters>
  <Application>Microsoft Office Word</Application>
  <DocSecurity>0</DocSecurity>
  <Lines>217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Apéndice A – Especificaciones Técnicas de Señalización Vial – Duitama 2026</vt:lpstr>
      <vt:lpstr/>
    </vt:vector>
  </TitlesOfParts>
  <Manager/>
  <Company/>
  <LinksUpToDate>false</LinksUpToDate>
  <CharactersWithSpaces>30784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Apéndice A – Especificaciones Técnicas de Señalización Vial – Duitama 2026</dc:title>
  <dc:subject/>
  <dc:creator>Secretaría de Tránsito y Transporte de Duitama</dc:creator>
  <cp:keywords/>
  <dc:description>generated by python-docx</dc:description>
  <cp:lastModifiedBy>Anonimo</cp:lastModifiedBy>
  <cp:revision>40</cp:revision>
  <dcterms:created xsi:type="dcterms:W3CDTF">2013-12-23T23:15:00Z</dcterms:created>
  <dcterms:modified xsi:type="dcterms:W3CDTF">2026-10-07T19:04:00Z</dcterms:modified>
  <cp:category/>
</cp:coreProperties>
</file>