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014E3" w14:textId="5D959B2C" w:rsidR="00231119" w:rsidRDefault="00473656" w:rsidP="00473656">
      <w:pPr>
        <w:jc w:val="center"/>
        <w:rPr>
          <w:rFonts w:ascii="Arial Narrow" w:hAnsi="Arial Narrow" w:cs="Arial"/>
          <w:b/>
          <w:bCs/>
        </w:rPr>
      </w:pPr>
      <w:r w:rsidRPr="00473656">
        <w:rPr>
          <w:rFonts w:ascii="Arial Narrow" w:hAnsi="Arial Narrow" w:cs="Arial"/>
          <w:b/>
          <w:bCs/>
        </w:rPr>
        <w:t xml:space="preserve">ANEXO No. </w:t>
      </w:r>
      <w:r w:rsidR="00ED56F8">
        <w:rPr>
          <w:rFonts w:ascii="Arial Narrow" w:hAnsi="Arial Narrow" w:cs="Arial"/>
          <w:b/>
          <w:bCs/>
        </w:rPr>
        <w:t>5</w:t>
      </w:r>
      <w:r w:rsidRPr="00473656">
        <w:rPr>
          <w:rFonts w:ascii="Arial Narrow" w:hAnsi="Arial Narrow" w:cs="Arial"/>
          <w:b/>
          <w:bCs/>
        </w:rPr>
        <w:t xml:space="preserve"> EXISTENCIA DE ACUERDOS COMERCIALES</w:t>
      </w:r>
    </w:p>
    <w:p w14:paraId="3C65F38B" w14:textId="77777777" w:rsidR="00473656" w:rsidRDefault="00473656" w:rsidP="00E02668">
      <w:pPr>
        <w:spacing w:after="0" w:line="240" w:lineRule="auto"/>
        <w:rPr>
          <w:rFonts w:ascii="Arial Narrow" w:hAnsi="Arial Narrow" w:cs="Arial"/>
          <w:b/>
          <w:bCs/>
        </w:rPr>
      </w:pPr>
    </w:p>
    <w:p w14:paraId="48E3B58F" w14:textId="6D75320C" w:rsidR="004B6BC1" w:rsidRDefault="00473656" w:rsidP="004B6BC1">
      <w:pPr>
        <w:ind w:right="139"/>
        <w:jc w:val="both"/>
        <w:rPr>
          <w:rFonts w:ascii="Arial Narrow" w:eastAsia="Arial Narrow" w:hAnsi="Arial Narrow" w:cs="Arial Narrow"/>
          <w:color w:val="000000"/>
        </w:rPr>
      </w:pPr>
      <w:r>
        <w:rPr>
          <w:rFonts w:ascii="Arial Narrow" w:hAnsi="Arial Narrow" w:cs="Arial"/>
          <w:b/>
          <w:bCs/>
        </w:rPr>
        <w:t xml:space="preserve">OBJETO: </w:t>
      </w:r>
      <w:r w:rsidR="00E07FF4">
        <w:rPr>
          <w:rFonts w:ascii="Arial Narrow" w:eastAsia="Arial Narrow" w:hAnsi="Arial Narrow" w:cs="Arial Narrow"/>
          <w:color w:val="000000"/>
        </w:rPr>
        <w:t xml:space="preserve">Contratar con una o varias compañías de seguros legalmente autorizadas para funcionar en el país, las pólizas de </w:t>
      </w:r>
      <w:r w:rsidR="00E07FF4" w:rsidRPr="000F5124">
        <w:rPr>
          <w:rFonts w:ascii="Arial Narrow" w:eastAsia="Arial Narrow" w:hAnsi="Arial Narrow" w:cs="Arial Narrow"/>
          <w:color w:val="000000"/>
        </w:rPr>
        <w:t>aviación para drones o aeronaves piloteadas a distancia RPA’S</w:t>
      </w:r>
      <w:r w:rsidR="00E07FF4">
        <w:rPr>
          <w:rFonts w:ascii="Arial Narrow" w:eastAsia="Arial Narrow" w:hAnsi="Arial Narrow" w:cs="Arial Narrow"/>
          <w:color w:val="000000"/>
        </w:rPr>
        <w:t xml:space="preserve">, </w:t>
      </w:r>
      <w:r w:rsidR="00E07FF4" w:rsidRPr="00434128">
        <w:rPr>
          <w:rFonts w:ascii="Arial Narrow" w:eastAsia="Arial Narrow" w:hAnsi="Arial Narrow" w:cs="Arial Narrow"/>
        </w:rPr>
        <w:t xml:space="preserve">Automóviles, </w:t>
      </w:r>
      <w:r w:rsidR="00E07FF4" w:rsidRPr="00C12823">
        <w:rPr>
          <w:rFonts w:ascii="Arial Narrow" w:eastAsia="Arial Narrow" w:hAnsi="Arial Narrow" w:cs="Arial Narrow"/>
          <w:color w:val="000000"/>
        </w:rPr>
        <w:t>S</w:t>
      </w:r>
      <w:r w:rsidR="00E07FF4" w:rsidRPr="00BB3301">
        <w:rPr>
          <w:rFonts w:ascii="Arial Narrow" w:eastAsia="Arial Narrow" w:hAnsi="Arial Narrow" w:cs="Arial Narrow"/>
          <w:color w:val="000000"/>
        </w:rPr>
        <w:t>eguro de daños corporales causados a las personas en accidentes de tránsito – SOAT</w:t>
      </w:r>
      <w:r w:rsidR="00E07FF4" w:rsidRPr="00434128">
        <w:rPr>
          <w:rFonts w:ascii="Arial Narrow" w:eastAsia="Arial Narrow" w:hAnsi="Arial Narrow" w:cs="Arial Narrow"/>
        </w:rPr>
        <w:t xml:space="preserve"> y Responsabilidad Civil Servidores Públicos</w:t>
      </w:r>
      <w:r w:rsidR="00E07FF4">
        <w:rPr>
          <w:rFonts w:ascii="Arial Narrow" w:eastAsia="Arial Narrow" w:hAnsi="Arial Narrow" w:cs="Arial Narrow"/>
          <w:color w:val="000000"/>
        </w:rPr>
        <w:t xml:space="preserve"> requeridos para la adecuada protección de los bienes e Intereses </w:t>
      </w:r>
      <w:r w:rsidR="00E07FF4" w:rsidRPr="00D21346">
        <w:rPr>
          <w:rFonts w:ascii="Arial Narrow" w:eastAsia="Arial Narrow" w:hAnsi="Arial Narrow" w:cs="Arial Narrow"/>
          <w:color w:val="000000"/>
        </w:rPr>
        <w:t>patrimoniales</w:t>
      </w:r>
      <w:bookmarkStart w:id="0" w:name="_GoBack"/>
      <w:bookmarkEnd w:id="0"/>
      <w:r w:rsidR="00E07FF4">
        <w:rPr>
          <w:rFonts w:ascii="Arial Narrow" w:eastAsia="Arial Narrow" w:hAnsi="Arial Narrow" w:cs="Arial Narrow"/>
          <w:color w:val="000000"/>
        </w:rPr>
        <w:t xml:space="preserve"> del SERVICIO GEOLÓGICO COLOMBIANO, así como de aquellos por los que sea o fuere legalmente responsable o le corresponda Asegurar en virtud de disposición legal o contractual y cualquier otra póliza de seguros que requiera la entidad en el desarrollo de su actividad</w:t>
      </w:r>
      <w:r w:rsidR="00ED56F8">
        <w:rPr>
          <w:rFonts w:ascii="Arial Narrow" w:eastAsia="Arial Narrow" w:hAnsi="Arial Narrow" w:cs="Arial Narrow"/>
          <w:color w:val="000000"/>
        </w:rPr>
        <w:t>.</w:t>
      </w:r>
    </w:p>
    <w:p w14:paraId="64374BD1" w14:textId="50B922D0" w:rsidR="00ED56F8" w:rsidRPr="00AA5FA5" w:rsidRDefault="00ED56F8" w:rsidP="004B6BC1">
      <w:pPr>
        <w:ind w:right="139"/>
        <w:jc w:val="both"/>
        <w:rPr>
          <w:rFonts w:ascii="Arial Narrow" w:eastAsia="Arial Narrow" w:hAnsi="Arial Narrow" w:cs="Arial Narrow"/>
          <w:bCs/>
        </w:rPr>
      </w:pPr>
      <w:r>
        <w:rPr>
          <w:rFonts w:ascii="Arial Narrow" w:eastAsia="Arial Narrow" w:hAnsi="Arial Narrow" w:cs="Arial Narrow"/>
          <w:color w:val="000000"/>
        </w:rPr>
        <w:t>Las pólizas objeto de contratación son:</w:t>
      </w:r>
    </w:p>
    <w:tbl>
      <w:tblPr>
        <w:tblStyle w:val="Tabladelista3-nfasis3"/>
        <w:tblW w:w="6962" w:type="dxa"/>
        <w:jc w:val="center"/>
        <w:tblLayout w:type="fixed"/>
        <w:tblLook w:val="04A0" w:firstRow="1" w:lastRow="0" w:firstColumn="1" w:lastColumn="0" w:noHBand="0" w:noVBand="1"/>
      </w:tblPr>
      <w:tblGrid>
        <w:gridCol w:w="6962"/>
      </w:tblGrid>
      <w:tr w:rsidR="00FE0AA2" w:rsidRPr="000F5124" w14:paraId="298041B1" w14:textId="77777777" w:rsidTr="00F6075C">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100" w:firstRow="0" w:lastRow="0" w:firstColumn="1" w:lastColumn="0" w:oddVBand="0" w:evenVBand="0" w:oddHBand="0" w:evenHBand="0" w:firstRowFirstColumn="1" w:firstRowLastColumn="0" w:lastRowFirstColumn="0" w:lastRowLastColumn="0"/>
            <w:tcW w:w="6962" w:type="dxa"/>
          </w:tcPr>
          <w:p w14:paraId="0788E32F" w14:textId="77777777" w:rsidR="00FE0AA2" w:rsidRPr="000F5124" w:rsidRDefault="00FE0AA2" w:rsidP="00F6075C">
            <w:pPr>
              <w:widowControl/>
              <w:ind w:left="20"/>
              <w:jc w:val="center"/>
              <w:rPr>
                <w:rFonts w:ascii="Arial Narrow" w:eastAsia="Arial Narrow" w:hAnsi="Arial Narrow" w:cs="Arial Narrow"/>
                <w:color w:val="000000"/>
              </w:rPr>
            </w:pPr>
            <w:r w:rsidRPr="00B20952">
              <w:rPr>
                <w:rFonts w:ascii="Arial Narrow" w:eastAsia="Arial Narrow" w:hAnsi="Arial Narrow" w:cs="Arial Narrow"/>
              </w:rPr>
              <w:t>GRUPO UNO</w:t>
            </w:r>
          </w:p>
        </w:tc>
      </w:tr>
      <w:tr w:rsidR="00FE0AA2" w:rsidRPr="000F5124" w14:paraId="10C9B3DF" w14:textId="77777777" w:rsidTr="00F6075C">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962" w:type="dxa"/>
          </w:tcPr>
          <w:p w14:paraId="3864DEF2" w14:textId="77777777" w:rsidR="00FE0AA2" w:rsidRPr="000F5124" w:rsidRDefault="00FE0AA2" w:rsidP="00F6075C">
            <w:pPr>
              <w:widowControl/>
              <w:jc w:val="both"/>
              <w:rPr>
                <w:rFonts w:ascii="Arial Narrow" w:eastAsia="Arial Narrow" w:hAnsi="Arial Narrow" w:cs="Arial Narrow"/>
                <w:color w:val="000000"/>
              </w:rPr>
            </w:pPr>
            <w:r>
              <w:rPr>
                <w:rFonts w:ascii="Arial Narrow" w:eastAsia="Arial Narrow" w:hAnsi="Arial Narrow" w:cs="Arial Narrow"/>
                <w:b w:val="0"/>
                <w:bCs w:val="0"/>
                <w:color w:val="000000"/>
              </w:rPr>
              <w:t>Seguro de Responsabilidad Civil y Casco A</w:t>
            </w:r>
            <w:r w:rsidRPr="000F5124">
              <w:rPr>
                <w:rFonts w:ascii="Arial Narrow" w:eastAsia="Arial Narrow" w:hAnsi="Arial Narrow" w:cs="Arial Narrow"/>
                <w:b w:val="0"/>
                <w:bCs w:val="0"/>
                <w:color w:val="000000"/>
              </w:rPr>
              <w:t>viación para</w:t>
            </w:r>
            <w:r>
              <w:rPr>
                <w:rFonts w:ascii="Arial Narrow" w:eastAsia="Arial Narrow" w:hAnsi="Arial Narrow" w:cs="Arial Narrow"/>
                <w:b w:val="0"/>
                <w:bCs w:val="0"/>
                <w:color w:val="000000"/>
              </w:rPr>
              <w:t xml:space="preserve"> Sistemas de Aeronaves no Tripuladas (UAS) y/o Aeronaves Piloteadas a D</w:t>
            </w:r>
            <w:r w:rsidRPr="000F5124">
              <w:rPr>
                <w:rFonts w:ascii="Arial Narrow" w:eastAsia="Arial Narrow" w:hAnsi="Arial Narrow" w:cs="Arial Narrow"/>
                <w:b w:val="0"/>
                <w:bCs w:val="0"/>
                <w:color w:val="000000"/>
              </w:rPr>
              <w:t xml:space="preserve">istancia RPA’S </w:t>
            </w:r>
          </w:p>
        </w:tc>
      </w:tr>
    </w:tbl>
    <w:p w14:paraId="25063034" w14:textId="77777777" w:rsidR="00FE0AA2" w:rsidRDefault="00FE0AA2" w:rsidP="00FE0AA2">
      <w:pPr>
        <w:spacing w:after="0"/>
        <w:ind w:right="139"/>
        <w:jc w:val="both"/>
        <w:rPr>
          <w:rFonts w:ascii="Arial Narrow" w:eastAsia="Arial Narrow" w:hAnsi="Arial Narrow" w:cs="Arial Narrow"/>
          <w:color w:val="000000"/>
        </w:rPr>
      </w:pPr>
    </w:p>
    <w:tbl>
      <w:tblPr>
        <w:tblStyle w:val="Tabladelista3-nfasis3"/>
        <w:tblW w:w="6962" w:type="dxa"/>
        <w:jc w:val="center"/>
        <w:tblLayout w:type="fixed"/>
        <w:tblLook w:val="04A0" w:firstRow="1" w:lastRow="0" w:firstColumn="1" w:lastColumn="0" w:noHBand="0" w:noVBand="1"/>
      </w:tblPr>
      <w:tblGrid>
        <w:gridCol w:w="6962"/>
      </w:tblGrid>
      <w:tr w:rsidR="00FE0AA2" w:rsidRPr="000F5124" w14:paraId="73ED6B61" w14:textId="77777777" w:rsidTr="00F6075C">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100" w:firstRow="0" w:lastRow="0" w:firstColumn="1" w:lastColumn="0" w:oddVBand="0" w:evenVBand="0" w:oddHBand="0" w:evenHBand="0" w:firstRowFirstColumn="1" w:firstRowLastColumn="0" w:lastRowFirstColumn="0" w:lastRowLastColumn="0"/>
            <w:tcW w:w="6962" w:type="dxa"/>
          </w:tcPr>
          <w:p w14:paraId="79740B96" w14:textId="77777777" w:rsidR="00FE0AA2" w:rsidRPr="000F5124" w:rsidRDefault="00FE0AA2" w:rsidP="00F6075C">
            <w:pPr>
              <w:widowControl/>
              <w:ind w:left="20"/>
              <w:jc w:val="center"/>
              <w:rPr>
                <w:rFonts w:ascii="Arial Narrow" w:eastAsia="Arial Narrow" w:hAnsi="Arial Narrow" w:cs="Arial Narrow"/>
                <w:color w:val="000000"/>
              </w:rPr>
            </w:pPr>
            <w:r w:rsidRPr="00B20952">
              <w:rPr>
                <w:rFonts w:ascii="Arial Narrow" w:eastAsia="Arial Narrow" w:hAnsi="Arial Narrow" w:cs="Arial Narrow"/>
              </w:rPr>
              <w:t xml:space="preserve">GRUPO </w:t>
            </w:r>
            <w:r>
              <w:rPr>
                <w:rFonts w:ascii="Arial Narrow" w:eastAsia="Arial Narrow" w:hAnsi="Arial Narrow" w:cs="Arial Narrow"/>
              </w:rPr>
              <w:t>DOS</w:t>
            </w:r>
          </w:p>
        </w:tc>
      </w:tr>
      <w:tr w:rsidR="00FE0AA2" w:rsidRPr="000F5124" w14:paraId="2D668297" w14:textId="77777777" w:rsidTr="00F6075C">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962" w:type="dxa"/>
          </w:tcPr>
          <w:p w14:paraId="763D6C09" w14:textId="77777777" w:rsidR="00FE0AA2" w:rsidRPr="000F5124" w:rsidRDefault="00FE0AA2" w:rsidP="00F6075C">
            <w:pPr>
              <w:widowControl/>
              <w:rPr>
                <w:rFonts w:ascii="Arial Narrow" w:eastAsia="Arial Narrow" w:hAnsi="Arial Narrow" w:cs="Arial Narrow"/>
                <w:color w:val="000000"/>
              </w:rPr>
            </w:pPr>
            <w:r>
              <w:rPr>
                <w:rFonts w:ascii="Arial Narrow" w:eastAsia="Arial Narrow" w:hAnsi="Arial Narrow" w:cs="Arial Narrow"/>
                <w:b w:val="0"/>
                <w:bCs w:val="0"/>
                <w:color w:val="000000"/>
              </w:rPr>
              <w:t>Seguro de Automóviles</w:t>
            </w:r>
          </w:p>
        </w:tc>
      </w:tr>
    </w:tbl>
    <w:p w14:paraId="50ACB54B" w14:textId="77777777" w:rsidR="00FE0AA2" w:rsidRDefault="00FE0AA2" w:rsidP="00FE0AA2">
      <w:pPr>
        <w:spacing w:after="0"/>
        <w:ind w:right="139"/>
        <w:jc w:val="center"/>
        <w:rPr>
          <w:rFonts w:ascii="Arial Narrow" w:eastAsia="Arial Narrow" w:hAnsi="Arial Narrow" w:cs="Arial Narrow"/>
          <w:color w:val="000000"/>
        </w:rPr>
      </w:pPr>
    </w:p>
    <w:tbl>
      <w:tblPr>
        <w:tblStyle w:val="Tabladelista3-nfasis3"/>
        <w:tblW w:w="6962" w:type="dxa"/>
        <w:jc w:val="center"/>
        <w:tblLayout w:type="fixed"/>
        <w:tblLook w:val="04A0" w:firstRow="1" w:lastRow="0" w:firstColumn="1" w:lastColumn="0" w:noHBand="0" w:noVBand="1"/>
      </w:tblPr>
      <w:tblGrid>
        <w:gridCol w:w="6962"/>
      </w:tblGrid>
      <w:tr w:rsidR="00FE0AA2" w:rsidRPr="000F5124" w14:paraId="6BD725C1" w14:textId="77777777" w:rsidTr="00F6075C">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100" w:firstRow="0" w:lastRow="0" w:firstColumn="1" w:lastColumn="0" w:oddVBand="0" w:evenVBand="0" w:oddHBand="0" w:evenHBand="0" w:firstRowFirstColumn="1" w:firstRowLastColumn="0" w:lastRowFirstColumn="0" w:lastRowLastColumn="0"/>
            <w:tcW w:w="6962" w:type="dxa"/>
          </w:tcPr>
          <w:p w14:paraId="0CB3E14E" w14:textId="77777777" w:rsidR="00FE0AA2" w:rsidRPr="000F5124" w:rsidRDefault="00FE0AA2" w:rsidP="00F6075C">
            <w:pPr>
              <w:widowControl/>
              <w:ind w:left="20"/>
              <w:jc w:val="center"/>
              <w:rPr>
                <w:rFonts w:ascii="Arial Narrow" w:eastAsia="Arial Narrow" w:hAnsi="Arial Narrow" w:cs="Arial Narrow"/>
                <w:color w:val="000000"/>
              </w:rPr>
            </w:pPr>
            <w:r w:rsidRPr="00B20952">
              <w:rPr>
                <w:rFonts w:ascii="Arial Narrow" w:eastAsia="Arial Narrow" w:hAnsi="Arial Narrow" w:cs="Arial Narrow"/>
              </w:rPr>
              <w:t xml:space="preserve">GRUPO </w:t>
            </w:r>
            <w:r>
              <w:rPr>
                <w:rFonts w:ascii="Arial Narrow" w:eastAsia="Arial Narrow" w:hAnsi="Arial Narrow" w:cs="Arial Narrow"/>
              </w:rPr>
              <w:t>TRES</w:t>
            </w:r>
          </w:p>
        </w:tc>
      </w:tr>
      <w:tr w:rsidR="00FE0AA2" w:rsidRPr="000F5124" w14:paraId="4E4E2CF8" w14:textId="77777777" w:rsidTr="00F6075C">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962" w:type="dxa"/>
          </w:tcPr>
          <w:p w14:paraId="37D054B3" w14:textId="77777777" w:rsidR="00FE0AA2" w:rsidRPr="000F5124" w:rsidRDefault="00FE0AA2" w:rsidP="00F6075C">
            <w:pPr>
              <w:widowControl/>
              <w:rPr>
                <w:rFonts w:ascii="Arial Narrow" w:eastAsia="Arial Narrow" w:hAnsi="Arial Narrow" w:cs="Arial Narrow"/>
                <w:color w:val="000000"/>
              </w:rPr>
            </w:pPr>
            <w:r>
              <w:rPr>
                <w:rFonts w:ascii="Arial Narrow" w:eastAsia="Arial Narrow" w:hAnsi="Arial Narrow" w:cs="Arial Narrow"/>
                <w:b w:val="0"/>
                <w:bCs w:val="0"/>
                <w:color w:val="000000"/>
              </w:rPr>
              <w:t>Seguro de Responsabilidad Civil Servidores Públicos</w:t>
            </w:r>
          </w:p>
        </w:tc>
      </w:tr>
    </w:tbl>
    <w:p w14:paraId="28200D0C" w14:textId="77777777" w:rsidR="00FE0AA2" w:rsidRDefault="00FE0AA2" w:rsidP="00FE0AA2">
      <w:pPr>
        <w:spacing w:after="0"/>
        <w:ind w:right="139"/>
        <w:jc w:val="center"/>
        <w:rPr>
          <w:rFonts w:ascii="Arial Narrow" w:eastAsia="Arial Narrow" w:hAnsi="Arial Narrow" w:cs="Arial Narrow"/>
          <w:color w:val="000000"/>
        </w:rPr>
      </w:pPr>
    </w:p>
    <w:tbl>
      <w:tblPr>
        <w:tblStyle w:val="Tabladelista3-nfasis3"/>
        <w:tblW w:w="6962" w:type="dxa"/>
        <w:jc w:val="center"/>
        <w:tblLayout w:type="fixed"/>
        <w:tblLook w:val="04A0" w:firstRow="1" w:lastRow="0" w:firstColumn="1" w:lastColumn="0" w:noHBand="0" w:noVBand="1"/>
      </w:tblPr>
      <w:tblGrid>
        <w:gridCol w:w="6962"/>
      </w:tblGrid>
      <w:tr w:rsidR="00FE0AA2" w:rsidRPr="000F5124" w14:paraId="775B5564" w14:textId="77777777" w:rsidTr="00F6075C">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100" w:firstRow="0" w:lastRow="0" w:firstColumn="1" w:lastColumn="0" w:oddVBand="0" w:evenVBand="0" w:oddHBand="0" w:evenHBand="0" w:firstRowFirstColumn="1" w:firstRowLastColumn="0" w:lastRowFirstColumn="0" w:lastRowLastColumn="0"/>
            <w:tcW w:w="6962" w:type="dxa"/>
          </w:tcPr>
          <w:p w14:paraId="70A14EDD" w14:textId="77777777" w:rsidR="00FE0AA2" w:rsidRPr="000F5124" w:rsidRDefault="00FE0AA2" w:rsidP="00F6075C">
            <w:pPr>
              <w:widowControl/>
              <w:ind w:left="20"/>
              <w:jc w:val="center"/>
              <w:rPr>
                <w:rFonts w:ascii="Arial Narrow" w:eastAsia="Arial Narrow" w:hAnsi="Arial Narrow" w:cs="Arial Narrow"/>
                <w:color w:val="000000"/>
              </w:rPr>
            </w:pPr>
            <w:r w:rsidRPr="00B20952">
              <w:rPr>
                <w:rFonts w:ascii="Arial Narrow" w:eastAsia="Arial Narrow" w:hAnsi="Arial Narrow" w:cs="Arial Narrow"/>
              </w:rPr>
              <w:t xml:space="preserve">GRUPO </w:t>
            </w:r>
            <w:r>
              <w:rPr>
                <w:rFonts w:ascii="Arial Narrow" w:eastAsia="Arial Narrow" w:hAnsi="Arial Narrow" w:cs="Arial Narrow"/>
              </w:rPr>
              <w:t>CUATRO</w:t>
            </w:r>
          </w:p>
        </w:tc>
      </w:tr>
      <w:tr w:rsidR="00FE0AA2" w:rsidRPr="000F5124" w14:paraId="27C0A378" w14:textId="77777777" w:rsidTr="00F6075C">
        <w:trPr>
          <w:cnfStyle w:val="000000100000" w:firstRow="0" w:lastRow="0" w:firstColumn="0" w:lastColumn="0" w:oddVBand="0" w:evenVBand="0" w:oddHBand="1" w:evenHBand="0" w:firstRowFirstColumn="0" w:firstRowLastColumn="0" w:lastRowFirstColumn="0" w:lastRowLastColumn="0"/>
          <w:trHeight w:val="268"/>
          <w:jc w:val="center"/>
        </w:trPr>
        <w:tc>
          <w:tcPr>
            <w:cnfStyle w:val="001000000000" w:firstRow="0" w:lastRow="0" w:firstColumn="1" w:lastColumn="0" w:oddVBand="0" w:evenVBand="0" w:oddHBand="0" w:evenHBand="0" w:firstRowFirstColumn="0" w:firstRowLastColumn="0" w:lastRowFirstColumn="0" w:lastRowLastColumn="0"/>
            <w:tcW w:w="6962" w:type="dxa"/>
          </w:tcPr>
          <w:p w14:paraId="05E7C6C2" w14:textId="77777777" w:rsidR="00FE0AA2" w:rsidRPr="000F5124" w:rsidRDefault="00FE0AA2" w:rsidP="00F6075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b w:val="0"/>
                <w:bCs w:val="0"/>
                <w:color w:val="000000"/>
              </w:rPr>
              <w:t>S</w:t>
            </w:r>
            <w:r w:rsidRPr="00BB3301">
              <w:rPr>
                <w:rFonts w:ascii="Arial Narrow" w:eastAsia="Arial Narrow" w:hAnsi="Arial Narrow" w:cs="Arial Narrow"/>
                <w:b w:val="0"/>
                <w:bCs w:val="0"/>
                <w:color w:val="000000"/>
              </w:rPr>
              <w:t>eguro de daños corporales causados a las personas en accidentes de tránsito – SOAT</w:t>
            </w:r>
          </w:p>
        </w:tc>
      </w:tr>
    </w:tbl>
    <w:p w14:paraId="03E947B7" w14:textId="77777777" w:rsidR="0013345F" w:rsidRDefault="0013345F" w:rsidP="00473656">
      <w:pPr>
        <w:rPr>
          <w:rFonts w:ascii="Arial Narrow" w:hAnsi="Arial Narrow" w:cs="Arial"/>
          <w:b/>
          <w:bCs/>
        </w:rPr>
      </w:pPr>
    </w:p>
    <w:p w14:paraId="70A8B7ED" w14:textId="548F9F52" w:rsidR="00473656" w:rsidRDefault="0013345F" w:rsidP="00A11638">
      <w:pPr>
        <w:jc w:val="both"/>
        <w:rPr>
          <w:rFonts w:ascii="Arial Narrow" w:hAnsi="Arial Narrow" w:cs="Arial"/>
        </w:rPr>
      </w:pPr>
      <w:r>
        <w:rPr>
          <w:rFonts w:ascii="Arial Narrow" w:hAnsi="Arial Narrow" w:cs="Arial"/>
          <w:b/>
          <w:bCs/>
        </w:rPr>
        <w:t xml:space="preserve">ACUERDO INTERNACIONAL O TRATADO DE LIBRE COMERCIO: </w:t>
      </w:r>
      <w:r>
        <w:rPr>
          <w:rFonts w:ascii="Arial Narrow" w:hAnsi="Arial Narrow" w:cs="Arial"/>
        </w:rPr>
        <w:t>De conformidad con lo establecido en el numeral 8 del artículo 2.2.1.1.2.1.1 del Decreto 1082 de 2015 y el “Manual para el Ma</w:t>
      </w:r>
      <w:r w:rsidR="00A11638">
        <w:rPr>
          <w:rFonts w:ascii="Arial Narrow" w:hAnsi="Arial Narrow" w:cs="Arial"/>
        </w:rPr>
        <w:t>nual de los Acuerdos Comerciales en los Procesos de Contratación Versión M</w:t>
      </w:r>
      <w:r w:rsidR="00DB08BC">
        <w:rPr>
          <w:rFonts w:ascii="Arial Narrow" w:hAnsi="Arial Narrow" w:cs="Arial"/>
        </w:rPr>
        <w:t>-</w:t>
      </w:r>
      <w:r w:rsidR="00A11638">
        <w:rPr>
          <w:rFonts w:ascii="Arial Narrow" w:hAnsi="Arial Narrow" w:cs="Arial"/>
        </w:rPr>
        <w:t>MACPC-14”</w:t>
      </w:r>
      <w:r w:rsidR="00813595">
        <w:rPr>
          <w:rFonts w:ascii="Arial Narrow" w:hAnsi="Arial Narrow" w:cs="Arial"/>
        </w:rPr>
        <w:t xml:space="preserve"> expedido por Colombia Compra Eficiente, el SGC efectuó el análisis correspondiente al respectivo proceso de contratación aplicando las siguiente reglas en orden consecutivo:</w:t>
      </w:r>
    </w:p>
    <w:p w14:paraId="2BDCFCCF" w14:textId="77777777" w:rsidR="00860D80" w:rsidRDefault="00813595" w:rsidP="00A11638">
      <w:pPr>
        <w:jc w:val="both"/>
        <w:rPr>
          <w:rFonts w:ascii="Arial Narrow" w:hAnsi="Arial Narrow" w:cs="Arial"/>
        </w:rPr>
      </w:pPr>
      <w:r w:rsidRPr="00860D80">
        <w:rPr>
          <w:rFonts w:ascii="Arial Narrow" w:hAnsi="Arial Narrow" w:cs="Arial"/>
          <w:b/>
          <w:bCs/>
        </w:rPr>
        <w:t>Regla 1</w:t>
      </w:r>
      <w:r w:rsidRPr="00813595">
        <w:rPr>
          <w:rFonts w:ascii="Arial Narrow" w:hAnsi="Arial Narrow" w:cs="Arial"/>
        </w:rPr>
        <w:t xml:space="preserve">: La Entidad debe verificar que el tratado esté vigente. Si el Acuerdo Comercial no está en vigor, no le es aplicable al Proceso de Contratación. </w:t>
      </w:r>
    </w:p>
    <w:p w14:paraId="17ABF00C" w14:textId="77777777" w:rsidR="00860D80" w:rsidRDefault="00813595" w:rsidP="00A11638">
      <w:pPr>
        <w:jc w:val="both"/>
        <w:rPr>
          <w:rFonts w:ascii="Arial Narrow" w:hAnsi="Arial Narrow" w:cs="Arial"/>
        </w:rPr>
      </w:pPr>
      <w:r w:rsidRPr="00860D80">
        <w:rPr>
          <w:rFonts w:ascii="Arial Narrow" w:hAnsi="Arial Narrow" w:cs="Arial"/>
          <w:b/>
          <w:bCs/>
        </w:rPr>
        <w:t>Regla 2:</w:t>
      </w:r>
      <w:r w:rsidRPr="00813595">
        <w:rPr>
          <w:rFonts w:ascii="Arial Narrow" w:hAnsi="Arial Narrow" w:cs="Arial"/>
        </w:rPr>
        <w:t xml:space="preserve"> La Entidad debe verificar si está incluida en la Lista de Entidades Estatales dispuesta en el Acuerdo Comercial (ver Anexos 1, 2 y 3 según orden territorial). Si la Entidad lo está, el Proceso de Contratación, en principio, está cubierto por este y, en consecuencia, es necesario continuar con la siguiente regla. </w:t>
      </w:r>
    </w:p>
    <w:p w14:paraId="3E62CBDB" w14:textId="57DB6B30" w:rsidR="00813595" w:rsidRDefault="00813595" w:rsidP="00A11638">
      <w:pPr>
        <w:jc w:val="both"/>
        <w:rPr>
          <w:rFonts w:ascii="Arial Narrow" w:hAnsi="Arial Narrow" w:cs="Arial"/>
        </w:rPr>
      </w:pPr>
      <w:r w:rsidRPr="00813595">
        <w:rPr>
          <w:rFonts w:ascii="Arial Narrow" w:hAnsi="Arial Narrow" w:cs="Arial"/>
        </w:rPr>
        <w:t>En el evento en que la entidad no esté cubierta por el Acuerdo Comercial, en principio, el Proceso de Contratación no estará cobijado por el mismo y, por tanto, no es necesario continuar con análisis adicional alguno.</w:t>
      </w:r>
    </w:p>
    <w:p w14:paraId="233AB495" w14:textId="5324547D" w:rsidR="00813595" w:rsidRDefault="008C3E74" w:rsidP="00A11638">
      <w:pPr>
        <w:jc w:val="both"/>
        <w:rPr>
          <w:rFonts w:ascii="Arial Narrow" w:hAnsi="Arial Narrow" w:cs="Arial"/>
        </w:rPr>
      </w:pPr>
      <w:r w:rsidRPr="008C3E74">
        <w:rPr>
          <w:rFonts w:ascii="Arial Narrow" w:hAnsi="Arial Narrow" w:cs="Arial"/>
        </w:rPr>
        <w:t>En todo caso, debe tenerse en cuenta que algunos Acuerdos Comerciales incorporan obligaciones de Trato Nacional para entidades que en principio no están obligadas a aplicar todas las disposiciones del Acuerdo Comercial (ver sección sobre Trato Nacional).</w:t>
      </w:r>
    </w:p>
    <w:p w14:paraId="2CB9DE3A" w14:textId="77777777" w:rsidR="008C3E74" w:rsidRDefault="008C3E74" w:rsidP="00A11638">
      <w:pPr>
        <w:jc w:val="both"/>
        <w:rPr>
          <w:rFonts w:ascii="Arial Narrow" w:hAnsi="Arial Narrow" w:cs="Arial"/>
        </w:rPr>
      </w:pPr>
      <w:r w:rsidRPr="008C3E74">
        <w:rPr>
          <w:rFonts w:ascii="Arial Narrow" w:hAnsi="Arial Narrow" w:cs="Arial"/>
          <w:b/>
          <w:bCs/>
        </w:rPr>
        <w:t>Regla 3</w:t>
      </w:r>
      <w:r w:rsidRPr="008C3E74">
        <w:rPr>
          <w:rFonts w:ascii="Arial Narrow" w:hAnsi="Arial Narrow" w:cs="Arial"/>
        </w:rPr>
        <w:t xml:space="preserve">: Si la Entidad Estatal está incluida en el Acuerdo Comercial, esta debe verificar que el presupuesto oficial estimado del Proceso de Contratación sea igual o superior al umbral a partir del cual el Acuerdo Comercial es aplicable; en dicho caso, el Proceso de Contratación, en principio, estará cubierto por el Acuerdo Comercial y, en consecuencia, la Entidad deberá observarlo. </w:t>
      </w:r>
    </w:p>
    <w:p w14:paraId="2A06C5A4" w14:textId="4D8CC6F7" w:rsidR="008C3E74" w:rsidRDefault="008C3E74" w:rsidP="00A11638">
      <w:pPr>
        <w:jc w:val="both"/>
        <w:rPr>
          <w:rFonts w:ascii="Arial Narrow" w:hAnsi="Arial Narrow" w:cs="Arial"/>
        </w:rPr>
      </w:pPr>
      <w:r w:rsidRPr="008C3E74">
        <w:rPr>
          <w:rFonts w:ascii="Arial Narrow" w:hAnsi="Arial Narrow" w:cs="Arial"/>
          <w:b/>
          <w:bCs/>
        </w:rPr>
        <w:t>Regla 4:</w:t>
      </w:r>
      <w:r w:rsidRPr="008C3E74">
        <w:rPr>
          <w:rFonts w:ascii="Arial Narrow" w:hAnsi="Arial Narrow" w:cs="Arial"/>
        </w:rPr>
        <w:t xml:space="preserve"> Si la Entidad Estatal está incluida en el Acuerdo Comercial y el valor estimado del Proceso de Contratación es igual o superior al umbral a partir del cual el Acuerdo Comercial es aplicable, la Entidad Estatal debe determinar si hay excepciones que cobijen al Proceso de Contratación (Ver anexo 4)</w:t>
      </w:r>
    </w:p>
    <w:p w14:paraId="1D6B2B49" w14:textId="0A6BBB1E" w:rsidR="008C3E74" w:rsidRDefault="008C3E74" w:rsidP="00A11638">
      <w:pPr>
        <w:jc w:val="both"/>
        <w:rPr>
          <w:rFonts w:ascii="Arial Narrow" w:hAnsi="Arial Narrow" w:cs="Arial"/>
        </w:rPr>
      </w:pPr>
      <w:r w:rsidRPr="008C3E74">
        <w:rPr>
          <w:rFonts w:ascii="Arial Narrow" w:hAnsi="Arial Narrow" w:cs="Arial"/>
        </w:rPr>
        <w:t>Si hay excepciones aplicables al Proceso de Contratación, el Acuerdo Comercial no lo regirá. Si no hay excepciones, el Acuerdo Comercial cobijará al Proceso de Contratación.</w:t>
      </w:r>
    </w:p>
    <w:tbl>
      <w:tblPr>
        <w:tblW w:w="5000" w:type="pct"/>
        <w:tblCellMar>
          <w:left w:w="0" w:type="dxa"/>
          <w:right w:w="0" w:type="dxa"/>
        </w:tblCellMar>
        <w:tblLook w:val="04A0" w:firstRow="1" w:lastRow="0" w:firstColumn="1" w:lastColumn="0" w:noHBand="0" w:noVBand="1"/>
      </w:tblPr>
      <w:tblGrid>
        <w:gridCol w:w="1193"/>
        <w:gridCol w:w="1119"/>
        <w:gridCol w:w="1572"/>
        <w:gridCol w:w="1934"/>
        <w:gridCol w:w="1934"/>
        <w:gridCol w:w="1928"/>
      </w:tblGrid>
      <w:tr w:rsidR="00EC09A9" w:rsidRPr="002C75C7" w14:paraId="2F0BDAE7" w14:textId="77777777" w:rsidTr="009A4EA6">
        <w:trPr>
          <w:tblHeader/>
        </w:trPr>
        <w:tc>
          <w:tcPr>
            <w:tcW w:w="1194" w:type="pct"/>
            <w:gridSpan w:val="2"/>
            <w:tcBorders>
              <w:top w:val="single" w:sz="8" w:space="0" w:color="000000"/>
              <w:left w:val="single" w:sz="8" w:space="0" w:color="000000"/>
              <w:bottom w:val="single" w:sz="8" w:space="0" w:color="000000"/>
              <w:right w:val="single" w:sz="8" w:space="0" w:color="000000"/>
            </w:tcBorders>
            <w:shd w:val="clear" w:color="auto" w:fill="0F4761"/>
            <w:tcMar>
              <w:top w:w="0" w:type="dxa"/>
              <w:left w:w="108" w:type="dxa"/>
              <w:bottom w:w="0" w:type="dxa"/>
              <w:right w:w="108" w:type="dxa"/>
            </w:tcMar>
            <w:vAlign w:val="center"/>
            <w:hideMark/>
          </w:tcPr>
          <w:p w14:paraId="281188D4" w14:textId="77777777" w:rsidR="00EC09A9" w:rsidRPr="002C75C7" w:rsidRDefault="00EC09A9" w:rsidP="009A4EA6">
            <w:pPr>
              <w:spacing w:after="0"/>
              <w:ind w:right="51"/>
              <w:jc w:val="center"/>
              <w:rPr>
                <w:rFonts w:ascii="Arial Narrow" w:hAnsi="Arial Narrow" w:cs="Arial"/>
                <w:sz w:val="18"/>
                <w:szCs w:val="18"/>
              </w:rPr>
            </w:pPr>
            <w:bookmarkStart w:id="1" w:name="_Hlk177956493"/>
            <w:r w:rsidRPr="002C75C7">
              <w:rPr>
                <w:rFonts w:ascii="Arial Narrow" w:hAnsi="Arial Narrow" w:cs="Arial"/>
                <w:b/>
                <w:bCs/>
                <w:sz w:val="18"/>
                <w:szCs w:val="18"/>
              </w:rPr>
              <w:t>TRATADOS COMERCIALES</w:t>
            </w:r>
          </w:p>
        </w:tc>
        <w:tc>
          <w:tcPr>
            <w:tcW w:w="812" w:type="pct"/>
            <w:tcBorders>
              <w:top w:val="single" w:sz="8" w:space="0" w:color="000000"/>
              <w:left w:val="nil"/>
              <w:bottom w:val="single" w:sz="8" w:space="0" w:color="000000"/>
              <w:right w:val="single" w:sz="8" w:space="0" w:color="000000"/>
            </w:tcBorders>
            <w:shd w:val="clear" w:color="auto" w:fill="0F4761"/>
            <w:tcMar>
              <w:top w:w="0" w:type="dxa"/>
              <w:left w:w="108" w:type="dxa"/>
              <w:bottom w:w="0" w:type="dxa"/>
              <w:right w:w="108" w:type="dxa"/>
            </w:tcMar>
            <w:vAlign w:val="center"/>
            <w:hideMark/>
          </w:tcPr>
          <w:p w14:paraId="43BAED61" w14:textId="77777777" w:rsidR="00EC09A9" w:rsidRPr="002C75C7" w:rsidRDefault="00EC09A9" w:rsidP="009A4EA6">
            <w:pPr>
              <w:spacing w:after="0"/>
              <w:ind w:right="51"/>
              <w:jc w:val="center"/>
              <w:rPr>
                <w:rFonts w:ascii="Arial Narrow" w:hAnsi="Arial Narrow" w:cs="Arial"/>
                <w:sz w:val="18"/>
                <w:szCs w:val="18"/>
              </w:rPr>
            </w:pPr>
            <w:r w:rsidRPr="002C75C7">
              <w:rPr>
                <w:rFonts w:ascii="Arial Narrow" w:hAnsi="Arial Narrow" w:cs="Arial"/>
                <w:b/>
                <w:bCs/>
                <w:sz w:val="18"/>
                <w:szCs w:val="18"/>
              </w:rPr>
              <w:t>SE ENCUENTRA INCLUIDA EN LA COBERTURA DE CAPÍTULO DE COMPRAS PÚBLICAS</w:t>
            </w:r>
          </w:p>
        </w:tc>
        <w:tc>
          <w:tcPr>
            <w:tcW w:w="999" w:type="pct"/>
            <w:tcBorders>
              <w:top w:val="single" w:sz="8" w:space="0" w:color="000000"/>
              <w:left w:val="nil"/>
              <w:bottom w:val="single" w:sz="8" w:space="0" w:color="000000"/>
              <w:right w:val="single" w:sz="8" w:space="0" w:color="000000"/>
            </w:tcBorders>
            <w:shd w:val="clear" w:color="auto" w:fill="0F4761"/>
            <w:tcMar>
              <w:top w:w="0" w:type="dxa"/>
              <w:left w:w="108" w:type="dxa"/>
              <w:bottom w:w="0" w:type="dxa"/>
              <w:right w:w="108" w:type="dxa"/>
            </w:tcMar>
            <w:vAlign w:val="center"/>
            <w:hideMark/>
          </w:tcPr>
          <w:p w14:paraId="75317D33" w14:textId="77777777" w:rsidR="00EC09A9" w:rsidRPr="002C75C7" w:rsidRDefault="00EC09A9" w:rsidP="009A4EA6">
            <w:pPr>
              <w:spacing w:after="0"/>
              <w:ind w:right="51"/>
              <w:jc w:val="center"/>
              <w:rPr>
                <w:rFonts w:ascii="Arial Narrow" w:hAnsi="Arial Narrow" w:cs="Arial"/>
                <w:sz w:val="18"/>
                <w:szCs w:val="18"/>
              </w:rPr>
            </w:pPr>
            <w:r w:rsidRPr="002C75C7">
              <w:rPr>
                <w:rFonts w:ascii="Arial Narrow" w:hAnsi="Arial Narrow" w:cs="Arial"/>
                <w:b/>
                <w:bCs/>
                <w:sz w:val="18"/>
                <w:szCs w:val="18"/>
              </w:rPr>
              <w:t>PRESUPUESTO DEL PROCESO DE CONTRATACIÓN SUPERIOR AL VALOR DEL ACUERDO COMERCIAL*</w:t>
            </w:r>
          </w:p>
        </w:tc>
        <w:tc>
          <w:tcPr>
            <w:tcW w:w="999" w:type="pct"/>
            <w:tcBorders>
              <w:top w:val="single" w:sz="8" w:space="0" w:color="000000"/>
              <w:left w:val="nil"/>
              <w:bottom w:val="single" w:sz="8" w:space="0" w:color="000000"/>
              <w:right w:val="single" w:sz="8" w:space="0" w:color="000000"/>
            </w:tcBorders>
            <w:shd w:val="clear" w:color="auto" w:fill="0F4761"/>
            <w:tcMar>
              <w:top w:w="0" w:type="dxa"/>
              <w:left w:w="108" w:type="dxa"/>
              <w:bottom w:w="0" w:type="dxa"/>
              <w:right w:w="108" w:type="dxa"/>
            </w:tcMar>
            <w:vAlign w:val="center"/>
            <w:hideMark/>
          </w:tcPr>
          <w:p w14:paraId="069CFB00" w14:textId="77777777" w:rsidR="00EC09A9" w:rsidRPr="002C75C7" w:rsidRDefault="00EC09A9" w:rsidP="009A4EA6">
            <w:pPr>
              <w:spacing w:after="0"/>
              <w:ind w:right="51"/>
              <w:jc w:val="center"/>
              <w:rPr>
                <w:rFonts w:ascii="Arial Narrow" w:hAnsi="Arial Narrow" w:cs="Arial"/>
                <w:sz w:val="18"/>
                <w:szCs w:val="18"/>
              </w:rPr>
            </w:pPr>
            <w:r w:rsidRPr="002C75C7">
              <w:rPr>
                <w:rFonts w:ascii="Arial Narrow" w:hAnsi="Arial Narrow" w:cs="Arial"/>
                <w:b/>
                <w:bCs/>
                <w:sz w:val="18"/>
                <w:szCs w:val="18"/>
              </w:rPr>
              <w:t>EXCEPCIÓN APLICABLE AL PROCESO DE CONTRATACIÓN</w:t>
            </w:r>
          </w:p>
        </w:tc>
        <w:tc>
          <w:tcPr>
            <w:tcW w:w="996" w:type="pct"/>
            <w:tcBorders>
              <w:top w:val="single" w:sz="8" w:space="0" w:color="000000"/>
              <w:left w:val="nil"/>
              <w:bottom w:val="single" w:sz="8" w:space="0" w:color="000000"/>
              <w:right w:val="single" w:sz="8" w:space="0" w:color="000000"/>
            </w:tcBorders>
            <w:shd w:val="clear" w:color="auto" w:fill="0F4761"/>
            <w:tcMar>
              <w:top w:w="0" w:type="dxa"/>
              <w:left w:w="108" w:type="dxa"/>
              <w:bottom w:w="0" w:type="dxa"/>
              <w:right w:w="108" w:type="dxa"/>
            </w:tcMar>
            <w:vAlign w:val="center"/>
            <w:hideMark/>
          </w:tcPr>
          <w:p w14:paraId="4F55F103" w14:textId="77777777" w:rsidR="00EC09A9" w:rsidRPr="002C75C7" w:rsidRDefault="00EC09A9" w:rsidP="009A4EA6">
            <w:pPr>
              <w:spacing w:after="0"/>
              <w:ind w:right="51"/>
              <w:jc w:val="center"/>
              <w:rPr>
                <w:rFonts w:ascii="Arial Narrow" w:hAnsi="Arial Narrow" w:cs="Arial"/>
                <w:sz w:val="18"/>
                <w:szCs w:val="18"/>
              </w:rPr>
            </w:pPr>
            <w:r w:rsidRPr="002C75C7">
              <w:rPr>
                <w:rFonts w:ascii="Arial Narrow" w:hAnsi="Arial Narrow" w:cs="Arial"/>
                <w:b/>
                <w:bCs/>
                <w:sz w:val="18"/>
                <w:szCs w:val="18"/>
              </w:rPr>
              <w:t>PROCESO DE CONTRATACIÓN CUBIERTO POR EL ACUERDO COMERCIAL</w:t>
            </w:r>
          </w:p>
        </w:tc>
      </w:tr>
      <w:tr w:rsidR="00EC09A9" w:rsidRPr="002C75C7" w14:paraId="2CC3CA73" w14:textId="77777777" w:rsidTr="009A4EA6">
        <w:trPr>
          <w:tblHeader/>
        </w:trPr>
        <w:tc>
          <w:tcPr>
            <w:tcW w:w="616" w:type="pct"/>
            <w:vMerge w:val="restart"/>
            <w:tcBorders>
              <w:top w:val="nil"/>
              <w:left w:val="single" w:sz="8" w:space="0" w:color="000000"/>
              <w:bottom w:val="single" w:sz="8" w:space="0" w:color="000000"/>
              <w:right w:val="single" w:sz="8" w:space="0" w:color="auto"/>
            </w:tcBorders>
            <w:shd w:val="clear" w:color="auto" w:fill="C1E4F5"/>
            <w:tcMar>
              <w:top w:w="0" w:type="dxa"/>
              <w:left w:w="108" w:type="dxa"/>
              <w:bottom w:w="0" w:type="dxa"/>
              <w:right w:w="108" w:type="dxa"/>
            </w:tcMar>
            <w:hideMark/>
          </w:tcPr>
          <w:p w14:paraId="74D9AF73"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Alianza Pacífico </w:t>
            </w:r>
          </w:p>
        </w:tc>
        <w:tc>
          <w:tcPr>
            <w:tcW w:w="578" w:type="pct"/>
            <w:tcBorders>
              <w:top w:val="nil"/>
              <w:left w:val="nil"/>
              <w:bottom w:val="single" w:sz="8" w:space="0" w:color="auto"/>
              <w:right w:val="single" w:sz="8" w:space="0" w:color="000000"/>
            </w:tcBorders>
            <w:shd w:val="clear" w:color="auto" w:fill="C1E4F5"/>
            <w:hideMark/>
          </w:tcPr>
          <w:p w14:paraId="5E2CBF51"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Chile </w:t>
            </w:r>
          </w:p>
        </w:tc>
        <w:tc>
          <w:tcPr>
            <w:tcW w:w="812"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75B48008"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8A0AB8B"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9"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36E1B80E"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0C5ED2A5"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4446A805" w14:textId="77777777" w:rsidTr="009A4EA6">
        <w:trPr>
          <w:tblHeader/>
        </w:trPr>
        <w:tc>
          <w:tcPr>
            <w:tcW w:w="616" w:type="pct"/>
            <w:vMerge/>
            <w:tcBorders>
              <w:top w:val="nil"/>
              <w:left w:val="single" w:sz="8" w:space="0" w:color="000000"/>
              <w:bottom w:val="single" w:sz="8" w:space="0" w:color="000000"/>
              <w:right w:val="single" w:sz="8" w:space="0" w:color="auto"/>
            </w:tcBorders>
            <w:vAlign w:val="center"/>
            <w:hideMark/>
          </w:tcPr>
          <w:p w14:paraId="6E3A74B1" w14:textId="77777777" w:rsidR="00EC09A9" w:rsidRPr="002C75C7" w:rsidRDefault="00EC09A9" w:rsidP="009A4EA6">
            <w:pPr>
              <w:spacing w:after="0"/>
              <w:ind w:right="51"/>
              <w:jc w:val="both"/>
              <w:rPr>
                <w:rFonts w:ascii="Arial Narrow" w:hAnsi="Arial Narrow" w:cs="Arial"/>
                <w:sz w:val="18"/>
                <w:szCs w:val="18"/>
              </w:rPr>
            </w:pPr>
          </w:p>
        </w:tc>
        <w:tc>
          <w:tcPr>
            <w:tcW w:w="578" w:type="pct"/>
            <w:tcBorders>
              <w:top w:val="nil"/>
              <w:left w:val="nil"/>
              <w:bottom w:val="single" w:sz="8" w:space="0" w:color="auto"/>
              <w:right w:val="single" w:sz="8" w:space="0" w:color="000000"/>
            </w:tcBorders>
            <w:shd w:val="clear" w:color="auto" w:fill="C1E4F5"/>
            <w:hideMark/>
          </w:tcPr>
          <w:p w14:paraId="539B9F1D"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México </w:t>
            </w:r>
          </w:p>
        </w:tc>
        <w:tc>
          <w:tcPr>
            <w:tcW w:w="812"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1433FC45"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961A9A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9"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2B6233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4070D92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433DA36A" w14:textId="77777777" w:rsidTr="009A4EA6">
        <w:trPr>
          <w:tblHeader/>
        </w:trPr>
        <w:tc>
          <w:tcPr>
            <w:tcW w:w="616" w:type="pct"/>
            <w:vMerge/>
            <w:tcBorders>
              <w:top w:val="nil"/>
              <w:left w:val="single" w:sz="8" w:space="0" w:color="000000"/>
              <w:bottom w:val="single" w:sz="8" w:space="0" w:color="000000"/>
              <w:right w:val="single" w:sz="8" w:space="0" w:color="auto"/>
            </w:tcBorders>
            <w:vAlign w:val="center"/>
            <w:hideMark/>
          </w:tcPr>
          <w:p w14:paraId="65A8AA45" w14:textId="77777777" w:rsidR="00EC09A9" w:rsidRPr="002C75C7" w:rsidRDefault="00EC09A9" w:rsidP="009A4EA6">
            <w:pPr>
              <w:spacing w:after="0"/>
              <w:ind w:right="51"/>
              <w:jc w:val="both"/>
              <w:rPr>
                <w:rFonts w:ascii="Arial Narrow" w:hAnsi="Arial Narrow" w:cs="Arial"/>
                <w:sz w:val="18"/>
                <w:szCs w:val="18"/>
              </w:rPr>
            </w:pPr>
          </w:p>
        </w:tc>
        <w:tc>
          <w:tcPr>
            <w:tcW w:w="578" w:type="pct"/>
            <w:tcBorders>
              <w:top w:val="nil"/>
              <w:left w:val="nil"/>
              <w:bottom w:val="single" w:sz="8" w:space="0" w:color="000000"/>
              <w:right w:val="single" w:sz="8" w:space="0" w:color="000000"/>
            </w:tcBorders>
            <w:shd w:val="clear" w:color="auto" w:fill="C1E4F5"/>
            <w:hideMark/>
          </w:tcPr>
          <w:p w14:paraId="12990CD5"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Perú</w:t>
            </w:r>
          </w:p>
        </w:tc>
        <w:tc>
          <w:tcPr>
            <w:tcW w:w="81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48E1336"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983AB34"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B4BA04A"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F510BC6"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53350EA8"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2EB2F658"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Canadá</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A169D5"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65DE6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0110C73"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917701E"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04B87EA6"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3580221E"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lastRenderedPageBreak/>
              <w:t>Chile</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A99FA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95DCF4F"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EE6F22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CE47DBD"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1161FC67"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34DF689E"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Corea</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9BD45B8"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D28994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8C44BB"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3585FD"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15AB1CCD"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771CA573"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Costa Rica</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1042929"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ABD174"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58F1486"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D133A29"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30D94379"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607C9925"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Estados AELC</w:t>
            </w:r>
          </w:p>
        </w:tc>
        <w:tc>
          <w:tcPr>
            <w:tcW w:w="812"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70C14E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589DFE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5600E9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11C96FD"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2E13CE8D"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19FE5173"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Estados Unidos</w:t>
            </w:r>
          </w:p>
        </w:tc>
        <w:tc>
          <w:tcPr>
            <w:tcW w:w="812"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4C87701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E4B905"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9A95F0"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476D69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2A14A2A8"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48E7D3AF"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México </w:t>
            </w:r>
          </w:p>
        </w:tc>
        <w:tc>
          <w:tcPr>
            <w:tcW w:w="812"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0B0BFF6"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C0FC9D"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1A7C80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CB0EA2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2062A665" w14:textId="77777777" w:rsidTr="009A4EA6">
        <w:tc>
          <w:tcPr>
            <w:tcW w:w="616" w:type="pct"/>
            <w:vMerge w:val="restart"/>
            <w:tcBorders>
              <w:top w:val="nil"/>
              <w:left w:val="single" w:sz="8" w:space="0" w:color="000000"/>
              <w:bottom w:val="single" w:sz="8" w:space="0" w:color="000000"/>
              <w:right w:val="single" w:sz="8" w:space="0" w:color="auto"/>
            </w:tcBorders>
            <w:shd w:val="clear" w:color="auto" w:fill="C1E4F5"/>
            <w:tcMar>
              <w:top w:w="0" w:type="dxa"/>
              <w:left w:w="108" w:type="dxa"/>
              <w:bottom w:w="0" w:type="dxa"/>
              <w:right w:w="108" w:type="dxa"/>
            </w:tcMar>
            <w:hideMark/>
          </w:tcPr>
          <w:p w14:paraId="74B0C67E"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Triángulo Norte </w:t>
            </w:r>
          </w:p>
        </w:tc>
        <w:tc>
          <w:tcPr>
            <w:tcW w:w="578" w:type="pct"/>
            <w:tcBorders>
              <w:top w:val="nil"/>
              <w:left w:val="nil"/>
              <w:bottom w:val="single" w:sz="8" w:space="0" w:color="auto"/>
              <w:right w:val="single" w:sz="8" w:space="0" w:color="000000"/>
            </w:tcBorders>
            <w:shd w:val="clear" w:color="auto" w:fill="C1E4F5"/>
            <w:hideMark/>
          </w:tcPr>
          <w:p w14:paraId="3CBBCA35"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El Salvador </w:t>
            </w:r>
          </w:p>
        </w:tc>
        <w:tc>
          <w:tcPr>
            <w:tcW w:w="812"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B49259B"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0345054"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41FA4FA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3ACE88CB"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0EFF45FD" w14:textId="77777777" w:rsidTr="009A4EA6">
        <w:tc>
          <w:tcPr>
            <w:tcW w:w="616" w:type="pct"/>
            <w:vMerge/>
            <w:tcBorders>
              <w:top w:val="nil"/>
              <w:left w:val="single" w:sz="8" w:space="0" w:color="000000"/>
              <w:bottom w:val="single" w:sz="8" w:space="0" w:color="000000"/>
              <w:right w:val="single" w:sz="8" w:space="0" w:color="auto"/>
            </w:tcBorders>
            <w:vAlign w:val="center"/>
            <w:hideMark/>
          </w:tcPr>
          <w:p w14:paraId="03963195" w14:textId="77777777" w:rsidR="00EC09A9" w:rsidRPr="002C75C7" w:rsidRDefault="00EC09A9" w:rsidP="009A4EA6">
            <w:pPr>
              <w:spacing w:after="0"/>
              <w:ind w:right="51"/>
              <w:jc w:val="both"/>
              <w:rPr>
                <w:rFonts w:ascii="Arial Narrow" w:hAnsi="Arial Narrow" w:cs="Arial"/>
                <w:sz w:val="18"/>
                <w:szCs w:val="18"/>
              </w:rPr>
            </w:pPr>
          </w:p>
        </w:tc>
        <w:tc>
          <w:tcPr>
            <w:tcW w:w="578" w:type="pct"/>
            <w:tcBorders>
              <w:top w:val="nil"/>
              <w:left w:val="nil"/>
              <w:bottom w:val="single" w:sz="8" w:space="0" w:color="auto"/>
              <w:right w:val="single" w:sz="8" w:space="0" w:color="000000"/>
            </w:tcBorders>
            <w:shd w:val="clear" w:color="auto" w:fill="C1E4F5"/>
            <w:hideMark/>
          </w:tcPr>
          <w:p w14:paraId="33F8E025"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Guatemala </w:t>
            </w:r>
          </w:p>
        </w:tc>
        <w:tc>
          <w:tcPr>
            <w:tcW w:w="812"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6DBBBC10"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562A9CB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3BCBB9EE"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1A8ACF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7708E072" w14:textId="77777777" w:rsidTr="009A4EA6">
        <w:tc>
          <w:tcPr>
            <w:tcW w:w="616" w:type="pct"/>
            <w:vMerge/>
            <w:tcBorders>
              <w:top w:val="nil"/>
              <w:left w:val="single" w:sz="8" w:space="0" w:color="000000"/>
              <w:bottom w:val="single" w:sz="8" w:space="0" w:color="000000"/>
              <w:right w:val="single" w:sz="8" w:space="0" w:color="auto"/>
            </w:tcBorders>
            <w:vAlign w:val="center"/>
            <w:hideMark/>
          </w:tcPr>
          <w:p w14:paraId="722CA35E" w14:textId="77777777" w:rsidR="00EC09A9" w:rsidRPr="002C75C7" w:rsidRDefault="00EC09A9" w:rsidP="009A4EA6">
            <w:pPr>
              <w:spacing w:after="0"/>
              <w:ind w:right="51"/>
              <w:jc w:val="both"/>
              <w:rPr>
                <w:rFonts w:ascii="Arial Narrow" w:hAnsi="Arial Narrow" w:cs="Arial"/>
                <w:sz w:val="18"/>
                <w:szCs w:val="18"/>
              </w:rPr>
            </w:pPr>
          </w:p>
        </w:tc>
        <w:tc>
          <w:tcPr>
            <w:tcW w:w="578" w:type="pct"/>
            <w:tcBorders>
              <w:top w:val="nil"/>
              <w:left w:val="nil"/>
              <w:bottom w:val="single" w:sz="8" w:space="0" w:color="000000"/>
              <w:right w:val="single" w:sz="8" w:space="0" w:color="000000"/>
            </w:tcBorders>
            <w:shd w:val="clear" w:color="auto" w:fill="C1E4F5"/>
            <w:hideMark/>
          </w:tcPr>
          <w:p w14:paraId="358450A6"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Honduras </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016C1C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413CD98"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6C3412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BA7FFAF"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5C0EE69D"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2A9769A1"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Unión Europea</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DBC14D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3783D4C"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6D44123"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7D39BDB"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4654336E"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42B20EDE"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Israel</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3F141D3"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9771A11"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92FAC8F"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4FBAE23"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76505C33"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2745DE13" w14:textId="77777777" w:rsidR="00EC09A9" w:rsidRPr="002C75C7" w:rsidRDefault="00EC09A9" w:rsidP="009A4EA6">
            <w:pPr>
              <w:spacing w:after="0"/>
              <w:ind w:right="51"/>
              <w:jc w:val="both"/>
              <w:rPr>
                <w:rFonts w:ascii="Arial Narrow" w:hAnsi="Arial Narrow" w:cs="Arial"/>
                <w:sz w:val="18"/>
                <w:szCs w:val="18"/>
                <w:lang w:val="pt-BR"/>
              </w:rPr>
            </w:pPr>
            <w:r w:rsidRPr="002C75C7">
              <w:rPr>
                <w:rFonts w:ascii="Arial Narrow" w:hAnsi="Arial Narrow" w:cs="Arial"/>
                <w:sz w:val="18"/>
                <w:szCs w:val="18"/>
                <w:lang w:val="pt-BR"/>
              </w:rPr>
              <w:t xml:space="preserve">Reino Unido e Irlanda </w:t>
            </w:r>
            <w:proofErr w:type="spellStart"/>
            <w:r w:rsidRPr="002C75C7">
              <w:rPr>
                <w:rFonts w:ascii="Arial Narrow" w:hAnsi="Arial Narrow" w:cs="Arial"/>
                <w:sz w:val="18"/>
                <w:szCs w:val="18"/>
                <w:lang w:val="pt-BR"/>
              </w:rPr>
              <w:t>del</w:t>
            </w:r>
            <w:proofErr w:type="spellEnd"/>
            <w:r w:rsidRPr="002C75C7">
              <w:rPr>
                <w:rFonts w:ascii="Arial Narrow" w:hAnsi="Arial Narrow" w:cs="Arial"/>
                <w:sz w:val="18"/>
                <w:szCs w:val="18"/>
                <w:lang w:val="pt-BR"/>
              </w:rPr>
              <w:t xml:space="preserve"> Norte</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E6553F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0524AF9"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013070E"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SI</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5025A55"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tr w:rsidR="00EC09A9" w:rsidRPr="002C75C7" w14:paraId="2525759F" w14:textId="77777777" w:rsidTr="009A4EA6">
        <w:tc>
          <w:tcPr>
            <w:tcW w:w="1194" w:type="pct"/>
            <w:gridSpan w:val="2"/>
            <w:tcBorders>
              <w:top w:val="nil"/>
              <w:left w:val="single" w:sz="8" w:space="0" w:color="000000"/>
              <w:bottom w:val="single" w:sz="8" w:space="0" w:color="000000"/>
              <w:right w:val="single" w:sz="8" w:space="0" w:color="000000"/>
            </w:tcBorders>
            <w:shd w:val="clear" w:color="auto" w:fill="C1E4F5"/>
            <w:tcMar>
              <w:top w:w="0" w:type="dxa"/>
              <w:left w:w="108" w:type="dxa"/>
              <w:bottom w:w="0" w:type="dxa"/>
              <w:right w:w="108" w:type="dxa"/>
            </w:tcMar>
            <w:hideMark/>
          </w:tcPr>
          <w:p w14:paraId="03EDF89B" w14:textId="77777777" w:rsidR="00EC09A9" w:rsidRPr="002C75C7" w:rsidRDefault="00EC09A9" w:rsidP="009A4EA6">
            <w:pPr>
              <w:spacing w:after="0"/>
              <w:ind w:right="51"/>
              <w:jc w:val="both"/>
              <w:rPr>
                <w:rFonts w:ascii="Arial Narrow" w:hAnsi="Arial Narrow" w:cs="Arial"/>
                <w:sz w:val="18"/>
                <w:szCs w:val="18"/>
              </w:rPr>
            </w:pPr>
            <w:r w:rsidRPr="002C75C7">
              <w:rPr>
                <w:rFonts w:ascii="Arial Narrow" w:hAnsi="Arial Narrow" w:cs="Arial"/>
                <w:sz w:val="18"/>
                <w:szCs w:val="18"/>
              </w:rPr>
              <w:t xml:space="preserve">Servicios prestados por oferentes de la Comunidad Andina de Naciones </w:t>
            </w:r>
          </w:p>
        </w:tc>
        <w:tc>
          <w:tcPr>
            <w:tcW w:w="812"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B671152"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bCs/>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C106DC7"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9"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D502FDA"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c>
          <w:tcPr>
            <w:tcW w:w="996"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8489FC0" w14:textId="77777777" w:rsidR="00EC09A9" w:rsidRPr="002C75C7" w:rsidRDefault="00EC09A9" w:rsidP="009A4EA6">
            <w:pPr>
              <w:spacing w:after="0"/>
              <w:ind w:right="51"/>
              <w:jc w:val="center"/>
              <w:rPr>
                <w:rFonts w:ascii="Arial Narrow" w:hAnsi="Arial Narrow" w:cs="Arial"/>
                <w:bCs/>
                <w:sz w:val="18"/>
                <w:szCs w:val="18"/>
              </w:rPr>
            </w:pPr>
            <w:r w:rsidRPr="002C75C7">
              <w:rPr>
                <w:rFonts w:ascii="Arial Narrow" w:hAnsi="Arial Narrow" w:cs="Arial"/>
                <w:sz w:val="18"/>
                <w:szCs w:val="18"/>
              </w:rPr>
              <w:t>N/A</w:t>
            </w:r>
          </w:p>
        </w:tc>
      </w:tr>
      <w:bookmarkEnd w:id="1"/>
    </w:tbl>
    <w:p w14:paraId="057E80AA" w14:textId="77777777" w:rsidR="00EC09A9" w:rsidRDefault="00EC09A9" w:rsidP="00341A27">
      <w:pPr>
        <w:spacing w:after="0" w:line="240" w:lineRule="auto"/>
        <w:jc w:val="both"/>
        <w:rPr>
          <w:rFonts w:ascii="Arial Narrow" w:hAnsi="Arial Narrow" w:cs="Arial"/>
        </w:rPr>
      </w:pPr>
    </w:p>
    <w:p w14:paraId="1982F935" w14:textId="291E2BAE" w:rsidR="005F4F55" w:rsidRDefault="006A7905" w:rsidP="00341A27">
      <w:pPr>
        <w:spacing w:after="0" w:line="240" w:lineRule="auto"/>
        <w:jc w:val="both"/>
        <w:rPr>
          <w:rFonts w:ascii="Arial Narrow" w:hAnsi="Arial Narrow" w:cs="Arial"/>
        </w:rPr>
      </w:pPr>
      <w:r w:rsidRPr="006A7905">
        <w:rPr>
          <w:rFonts w:ascii="Arial Narrow" w:hAnsi="Arial Narrow" w:cs="Arial"/>
        </w:rPr>
        <w:t>En cumplimiento de lo dispuesto en el artículo 2.2.1.1.2.1.1. del Decreto 1082 de 2015 y el “Manual para el manejo de los acuerdos comerciales en los procesos de contratación de la Agencia Nacional de Contratación Pública Colombia Compra Eficiente”,</w:t>
      </w:r>
      <w:r w:rsidR="002D36ED">
        <w:rPr>
          <w:rFonts w:ascii="Arial Narrow" w:hAnsi="Arial Narrow" w:cs="Arial"/>
        </w:rPr>
        <w:t xml:space="preserve"> al</w:t>
      </w:r>
      <w:r w:rsidR="002D36ED" w:rsidRPr="002D36ED">
        <w:rPr>
          <w:rFonts w:ascii="Arial Narrow" w:hAnsi="Arial Narrow" w:cs="Arial"/>
        </w:rPr>
        <w:t xml:space="preserve"> presente proceso no le aplican los tratados o acuerdos comerciales de acuerdo con la “Tabla 9. Excepciones contempladas para la implementación de los Acuerdos Comerciales en los procesos de contratación basados en el clasificador de bienes y servicios” en el numeral establece “8. Los servicios financieros” del Manual para el manejo de los Acuerdos Comerciales en Procesos de Contratación expedido por Colombia Compra Eficiente, puesto que los seguros se equiparan a servicios financieros para los cuales es necesario ser una sociedad comercial constituida en Colombia y contar con la autorización de la Superintendencia Financiera de Colombia, tal y como lo establece el Decreto 663 de 1993</w:t>
      </w:r>
      <w:r w:rsidR="002D36ED">
        <w:rPr>
          <w:rFonts w:ascii="Arial Narrow" w:hAnsi="Arial Narrow" w:cs="Arial"/>
        </w:rPr>
        <w:t xml:space="preserve"> </w:t>
      </w:r>
      <w:r w:rsidR="002D36ED" w:rsidRPr="002D36ED">
        <w:rPr>
          <w:rFonts w:ascii="Arial Narrow" w:hAnsi="Arial Narrow" w:cs="Arial"/>
        </w:rPr>
        <w:t>(EOSF), el cual en su momento actualizó el Estatuto Orgánico del Sistema Financiero, especifico en el artículo 39 lo siguiente:</w:t>
      </w:r>
    </w:p>
    <w:p w14:paraId="53A2A129" w14:textId="77777777" w:rsidR="00341A27" w:rsidRDefault="00341A27" w:rsidP="00341A27">
      <w:pPr>
        <w:spacing w:after="0" w:line="240" w:lineRule="auto"/>
        <w:jc w:val="both"/>
        <w:rPr>
          <w:rFonts w:ascii="Arial Narrow" w:hAnsi="Arial Narrow" w:cs="Arial"/>
        </w:rPr>
      </w:pPr>
    </w:p>
    <w:p w14:paraId="3FEB7FB1" w14:textId="77777777" w:rsidR="00341A27" w:rsidRPr="00EC09A9" w:rsidRDefault="00341A27" w:rsidP="00341A27">
      <w:pPr>
        <w:spacing w:after="0" w:line="240" w:lineRule="auto"/>
        <w:ind w:left="426"/>
        <w:jc w:val="both"/>
        <w:rPr>
          <w:rFonts w:ascii="Arial Narrow" w:hAnsi="Arial Narrow" w:cs="Arial"/>
          <w:b/>
        </w:rPr>
      </w:pPr>
      <w:r w:rsidRPr="00274EC7">
        <w:rPr>
          <w:rFonts w:ascii="Arial Narrow" w:hAnsi="Arial Narrow" w:cs="Arial"/>
          <w:b/>
          <w:i/>
          <w:iCs/>
        </w:rPr>
        <w:t>“</w:t>
      </w:r>
      <w:r w:rsidRPr="00EC09A9">
        <w:rPr>
          <w:rFonts w:ascii="Arial Narrow" w:hAnsi="Arial Narrow" w:cs="Arial"/>
          <w:b/>
          <w:i/>
          <w:iCs/>
        </w:rPr>
        <w:t>TITULO VII.</w:t>
      </w:r>
    </w:p>
    <w:p w14:paraId="488E7F78" w14:textId="77777777" w:rsidR="00341A27" w:rsidRPr="00EC09A9" w:rsidRDefault="00341A27" w:rsidP="00341A27">
      <w:pPr>
        <w:spacing w:after="0" w:line="240" w:lineRule="auto"/>
        <w:ind w:left="426"/>
        <w:jc w:val="both"/>
        <w:rPr>
          <w:rFonts w:ascii="Arial Narrow" w:hAnsi="Arial Narrow" w:cs="Arial"/>
          <w:b/>
        </w:rPr>
      </w:pPr>
      <w:r w:rsidRPr="00EC09A9">
        <w:rPr>
          <w:rFonts w:ascii="Arial Narrow" w:hAnsi="Arial Narrow" w:cs="Arial"/>
          <w:b/>
          <w:i/>
          <w:iCs/>
        </w:rPr>
        <w:t>DE LA LIBERALIZACIÓN COMERCIAL EN MATERIA DE SERVICIOS FINANCIEROS.</w:t>
      </w:r>
    </w:p>
    <w:p w14:paraId="1DBCF417" w14:textId="77777777" w:rsidR="00341A27" w:rsidRPr="00EC09A9" w:rsidRDefault="00341A27" w:rsidP="00341A27">
      <w:pPr>
        <w:spacing w:after="0" w:line="240" w:lineRule="auto"/>
        <w:ind w:left="426"/>
        <w:jc w:val="both"/>
        <w:rPr>
          <w:rFonts w:ascii="Arial Narrow" w:hAnsi="Arial Narrow" w:cs="Arial"/>
          <w:b/>
          <w:i/>
          <w:iCs/>
        </w:rPr>
      </w:pPr>
      <w:r w:rsidRPr="00EC09A9">
        <w:rPr>
          <w:rFonts w:ascii="Arial Narrow" w:hAnsi="Arial Narrow" w:cs="Arial"/>
          <w:b/>
          <w:i/>
          <w:iCs/>
        </w:rPr>
        <w:t>ARTÍCULO 61. COMERCIO TRANSFRONTERIZO DE SEGUROS.</w:t>
      </w:r>
    </w:p>
    <w:p w14:paraId="74ECD37E" w14:textId="77777777" w:rsidR="00341A27" w:rsidRPr="00274EC7" w:rsidRDefault="00341A27" w:rsidP="00341A27">
      <w:pPr>
        <w:spacing w:after="0" w:line="240" w:lineRule="auto"/>
        <w:ind w:left="426"/>
        <w:jc w:val="both"/>
        <w:rPr>
          <w:rFonts w:ascii="Arial Narrow" w:hAnsi="Arial Narrow" w:cs="Arial"/>
          <w:b/>
          <w:i/>
          <w:iCs/>
          <w:u w:val="single"/>
        </w:rPr>
      </w:pPr>
    </w:p>
    <w:p w14:paraId="44E84B20" w14:textId="77777777" w:rsidR="00341A27" w:rsidRDefault="00341A27" w:rsidP="00341A27">
      <w:pPr>
        <w:spacing w:after="0" w:line="240" w:lineRule="auto"/>
        <w:ind w:left="426"/>
        <w:jc w:val="both"/>
        <w:rPr>
          <w:rFonts w:ascii="Arial Narrow" w:hAnsi="Arial Narrow" w:cs="Arial"/>
          <w:bCs/>
          <w:i/>
          <w:iCs/>
        </w:rPr>
      </w:pPr>
      <w:r w:rsidRPr="00274EC7">
        <w:rPr>
          <w:rFonts w:ascii="Arial Narrow" w:hAnsi="Arial Narrow" w:cs="Arial"/>
          <w:bCs/>
          <w:i/>
          <w:iCs/>
        </w:rPr>
        <w:t xml:space="preserve">Modificase el artículo </w:t>
      </w:r>
      <w:hyperlink r:id="rId5" w:anchor="39" w:history="1">
        <w:r w:rsidRPr="00274EC7">
          <w:rPr>
            <w:rStyle w:val="Hipervnculo"/>
            <w:rFonts w:ascii="Arial Narrow" w:hAnsi="Arial Narrow" w:cs="Arial"/>
            <w:bCs/>
          </w:rPr>
          <w:t xml:space="preserve">39 </w:t>
        </w:r>
      </w:hyperlink>
      <w:r w:rsidRPr="00274EC7">
        <w:rPr>
          <w:rFonts w:ascii="Arial Narrow" w:hAnsi="Arial Narrow" w:cs="Arial"/>
          <w:bCs/>
          <w:i/>
          <w:iCs/>
        </w:rPr>
        <w:t>del Estatuto Orgánico del Sistema Financiero, el cual quedará así:</w:t>
      </w:r>
    </w:p>
    <w:p w14:paraId="1B3258A6" w14:textId="77777777" w:rsidR="00341A27" w:rsidRDefault="00341A27" w:rsidP="00341A27">
      <w:pPr>
        <w:spacing w:after="0" w:line="240" w:lineRule="auto"/>
        <w:ind w:left="426"/>
        <w:jc w:val="both"/>
        <w:rPr>
          <w:rFonts w:ascii="Arial Narrow" w:hAnsi="Arial Narrow" w:cs="Arial"/>
          <w:bCs/>
          <w:i/>
          <w:iCs/>
        </w:rPr>
      </w:pPr>
    </w:p>
    <w:p w14:paraId="26C0A08D" w14:textId="429C512F" w:rsidR="005F4F55" w:rsidRPr="00341A27" w:rsidRDefault="002D36ED" w:rsidP="00341A27">
      <w:pPr>
        <w:spacing w:after="0" w:line="240" w:lineRule="auto"/>
        <w:ind w:left="426"/>
        <w:jc w:val="both"/>
        <w:rPr>
          <w:rFonts w:ascii="Arial Narrow" w:hAnsi="Arial Narrow" w:cs="Arial"/>
          <w:bCs/>
          <w:i/>
          <w:iCs/>
        </w:rPr>
      </w:pPr>
      <w:r w:rsidRPr="002D36ED">
        <w:rPr>
          <w:rFonts w:ascii="Arial Narrow" w:hAnsi="Arial Narrow" w:cs="Arial"/>
        </w:rPr>
        <w:t xml:space="preserve"> “</w:t>
      </w:r>
      <w:r w:rsidRPr="00E35509">
        <w:rPr>
          <w:rFonts w:ascii="Arial Narrow" w:hAnsi="Arial Narrow" w:cs="Arial"/>
          <w:b/>
          <w:bCs/>
        </w:rPr>
        <w:t>ARTICULO 39. PERSONAS NO AUTORIZADAS</w:t>
      </w:r>
      <w:r w:rsidRPr="002D36ED">
        <w:rPr>
          <w:rFonts w:ascii="Arial Narrow" w:hAnsi="Arial Narrow" w:cs="Arial"/>
        </w:rPr>
        <w:t xml:space="preserve">. </w:t>
      </w:r>
      <w:r w:rsidR="00EC09A9" w:rsidRPr="00184E71">
        <w:rPr>
          <w:rFonts w:ascii="Arial Narrow" w:hAnsi="Arial Narrow" w:cs="Arial"/>
          <w:bCs/>
          <w:i/>
          <w:iCs/>
        </w:rPr>
        <w:t xml:space="preserve">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w:t>
      </w:r>
      <w:hyperlink r:id="rId6" w:anchor="208" w:history="1">
        <w:r w:rsidR="00EC09A9" w:rsidRPr="00184E71">
          <w:rPr>
            <w:rStyle w:val="Hipervnculo"/>
            <w:rFonts w:ascii="Arial Narrow" w:hAnsi="Arial Narrow" w:cs="Arial"/>
            <w:bCs/>
            <w:color w:val="auto"/>
            <w:u w:val="none"/>
          </w:rPr>
          <w:t xml:space="preserve">208 </w:t>
        </w:r>
      </w:hyperlink>
      <w:r w:rsidR="00EC09A9" w:rsidRPr="00184E71">
        <w:rPr>
          <w:rFonts w:ascii="Arial Narrow" w:hAnsi="Arial Narrow" w:cs="Arial"/>
          <w:bCs/>
          <w:i/>
          <w:iCs/>
        </w:rPr>
        <w:t>del presente Estatuto</w:t>
      </w:r>
      <w:r w:rsidR="00EC09A9">
        <w:rPr>
          <w:rFonts w:ascii="Arial Narrow" w:hAnsi="Arial Narrow" w:cs="Arial"/>
          <w:bCs/>
          <w:i/>
          <w:iCs/>
        </w:rPr>
        <w:t>.</w:t>
      </w:r>
    </w:p>
    <w:p w14:paraId="22E05E82" w14:textId="77777777" w:rsidR="005F4F55" w:rsidRDefault="005F4F55" w:rsidP="005F4F55">
      <w:pPr>
        <w:spacing w:after="0"/>
        <w:ind w:left="567"/>
        <w:jc w:val="both"/>
        <w:rPr>
          <w:rFonts w:ascii="Arial Narrow" w:hAnsi="Arial Narrow" w:cs="Arial"/>
        </w:rPr>
      </w:pPr>
    </w:p>
    <w:p w14:paraId="78559A42" w14:textId="77777777" w:rsidR="00E35509" w:rsidRPr="002C75C7" w:rsidRDefault="00E35509" w:rsidP="00E35509">
      <w:pPr>
        <w:spacing w:after="0"/>
        <w:ind w:left="426" w:right="51"/>
        <w:jc w:val="both"/>
        <w:rPr>
          <w:rFonts w:ascii="Arial Narrow" w:hAnsi="Arial Narrow" w:cs="Arial"/>
          <w:bCs/>
          <w:i/>
          <w:iCs/>
        </w:rPr>
      </w:pPr>
      <w:r w:rsidRPr="00184E71">
        <w:rPr>
          <w:rFonts w:ascii="Arial Narrow" w:hAnsi="Arial Narrow" w:cs="Arial"/>
          <w:b/>
          <w:i/>
          <w:iCs/>
        </w:rPr>
        <w:t>PARÁGRAFO 1.</w:t>
      </w:r>
      <w:r w:rsidRPr="00184E71">
        <w:rPr>
          <w:rFonts w:ascii="Arial Narrow" w:hAnsi="Arial Narrow" w:cs="Arial"/>
          <w:bCs/>
          <w:i/>
          <w:iCs/>
        </w:rPr>
        <w:t xml:space="preserve"> Las compañías de seguros del exterior podrán ofrecer en el territorio colombiano o a sus residentes, única y exclusivamente, seguros asociados al transporte marítimo internacional, la aviación comercial internacional y el lanzamiento y transporte espacial (incluyendo </w:t>
      </w:r>
      <w:r w:rsidRPr="002C75C7">
        <w:rPr>
          <w:rFonts w:ascii="Arial Narrow" w:hAnsi="Arial Narrow" w:cs="Arial"/>
          <w:bCs/>
          <w:i/>
          <w:iCs/>
        </w:rPr>
        <w:t>satélites), que amparen los riesgos vinculados a las mercancías objeto de transporte, el vehículo que transporte las mercancías y la responsabilidad civil que pueda derivarse de los mismos, así como seguros que amparen mercancías en tránsito internacional.</w:t>
      </w:r>
    </w:p>
    <w:p w14:paraId="070BDA14" w14:textId="77777777" w:rsidR="00E35509" w:rsidRPr="002C75C7" w:rsidRDefault="00E35509" w:rsidP="00E35509">
      <w:pPr>
        <w:spacing w:after="0"/>
        <w:ind w:left="426" w:right="51"/>
        <w:jc w:val="both"/>
        <w:rPr>
          <w:rFonts w:ascii="Arial Narrow" w:hAnsi="Arial Narrow" w:cs="Arial"/>
          <w:bCs/>
          <w:i/>
          <w:iCs/>
        </w:rPr>
      </w:pPr>
    </w:p>
    <w:p w14:paraId="6CB9EDBB" w14:textId="77777777" w:rsidR="00E35509" w:rsidRPr="002C75C7" w:rsidRDefault="00E35509" w:rsidP="00E35509">
      <w:pPr>
        <w:spacing w:after="0"/>
        <w:ind w:left="426" w:right="51"/>
        <w:jc w:val="both"/>
        <w:rPr>
          <w:rFonts w:ascii="Arial Narrow" w:hAnsi="Arial Narrow" w:cs="Arial"/>
          <w:bCs/>
          <w:i/>
          <w:iCs/>
        </w:rPr>
      </w:pPr>
      <w:r w:rsidRPr="002C75C7">
        <w:rPr>
          <w:rFonts w:ascii="Arial Narrow" w:hAnsi="Arial Narrow" w:cs="Arial"/>
          <w:bCs/>
          <w:i/>
          <w:iCs/>
        </w:rPr>
        <w:t>La Superintendencia Financiera de Colombia podrá establecer la obligatoriedad del registro de las compañías de seguros del exterior que pretendan ofrecer estos seguros en el territorio nacional o a sus residentes.</w:t>
      </w:r>
    </w:p>
    <w:p w14:paraId="33E20F2D" w14:textId="77777777" w:rsidR="00E35509" w:rsidRPr="002C75C7" w:rsidRDefault="00E35509" w:rsidP="00E35509">
      <w:pPr>
        <w:spacing w:after="0"/>
        <w:ind w:left="426" w:right="51"/>
        <w:jc w:val="both"/>
        <w:rPr>
          <w:rFonts w:ascii="Arial Narrow" w:hAnsi="Arial Narrow" w:cs="Arial"/>
          <w:bCs/>
          <w:i/>
          <w:iCs/>
        </w:rPr>
      </w:pPr>
    </w:p>
    <w:p w14:paraId="026D0F16" w14:textId="77777777" w:rsidR="00E35509" w:rsidRPr="002C75C7" w:rsidRDefault="00E35509" w:rsidP="00E35509">
      <w:pPr>
        <w:spacing w:after="0"/>
        <w:ind w:left="426" w:right="51"/>
        <w:jc w:val="both"/>
        <w:rPr>
          <w:rFonts w:ascii="Arial Narrow" w:hAnsi="Arial Narrow" w:cs="Arial"/>
          <w:bCs/>
          <w:i/>
          <w:iCs/>
        </w:rPr>
      </w:pPr>
      <w:r w:rsidRPr="002C75C7">
        <w:rPr>
          <w:rFonts w:ascii="Arial Narrow" w:hAnsi="Arial Narrow" w:cs="Arial"/>
          <w:bCs/>
          <w:i/>
          <w:iCs/>
        </w:rPr>
        <w:t>Salvo lo previsto en el presente parágrafo, las compañías de seguros del exterior no podrán ofrecer, promocionar o hacer publicidad de sus servicios en el territorio colombiano o a sus residentes.</w:t>
      </w:r>
    </w:p>
    <w:p w14:paraId="2CE87B63" w14:textId="77777777" w:rsidR="00E35509" w:rsidRPr="002C75C7" w:rsidRDefault="00E35509" w:rsidP="00E35509">
      <w:pPr>
        <w:spacing w:after="0"/>
        <w:ind w:left="426" w:right="51"/>
        <w:jc w:val="both"/>
        <w:rPr>
          <w:rFonts w:ascii="Arial Narrow" w:hAnsi="Arial Narrow" w:cs="Arial"/>
          <w:bCs/>
          <w:i/>
          <w:iCs/>
        </w:rPr>
      </w:pPr>
    </w:p>
    <w:p w14:paraId="6DD247E0" w14:textId="77777777" w:rsidR="00E35509" w:rsidRPr="002C75C7" w:rsidRDefault="00E35509" w:rsidP="00E35509">
      <w:pPr>
        <w:spacing w:after="0"/>
        <w:ind w:left="426" w:right="51"/>
        <w:jc w:val="both"/>
        <w:rPr>
          <w:rFonts w:ascii="Arial Narrow" w:hAnsi="Arial Narrow" w:cs="Arial"/>
          <w:bCs/>
          <w:i/>
          <w:iCs/>
        </w:rPr>
      </w:pPr>
      <w:r w:rsidRPr="002C75C7">
        <w:rPr>
          <w:rFonts w:ascii="Arial Narrow" w:hAnsi="Arial Narrow" w:cs="Arial"/>
          <w:b/>
          <w:i/>
          <w:iCs/>
        </w:rPr>
        <w:t>PARÁGRAFO 2.</w:t>
      </w:r>
      <w:r w:rsidRPr="002C75C7">
        <w:rPr>
          <w:rFonts w:ascii="Arial Narrow" w:hAnsi="Arial Narrow" w:cs="Arial"/>
          <w:bCs/>
          <w:i/>
          <w:iCs/>
        </w:rPr>
        <w:t xml:space="preserve"> Toda persona natural o jurídica, residente en el país, podrá adquirir en el exterior cualquier tipo de seguro, con excepción de los siguientes:</w:t>
      </w:r>
    </w:p>
    <w:p w14:paraId="371C5516" w14:textId="77777777" w:rsidR="00E35509" w:rsidRPr="002C75C7" w:rsidRDefault="00E35509" w:rsidP="00E35509">
      <w:pPr>
        <w:spacing w:after="0"/>
        <w:ind w:left="426" w:right="51"/>
        <w:jc w:val="both"/>
        <w:rPr>
          <w:rFonts w:ascii="Arial Narrow" w:hAnsi="Arial Narrow" w:cs="Arial"/>
          <w:bCs/>
          <w:i/>
          <w:iCs/>
        </w:rPr>
      </w:pPr>
    </w:p>
    <w:p w14:paraId="54F8F872" w14:textId="77777777" w:rsidR="00E35509" w:rsidRPr="002C75C7" w:rsidRDefault="00E35509" w:rsidP="00E35509">
      <w:pPr>
        <w:numPr>
          <w:ilvl w:val="1"/>
          <w:numId w:val="3"/>
        </w:numPr>
        <w:spacing w:after="0" w:line="276" w:lineRule="auto"/>
        <w:ind w:left="709" w:right="51"/>
        <w:jc w:val="both"/>
        <w:rPr>
          <w:rFonts w:ascii="Arial Narrow" w:hAnsi="Arial Narrow" w:cs="Arial"/>
          <w:bCs/>
          <w:i/>
          <w:iCs/>
        </w:rPr>
      </w:pPr>
      <w:r w:rsidRPr="002C75C7">
        <w:rPr>
          <w:rFonts w:ascii="Arial Narrow" w:hAnsi="Arial Narrow" w:cs="Arial"/>
          <w:bCs/>
          <w:i/>
          <w:iCs/>
        </w:rPr>
        <w:t>Los seguros relacionados con el sistema de seguridad social, tales como los seguros previsionales de invalidez y muerte, las rentas vitalicias o los seguros de riesgos profesionales;</w:t>
      </w:r>
    </w:p>
    <w:p w14:paraId="6E6003E1" w14:textId="77777777" w:rsidR="00E35509" w:rsidRPr="002C75C7" w:rsidRDefault="00E35509" w:rsidP="00E35509">
      <w:pPr>
        <w:numPr>
          <w:ilvl w:val="1"/>
          <w:numId w:val="3"/>
        </w:numPr>
        <w:spacing w:after="0" w:line="276" w:lineRule="auto"/>
        <w:ind w:left="709" w:right="51"/>
        <w:jc w:val="both"/>
        <w:rPr>
          <w:rFonts w:ascii="Arial Narrow" w:hAnsi="Arial Narrow" w:cs="Arial"/>
          <w:bCs/>
          <w:i/>
          <w:iCs/>
        </w:rPr>
      </w:pPr>
      <w:r w:rsidRPr="002C75C7">
        <w:rPr>
          <w:rFonts w:ascii="Arial Narrow" w:hAnsi="Arial Narrow" w:cs="Arial"/>
          <w:bCs/>
          <w:i/>
          <w:iCs/>
        </w:rPr>
        <w:t>Los seguros obligatorios;</w:t>
      </w:r>
    </w:p>
    <w:p w14:paraId="7481C01A" w14:textId="77777777" w:rsidR="00E35509" w:rsidRPr="002C75C7" w:rsidRDefault="00E35509" w:rsidP="00E35509">
      <w:pPr>
        <w:numPr>
          <w:ilvl w:val="1"/>
          <w:numId w:val="3"/>
        </w:numPr>
        <w:spacing w:after="0" w:line="276" w:lineRule="auto"/>
        <w:ind w:left="709" w:right="51"/>
        <w:jc w:val="both"/>
        <w:rPr>
          <w:rFonts w:ascii="Arial Narrow" w:hAnsi="Arial Narrow" w:cs="Arial"/>
          <w:bCs/>
          <w:i/>
          <w:iCs/>
        </w:rPr>
      </w:pPr>
      <w:r w:rsidRPr="002C75C7">
        <w:rPr>
          <w:rFonts w:ascii="Arial Narrow" w:hAnsi="Arial Narrow" w:cs="Arial"/>
          <w:bCs/>
          <w:i/>
          <w:iCs/>
        </w:rPr>
        <w:lastRenderedPageBreak/>
        <w:t>Los seguros en los cuales el tomador, asegurado o beneficiario debe demostrar previamente a la adquisición del respectivo seguro que cuenta con un seguro obligatorio o que se encuentra al día en sus obligaciones para con la seguridad social, y</w:t>
      </w:r>
    </w:p>
    <w:p w14:paraId="30B39EE8" w14:textId="77777777" w:rsidR="00E35509" w:rsidRPr="002C75C7" w:rsidRDefault="00E35509" w:rsidP="00E35509">
      <w:pPr>
        <w:numPr>
          <w:ilvl w:val="1"/>
          <w:numId w:val="3"/>
        </w:numPr>
        <w:spacing w:after="0" w:line="276" w:lineRule="auto"/>
        <w:ind w:left="709" w:right="51"/>
        <w:jc w:val="both"/>
        <w:rPr>
          <w:rFonts w:ascii="Arial Narrow" w:hAnsi="Arial Narrow" w:cs="Arial"/>
          <w:bCs/>
          <w:i/>
          <w:iCs/>
        </w:rPr>
      </w:pPr>
      <w:r w:rsidRPr="002C75C7">
        <w:rPr>
          <w:rFonts w:ascii="Arial Narrow" w:hAnsi="Arial Narrow" w:cs="Arial"/>
          <w:bCs/>
          <w:i/>
          <w:iCs/>
        </w:rPr>
        <w:t>Los seguros en los cuales el tomador, asegurado o beneficiario sea una entidad del Estado. No obstante, el Gobierno Nacional podrá establecer, por vía general, los eventos y las condiciones en las cuales las entidades estatales podrán contratar seguros con compañías de seguros del exterior”.</w:t>
      </w:r>
    </w:p>
    <w:p w14:paraId="79939857" w14:textId="77777777" w:rsidR="005F4F55" w:rsidRDefault="005F4F55" w:rsidP="008C5714">
      <w:pPr>
        <w:spacing w:after="0" w:line="240" w:lineRule="auto"/>
        <w:jc w:val="both"/>
        <w:rPr>
          <w:rFonts w:ascii="Arial Narrow" w:hAnsi="Arial Narrow" w:cs="Arial"/>
        </w:rPr>
      </w:pPr>
    </w:p>
    <w:p w14:paraId="483FAB10" w14:textId="77777777" w:rsidR="008C5714" w:rsidRDefault="002D36ED" w:rsidP="00A11638">
      <w:pPr>
        <w:jc w:val="both"/>
        <w:rPr>
          <w:rFonts w:ascii="Arial Narrow" w:hAnsi="Arial Narrow" w:cs="Arial"/>
        </w:rPr>
      </w:pPr>
      <w:r w:rsidRPr="002D36ED">
        <w:rPr>
          <w:rFonts w:ascii="Arial Narrow" w:hAnsi="Arial Narrow" w:cs="Arial"/>
        </w:rPr>
        <w:t xml:space="preserve">Analizado el artículo antes referenciado, se puede concluir que las disposiciones previstas, respecto al acceso de entidades extranjeras para desarrollar la actividad aseguradora en Colombia, no tienen aplicación en el Territorio Colombiano. </w:t>
      </w:r>
    </w:p>
    <w:p w14:paraId="3A160E72" w14:textId="0AA3C816" w:rsidR="002D36ED" w:rsidRDefault="002D36ED" w:rsidP="00A11638">
      <w:pPr>
        <w:jc w:val="both"/>
        <w:rPr>
          <w:rFonts w:ascii="Arial Narrow" w:hAnsi="Arial Narrow" w:cs="Arial"/>
        </w:rPr>
      </w:pPr>
      <w:r w:rsidRPr="002D36ED">
        <w:rPr>
          <w:rFonts w:ascii="Arial Narrow" w:hAnsi="Arial Narrow" w:cs="Arial"/>
        </w:rPr>
        <w:t>Adicionalmente, el artículo 61 de la Ley 1328 de 2009, el cual entró en vigencia el 15 de julio de 2013 establece lo siguiente:</w:t>
      </w:r>
    </w:p>
    <w:p w14:paraId="5BACB837" w14:textId="77777777" w:rsidR="005C5382" w:rsidRPr="005C5382" w:rsidRDefault="008C5714" w:rsidP="005C5382">
      <w:pPr>
        <w:spacing w:after="0" w:line="240" w:lineRule="auto"/>
        <w:ind w:left="567"/>
        <w:jc w:val="both"/>
        <w:rPr>
          <w:rFonts w:ascii="Arial Narrow" w:hAnsi="Arial Narrow" w:cs="Arial"/>
          <w:i/>
          <w:iCs/>
        </w:rPr>
      </w:pPr>
      <w:r w:rsidRPr="005C5382">
        <w:rPr>
          <w:rFonts w:ascii="Arial Narrow" w:hAnsi="Arial Narrow" w:cs="Arial"/>
          <w:i/>
          <w:iCs/>
        </w:rPr>
        <w:t>“</w:t>
      </w:r>
      <w:r w:rsidRPr="00B6337C">
        <w:rPr>
          <w:rFonts w:ascii="Arial Narrow" w:hAnsi="Arial Narrow" w:cs="Arial"/>
          <w:b/>
          <w:bCs/>
          <w:i/>
          <w:iCs/>
        </w:rPr>
        <w:t>TITULO VII. DE LA LIBERALIZACIÓN COMERCIAL EN MATERIA DE SERVICIOS FINANCIEROS</w:t>
      </w:r>
      <w:r w:rsidRPr="005C5382">
        <w:rPr>
          <w:rFonts w:ascii="Arial Narrow" w:hAnsi="Arial Narrow" w:cs="Arial"/>
          <w:i/>
          <w:iCs/>
        </w:rPr>
        <w:t xml:space="preserve">. </w:t>
      </w:r>
    </w:p>
    <w:p w14:paraId="5D127629" w14:textId="77777777" w:rsidR="005C5382" w:rsidRPr="005C5382" w:rsidRDefault="005C5382" w:rsidP="005C5382">
      <w:pPr>
        <w:spacing w:after="0" w:line="240" w:lineRule="auto"/>
        <w:ind w:left="567"/>
        <w:jc w:val="both"/>
        <w:rPr>
          <w:rFonts w:ascii="Arial Narrow" w:hAnsi="Arial Narrow" w:cs="Arial"/>
          <w:i/>
          <w:iCs/>
        </w:rPr>
      </w:pPr>
    </w:p>
    <w:p w14:paraId="05C0F789" w14:textId="77777777" w:rsidR="005C5382" w:rsidRPr="005C5382" w:rsidRDefault="008C5714" w:rsidP="005C5382">
      <w:pPr>
        <w:spacing w:after="0" w:line="240" w:lineRule="auto"/>
        <w:ind w:left="567"/>
        <w:jc w:val="both"/>
        <w:rPr>
          <w:rFonts w:ascii="Arial Narrow" w:hAnsi="Arial Narrow" w:cs="Arial"/>
          <w:i/>
          <w:iCs/>
        </w:rPr>
      </w:pPr>
      <w:r w:rsidRPr="00B6337C">
        <w:rPr>
          <w:rFonts w:ascii="Arial Narrow" w:hAnsi="Arial Narrow" w:cs="Arial"/>
          <w:b/>
          <w:bCs/>
          <w:i/>
          <w:iCs/>
        </w:rPr>
        <w:t>ARTÍCULO 61. COMERCIO TRANSFRONTERIZO DE SEGUROS</w:t>
      </w:r>
      <w:r w:rsidRPr="005C5382">
        <w:rPr>
          <w:rFonts w:ascii="Arial Narrow" w:hAnsi="Arial Narrow" w:cs="Arial"/>
          <w:i/>
          <w:iCs/>
        </w:rPr>
        <w:t xml:space="preserve">. Modificase el artículo 39 del Estatuto Orgánico del Sistema Financiero, el cual quedará así: </w:t>
      </w:r>
    </w:p>
    <w:p w14:paraId="29519A5A" w14:textId="77777777" w:rsidR="005C5382" w:rsidRPr="005C5382" w:rsidRDefault="005C5382" w:rsidP="005C5382">
      <w:pPr>
        <w:spacing w:after="0" w:line="240" w:lineRule="auto"/>
        <w:ind w:left="567"/>
        <w:jc w:val="both"/>
        <w:rPr>
          <w:rFonts w:ascii="Arial Narrow" w:hAnsi="Arial Narrow" w:cs="Arial"/>
          <w:i/>
          <w:iCs/>
        </w:rPr>
      </w:pPr>
    </w:p>
    <w:p w14:paraId="71434C90" w14:textId="77777777" w:rsidR="005C5382" w:rsidRPr="005C5382" w:rsidRDefault="008C5714" w:rsidP="005C5382">
      <w:pPr>
        <w:spacing w:after="0" w:line="240" w:lineRule="auto"/>
        <w:ind w:left="567"/>
        <w:jc w:val="both"/>
        <w:rPr>
          <w:rFonts w:ascii="Arial Narrow" w:hAnsi="Arial Narrow" w:cs="Arial"/>
          <w:i/>
          <w:iCs/>
        </w:rPr>
      </w:pPr>
      <w:r w:rsidRPr="00B6337C">
        <w:rPr>
          <w:rFonts w:ascii="Arial Narrow" w:hAnsi="Arial Narrow" w:cs="Arial"/>
          <w:b/>
          <w:bCs/>
          <w:i/>
          <w:iCs/>
        </w:rPr>
        <w:t>Artículo 39. Personas no autorizadas</w:t>
      </w:r>
      <w:r w:rsidRPr="005C5382">
        <w:rPr>
          <w:rFonts w:ascii="Arial Narrow" w:hAnsi="Arial Narrow" w:cs="Arial"/>
          <w:i/>
          <w:iCs/>
        </w:rPr>
        <w:t xml:space="preserve">. 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208 del presente Estatuto. </w:t>
      </w:r>
    </w:p>
    <w:p w14:paraId="6528BCE9" w14:textId="77777777" w:rsidR="005C5382" w:rsidRPr="005C5382" w:rsidRDefault="005C5382" w:rsidP="005C5382">
      <w:pPr>
        <w:spacing w:after="0" w:line="240" w:lineRule="auto"/>
        <w:ind w:left="567"/>
        <w:jc w:val="both"/>
        <w:rPr>
          <w:rFonts w:ascii="Arial Narrow" w:hAnsi="Arial Narrow" w:cs="Arial"/>
          <w:i/>
          <w:iCs/>
        </w:rPr>
      </w:pPr>
    </w:p>
    <w:p w14:paraId="5A6CA7C6" w14:textId="77777777" w:rsidR="005C5382" w:rsidRPr="005C5382" w:rsidRDefault="008C5714" w:rsidP="005C5382">
      <w:pPr>
        <w:spacing w:after="0" w:line="240" w:lineRule="auto"/>
        <w:ind w:left="567"/>
        <w:jc w:val="both"/>
        <w:rPr>
          <w:rFonts w:ascii="Arial Narrow" w:hAnsi="Arial Narrow" w:cs="Arial"/>
          <w:i/>
          <w:iCs/>
        </w:rPr>
      </w:pPr>
      <w:r w:rsidRPr="00B6337C">
        <w:rPr>
          <w:rFonts w:ascii="Arial Narrow" w:hAnsi="Arial Narrow" w:cs="Arial"/>
          <w:b/>
          <w:bCs/>
          <w:i/>
          <w:iCs/>
        </w:rPr>
        <w:t>PARÁGRAFO 1o</w:t>
      </w:r>
      <w:r w:rsidRPr="005C5382">
        <w:rPr>
          <w:rFonts w:ascii="Arial Narrow" w:hAnsi="Arial Narrow" w:cs="Arial"/>
          <w:i/>
          <w:iCs/>
        </w:rPr>
        <w:t xml:space="preserve">. Las compañías de seguros del exterior podrán ofrecer en el territorio colombiano o a sus residentes, única y exclusivamente, seguros asociados al transporte marítimo internacional, la aviación comercial internacional y el lanzamiento y transporte espacial (incluyendo satélites), que amparen los riesgos vinculados a las mercancías objeto de transporte, el vehículo que transporte las mercancías y la responsabilidad civil que pueda derivarse de los mismos, así como seguros que amparen mercancías en tránsito internacional. </w:t>
      </w:r>
    </w:p>
    <w:p w14:paraId="18EC27A1" w14:textId="77777777" w:rsidR="005C5382" w:rsidRPr="005C5382" w:rsidRDefault="005C5382" w:rsidP="005C5382">
      <w:pPr>
        <w:spacing w:after="0" w:line="240" w:lineRule="auto"/>
        <w:ind w:left="567"/>
        <w:jc w:val="both"/>
        <w:rPr>
          <w:rFonts w:ascii="Arial Narrow" w:hAnsi="Arial Narrow" w:cs="Arial"/>
          <w:i/>
          <w:iCs/>
        </w:rPr>
      </w:pPr>
    </w:p>
    <w:p w14:paraId="61D5B160" w14:textId="156D308C" w:rsidR="008C5714" w:rsidRPr="005C5382" w:rsidRDefault="008C5714" w:rsidP="005C5382">
      <w:pPr>
        <w:spacing w:after="0" w:line="240" w:lineRule="auto"/>
        <w:ind w:left="567"/>
        <w:jc w:val="both"/>
        <w:rPr>
          <w:rFonts w:ascii="Arial Narrow" w:hAnsi="Arial Narrow" w:cs="Arial"/>
          <w:i/>
          <w:iCs/>
        </w:rPr>
      </w:pPr>
      <w:r w:rsidRPr="005C5382">
        <w:rPr>
          <w:rFonts w:ascii="Arial Narrow" w:hAnsi="Arial Narrow" w:cs="Arial"/>
          <w:i/>
          <w:iCs/>
        </w:rPr>
        <w:t>La Superintendencia Financiera de Colombia podrá establecer la obligatoriedad del registro de las compañías de seguros del exterior que pretendan ofrecer estos seguros en el territorio nacional o a sus residentes.</w:t>
      </w:r>
    </w:p>
    <w:p w14:paraId="7FEB6019" w14:textId="77777777" w:rsidR="002D36ED" w:rsidRDefault="002D36ED" w:rsidP="005C5382">
      <w:pPr>
        <w:spacing w:after="0" w:line="240" w:lineRule="auto"/>
        <w:jc w:val="both"/>
        <w:rPr>
          <w:rFonts w:ascii="Arial Narrow" w:hAnsi="Arial Narrow" w:cs="Arial"/>
        </w:rPr>
      </w:pPr>
    </w:p>
    <w:p w14:paraId="56F08D09" w14:textId="77777777" w:rsidR="00552B0A"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 xml:space="preserve">Salvo lo previsto en el presente parágrafo, las compañías de seguros del exterior no podrán ofrecer, promocionar o hacer publicidad de sus servicios en el territorio colombiano o a sus residentes. </w:t>
      </w:r>
    </w:p>
    <w:p w14:paraId="25E890F7" w14:textId="77777777" w:rsidR="00063E53" w:rsidRPr="00063E53" w:rsidRDefault="00063E53" w:rsidP="00063E53">
      <w:pPr>
        <w:spacing w:after="0" w:line="240" w:lineRule="auto"/>
        <w:ind w:left="567"/>
        <w:jc w:val="both"/>
        <w:rPr>
          <w:rFonts w:ascii="Arial Narrow" w:hAnsi="Arial Narrow" w:cs="Arial"/>
          <w:i/>
          <w:iCs/>
        </w:rPr>
      </w:pPr>
    </w:p>
    <w:p w14:paraId="1C60D634" w14:textId="77777777" w:rsidR="00552B0A" w:rsidRDefault="005C5382" w:rsidP="00063E53">
      <w:pPr>
        <w:spacing w:after="0" w:line="240" w:lineRule="auto"/>
        <w:ind w:left="567"/>
        <w:jc w:val="both"/>
        <w:rPr>
          <w:rFonts w:ascii="Arial Narrow" w:hAnsi="Arial Narrow" w:cs="Arial"/>
          <w:i/>
          <w:iCs/>
        </w:rPr>
      </w:pPr>
      <w:r w:rsidRPr="00B6337C">
        <w:rPr>
          <w:rFonts w:ascii="Arial Narrow" w:hAnsi="Arial Narrow" w:cs="Arial"/>
          <w:b/>
          <w:bCs/>
          <w:i/>
          <w:iCs/>
        </w:rPr>
        <w:t>PARÁGRAFO 2o</w:t>
      </w:r>
      <w:r w:rsidRPr="00063E53">
        <w:rPr>
          <w:rFonts w:ascii="Arial Narrow" w:hAnsi="Arial Narrow" w:cs="Arial"/>
          <w:i/>
          <w:iCs/>
        </w:rPr>
        <w:t xml:space="preserve">. Toda persona natural o jurídica, residente en el país, podrá adquirir en el exterior cualquier tipo de seguro, con excepción de los siguientes: </w:t>
      </w:r>
    </w:p>
    <w:p w14:paraId="45B29158" w14:textId="77777777" w:rsidR="00063E53" w:rsidRPr="00063E53" w:rsidRDefault="00063E53" w:rsidP="00063E53">
      <w:pPr>
        <w:spacing w:after="0" w:line="240" w:lineRule="auto"/>
        <w:ind w:left="567"/>
        <w:jc w:val="both"/>
        <w:rPr>
          <w:rFonts w:ascii="Arial Narrow" w:hAnsi="Arial Narrow" w:cs="Arial"/>
          <w:i/>
          <w:iCs/>
        </w:rPr>
      </w:pPr>
    </w:p>
    <w:p w14:paraId="6E91196F" w14:textId="77777777" w:rsidR="00552B0A" w:rsidRPr="00063E53"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 xml:space="preserve">a) Los seguros relacionados con el sistema de seguridad social, tales como los seguros previsionales de invalidez y muerte, las rentas vitalicias o los seguros de riesgos profesionales; </w:t>
      </w:r>
    </w:p>
    <w:p w14:paraId="352DDBFA" w14:textId="77777777" w:rsidR="00063E53" w:rsidRPr="00063E53"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 xml:space="preserve">b) Los seguros obligatorios; </w:t>
      </w:r>
    </w:p>
    <w:p w14:paraId="74E908F8" w14:textId="77777777" w:rsidR="00063E53" w:rsidRPr="00063E53"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 xml:space="preserve">c) Los seguros en los cuales el tomador, asegurado o beneficiario debe demostrar previamente a la adquisición del respectivo seguro que cuenta con un seguro obligatorio o que se encuentra al día en sus obligaciones para con la seguridad social, y </w:t>
      </w:r>
    </w:p>
    <w:p w14:paraId="3AEE70A2" w14:textId="77777777" w:rsidR="00063E53" w:rsidRPr="00063E53"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 xml:space="preserve">d) Los seguros en los cuales el tomador, asegurado o beneficiario sea una entidad del Estado. </w:t>
      </w:r>
    </w:p>
    <w:p w14:paraId="0EA6BD8F" w14:textId="2B0A0855" w:rsidR="005C5382" w:rsidRPr="00063E53" w:rsidRDefault="005C5382" w:rsidP="00063E53">
      <w:pPr>
        <w:spacing w:after="0" w:line="240" w:lineRule="auto"/>
        <w:ind w:left="567"/>
        <w:jc w:val="both"/>
        <w:rPr>
          <w:rFonts w:ascii="Arial Narrow" w:hAnsi="Arial Narrow" w:cs="Arial"/>
          <w:i/>
          <w:iCs/>
        </w:rPr>
      </w:pPr>
      <w:r w:rsidRPr="00063E53">
        <w:rPr>
          <w:rFonts w:ascii="Arial Narrow" w:hAnsi="Arial Narrow" w:cs="Arial"/>
          <w:i/>
          <w:iCs/>
        </w:rPr>
        <w:t>No obstante, el Gobierno Nacional podrá establecer, por vía general, los eventos y las condiciones en las cuales las entidades estatales podrán contratar seguros con compañías de seguros del exterior”.</w:t>
      </w:r>
    </w:p>
    <w:p w14:paraId="71167251" w14:textId="77777777" w:rsidR="00245F16" w:rsidRDefault="00245F16" w:rsidP="006F3166">
      <w:pPr>
        <w:spacing w:after="0" w:line="240" w:lineRule="auto"/>
        <w:jc w:val="both"/>
        <w:rPr>
          <w:rFonts w:ascii="Arial Narrow" w:hAnsi="Arial Narrow" w:cs="Arial"/>
        </w:rPr>
      </w:pPr>
    </w:p>
    <w:p w14:paraId="1B0CFB5F" w14:textId="77777777" w:rsidR="006F3166" w:rsidRPr="006F3166" w:rsidRDefault="006F3166" w:rsidP="006F3166">
      <w:pPr>
        <w:contextualSpacing/>
        <w:jc w:val="both"/>
        <w:rPr>
          <w:rFonts w:ascii="Arial Narrow" w:hAnsi="Arial Narrow" w:cs="Arial"/>
          <w:bCs/>
        </w:rPr>
      </w:pPr>
      <w:r w:rsidRPr="006F3166">
        <w:rPr>
          <w:rFonts w:ascii="Arial Narrow" w:hAnsi="Arial Narrow" w:cs="Arial"/>
          <w:bCs/>
        </w:rPr>
        <w:t>En este orden, se puede concluir que las disposiciones previstas respecto al acceso de entidades extranjeras no autorizadas para desarrollar la actividad aseguradora en Colombia, no tiene aplicación actual en el Territorio Nacional. Por lo expuesto se tiene que:</w:t>
      </w:r>
    </w:p>
    <w:p w14:paraId="5C143A2D" w14:textId="77777777" w:rsidR="006F3166" w:rsidRPr="006F3166" w:rsidRDefault="006F3166" w:rsidP="006F3166">
      <w:pPr>
        <w:contextualSpacing/>
        <w:jc w:val="both"/>
        <w:rPr>
          <w:rFonts w:ascii="Arial Narrow" w:hAnsi="Arial Narrow" w:cs="Arial"/>
          <w:bCs/>
        </w:rPr>
      </w:pPr>
    </w:p>
    <w:p w14:paraId="0F08B6AA" w14:textId="40BA2760" w:rsidR="006F3166" w:rsidRPr="006F3166" w:rsidRDefault="006F3166" w:rsidP="006F3166">
      <w:pPr>
        <w:widowControl w:val="0"/>
        <w:numPr>
          <w:ilvl w:val="0"/>
          <w:numId w:val="1"/>
        </w:numPr>
        <w:adjustRightInd w:val="0"/>
        <w:spacing w:after="0" w:line="240" w:lineRule="auto"/>
        <w:contextualSpacing/>
        <w:jc w:val="both"/>
        <w:textAlignment w:val="baseline"/>
        <w:rPr>
          <w:rFonts w:ascii="Arial Narrow" w:hAnsi="Arial Narrow" w:cs="Arial"/>
          <w:bCs/>
        </w:rPr>
      </w:pPr>
      <w:r w:rsidRPr="006F3166">
        <w:rPr>
          <w:rFonts w:ascii="Arial Narrow" w:hAnsi="Arial Narrow" w:cs="Arial"/>
          <w:bCs/>
        </w:rPr>
        <w:t xml:space="preserve">En la </w:t>
      </w:r>
      <w:r w:rsidR="00D068AB">
        <w:rPr>
          <w:rFonts w:ascii="Arial Narrow" w:hAnsi="Arial Narrow" w:cs="Arial"/>
          <w:bCs/>
        </w:rPr>
        <w:t>a</w:t>
      </w:r>
      <w:r w:rsidRPr="006F3166">
        <w:rPr>
          <w:rFonts w:ascii="Arial Narrow" w:hAnsi="Arial Narrow" w:cs="Arial"/>
          <w:bCs/>
        </w:rPr>
        <w:t>ctualidad en Colombia está prohibido adquirir seguros, cuando estos son ofrecidos por aseguradoras no autorizadas para desarrollar la actividad aseguradora en Colombia (Art. 39 Decreto 663 de 1993).</w:t>
      </w:r>
    </w:p>
    <w:p w14:paraId="5C545F8A" w14:textId="77777777" w:rsidR="006F3166" w:rsidRPr="006F3166" w:rsidRDefault="006F3166" w:rsidP="006F3166">
      <w:pPr>
        <w:contextualSpacing/>
        <w:jc w:val="both"/>
        <w:rPr>
          <w:rFonts w:ascii="Arial Narrow" w:hAnsi="Arial Narrow" w:cs="Arial"/>
          <w:bCs/>
        </w:rPr>
      </w:pPr>
    </w:p>
    <w:p w14:paraId="2BE20B6C" w14:textId="77777777" w:rsidR="006F3166" w:rsidRPr="006F3166" w:rsidRDefault="006F3166" w:rsidP="006F3166">
      <w:pPr>
        <w:widowControl w:val="0"/>
        <w:numPr>
          <w:ilvl w:val="0"/>
          <w:numId w:val="2"/>
        </w:numPr>
        <w:adjustRightInd w:val="0"/>
        <w:spacing w:after="0" w:line="240" w:lineRule="auto"/>
        <w:contextualSpacing/>
        <w:jc w:val="both"/>
        <w:textAlignment w:val="baseline"/>
        <w:rPr>
          <w:rFonts w:ascii="Arial Narrow" w:hAnsi="Arial Narrow" w:cs="Arial"/>
          <w:bCs/>
        </w:rPr>
      </w:pPr>
      <w:r w:rsidRPr="006F3166">
        <w:rPr>
          <w:rFonts w:ascii="Arial Narrow" w:hAnsi="Arial Narrow" w:cs="Arial"/>
          <w:bCs/>
        </w:rPr>
        <w:t>En virtud de lo establecido en el literal d del parágrafo 2° del Artículo 61 de la Ley 1328 de 2009, las entidades del Estado no podrán adquirir en el exterior cualquier tipo de seguro.</w:t>
      </w:r>
    </w:p>
    <w:p w14:paraId="19DD035B" w14:textId="77777777" w:rsidR="006F3166" w:rsidRPr="006F3166" w:rsidRDefault="006F3166" w:rsidP="006F3166">
      <w:pPr>
        <w:contextualSpacing/>
        <w:jc w:val="both"/>
        <w:rPr>
          <w:rFonts w:ascii="Arial Narrow" w:hAnsi="Arial Narrow" w:cs="Arial"/>
          <w:bCs/>
        </w:rPr>
      </w:pPr>
    </w:p>
    <w:p w14:paraId="1A226E73" w14:textId="77777777" w:rsidR="00E35509" w:rsidRPr="002C75C7" w:rsidRDefault="006F3166" w:rsidP="00E35509">
      <w:pPr>
        <w:spacing w:after="0"/>
        <w:ind w:right="51"/>
        <w:jc w:val="both"/>
        <w:rPr>
          <w:rFonts w:ascii="Arial Narrow" w:hAnsi="Arial Narrow" w:cs="Arial"/>
          <w:bCs/>
        </w:rPr>
      </w:pPr>
      <w:r w:rsidRPr="006F3166">
        <w:rPr>
          <w:rFonts w:ascii="Arial Narrow" w:hAnsi="Arial Narrow" w:cs="Arial"/>
          <w:bCs/>
        </w:rPr>
        <w:t>De acuerdo con lo anterior, los seguros que las entidades estatales contraten, deberán regirse por las normas previamente establecidas por la Superintendencia Financiera de Colombia, es decir, deberán estar contratadas con Aseguradoras autorizadas para tal efecto</w:t>
      </w:r>
      <w:r w:rsidR="00E35509">
        <w:rPr>
          <w:rFonts w:ascii="Arial Narrow" w:hAnsi="Arial Narrow" w:cs="Arial"/>
          <w:bCs/>
        </w:rPr>
        <w:t xml:space="preserve"> </w:t>
      </w:r>
      <w:r w:rsidR="00E35509" w:rsidRPr="002C75C7">
        <w:rPr>
          <w:rFonts w:ascii="Arial Narrow" w:hAnsi="Arial Narrow" w:cs="Arial"/>
          <w:bCs/>
        </w:rPr>
        <w:t>y en ese orden de ideas para el presente proceso no aplican tratados internacionales.</w:t>
      </w:r>
    </w:p>
    <w:p w14:paraId="35F3E5C7" w14:textId="77777777" w:rsidR="00E35509" w:rsidRPr="002C75C7" w:rsidRDefault="00E35509" w:rsidP="00E35509">
      <w:pPr>
        <w:spacing w:after="0"/>
        <w:ind w:right="51"/>
        <w:jc w:val="both"/>
        <w:rPr>
          <w:rFonts w:ascii="Arial Narrow" w:hAnsi="Arial Narrow" w:cs="Arial"/>
          <w:bCs/>
        </w:rPr>
      </w:pPr>
    </w:p>
    <w:p w14:paraId="68C2DF61" w14:textId="77777777" w:rsidR="00E35509" w:rsidRPr="002C75C7" w:rsidRDefault="00E35509" w:rsidP="00E35509">
      <w:pPr>
        <w:spacing w:after="0"/>
        <w:ind w:right="51"/>
        <w:jc w:val="both"/>
        <w:rPr>
          <w:rFonts w:ascii="Arial Narrow" w:hAnsi="Arial Narrow" w:cs="Arial"/>
          <w:bCs/>
        </w:rPr>
      </w:pPr>
      <w:r w:rsidRPr="002C75C7">
        <w:rPr>
          <w:rFonts w:ascii="Arial Narrow" w:hAnsi="Arial Narrow" w:cs="Arial"/>
          <w:bCs/>
        </w:rPr>
        <w:t xml:space="preserve">Excepcionalmente, los residentes colombianos pueden tomar seguros en el exterior para sus riesgos personales cuando se encuentran temporalmente fuera del país o con autorización previa de la Superintendencia Financiera de Colombia </w:t>
      </w:r>
      <w:r w:rsidRPr="002C75C7">
        <w:rPr>
          <w:rFonts w:ascii="Arial Narrow" w:hAnsi="Arial Narrow" w:cs="Arial"/>
          <w:bCs/>
        </w:rPr>
        <w:lastRenderedPageBreak/>
        <w:t>por razones de interés público, para el caso de riesgos respecto de los bienes situados o matriculados en el país. 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w:t>
      </w:r>
    </w:p>
    <w:p w14:paraId="17006F25" w14:textId="77777777" w:rsidR="00E35509" w:rsidRPr="002C75C7" w:rsidRDefault="00E35509" w:rsidP="00E35509">
      <w:pPr>
        <w:spacing w:after="0"/>
        <w:ind w:right="51"/>
        <w:jc w:val="both"/>
        <w:rPr>
          <w:rFonts w:ascii="Arial Narrow" w:hAnsi="Arial Narrow" w:cs="Arial"/>
          <w:bCs/>
        </w:rPr>
      </w:pPr>
    </w:p>
    <w:p w14:paraId="06B4AF4B" w14:textId="77777777" w:rsidR="00E35509" w:rsidRPr="002C75C7" w:rsidRDefault="00E35509" w:rsidP="00E35509">
      <w:pPr>
        <w:spacing w:after="0"/>
        <w:ind w:right="51"/>
        <w:jc w:val="both"/>
        <w:rPr>
          <w:rFonts w:ascii="Arial Narrow" w:hAnsi="Arial Narrow" w:cs="Arial"/>
          <w:bCs/>
        </w:rPr>
      </w:pPr>
      <w:r w:rsidRPr="002C75C7">
        <w:rPr>
          <w:rFonts w:ascii="Arial Narrow" w:hAnsi="Arial Narrow" w:cs="Arial"/>
          <w:bCs/>
        </w:rPr>
        <w:t>La Constitución Nacional establece que la actividad aseguradora en Colombia es de interés público razón por la cual solo puede ser ejercida en el país previa autorización del Estado. (Ver artículo 335 C.N.)</w:t>
      </w:r>
    </w:p>
    <w:p w14:paraId="5CB58359" w14:textId="77777777" w:rsidR="00E35509" w:rsidRPr="002C75C7" w:rsidRDefault="00E35509" w:rsidP="00E35509">
      <w:pPr>
        <w:spacing w:after="0"/>
        <w:ind w:right="51"/>
        <w:jc w:val="both"/>
        <w:rPr>
          <w:rFonts w:ascii="Arial Narrow" w:hAnsi="Arial Narrow" w:cs="Arial"/>
          <w:bCs/>
        </w:rPr>
      </w:pPr>
    </w:p>
    <w:p w14:paraId="3A7CC287" w14:textId="77777777" w:rsidR="00E35509" w:rsidRPr="002C75C7" w:rsidRDefault="00E35509" w:rsidP="00E35509">
      <w:pPr>
        <w:spacing w:after="0"/>
        <w:ind w:right="51"/>
        <w:jc w:val="both"/>
        <w:rPr>
          <w:rFonts w:ascii="Arial Narrow" w:hAnsi="Arial Narrow" w:cs="Arial"/>
          <w:bCs/>
        </w:rPr>
      </w:pPr>
      <w:r w:rsidRPr="002C75C7">
        <w:rPr>
          <w:rFonts w:ascii="Arial Narrow" w:hAnsi="Arial Narrow" w:cs="Arial"/>
          <w:bCs/>
        </w:rPr>
        <w:t>Por ello, cualquier persona que desee desarrollar el negocio de los seguros en Colombia debe contar con la autorización previa de la Superintendencia Financiera de Colombia. (Ver artículos 39 y 108, numeral 3 EOSF). Para desarrollar la actividad aseguradora en Colombia debe constituirse en el país una entidad bajo la forma de sociedad anónima mercantil o asociación cooperativa, una vez obtenida la autorización expresa de la Superintendencia Financiera de Colombia.</w:t>
      </w:r>
    </w:p>
    <w:p w14:paraId="5F3F7CAC" w14:textId="77777777" w:rsidR="00E35509" w:rsidRPr="002C75C7" w:rsidRDefault="00E35509" w:rsidP="00E35509">
      <w:pPr>
        <w:spacing w:after="0"/>
        <w:ind w:right="51"/>
        <w:jc w:val="both"/>
        <w:rPr>
          <w:rFonts w:ascii="Arial Narrow" w:hAnsi="Arial Narrow" w:cs="Arial"/>
          <w:bCs/>
        </w:rPr>
      </w:pPr>
    </w:p>
    <w:p w14:paraId="4ED67AB9" w14:textId="219EC534" w:rsidR="006F3166" w:rsidRPr="006F3166" w:rsidRDefault="00E35509" w:rsidP="00E35509">
      <w:pPr>
        <w:contextualSpacing/>
        <w:jc w:val="both"/>
        <w:rPr>
          <w:rFonts w:ascii="Arial Narrow" w:hAnsi="Arial Narrow" w:cs="Arial"/>
          <w:bCs/>
        </w:rPr>
      </w:pPr>
      <w:r w:rsidRPr="002C75C7">
        <w:rPr>
          <w:rFonts w:ascii="Arial Narrow" w:hAnsi="Arial Narrow" w:cs="Arial"/>
          <w:bCs/>
        </w:rPr>
        <w:t>Esto significa que las entidades aseguradoras extranjeras no pueden operar ni contratar directamente seguros en Colombia; para ello deben constituir una entidad filial en el país de acuerdo con lo dispuesto en la Constitución y la Ley.</w:t>
      </w:r>
    </w:p>
    <w:p w14:paraId="7306F55D" w14:textId="77777777" w:rsidR="00E02668" w:rsidRPr="0013345F" w:rsidRDefault="00E02668" w:rsidP="00A11638">
      <w:pPr>
        <w:jc w:val="both"/>
        <w:rPr>
          <w:rFonts w:ascii="Arial Narrow" w:hAnsi="Arial Narrow" w:cs="Arial"/>
        </w:rPr>
      </w:pPr>
    </w:p>
    <w:sectPr w:rsidR="00E02668" w:rsidRPr="0013345F" w:rsidSect="008F67C5">
      <w:pgSz w:w="12240" w:h="20160"/>
      <w:pgMar w:top="1939" w:right="941" w:bottom="1276" w:left="1599"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48EC"/>
    <w:multiLevelType w:val="hybridMultilevel"/>
    <w:tmpl w:val="338AB1D2"/>
    <w:lvl w:ilvl="0" w:tplc="24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6753ECE"/>
    <w:multiLevelType w:val="hybridMultilevel"/>
    <w:tmpl w:val="D326ED9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3626110D"/>
    <w:multiLevelType w:val="hybridMultilevel"/>
    <w:tmpl w:val="FE803E62"/>
    <w:lvl w:ilvl="0" w:tplc="240A000D">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656"/>
    <w:rsid w:val="00063E53"/>
    <w:rsid w:val="000E68EF"/>
    <w:rsid w:val="0013345F"/>
    <w:rsid w:val="00214421"/>
    <w:rsid w:val="002219B7"/>
    <w:rsid w:val="00231119"/>
    <w:rsid w:val="00236639"/>
    <w:rsid w:val="00245F16"/>
    <w:rsid w:val="002D1458"/>
    <w:rsid w:val="002D36ED"/>
    <w:rsid w:val="00311A25"/>
    <w:rsid w:val="00341A27"/>
    <w:rsid w:val="00370165"/>
    <w:rsid w:val="00376454"/>
    <w:rsid w:val="00467B18"/>
    <w:rsid w:val="00473656"/>
    <w:rsid w:val="004B6BC1"/>
    <w:rsid w:val="00514F44"/>
    <w:rsid w:val="00552B0A"/>
    <w:rsid w:val="005C5382"/>
    <w:rsid w:val="005F4F55"/>
    <w:rsid w:val="0060004D"/>
    <w:rsid w:val="0064795B"/>
    <w:rsid w:val="006963BD"/>
    <w:rsid w:val="006A7905"/>
    <w:rsid w:val="006F3166"/>
    <w:rsid w:val="007A377A"/>
    <w:rsid w:val="007B59CE"/>
    <w:rsid w:val="007E684C"/>
    <w:rsid w:val="00801434"/>
    <w:rsid w:val="00813595"/>
    <w:rsid w:val="00860D80"/>
    <w:rsid w:val="0088609A"/>
    <w:rsid w:val="008C3E74"/>
    <w:rsid w:val="008C5714"/>
    <w:rsid w:val="008F14FD"/>
    <w:rsid w:val="008F48E1"/>
    <w:rsid w:val="008F67C5"/>
    <w:rsid w:val="00921CA7"/>
    <w:rsid w:val="009A4C3A"/>
    <w:rsid w:val="009E01D9"/>
    <w:rsid w:val="009E2B04"/>
    <w:rsid w:val="00A11638"/>
    <w:rsid w:val="00AF20C3"/>
    <w:rsid w:val="00B04392"/>
    <w:rsid w:val="00B6337C"/>
    <w:rsid w:val="00CB72B7"/>
    <w:rsid w:val="00CE6C3A"/>
    <w:rsid w:val="00D068AB"/>
    <w:rsid w:val="00D21346"/>
    <w:rsid w:val="00D96024"/>
    <w:rsid w:val="00DB08BC"/>
    <w:rsid w:val="00E02668"/>
    <w:rsid w:val="00E07FF4"/>
    <w:rsid w:val="00E35509"/>
    <w:rsid w:val="00E47AEB"/>
    <w:rsid w:val="00EC09A9"/>
    <w:rsid w:val="00ED56F8"/>
    <w:rsid w:val="00F164E5"/>
    <w:rsid w:val="00F47AF8"/>
    <w:rsid w:val="00FC2DD5"/>
    <w:rsid w:val="00FD12A9"/>
    <w:rsid w:val="00FE0A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AF4B"/>
  <w15:chartTrackingRefBased/>
  <w15:docId w15:val="{A928CF95-44DE-48B7-A62E-6EF90E1A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uiPriority w:val="9"/>
    <w:qFormat/>
    <w:rsid w:val="00473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6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6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6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65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65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65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65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656"/>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semiHidden/>
    <w:rsid w:val="00473656"/>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473656"/>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473656"/>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473656"/>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473656"/>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473656"/>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473656"/>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473656"/>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473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656"/>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4736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656"/>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473656"/>
    <w:pPr>
      <w:spacing w:before="160"/>
      <w:jc w:val="center"/>
    </w:pPr>
    <w:rPr>
      <w:i/>
      <w:iCs/>
      <w:color w:val="404040" w:themeColor="text1" w:themeTint="BF"/>
    </w:rPr>
  </w:style>
  <w:style w:type="character" w:customStyle="1" w:styleId="CitaCar">
    <w:name w:val="Cita Car"/>
    <w:basedOn w:val="Fuentedeprrafopredeter"/>
    <w:link w:val="Cita"/>
    <w:uiPriority w:val="29"/>
    <w:rsid w:val="00473656"/>
    <w:rPr>
      <w:i/>
      <w:iCs/>
      <w:color w:val="404040" w:themeColor="text1" w:themeTint="BF"/>
      <w:lang w:val="es-CO"/>
    </w:rPr>
  </w:style>
  <w:style w:type="paragraph" w:styleId="Prrafodelista">
    <w:name w:val="List Paragraph"/>
    <w:basedOn w:val="Normal"/>
    <w:uiPriority w:val="34"/>
    <w:qFormat/>
    <w:rsid w:val="00473656"/>
    <w:pPr>
      <w:ind w:left="720"/>
      <w:contextualSpacing/>
    </w:pPr>
  </w:style>
  <w:style w:type="character" w:styleId="nfasisintenso">
    <w:name w:val="Intense Emphasis"/>
    <w:basedOn w:val="Fuentedeprrafopredeter"/>
    <w:uiPriority w:val="21"/>
    <w:qFormat/>
    <w:rsid w:val="00473656"/>
    <w:rPr>
      <w:i/>
      <w:iCs/>
      <w:color w:val="0F4761" w:themeColor="accent1" w:themeShade="BF"/>
    </w:rPr>
  </w:style>
  <w:style w:type="paragraph" w:styleId="Citadestacada">
    <w:name w:val="Intense Quote"/>
    <w:basedOn w:val="Normal"/>
    <w:next w:val="Normal"/>
    <w:link w:val="CitadestacadaCar"/>
    <w:uiPriority w:val="30"/>
    <w:qFormat/>
    <w:rsid w:val="00473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656"/>
    <w:rPr>
      <w:i/>
      <w:iCs/>
      <w:color w:val="0F4761" w:themeColor="accent1" w:themeShade="BF"/>
      <w:lang w:val="es-CO"/>
    </w:rPr>
  </w:style>
  <w:style w:type="character" w:styleId="Referenciaintensa">
    <w:name w:val="Intense Reference"/>
    <w:basedOn w:val="Fuentedeprrafopredeter"/>
    <w:uiPriority w:val="32"/>
    <w:qFormat/>
    <w:rsid w:val="00473656"/>
    <w:rPr>
      <w:b/>
      <w:bCs/>
      <w:smallCaps/>
      <w:color w:val="0F4761" w:themeColor="accent1" w:themeShade="BF"/>
      <w:spacing w:val="5"/>
    </w:rPr>
  </w:style>
  <w:style w:type="table" w:customStyle="1" w:styleId="Style80">
    <w:name w:val="_Style 80"/>
    <w:basedOn w:val="Tablanormal"/>
    <w:qFormat/>
    <w:rsid w:val="006963BD"/>
    <w:pPr>
      <w:autoSpaceDE w:val="0"/>
      <w:autoSpaceDN w:val="0"/>
      <w:spacing w:after="0" w:line="240" w:lineRule="auto"/>
    </w:pPr>
    <w:rPr>
      <w:rFonts w:ascii="Times New Roman" w:eastAsia="Times New Roman" w:hAnsi="Times New Roman" w:cs="Times New Roman"/>
      <w:kern w:val="0"/>
      <w:sz w:val="20"/>
      <w:szCs w:val="20"/>
      <w:lang w:val="en-US" w:eastAsia="es-MX"/>
      <w14:ligatures w14:val="none"/>
    </w:rPr>
    <w:tblPr>
      <w:tblInd w:w="0" w:type="nil"/>
      <w:tblCellMar>
        <w:left w:w="115" w:type="dxa"/>
        <w:right w:w="115" w:type="dxa"/>
      </w:tblCellMar>
    </w:tblPr>
    <w:tcPr>
      <w:shd w:val="clear" w:color="auto"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Style98">
    <w:name w:val="_Style 98"/>
    <w:basedOn w:val="Tablanormal"/>
    <w:qFormat/>
    <w:rsid w:val="006A7905"/>
    <w:pPr>
      <w:autoSpaceDE w:val="0"/>
      <w:autoSpaceDN w:val="0"/>
      <w:spacing w:after="0" w:line="240" w:lineRule="auto"/>
    </w:pPr>
    <w:rPr>
      <w:rFonts w:ascii="Times New Roman" w:eastAsia="Times New Roman" w:hAnsi="Times New Roman" w:cs="Times New Roman"/>
      <w:kern w:val="0"/>
      <w:sz w:val="20"/>
      <w:szCs w:val="20"/>
      <w:lang w:val="en-US" w:eastAsia="es-MX"/>
      <w14:ligatures w14:val="none"/>
    </w:rPr>
    <w:tblPr>
      <w:tblInd w:w="0" w:type="nil"/>
      <w:tblCellMar>
        <w:left w:w="0" w:type="dxa"/>
        <w:right w:w="0" w:type="dxa"/>
      </w:tblCellMar>
    </w:tblPr>
  </w:style>
  <w:style w:type="character" w:styleId="Hipervnculo">
    <w:name w:val="Hyperlink"/>
    <w:uiPriority w:val="99"/>
    <w:rsid w:val="00341A27"/>
    <w:rPr>
      <w:color w:val="0000FF"/>
      <w:u w:val="single"/>
    </w:rPr>
  </w:style>
  <w:style w:type="character" w:styleId="Refdecomentario">
    <w:name w:val="annotation reference"/>
    <w:basedOn w:val="Fuentedeprrafopredeter"/>
    <w:uiPriority w:val="99"/>
    <w:semiHidden/>
    <w:unhideWhenUsed/>
    <w:rsid w:val="00236639"/>
    <w:rPr>
      <w:sz w:val="16"/>
      <w:szCs w:val="16"/>
    </w:rPr>
  </w:style>
  <w:style w:type="paragraph" w:styleId="Textocomentario">
    <w:name w:val="annotation text"/>
    <w:basedOn w:val="Normal"/>
    <w:link w:val="TextocomentarioCar"/>
    <w:uiPriority w:val="99"/>
    <w:unhideWhenUsed/>
    <w:rsid w:val="00236639"/>
    <w:pPr>
      <w:spacing w:line="240" w:lineRule="auto"/>
    </w:pPr>
    <w:rPr>
      <w:sz w:val="20"/>
      <w:szCs w:val="20"/>
    </w:rPr>
  </w:style>
  <w:style w:type="character" w:customStyle="1" w:styleId="TextocomentarioCar">
    <w:name w:val="Texto comentario Car"/>
    <w:basedOn w:val="Fuentedeprrafopredeter"/>
    <w:link w:val="Textocomentario"/>
    <w:uiPriority w:val="99"/>
    <w:rsid w:val="0023663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36639"/>
    <w:rPr>
      <w:b/>
      <w:bCs/>
    </w:rPr>
  </w:style>
  <w:style w:type="character" w:customStyle="1" w:styleId="AsuntodelcomentarioCar">
    <w:name w:val="Asunto del comentario Car"/>
    <w:basedOn w:val="TextocomentarioCar"/>
    <w:link w:val="Asuntodelcomentario"/>
    <w:uiPriority w:val="99"/>
    <w:semiHidden/>
    <w:rsid w:val="00236639"/>
    <w:rPr>
      <w:b/>
      <w:bCs/>
      <w:sz w:val="20"/>
      <w:szCs w:val="20"/>
      <w:lang w:val="es-CO"/>
    </w:rPr>
  </w:style>
  <w:style w:type="table" w:styleId="Tabladelista3-nfasis3">
    <w:name w:val="List Table 3 Accent 3"/>
    <w:basedOn w:val="Tablanormal"/>
    <w:uiPriority w:val="48"/>
    <w:rsid w:val="00370165"/>
    <w:pPr>
      <w:widowControl w:val="0"/>
      <w:spacing w:after="0" w:line="240" w:lineRule="auto"/>
    </w:pPr>
    <w:rPr>
      <w:rFonts w:ascii="Times New Roman" w:eastAsia="Times New Roman" w:hAnsi="Times New Roman" w:cs="Times New Roman"/>
      <w:kern w:val="0"/>
      <w:lang w:val="es" w:eastAsia="es-ES_tradnl"/>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cretariasenado.gov.co/senado/basedoc/codigo/estatuto_organico_sistema_financiero_pr007.html" TargetMode="External"/><Relationship Id="rId5" Type="http://schemas.openxmlformats.org/officeDocument/2006/relationships/hyperlink" Target="http://www.secretariasenado.gov.co/senado/basedoc/codigo/estatuto_organico_sistema_financiero_pr001.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2134</Words>
  <Characters>11737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Patricia Chavarro Diaz</dc:creator>
  <cp:keywords/>
  <dc:description/>
  <cp:lastModifiedBy>Guillermo Alberto Castellanos</cp:lastModifiedBy>
  <cp:revision>2</cp:revision>
  <dcterms:created xsi:type="dcterms:W3CDTF">2026-10-16T16:38:00Z</dcterms:created>
  <dcterms:modified xsi:type="dcterms:W3CDTF">2026-10-16T16:38:00Z</dcterms:modified>
</cp:coreProperties>
</file>