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78BA7" w14:textId="77777777" w:rsidR="00C74620" w:rsidRPr="00F518F9" w:rsidRDefault="00C74620">
      <w:pPr>
        <w:jc w:val="center"/>
        <w:rPr>
          <w:rFonts w:ascii="Verdana" w:eastAsia="Verdana" w:hAnsi="Verdana" w:cs="Verdana"/>
          <w:b/>
          <w:sz w:val="20"/>
          <w:szCs w:val="20"/>
        </w:rPr>
      </w:pPr>
    </w:p>
    <w:p w14:paraId="08953A7F" w14:textId="77777777" w:rsidR="00C74620" w:rsidRPr="00F518F9" w:rsidRDefault="00C0503D">
      <w:pPr>
        <w:jc w:val="center"/>
        <w:rPr>
          <w:rFonts w:ascii="Verdana" w:eastAsia="Verdana" w:hAnsi="Verdana" w:cs="Verdana"/>
          <w:b/>
          <w:sz w:val="20"/>
          <w:szCs w:val="20"/>
        </w:rPr>
      </w:pPr>
      <w:r w:rsidRPr="00F518F9">
        <w:rPr>
          <w:rFonts w:ascii="Verdana" w:eastAsia="Verdana" w:hAnsi="Verdana" w:cs="Verdana"/>
          <w:b/>
          <w:sz w:val="20"/>
          <w:szCs w:val="20"/>
        </w:rPr>
        <w:t>AVISO DE CONVOCATORIA</w:t>
      </w:r>
    </w:p>
    <w:p w14:paraId="5FF1CFC9" w14:textId="780FE52A" w:rsidR="00C74620" w:rsidRPr="00F518F9" w:rsidRDefault="00C0503D">
      <w:pPr>
        <w:jc w:val="center"/>
        <w:rPr>
          <w:rFonts w:ascii="Verdana" w:eastAsia="Verdana" w:hAnsi="Verdana" w:cs="Verdana"/>
          <w:b/>
          <w:sz w:val="20"/>
          <w:szCs w:val="20"/>
        </w:rPr>
      </w:pPr>
      <w:r w:rsidRPr="00F518F9">
        <w:rPr>
          <w:rFonts w:ascii="Verdana" w:eastAsia="Verdana" w:hAnsi="Verdana" w:cs="Verdana"/>
          <w:b/>
          <w:sz w:val="20"/>
          <w:szCs w:val="20"/>
        </w:rPr>
        <w:t xml:space="preserve">SELECCIÓN ABREVIADA </w:t>
      </w:r>
      <w:r w:rsidR="00B82E3F">
        <w:rPr>
          <w:rFonts w:ascii="Verdana" w:eastAsia="Verdana" w:hAnsi="Verdana" w:cs="Verdana"/>
          <w:b/>
          <w:sz w:val="20"/>
          <w:szCs w:val="20"/>
        </w:rPr>
        <w:t>DE MENOR CUANTIA</w:t>
      </w:r>
    </w:p>
    <w:p w14:paraId="5ABD2DF5" w14:textId="440A5BEF" w:rsidR="00C74620" w:rsidRPr="00F518F9" w:rsidRDefault="00B82E3F">
      <w:pPr>
        <w:jc w:val="center"/>
        <w:rPr>
          <w:rFonts w:ascii="Verdana" w:eastAsia="Verdana" w:hAnsi="Verdana" w:cs="Verdana"/>
          <w:b/>
          <w:sz w:val="20"/>
          <w:szCs w:val="20"/>
        </w:rPr>
      </w:pPr>
      <w:r w:rsidRPr="00B82E3F">
        <w:rPr>
          <w:rFonts w:ascii="Verdana" w:eastAsia="Verdana" w:hAnsi="Verdana" w:cs="Verdana"/>
          <w:b/>
          <w:sz w:val="20"/>
          <w:szCs w:val="20"/>
        </w:rPr>
        <w:t>SGC-SAMC-011-2026</w:t>
      </w:r>
      <w:r w:rsidR="00EF6DE1">
        <w:rPr>
          <w:rFonts w:ascii="Verdana" w:eastAsia="Verdana" w:hAnsi="Verdana" w:cs="Verdana"/>
          <w:b/>
          <w:sz w:val="20"/>
          <w:szCs w:val="20"/>
        </w:rPr>
        <w:t>.</w:t>
      </w:r>
    </w:p>
    <w:p w14:paraId="2698E4F9" w14:textId="77777777" w:rsidR="00C74620" w:rsidRPr="00F518F9" w:rsidRDefault="00C74620">
      <w:pPr>
        <w:spacing w:after="200"/>
        <w:jc w:val="center"/>
        <w:rPr>
          <w:rFonts w:ascii="Verdana" w:eastAsia="Verdana" w:hAnsi="Verdana" w:cs="Verdana"/>
          <w:b/>
          <w:sz w:val="20"/>
          <w:szCs w:val="20"/>
        </w:rPr>
      </w:pPr>
    </w:p>
    <w:p w14:paraId="38CFBC93" w14:textId="14AEDA2A" w:rsidR="00C74620" w:rsidRPr="00F518F9" w:rsidRDefault="00C0503D" w:rsidP="00DD1CFF">
      <w:pPr>
        <w:jc w:val="both"/>
        <w:rPr>
          <w:rFonts w:ascii="Verdana" w:eastAsia="Verdana" w:hAnsi="Verdana" w:cs="Verdana"/>
          <w:b/>
          <w:sz w:val="20"/>
          <w:szCs w:val="20"/>
        </w:rPr>
      </w:pPr>
      <w:r w:rsidRPr="00F518F9">
        <w:rPr>
          <w:rFonts w:ascii="Verdana" w:eastAsia="Verdana" w:hAnsi="Verdana" w:cs="Verdana"/>
          <w:sz w:val="20"/>
          <w:szCs w:val="20"/>
        </w:rPr>
        <w:t xml:space="preserve">De conformidad con lo dispuesto en el artículo 2.2.1.1.2.1.2 del Decreto 1082 de 2015, el SERVICIO GEOLÓGICO COLOMBIANO convoca a los interesados en participar en el proceso de </w:t>
      </w:r>
      <w:r w:rsidR="00DD1CFF">
        <w:rPr>
          <w:rFonts w:ascii="Verdana" w:eastAsia="Verdana" w:hAnsi="Verdana" w:cs="Verdana"/>
          <w:sz w:val="20"/>
          <w:szCs w:val="20"/>
        </w:rPr>
        <w:t xml:space="preserve"> </w:t>
      </w:r>
      <w:r w:rsidRPr="00F518F9">
        <w:rPr>
          <w:rFonts w:ascii="Verdana" w:eastAsia="Verdana" w:hAnsi="Verdana" w:cs="Verdana"/>
          <w:sz w:val="20"/>
          <w:szCs w:val="20"/>
        </w:rPr>
        <w:t xml:space="preserve">Selección Abreviada </w:t>
      </w:r>
      <w:r w:rsidR="00605BB7">
        <w:rPr>
          <w:rFonts w:ascii="Verdana" w:eastAsia="Verdana" w:hAnsi="Verdana" w:cs="Verdana"/>
          <w:sz w:val="20"/>
          <w:szCs w:val="20"/>
        </w:rPr>
        <w:t>de menor cuantía</w:t>
      </w:r>
      <w:r w:rsidRPr="00F518F9">
        <w:rPr>
          <w:rFonts w:ascii="Verdana" w:eastAsia="Verdana" w:hAnsi="Verdana" w:cs="Verdana"/>
          <w:sz w:val="20"/>
          <w:szCs w:val="20"/>
        </w:rPr>
        <w:t xml:space="preserve">  No. </w:t>
      </w:r>
      <w:r w:rsidRPr="00F518F9">
        <w:rPr>
          <w:rFonts w:ascii="Verdana" w:eastAsia="Verdana" w:hAnsi="Verdana" w:cs="Verdana"/>
          <w:b/>
          <w:sz w:val="20"/>
          <w:szCs w:val="20"/>
        </w:rPr>
        <w:t>SGC-SA</w:t>
      </w:r>
      <w:r w:rsidR="00605BB7">
        <w:rPr>
          <w:rFonts w:ascii="Verdana" w:eastAsia="Verdana" w:hAnsi="Verdana" w:cs="Verdana"/>
          <w:b/>
          <w:sz w:val="20"/>
          <w:szCs w:val="20"/>
        </w:rPr>
        <w:t>MC</w:t>
      </w:r>
      <w:r w:rsidRPr="00F518F9">
        <w:rPr>
          <w:rFonts w:ascii="Verdana" w:eastAsia="Verdana" w:hAnsi="Verdana" w:cs="Verdana"/>
          <w:b/>
          <w:sz w:val="20"/>
          <w:szCs w:val="20"/>
        </w:rPr>
        <w:t>-</w:t>
      </w:r>
      <w:r w:rsidR="00213121" w:rsidRPr="00F518F9">
        <w:rPr>
          <w:rFonts w:ascii="Verdana" w:eastAsia="Verdana" w:hAnsi="Verdana" w:cs="Verdana"/>
          <w:b/>
          <w:sz w:val="20"/>
          <w:szCs w:val="20"/>
        </w:rPr>
        <w:t>0</w:t>
      </w:r>
      <w:r w:rsidR="004F2320">
        <w:rPr>
          <w:rFonts w:ascii="Verdana" w:eastAsia="Verdana" w:hAnsi="Verdana" w:cs="Verdana"/>
          <w:b/>
          <w:sz w:val="20"/>
          <w:szCs w:val="20"/>
        </w:rPr>
        <w:t>1</w:t>
      </w:r>
      <w:r w:rsidR="00605BB7">
        <w:rPr>
          <w:rFonts w:ascii="Verdana" w:eastAsia="Verdana" w:hAnsi="Verdana" w:cs="Verdana"/>
          <w:b/>
          <w:sz w:val="20"/>
          <w:szCs w:val="20"/>
        </w:rPr>
        <w:t>1</w:t>
      </w:r>
      <w:r w:rsidRPr="00F518F9">
        <w:rPr>
          <w:rFonts w:ascii="Verdana" w:eastAsia="Verdana" w:hAnsi="Verdana" w:cs="Verdana"/>
          <w:b/>
          <w:sz w:val="20"/>
          <w:szCs w:val="20"/>
        </w:rPr>
        <w:t>-202</w:t>
      </w:r>
      <w:r w:rsidR="008D4C38" w:rsidRPr="00F518F9">
        <w:rPr>
          <w:rFonts w:ascii="Verdana" w:eastAsia="Verdana" w:hAnsi="Verdana" w:cs="Verdana"/>
          <w:b/>
          <w:sz w:val="20"/>
          <w:szCs w:val="20"/>
        </w:rPr>
        <w:t>6</w:t>
      </w:r>
      <w:r w:rsidR="00EF6DE1">
        <w:rPr>
          <w:rFonts w:ascii="Verdana" w:eastAsia="Verdana" w:hAnsi="Verdana" w:cs="Verdana"/>
          <w:b/>
          <w:sz w:val="20"/>
          <w:szCs w:val="20"/>
        </w:rPr>
        <w:t>.</w:t>
      </w:r>
      <w:r w:rsidRPr="00F518F9">
        <w:rPr>
          <w:rFonts w:ascii="Verdana" w:eastAsia="Verdana" w:hAnsi="Verdana" w:cs="Verdana"/>
          <w:sz w:val="20"/>
          <w:szCs w:val="20"/>
        </w:rPr>
        <w:t>, cuyas principales características se describen a continuación:</w:t>
      </w:r>
    </w:p>
    <w:p w14:paraId="14822FA4" w14:textId="77777777" w:rsidR="00C74620" w:rsidRPr="00F518F9" w:rsidRDefault="00C74620">
      <w:pPr>
        <w:ind w:right="-234"/>
        <w:rPr>
          <w:rFonts w:ascii="Verdana" w:eastAsia="Verdana" w:hAnsi="Verdana" w:cs="Verdana"/>
          <w:sz w:val="20"/>
          <w:szCs w:val="20"/>
        </w:rPr>
      </w:pPr>
    </w:p>
    <w:p w14:paraId="616A710E"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NOMBRE Y DIRECCIÓN DE LA ENTIDAD CONTRATANTE</w:t>
      </w:r>
    </w:p>
    <w:p w14:paraId="4B80150E" w14:textId="77777777" w:rsidR="00C74620" w:rsidRPr="00F518F9" w:rsidRDefault="00C74620">
      <w:pPr>
        <w:rPr>
          <w:rFonts w:ascii="Verdana" w:eastAsia="Verdana" w:hAnsi="Verdana" w:cs="Verdana"/>
          <w:sz w:val="20"/>
          <w:szCs w:val="20"/>
        </w:rPr>
      </w:pPr>
    </w:p>
    <w:p w14:paraId="0BB4944E"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EL SERVICIO GEOLÓGICO COLOMBIANO identificado con NIT. 899.999.294-8, ubicado en la Diagonal 53 No.34-53 de la ciudad de Bogotá D.C.</w:t>
      </w:r>
    </w:p>
    <w:p w14:paraId="29AA1C20" w14:textId="77777777" w:rsidR="00C74620" w:rsidRPr="00F518F9" w:rsidRDefault="00C74620">
      <w:pPr>
        <w:rPr>
          <w:rFonts w:ascii="Verdana" w:eastAsia="Verdana" w:hAnsi="Verdana" w:cs="Verdana"/>
          <w:color w:val="000000"/>
          <w:sz w:val="20"/>
          <w:szCs w:val="20"/>
        </w:rPr>
      </w:pPr>
    </w:p>
    <w:p w14:paraId="7E05BC68" w14:textId="77777777" w:rsidR="00C74620" w:rsidRPr="00F518F9" w:rsidRDefault="00C0503D" w:rsidP="000668A8">
      <w:pPr>
        <w:numPr>
          <w:ilvl w:val="0"/>
          <w:numId w:val="1"/>
        </w:numPr>
        <w:pBdr>
          <w:top w:val="nil"/>
          <w:left w:val="nil"/>
          <w:bottom w:val="nil"/>
          <w:right w:val="nil"/>
          <w:between w:val="nil"/>
        </w:pBdr>
        <w:jc w:val="both"/>
        <w:rPr>
          <w:rFonts w:ascii="Verdana" w:eastAsia="Verdana" w:hAnsi="Verdana" w:cs="Verdana"/>
          <w:b/>
          <w:color w:val="000000"/>
          <w:sz w:val="20"/>
          <w:szCs w:val="20"/>
        </w:rPr>
      </w:pPr>
      <w:bookmarkStart w:id="0" w:name="_heading=h.l3dxu592fsdp" w:colFirst="0" w:colLast="0"/>
      <w:bookmarkEnd w:id="0"/>
      <w:r w:rsidRPr="00F518F9">
        <w:rPr>
          <w:rFonts w:ascii="Verdana" w:eastAsia="Verdana" w:hAnsi="Verdana" w:cs="Verdana"/>
          <w:b/>
          <w:color w:val="000000"/>
          <w:sz w:val="20"/>
          <w:szCs w:val="20"/>
        </w:rPr>
        <w:t>SITIO DONDE LA ENTIDAD ATENDERÁ A LOS INTERESADOS EN PARTICIPAR EN EL PROCESO DE SELECCIÓN Y DONDE LOS INTERESADOS DEBEN PRESENTAR LOS DOCUMENTOS EN DESARROLLO DEL MISMO</w:t>
      </w:r>
    </w:p>
    <w:p w14:paraId="3D19D83E" w14:textId="77777777" w:rsidR="00C74620" w:rsidRPr="00F518F9" w:rsidRDefault="00C74620">
      <w:pPr>
        <w:rPr>
          <w:rFonts w:ascii="Verdana" w:eastAsia="Verdana" w:hAnsi="Verdana" w:cs="Verdana"/>
          <w:b/>
          <w:color w:val="000000"/>
          <w:sz w:val="20"/>
          <w:szCs w:val="20"/>
        </w:rPr>
      </w:pPr>
    </w:p>
    <w:p w14:paraId="2389A31C" w14:textId="77777777" w:rsidR="00C74620" w:rsidRPr="00F518F9" w:rsidRDefault="00C0503D" w:rsidP="000668A8">
      <w:pPr>
        <w:jc w:val="both"/>
        <w:rPr>
          <w:rFonts w:ascii="Verdana" w:eastAsia="Verdana" w:hAnsi="Verdana" w:cs="Verdana"/>
          <w:color w:val="000000"/>
          <w:sz w:val="20"/>
          <w:szCs w:val="20"/>
        </w:rPr>
      </w:pPr>
      <w:r w:rsidRPr="00F518F9">
        <w:rPr>
          <w:rFonts w:ascii="Verdana" w:eastAsia="Verdana" w:hAnsi="Verdana" w:cs="Verdana"/>
          <w:sz w:val="20"/>
          <w:szCs w:val="20"/>
        </w:rPr>
        <w:t xml:space="preserve">La entidad atenderá a los interesados en participar en el proceso de selección, a través en el Portal Único de Contratación: </w:t>
      </w:r>
      <w:hyperlink r:id="rId8">
        <w:r w:rsidRPr="00F518F9">
          <w:rPr>
            <w:rFonts w:ascii="Verdana" w:eastAsia="Verdana" w:hAnsi="Verdana" w:cs="Verdana"/>
            <w:color w:val="0000FF"/>
            <w:sz w:val="20"/>
            <w:szCs w:val="20"/>
            <w:u w:val="single"/>
          </w:rPr>
          <w:t>www.colombiacompra.gov.co/secop-ii</w:t>
        </w:r>
      </w:hyperlink>
    </w:p>
    <w:p w14:paraId="724321D1" w14:textId="77777777" w:rsidR="00C74620" w:rsidRPr="00F518F9" w:rsidRDefault="00C74620" w:rsidP="000668A8">
      <w:pPr>
        <w:jc w:val="both"/>
        <w:rPr>
          <w:rFonts w:ascii="Verdana" w:eastAsia="Verdana" w:hAnsi="Verdana" w:cs="Verdana"/>
          <w:b/>
          <w:color w:val="000000"/>
          <w:sz w:val="20"/>
          <w:szCs w:val="20"/>
        </w:rPr>
      </w:pPr>
    </w:p>
    <w:p w14:paraId="1475350E" w14:textId="77777777" w:rsidR="00C74620" w:rsidRPr="00F518F9" w:rsidRDefault="00C0503D" w:rsidP="000668A8">
      <w:pPr>
        <w:jc w:val="both"/>
        <w:rPr>
          <w:rFonts w:ascii="Verdana" w:eastAsia="Verdana" w:hAnsi="Verdana" w:cs="Verdana"/>
          <w:color w:val="000000"/>
          <w:sz w:val="20"/>
          <w:szCs w:val="20"/>
        </w:rPr>
      </w:pPr>
      <w:r w:rsidRPr="00F518F9">
        <w:rPr>
          <w:rFonts w:ascii="Verdana" w:eastAsia="Verdana" w:hAnsi="Verdana" w:cs="Verdana"/>
          <w:color w:val="000000"/>
          <w:sz w:val="20"/>
          <w:szCs w:val="20"/>
        </w:rPr>
        <w:t xml:space="preserve">Los documentos que deben presentar los interesados en desarrollo del proceso de selección se recibirán a través de la citada plataforma.  </w:t>
      </w:r>
    </w:p>
    <w:p w14:paraId="6F8123BD" w14:textId="77777777" w:rsidR="00C74620" w:rsidRPr="00F518F9" w:rsidRDefault="00C74620" w:rsidP="000668A8">
      <w:pPr>
        <w:jc w:val="both"/>
        <w:rPr>
          <w:rFonts w:ascii="Verdana" w:eastAsia="Verdana" w:hAnsi="Verdana" w:cs="Verdana"/>
          <w:b/>
          <w:color w:val="000000"/>
          <w:sz w:val="20"/>
          <w:szCs w:val="20"/>
        </w:rPr>
      </w:pPr>
    </w:p>
    <w:p w14:paraId="4844F8B4" w14:textId="77777777" w:rsidR="00C74620" w:rsidRPr="00F518F9" w:rsidRDefault="00C0503D" w:rsidP="000668A8">
      <w:pPr>
        <w:jc w:val="both"/>
        <w:rPr>
          <w:rFonts w:ascii="Verdana" w:eastAsia="Verdana" w:hAnsi="Verdana" w:cs="Verdana"/>
          <w:color w:val="000000"/>
          <w:sz w:val="20"/>
          <w:szCs w:val="20"/>
        </w:rPr>
      </w:pPr>
      <w:r w:rsidRPr="00F518F9">
        <w:rPr>
          <w:rFonts w:ascii="Verdana" w:eastAsia="Verdana" w:hAnsi="Verdana" w:cs="Verdana"/>
          <w:color w:val="000000"/>
          <w:sz w:val="20"/>
          <w:szCs w:val="20"/>
        </w:rPr>
        <w:t xml:space="preserve">En el “Documento adicional al proyecto de pliego de condiciones” y del “Documento adicional pliego de condiciones definitivo, según cada etapa del proceso, se indicará el correo electrónico a través del cual, los interesados pueden comunicarse con la entidad, si la plataforma SECOP II no está disponible, en los casos que apliquen, de acuerdo con el PROTOCOLO DE INDISPONIBILIDAD DEL SECOP II. </w:t>
      </w:r>
    </w:p>
    <w:p w14:paraId="1905F2BA" w14:textId="77777777" w:rsidR="00C74620" w:rsidRPr="00F518F9" w:rsidRDefault="00C74620" w:rsidP="000668A8">
      <w:pPr>
        <w:jc w:val="both"/>
        <w:rPr>
          <w:rFonts w:ascii="Verdana" w:eastAsia="Verdana" w:hAnsi="Verdana" w:cs="Verdana"/>
          <w:color w:val="000000"/>
          <w:sz w:val="20"/>
          <w:szCs w:val="20"/>
        </w:rPr>
      </w:pPr>
    </w:p>
    <w:p w14:paraId="14B5E6C2" w14:textId="77777777" w:rsidR="007D7B01" w:rsidRPr="004E2C0B" w:rsidRDefault="00C0503D" w:rsidP="000668A8">
      <w:pPr>
        <w:numPr>
          <w:ilvl w:val="0"/>
          <w:numId w:val="1"/>
        </w:numPr>
        <w:pBdr>
          <w:top w:val="nil"/>
          <w:left w:val="nil"/>
          <w:bottom w:val="nil"/>
          <w:right w:val="nil"/>
          <w:between w:val="nil"/>
        </w:pBdr>
        <w:jc w:val="both"/>
        <w:rPr>
          <w:rFonts w:ascii="Verdana" w:eastAsia="Verdana" w:hAnsi="Verdana" w:cs="Verdana"/>
          <w:color w:val="000000"/>
          <w:sz w:val="20"/>
          <w:szCs w:val="20"/>
        </w:rPr>
      </w:pPr>
      <w:r w:rsidRPr="00F518F9">
        <w:rPr>
          <w:rFonts w:ascii="Verdana" w:eastAsia="Verdana" w:hAnsi="Verdana" w:cs="Verdana"/>
          <w:b/>
          <w:color w:val="000000"/>
          <w:sz w:val="20"/>
          <w:szCs w:val="20"/>
        </w:rPr>
        <w:t xml:space="preserve">OBJETO DEL CONTRATO A CELEBRAR: </w:t>
      </w:r>
    </w:p>
    <w:p w14:paraId="6C22B1D4" w14:textId="77777777" w:rsidR="004E2C0B" w:rsidRPr="00F518F9" w:rsidRDefault="004E2C0B" w:rsidP="004E2C0B">
      <w:pPr>
        <w:pBdr>
          <w:top w:val="nil"/>
          <w:left w:val="nil"/>
          <w:bottom w:val="nil"/>
          <w:right w:val="nil"/>
          <w:between w:val="nil"/>
        </w:pBdr>
        <w:ind w:left="720"/>
        <w:rPr>
          <w:rFonts w:ascii="Verdana" w:eastAsia="Verdana" w:hAnsi="Verdana" w:cs="Verdana"/>
          <w:color w:val="000000"/>
          <w:sz w:val="20"/>
          <w:szCs w:val="20"/>
        </w:rPr>
      </w:pPr>
    </w:p>
    <w:p w14:paraId="73703967" w14:textId="39A71CDC" w:rsidR="00F377D9" w:rsidRDefault="00667B48" w:rsidP="00667B48">
      <w:pPr>
        <w:jc w:val="both"/>
        <w:rPr>
          <w:rFonts w:ascii="Verdana" w:eastAsia="Verdana" w:hAnsi="Verdana" w:cs="Verdana"/>
          <w:color w:val="000000"/>
          <w:sz w:val="20"/>
          <w:szCs w:val="20"/>
        </w:rPr>
      </w:pPr>
      <w:r w:rsidRPr="00667B48">
        <w:rPr>
          <w:rFonts w:ascii="Verdana" w:eastAsia="Verdana" w:hAnsi="Verdana" w:cs="Verdana"/>
          <w:color w:val="000000"/>
          <w:sz w:val="20"/>
          <w:szCs w:val="20"/>
        </w:rPr>
        <w:t>Contratar con una o varias compañías de seguros legalmente autorizadas para funcionar en el país, las pólizas de aviación para drones o aeronaves piloteadas a distancia RPA’S, Automóviles, Seguro de daños corporales causados a las personas en accidentes de tránsito – SOAT y Responsabilidad Civil Servidores Públicos requeridos para la adecuada protección de los bienes e intereses patrimoniales del SERVICIO GEOLÓGICO COLOMBIANO, así como de aquellos por los que sea o fuere legalmente responsable o le corresponda asegurar en virtud de disposición legal o contractual y cualquier otra póliza de seguros que requiera la entidad en el desarrollo de su actividad.</w:t>
      </w:r>
    </w:p>
    <w:p w14:paraId="4C792CE3" w14:textId="77777777" w:rsidR="00667B48" w:rsidRPr="00F518F9" w:rsidRDefault="00667B48" w:rsidP="00667B48">
      <w:pPr>
        <w:jc w:val="both"/>
        <w:rPr>
          <w:rFonts w:ascii="Verdana" w:eastAsia="Verdana" w:hAnsi="Verdana" w:cs="Verdana"/>
          <w:sz w:val="20"/>
          <w:szCs w:val="20"/>
        </w:rPr>
      </w:pPr>
    </w:p>
    <w:p w14:paraId="3A490074"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MODALIDAD DE SELECCIÓN DEL CONTRATISTA</w:t>
      </w:r>
    </w:p>
    <w:p w14:paraId="1DA33A8F" w14:textId="77777777" w:rsidR="00C74620" w:rsidRPr="00F518F9" w:rsidRDefault="00C74620">
      <w:pPr>
        <w:rPr>
          <w:rFonts w:ascii="Verdana" w:eastAsia="Verdana" w:hAnsi="Verdana" w:cs="Verdana"/>
          <w:sz w:val="20"/>
          <w:szCs w:val="20"/>
        </w:rPr>
      </w:pPr>
    </w:p>
    <w:p w14:paraId="1A0A4051" w14:textId="60FA774C"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 xml:space="preserve"> Selección Abreviada </w:t>
      </w:r>
      <w:r w:rsidR="00667B48">
        <w:rPr>
          <w:rFonts w:ascii="Verdana" w:eastAsia="Verdana" w:hAnsi="Verdana" w:cs="Verdana"/>
          <w:sz w:val="20"/>
          <w:szCs w:val="20"/>
        </w:rPr>
        <w:t xml:space="preserve">de Menor </w:t>
      </w:r>
      <w:r w:rsidR="00D56BFD">
        <w:rPr>
          <w:rFonts w:ascii="Verdana" w:eastAsia="Verdana" w:hAnsi="Verdana" w:cs="Verdana"/>
          <w:sz w:val="20"/>
          <w:szCs w:val="20"/>
        </w:rPr>
        <w:t>cuantía</w:t>
      </w:r>
    </w:p>
    <w:p w14:paraId="16521807" w14:textId="77777777" w:rsidR="00C74620" w:rsidRPr="00F518F9" w:rsidRDefault="00C74620">
      <w:pPr>
        <w:rPr>
          <w:rFonts w:ascii="Verdana" w:eastAsia="Verdana" w:hAnsi="Verdana" w:cs="Verdana"/>
          <w:b/>
          <w:color w:val="000000"/>
          <w:sz w:val="20"/>
          <w:szCs w:val="20"/>
        </w:rPr>
      </w:pPr>
    </w:p>
    <w:p w14:paraId="66708BA6"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PLAZO ESTIMADO DEL CONTRATO</w:t>
      </w:r>
    </w:p>
    <w:p w14:paraId="06AA479C" w14:textId="77777777" w:rsidR="00C74620" w:rsidRPr="00EF6DE1" w:rsidRDefault="00C74620">
      <w:pPr>
        <w:rPr>
          <w:rFonts w:ascii="Verdana" w:eastAsia="Verdana" w:hAnsi="Verdana" w:cs="Verdana"/>
          <w:sz w:val="20"/>
          <w:szCs w:val="20"/>
        </w:rPr>
      </w:pPr>
    </w:p>
    <w:p w14:paraId="48CE7139" w14:textId="77777777" w:rsidR="00422825" w:rsidRPr="00A02BDF" w:rsidRDefault="00422825" w:rsidP="00422825">
      <w:pPr>
        <w:pStyle w:val="NormalWeb"/>
        <w:spacing w:before="0" w:beforeAutospacing="0" w:after="160" w:afterAutospacing="0"/>
        <w:rPr>
          <w:rFonts w:ascii="Verdana" w:hAnsi="Verdana"/>
          <w:b/>
          <w:bCs/>
          <w:color w:val="000000"/>
          <w:sz w:val="22"/>
          <w:szCs w:val="22"/>
        </w:rPr>
      </w:pPr>
      <w:r>
        <w:rPr>
          <w:rFonts w:ascii="Verdana" w:hAnsi="Verdana"/>
          <w:sz w:val="22"/>
          <w:szCs w:val="22"/>
        </w:rPr>
        <w:t xml:space="preserve">El plazo de ejecución corresponderá a la vigencia de las pólizas ofrecida por EL CONTRATISTA en su propuesta, la cual en ningún caso podrá ser inferior a la señalada </w:t>
      </w:r>
      <w:r>
        <w:rPr>
          <w:rFonts w:ascii="Verdana" w:hAnsi="Verdana"/>
          <w:sz w:val="22"/>
          <w:szCs w:val="22"/>
        </w:rPr>
        <w:lastRenderedPageBreak/>
        <w:t>a continuación para cada grupo, contada a partir de la fecha de vencimiento actual de cada una de las pólizas, previo cumplimiento de los requisitos de perfeccionamiento y ejecución del contrato:</w:t>
      </w:r>
    </w:p>
    <w:p w14:paraId="32DA81CE" w14:textId="77777777" w:rsidR="00422825" w:rsidRPr="005B4DBE" w:rsidRDefault="00422825" w:rsidP="00422825">
      <w:pPr>
        <w:adjustRightInd w:val="0"/>
        <w:ind w:left="142" w:right="-1"/>
        <w:jc w:val="both"/>
        <w:rPr>
          <w:rFonts w:ascii="Verdana" w:hAnsi="Verdana" w:cs="Arial"/>
          <w:sz w:val="22"/>
          <w:szCs w:val="22"/>
        </w:rPr>
      </w:pPr>
      <w:r>
        <w:rPr>
          <w:rFonts w:ascii="Verdana" w:hAnsi="Verdana" w:cs="Arial"/>
          <w:sz w:val="22"/>
          <w:szCs w:val="22"/>
        </w:rPr>
        <w:t xml:space="preserve">• </w:t>
      </w:r>
      <w:r>
        <w:rPr>
          <w:rFonts w:ascii="Verdana" w:hAnsi="Verdana" w:cs="Arial"/>
          <w:b/>
          <w:bCs/>
          <w:sz w:val="22"/>
          <w:szCs w:val="22"/>
        </w:rPr>
        <w:t>GRUPO 1 – Seguro de Responsabilidad Civil y Casco Aviación para Sistemas de Aeronaves no Tripuladas (UAS) y/o Aeronaves Piloteadas a Distancia RPA’S:</w:t>
      </w:r>
      <w:r>
        <w:rPr>
          <w:rFonts w:ascii="Verdana" w:hAnsi="Verdana" w:cs="Arial"/>
          <w:sz w:val="22"/>
          <w:szCs w:val="22"/>
        </w:rPr>
        <w:t xml:space="preserve"> ciento setenta y tres (173) días, contados a partir de las 00:00 horas de la fecha de suscripción del acta de inicio.</w:t>
      </w:r>
    </w:p>
    <w:p w14:paraId="03B29D79" w14:textId="77777777" w:rsidR="00422825" w:rsidRPr="005B4DBE" w:rsidRDefault="00422825" w:rsidP="00422825">
      <w:pPr>
        <w:adjustRightInd w:val="0"/>
        <w:ind w:left="142" w:right="-1"/>
        <w:jc w:val="both"/>
        <w:rPr>
          <w:rFonts w:ascii="Verdana" w:hAnsi="Verdana" w:cs="Arial"/>
          <w:sz w:val="22"/>
          <w:szCs w:val="22"/>
        </w:rPr>
      </w:pPr>
      <w:r>
        <w:rPr>
          <w:rFonts w:ascii="Verdana" w:hAnsi="Verdana" w:cs="Arial"/>
          <w:sz w:val="22"/>
          <w:szCs w:val="22"/>
        </w:rPr>
        <w:t xml:space="preserve">• </w:t>
      </w:r>
      <w:r>
        <w:rPr>
          <w:rFonts w:ascii="Verdana" w:hAnsi="Verdana" w:cs="Arial"/>
          <w:b/>
          <w:bCs/>
          <w:sz w:val="22"/>
          <w:szCs w:val="22"/>
        </w:rPr>
        <w:t>GRUPO 2 – Seguro de Automóviles:</w:t>
      </w:r>
      <w:r>
        <w:rPr>
          <w:rFonts w:ascii="Verdana" w:hAnsi="Verdana" w:cs="Arial"/>
          <w:sz w:val="22"/>
          <w:szCs w:val="22"/>
        </w:rPr>
        <w:t xml:space="preserve"> trescientos sesenta y cinco (365) días, desde las 00:00 horas del 30 de noviembre de 2026 hasta las 00:00 horas del 30 de noviembre de 2027.</w:t>
      </w:r>
    </w:p>
    <w:p w14:paraId="764FD211" w14:textId="77777777" w:rsidR="00422825" w:rsidRPr="005B4DBE" w:rsidRDefault="00422825" w:rsidP="00422825">
      <w:pPr>
        <w:adjustRightInd w:val="0"/>
        <w:ind w:left="142" w:right="-1"/>
        <w:jc w:val="both"/>
        <w:rPr>
          <w:rFonts w:ascii="Verdana" w:hAnsi="Verdana" w:cs="Arial"/>
          <w:sz w:val="22"/>
          <w:szCs w:val="22"/>
        </w:rPr>
      </w:pPr>
      <w:r>
        <w:rPr>
          <w:rFonts w:ascii="Verdana" w:hAnsi="Verdana" w:cs="Arial"/>
          <w:sz w:val="22"/>
          <w:szCs w:val="22"/>
        </w:rPr>
        <w:t xml:space="preserve">• </w:t>
      </w:r>
      <w:r>
        <w:rPr>
          <w:rFonts w:ascii="Verdana" w:hAnsi="Verdana" w:cs="Arial"/>
          <w:b/>
          <w:bCs/>
          <w:sz w:val="22"/>
          <w:szCs w:val="22"/>
        </w:rPr>
        <w:t>GRUPO 3 – Seguro de Responsabilidad Civil Servidores Públicos:</w:t>
      </w:r>
      <w:r>
        <w:rPr>
          <w:rFonts w:ascii="Verdana" w:hAnsi="Verdana" w:cs="Arial"/>
          <w:sz w:val="22"/>
          <w:szCs w:val="22"/>
        </w:rPr>
        <w:t xml:space="preserve"> trescientos sesenta y cinco (365) días, desde las 00:00 horas del 30 de noviembre de 2026 hasta las 00:00 horas del 30 de noviembre de 2027.</w:t>
      </w:r>
    </w:p>
    <w:p w14:paraId="6F3ACF55" w14:textId="77777777" w:rsidR="00422825" w:rsidRPr="005B4DBE" w:rsidRDefault="00422825" w:rsidP="00422825">
      <w:pPr>
        <w:adjustRightInd w:val="0"/>
        <w:ind w:left="142" w:right="-1"/>
        <w:jc w:val="both"/>
        <w:rPr>
          <w:rFonts w:ascii="Verdana" w:hAnsi="Verdana" w:cs="Arial"/>
          <w:sz w:val="22"/>
          <w:szCs w:val="22"/>
        </w:rPr>
      </w:pPr>
      <w:r>
        <w:rPr>
          <w:rFonts w:ascii="Verdana" w:hAnsi="Verdana" w:cs="Arial"/>
          <w:sz w:val="22"/>
          <w:szCs w:val="22"/>
        </w:rPr>
        <w:t xml:space="preserve">• </w:t>
      </w:r>
      <w:r>
        <w:rPr>
          <w:rFonts w:ascii="Verdana" w:hAnsi="Verdana" w:cs="Arial"/>
          <w:b/>
          <w:bCs/>
          <w:sz w:val="22"/>
          <w:szCs w:val="22"/>
        </w:rPr>
        <w:t>GRUPO 4 – Seguro de daños corporales causados a las personas en accidentes de tránsito – SOAT:</w:t>
      </w:r>
      <w:r>
        <w:rPr>
          <w:rFonts w:ascii="Verdana" w:hAnsi="Verdana" w:cs="Arial"/>
          <w:sz w:val="22"/>
          <w:szCs w:val="22"/>
        </w:rPr>
        <w:t xml:space="preserve"> trescientos sesenta y cinco (365) días para cada seguro, contados a partir de la fecha de vencimiento de cada uno, según la hoja 6. RELACIÓN SOAT del Anexo No. 2 – Estudio de Mercado.</w:t>
      </w:r>
    </w:p>
    <w:p w14:paraId="1CD1C2FA" w14:textId="77777777" w:rsidR="002E1B5E" w:rsidRPr="00911C58" w:rsidRDefault="002E1B5E" w:rsidP="002E1B5E">
      <w:pPr>
        <w:autoSpaceDE w:val="0"/>
        <w:autoSpaceDN w:val="0"/>
        <w:adjustRightInd w:val="0"/>
        <w:rPr>
          <w:rFonts w:ascii="NimbusSans-Regular" w:hAnsi="NimbusSans-Regular" w:cs="NimbusSans-Regular"/>
          <w:sz w:val="17"/>
          <w:szCs w:val="17"/>
          <w:lang w:eastAsia="es-CO"/>
        </w:rPr>
      </w:pPr>
    </w:p>
    <w:p w14:paraId="3CAD371F"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FECHA LÍMITE PARA LA PRESENTACIÓN DE LAS OFERTAS Y LUGAR Y FORMA DE PRESENTACIÓN DE LAS MISMAS.</w:t>
      </w:r>
    </w:p>
    <w:p w14:paraId="5C287933"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17BE8AAC" w14:textId="77777777" w:rsidR="00C74620" w:rsidRPr="00F518F9" w:rsidRDefault="00C0503D" w:rsidP="000668A8">
      <w:pPr>
        <w:jc w:val="both"/>
        <w:rPr>
          <w:rFonts w:ascii="Verdana" w:eastAsia="Verdana" w:hAnsi="Verdana" w:cs="Verdana"/>
          <w:sz w:val="20"/>
          <w:szCs w:val="20"/>
        </w:rPr>
      </w:pPr>
      <w:r w:rsidRPr="00F518F9">
        <w:rPr>
          <w:rFonts w:ascii="Verdana" w:eastAsia="Verdana" w:hAnsi="Verdana" w:cs="Verdana"/>
          <w:color w:val="000000"/>
          <w:sz w:val="20"/>
          <w:szCs w:val="20"/>
        </w:rPr>
        <w:t xml:space="preserve">La fecha y hora límites para la presentación de las propuestas, serán las que se establecen en la plataforma transaccional de SECOP II, </w:t>
      </w:r>
      <w:r w:rsidRPr="00F518F9">
        <w:rPr>
          <w:rFonts w:ascii="Verdana" w:eastAsia="Verdana" w:hAnsi="Verdana" w:cs="Verdana"/>
          <w:sz w:val="20"/>
          <w:szCs w:val="20"/>
        </w:rPr>
        <w:t>sin perjuicio de las modificaciones a que hubiere lugar en el curso del proceso de selección.</w:t>
      </w:r>
    </w:p>
    <w:p w14:paraId="03DAA69B" w14:textId="77777777" w:rsidR="00C74620" w:rsidRPr="00F518F9" w:rsidRDefault="00C74620" w:rsidP="000668A8">
      <w:pPr>
        <w:jc w:val="both"/>
        <w:rPr>
          <w:rFonts w:ascii="Verdana" w:eastAsia="Verdana" w:hAnsi="Verdana" w:cs="Verdana"/>
          <w:color w:val="000000"/>
          <w:sz w:val="20"/>
          <w:szCs w:val="20"/>
        </w:rPr>
      </w:pPr>
    </w:p>
    <w:p w14:paraId="76362BAC" w14:textId="77777777" w:rsidR="00C74620" w:rsidRPr="00F518F9" w:rsidRDefault="00C0503D" w:rsidP="000668A8">
      <w:pPr>
        <w:jc w:val="both"/>
        <w:rPr>
          <w:rFonts w:ascii="Verdana" w:eastAsia="Verdana" w:hAnsi="Verdana" w:cs="Verdana"/>
          <w:color w:val="000000"/>
          <w:sz w:val="20"/>
          <w:szCs w:val="20"/>
        </w:rPr>
      </w:pPr>
      <w:r w:rsidRPr="00F518F9">
        <w:rPr>
          <w:rFonts w:ascii="Verdana" w:eastAsia="Verdana" w:hAnsi="Verdana" w:cs="Verdana"/>
          <w:color w:val="000000"/>
          <w:sz w:val="20"/>
          <w:szCs w:val="20"/>
        </w:rPr>
        <w:t xml:space="preserve">Las ofertas se deben presentar a través de la plataforma transaccional de SECOP II. </w:t>
      </w:r>
    </w:p>
    <w:p w14:paraId="17365B80" w14:textId="77777777" w:rsidR="00C74620" w:rsidRPr="00F518F9" w:rsidRDefault="00C74620">
      <w:pPr>
        <w:rPr>
          <w:rFonts w:ascii="Verdana" w:eastAsia="Verdana" w:hAnsi="Verdana" w:cs="Verdana"/>
          <w:color w:val="000000"/>
          <w:sz w:val="20"/>
          <w:szCs w:val="20"/>
        </w:rPr>
      </w:pPr>
    </w:p>
    <w:p w14:paraId="1B60F446" w14:textId="77777777" w:rsidR="00C74620" w:rsidRPr="00F518F9" w:rsidRDefault="00C74620">
      <w:pPr>
        <w:ind w:left="360"/>
        <w:rPr>
          <w:rFonts w:ascii="Verdana" w:eastAsia="Verdana" w:hAnsi="Verdana" w:cs="Verdana"/>
          <w:b/>
          <w:color w:val="000000"/>
          <w:sz w:val="20"/>
          <w:szCs w:val="20"/>
        </w:rPr>
      </w:pPr>
    </w:p>
    <w:p w14:paraId="7187F2CD"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 xml:space="preserve">PRESUPUESTO OFICIAL ESTIMADO </w:t>
      </w:r>
    </w:p>
    <w:p w14:paraId="077A865B" w14:textId="77777777" w:rsidR="00C74620" w:rsidRPr="00F518F9" w:rsidRDefault="00C74620">
      <w:pPr>
        <w:ind w:left="360"/>
        <w:rPr>
          <w:rFonts w:ascii="Verdana" w:eastAsia="Verdana" w:hAnsi="Verdana" w:cs="Verdana"/>
          <w:b/>
          <w:color w:val="000000"/>
          <w:sz w:val="20"/>
          <w:szCs w:val="20"/>
        </w:rPr>
      </w:pPr>
    </w:p>
    <w:p w14:paraId="6F4093AB" w14:textId="77777777" w:rsidR="00F678CB" w:rsidRDefault="00F678CB" w:rsidP="00F678CB">
      <w:pPr>
        <w:pBdr>
          <w:top w:val="nil"/>
          <w:left w:val="nil"/>
          <w:bottom w:val="nil"/>
          <w:right w:val="nil"/>
          <w:between w:val="nil"/>
        </w:pBdr>
        <w:spacing w:after="160"/>
        <w:ind w:right="108"/>
        <w:jc w:val="both"/>
        <w:rPr>
          <w:rFonts w:ascii="Verdana" w:eastAsia="Verdana" w:hAnsi="Verdana" w:cs="Verdana"/>
          <w:sz w:val="20"/>
          <w:szCs w:val="20"/>
        </w:rPr>
      </w:pPr>
      <w:r>
        <w:rPr>
          <w:rFonts w:ascii="Verdana" w:eastAsia="Verdana" w:hAnsi="Verdana" w:cs="Verdana"/>
          <w:sz w:val="20"/>
          <w:szCs w:val="20"/>
        </w:rPr>
        <w:t xml:space="preserve">El presupuesto oficial para el presente proceso de contratación será hasta la suma de </w:t>
      </w:r>
      <w:r>
        <w:rPr>
          <w:rFonts w:ascii="Verdana" w:eastAsia="Verdana" w:hAnsi="Verdana" w:cs="Verdana"/>
          <w:b/>
          <w:sz w:val="20"/>
          <w:szCs w:val="20"/>
        </w:rPr>
        <w:t>CUATROCIENTOS OCHENTA Y NUEVE MILLONES SEISCIENTOS SESENTA MIL DOSCIENTOS TREINTA Y UN PESOS M/CTE ($489.660.231)</w:t>
      </w:r>
      <w:r>
        <w:rPr>
          <w:rFonts w:ascii="Verdana" w:eastAsia="Verdana" w:hAnsi="Verdana" w:cs="Verdana"/>
          <w:sz w:val="20"/>
          <w:szCs w:val="20"/>
        </w:rPr>
        <w:t>, incluido el IVA y todos los demás impuestos, tasas, contribuciones, gravámenes, costos directos e indirectos y conceptos que conlleve la celebración y ejecución total del contrato que resulte del presente proceso de selección, determinado con base en el estudio de mercado. El presupuesto se desagrega por grupos así:</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00"/>
        <w:gridCol w:w="5000"/>
        <w:gridCol w:w="2500"/>
      </w:tblGrid>
      <w:tr w:rsidR="00F678CB" w14:paraId="7584CC67" w14:textId="77777777" w:rsidTr="008B7F00">
        <w:trPr>
          <w:jc w:val="center"/>
        </w:trPr>
        <w:tc>
          <w:tcPr>
            <w:tcW w:w="1500" w:type="dxa"/>
            <w:shd w:val="clear" w:color="auto" w:fill="D9E2F3"/>
            <w:vAlign w:val="center"/>
          </w:tcPr>
          <w:p w14:paraId="1B6DF139" w14:textId="77777777" w:rsidR="00F678CB" w:rsidRDefault="00F678CB" w:rsidP="008B7F00">
            <w:pPr>
              <w:spacing w:before="40" w:after="40"/>
              <w:ind w:left="80" w:right="80"/>
              <w:jc w:val="center"/>
            </w:pPr>
            <w:r>
              <w:rPr>
                <w:rFonts w:ascii="Verdana" w:hAnsi="Verdana"/>
                <w:b/>
                <w:bCs/>
                <w:sz w:val="18"/>
                <w:szCs w:val="18"/>
              </w:rPr>
              <w:t>Grupo</w:t>
            </w:r>
          </w:p>
        </w:tc>
        <w:tc>
          <w:tcPr>
            <w:tcW w:w="5000" w:type="dxa"/>
            <w:shd w:val="clear" w:color="auto" w:fill="D9E2F3"/>
            <w:vAlign w:val="center"/>
          </w:tcPr>
          <w:p w14:paraId="63CBD2F9" w14:textId="77777777" w:rsidR="00F678CB" w:rsidRDefault="00F678CB" w:rsidP="008B7F00">
            <w:pPr>
              <w:spacing w:before="40" w:after="40"/>
              <w:ind w:left="80" w:right="80"/>
              <w:jc w:val="center"/>
            </w:pPr>
            <w:r>
              <w:rPr>
                <w:rFonts w:ascii="Verdana" w:hAnsi="Verdana"/>
                <w:b/>
                <w:bCs/>
                <w:sz w:val="18"/>
                <w:szCs w:val="18"/>
              </w:rPr>
              <w:t>Seguro</w:t>
            </w:r>
          </w:p>
        </w:tc>
        <w:tc>
          <w:tcPr>
            <w:tcW w:w="2500" w:type="dxa"/>
            <w:shd w:val="clear" w:color="auto" w:fill="D9E2F3"/>
            <w:vAlign w:val="center"/>
          </w:tcPr>
          <w:p w14:paraId="1D698E4C" w14:textId="77777777" w:rsidR="00F678CB" w:rsidRDefault="00F678CB" w:rsidP="008B7F00">
            <w:pPr>
              <w:spacing w:before="40" w:after="40"/>
              <w:ind w:left="80" w:right="80"/>
              <w:jc w:val="center"/>
            </w:pPr>
            <w:r>
              <w:rPr>
                <w:rFonts w:ascii="Verdana" w:hAnsi="Verdana"/>
                <w:b/>
                <w:bCs/>
                <w:sz w:val="18"/>
                <w:szCs w:val="18"/>
              </w:rPr>
              <w:t>Presupuesto oficial (incluido IVA)</w:t>
            </w:r>
          </w:p>
        </w:tc>
      </w:tr>
      <w:tr w:rsidR="00F678CB" w14:paraId="03A936E8" w14:textId="77777777" w:rsidTr="008B7F00">
        <w:trPr>
          <w:jc w:val="center"/>
        </w:trPr>
        <w:tc>
          <w:tcPr>
            <w:tcW w:w="1500" w:type="dxa"/>
            <w:vAlign w:val="center"/>
          </w:tcPr>
          <w:p w14:paraId="02A2809C" w14:textId="77777777" w:rsidR="00F678CB" w:rsidRDefault="00F678CB" w:rsidP="008B7F00">
            <w:pPr>
              <w:spacing w:before="40" w:after="40"/>
              <w:ind w:left="80" w:right="80"/>
              <w:jc w:val="center"/>
            </w:pPr>
            <w:r>
              <w:rPr>
                <w:rFonts w:ascii="Verdana" w:hAnsi="Verdana"/>
                <w:sz w:val="18"/>
                <w:szCs w:val="18"/>
              </w:rPr>
              <w:t>GRUPO 1</w:t>
            </w:r>
          </w:p>
        </w:tc>
        <w:tc>
          <w:tcPr>
            <w:tcW w:w="5000" w:type="dxa"/>
            <w:vAlign w:val="center"/>
          </w:tcPr>
          <w:p w14:paraId="2F2C9772" w14:textId="77777777" w:rsidR="00F678CB" w:rsidRDefault="00F678CB" w:rsidP="008B7F00">
            <w:pPr>
              <w:spacing w:before="40" w:after="40"/>
              <w:ind w:left="80" w:right="80"/>
            </w:pPr>
            <w:r>
              <w:rPr>
                <w:rFonts w:ascii="Verdana" w:hAnsi="Verdana"/>
                <w:sz w:val="18"/>
                <w:szCs w:val="18"/>
              </w:rPr>
              <w:t>Seguro de Responsabilidad Civil y Casco Aviación para Sistemas de Aeronaves no Tripuladas (UAS) y/o Aeronaves Piloteadas a Distancia RPA’S</w:t>
            </w:r>
          </w:p>
        </w:tc>
        <w:tc>
          <w:tcPr>
            <w:tcW w:w="2500" w:type="dxa"/>
            <w:vAlign w:val="center"/>
          </w:tcPr>
          <w:p w14:paraId="5CBAC1C9" w14:textId="77777777" w:rsidR="00F678CB" w:rsidRDefault="00F678CB" w:rsidP="008B7F00">
            <w:pPr>
              <w:spacing w:before="40" w:after="40"/>
              <w:ind w:left="80" w:right="80"/>
              <w:jc w:val="center"/>
            </w:pPr>
            <w:r>
              <w:rPr>
                <w:rFonts w:ascii="Verdana" w:hAnsi="Verdana"/>
                <w:sz w:val="18"/>
                <w:szCs w:val="18"/>
              </w:rPr>
              <w:t>$148.263.283</w:t>
            </w:r>
          </w:p>
        </w:tc>
      </w:tr>
      <w:tr w:rsidR="00F678CB" w14:paraId="59BDAD08" w14:textId="77777777" w:rsidTr="008B7F00">
        <w:trPr>
          <w:jc w:val="center"/>
        </w:trPr>
        <w:tc>
          <w:tcPr>
            <w:tcW w:w="1500" w:type="dxa"/>
            <w:vAlign w:val="center"/>
          </w:tcPr>
          <w:p w14:paraId="0DAC1190" w14:textId="77777777" w:rsidR="00F678CB" w:rsidRDefault="00F678CB" w:rsidP="008B7F00">
            <w:pPr>
              <w:spacing w:before="40" w:after="40"/>
              <w:ind w:left="80" w:right="80"/>
              <w:jc w:val="center"/>
            </w:pPr>
            <w:r>
              <w:rPr>
                <w:rFonts w:ascii="Verdana" w:hAnsi="Verdana"/>
                <w:sz w:val="18"/>
                <w:szCs w:val="18"/>
              </w:rPr>
              <w:t>GRUPO 2</w:t>
            </w:r>
          </w:p>
        </w:tc>
        <w:tc>
          <w:tcPr>
            <w:tcW w:w="5000" w:type="dxa"/>
            <w:vAlign w:val="center"/>
          </w:tcPr>
          <w:p w14:paraId="1D2A8C65" w14:textId="77777777" w:rsidR="00F678CB" w:rsidRDefault="00F678CB" w:rsidP="008B7F00">
            <w:pPr>
              <w:spacing w:before="40" w:after="40"/>
              <w:ind w:left="80" w:right="80"/>
            </w:pPr>
            <w:r>
              <w:rPr>
                <w:rFonts w:ascii="Verdana" w:hAnsi="Verdana"/>
                <w:sz w:val="18"/>
                <w:szCs w:val="18"/>
              </w:rPr>
              <w:t>Seguro de Automóviles</w:t>
            </w:r>
          </w:p>
        </w:tc>
        <w:tc>
          <w:tcPr>
            <w:tcW w:w="2500" w:type="dxa"/>
            <w:vAlign w:val="center"/>
          </w:tcPr>
          <w:p w14:paraId="0458B252" w14:textId="77777777" w:rsidR="00F678CB" w:rsidRDefault="00F678CB" w:rsidP="008B7F00">
            <w:pPr>
              <w:spacing w:before="40" w:after="40"/>
              <w:ind w:left="80" w:right="80"/>
              <w:jc w:val="center"/>
            </w:pPr>
            <w:r>
              <w:rPr>
                <w:rFonts w:ascii="Verdana" w:hAnsi="Verdana"/>
                <w:sz w:val="18"/>
                <w:szCs w:val="18"/>
              </w:rPr>
              <w:t>$130.169.124</w:t>
            </w:r>
          </w:p>
        </w:tc>
      </w:tr>
      <w:tr w:rsidR="00F678CB" w14:paraId="1B5700A1" w14:textId="77777777" w:rsidTr="008B7F00">
        <w:trPr>
          <w:jc w:val="center"/>
        </w:trPr>
        <w:tc>
          <w:tcPr>
            <w:tcW w:w="1500" w:type="dxa"/>
            <w:vAlign w:val="center"/>
          </w:tcPr>
          <w:p w14:paraId="5CA4036A" w14:textId="77777777" w:rsidR="00F678CB" w:rsidRDefault="00F678CB" w:rsidP="008B7F00">
            <w:pPr>
              <w:spacing w:before="40" w:after="40"/>
              <w:ind w:left="80" w:right="80"/>
              <w:jc w:val="center"/>
            </w:pPr>
            <w:r>
              <w:rPr>
                <w:rFonts w:ascii="Verdana" w:hAnsi="Verdana"/>
                <w:sz w:val="18"/>
                <w:szCs w:val="18"/>
              </w:rPr>
              <w:t>GRUPO 3</w:t>
            </w:r>
          </w:p>
        </w:tc>
        <w:tc>
          <w:tcPr>
            <w:tcW w:w="5000" w:type="dxa"/>
            <w:vAlign w:val="center"/>
          </w:tcPr>
          <w:p w14:paraId="1B23EED9" w14:textId="77777777" w:rsidR="00F678CB" w:rsidRDefault="00F678CB" w:rsidP="008B7F00">
            <w:pPr>
              <w:spacing w:before="40" w:after="40"/>
              <w:ind w:left="80" w:right="80"/>
            </w:pPr>
            <w:r>
              <w:rPr>
                <w:rFonts w:ascii="Verdana" w:hAnsi="Verdana"/>
                <w:sz w:val="18"/>
                <w:szCs w:val="18"/>
              </w:rPr>
              <w:t>Seguro de Responsabilidad Civil Servidores Públicos</w:t>
            </w:r>
          </w:p>
        </w:tc>
        <w:tc>
          <w:tcPr>
            <w:tcW w:w="2500" w:type="dxa"/>
            <w:vAlign w:val="center"/>
          </w:tcPr>
          <w:p w14:paraId="4C8EBF8A" w14:textId="77777777" w:rsidR="00F678CB" w:rsidRDefault="00F678CB" w:rsidP="008B7F00">
            <w:pPr>
              <w:spacing w:before="40" w:after="40"/>
              <w:ind w:left="80" w:right="80"/>
              <w:jc w:val="center"/>
            </w:pPr>
            <w:r>
              <w:rPr>
                <w:rFonts w:ascii="Verdana" w:hAnsi="Verdana"/>
                <w:sz w:val="18"/>
                <w:szCs w:val="18"/>
              </w:rPr>
              <w:t>$188.276.124</w:t>
            </w:r>
          </w:p>
        </w:tc>
      </w:tr>
      <w:tr w:rsidR="00F678CB" w14:paraId="1A0774A0" w14:textId="77777777" w:rsidTr="008B7F00">
        <w:trPr>
          <w:jc w:val="center"/>
        </w:trPr>
        <w:tc>
          <w:tcPr>
            <w:tcW w:w="1500" w:type="dxa"/>
            <w:vAlign w:val="center"/>
          </w:tcPr>
          <w:p w14:paraId="73BFDEC0" w14:textId="77777777" w:rsidR="00F678CB" w:rsidRDefault="00F678CB" w:rsidP="008B7F00">
            <w:pPr>
              <w:spacing w:before="40" w:after="40"/>
              <w:ind w:left="80" w:right="80"/>
              <w:jc w:val="center"/>
            </w:pPr>
            <w:r>
              <w:rPr>
                <w:rFonts w:ascii="Verdana" w:hAnsi="Verdana"/>
                <w:sz w:val="18"/>
                <w:szCs w:val="18"/>
              </w:rPr>
              <w:t>GRUPO 4</w:t>
            </w:r>
          </w:p>
        </w:tc>
        <w:tc>
          <w:tcPr>
            <w:tcW w:w="5000" w:type="dxa"/>
            <w:vAlign w:val="center"/>
          </w:tcPr>
          <w:p w14:paraId="22D169C8" w14:textId="77777777" w:rsidR="00F678CB" w:rsidRDefault="00F678CB" w:rsidP="008B7F00">
            <w:pPr>
              <w:spacing w:before="40" w:after="40"/>
              <w:ind w:left="80" w:right="80"/>
            </w:pPr>
            <w:r>
              <w:rPr>
                <w:rFonts w:ascii="Verdana" w:hAnsi="Verdana"/>
                <w:sz w:val="18"/>
                <w:szCs w:val="18"/>
              </w:rPr>
              <w:t>Seguro de daños corporales causados a las personas en accidentes de tránsito – SOAT</w:t>
            </w:r>
          </w:p>
        </w:tc>
        <w:tc>
          <w:tcPr>
            <w:tcW w:w="2500" w:type="dxa"/>
            <w:vAlign w:val="center"/>
          </w:tcPr>
          <w:p w14:paraId="56D3E510" w14:textId="77777777" w:rsidR="00F678CB" w:rsidRDefault="00F678CB" w:rsidP="008B7F00">
            <w:pPr>
              <w:spacing w:before="40" w:after="40"/>
              <w:ind w:left="80" w:right="80"/>
              <w:jc w:val="center"/>
            </w:pPr>
            <w:r>
              <w:rPr>
                <w:rFonts w:ascii="Verdana" w:hAnsi="Verdana"/>
                <w:sz w:val="18"/>
                <w:szCs w:val="18"/>
              </w:rPr>
              <w:t>$22.951.700</w:t>
            </w:r>
          </w:p>
        </w:tc>
      </w:tr>
      <w:tr w:rsidR="00F678CB" w14:paraId="4E670E98" w14:textId="77777777" w:rsidTr="008B7F00">
        <w:trPr>
          <w:jc w:val="center"/>
        </w:trPr>
        <w:tc>
          <w:tcPr>
            <w:tcW w:w="1500" w:type="dxa"/>
            <w:vAlign w:val="center"/>
          </w:tcPr>
          <w:p w14:paraId="2B11E17D" w14:textId="77777777" w:rsidR="00F678CB" w:rsidRDefault="00F678CB" w:rsidP="008B7F00">
            <w:pPr>
              <w:spacing w:before="40" w:after="40"/>
              <w:ind w:left="80" w:right="80"/>
              <w:jc w:val="center"/>
            </w:pPr>
            <w:r>
              <w:rPr>
                <w:rFonts w:ascii="Verdana" w:hAnsi="Verdana"/>
                <w:sz w:val="18"/>
                <w:szCs w:val="18"/>
              </w:rPr>
              <w:lastRenderedPageBreak/>
              <w:t>TOTAL</w:t>
            </w:r>
          </w:p>
        </w:tc>
        <w:tc>
          <w:tcPr>
            <w:tcW w:w="5000" w:type="dxa"/>
            <w:vAlign w:val="center"/>
          </w:tcPr>
          <w:p w14:paraId="68043733" w14:textId="77777777" w:rsidR="00F678CB" w:rsidRDefault="00F678CB" w:rsidP="008B7F00">
            <w:pPr>
              <w:spacing w:before="40" w:after="40"/>
              <w:ind w:left="80" w:right="80"/>
            </w:pPr>
          </w:p>
        </w:tc>
        <w:tc>
          <w:tcPr>
            <w:tcW w:w="2500" w:type="dxa"/>
            <w:vAlign w:val="center"/>
          </w:tcPr>
          <w:p w14:paraId="04C6819D" w14:textId="77777777" w:rsidR="00F678CB" w:rsidRDefault="00F678CB" w:rsidP="008B7F00">
            <w:pPr>
              <w:spacing w:before="40" w:after="40"/>
              <w:ind w:left="80" w:right="80"/>
              <w:jc w:val="center"/>
            </w:pPr>
            <w:r>
              <w:rPr>
                <w:rFonts w:ascii="Verdana" w:hAnsi="Verdana"/>
                <w:sz w:val="18"/>
                <w:szCs w:val="18"/>
              </w:rPr>
              <w:t>$489.660.231</w:t>
            </w:r>
          </w:p>
        </w:tc>
      </w:tr>
    </w:tbl>
    <w:p w14:paraId="59EA741F" w14:textId="77777777" w:rsidR="00952AF3" w:rsidRPr="00896AA2" w:rsidRDefault="00952AF3" w:rsidP="00896AA2"/>
    <w:p w14:paraId="6E05F2C5" w14:textId="77777777" w:rsidR="006A458C" w:rsidRDefault="006A458C" w:rsidP="006A458C">
      <w:pPr>
        <w:pBdr>
          <w:top w:val="nil"/>
          <w:left w:val="nil"/>
          <w:bottom w:val="nil"/>
          <w:right w:val="nil"/>
          <w:between w:val="nil"/>
        </w:pBdr>
        <w:spacing w:after="160"/>
        <w:ind w:right="108"/>
        <w:jc w:val="both"/>
        <w:rPr>
          <w:rFonts w:ascii="Verdana" w:eastAsia="Verdana" w:hAnsi="Verdana" w:cs="Verdana"/>
          <w:sz w:val="20"/>
          <w:szCs w:val="20"/>
        </w:rPr>
      </w:pPr>
      <w:r>
        <w:rPr>
          <w:rFonts w:ascii="Verdana" w:eastAsia="Verdana" w:hAnsi="Verdana" w:cs="Verdana"/>
          <w:b/>
          <w:sz w:val="20"/>
          <w:szCs w:val="20"/>
        </w:rPr>
        <w:t>NOTA 1:</w:t>
      </w:r>
      <w:r>
        <w:rPr>
          <w:rFonts w:ascii="Verdana" w:eastAsia="Verdana" w:hAnsi="Verdana" w:cs="Verdana"/>
          <w:sz w:val="20"/>
          <w:szCs w:val="20"/>
        </w:rPr>
        <w:t xml:space="preserve"> Los proponentes no podrán exceder en su propuesta el valor del presupuesto oficial establecido por grupo, so pena de rechazo de la oferta del respectivo grupo (numeral 6 del artículo 2.2.1.1.2.1.3 del Decreto 1082 de 2015).</w:t>
      </w:r>
    </w:p>
    <w:p w14:paraId="753F4EA6" w14:textId="77777777" w:rsidR="006A458C" w:rsidRDefault="006A458C" w:rsidP="006A458C">
      <w:pPr>
        <w:pBdr>
          <w:top w:val="nil"/>
          <w:left w:val="nil"/>
          <w:bottom w:val="nil"/>
          <w:right w:val="nil"/>
          <w:between w:val="nil"/>
        </w:pBdr>
        <w:spacing w:after="160"/>
        <w:ind w:right="108"/>
        <w:jc w:val="both"/>
        <w:rPr>
          <w:rFonts w:ascii="Verdana" w:eastAsia="Verdana" w:hAnsi="Verdana" w:cs="Verdana"/>
          <w:sz w:val="20"/>
          <w:szCs w:val="20"/>
        </w:rPr>
      </w:pPr>
      <w:r>
        <w:rPr>
          <w:rFonts w:ascii="Verdana" w:eastAsia="Verdana" w:hAnsi="Verdana" w:cs="Verdana"/>
          <w:b/>
          <w:sz w:val="20"/>
          <w:szCs w:val="20"/>
        </w:rPr>
        <w:t>NOTA 2:</w:t>
      </w:r>
      <w:r>
        <w:rPr>
          <w:rFonts w:ascii="Verdana" w:eastAsia="Verdana" w:hAnsi="Verdana" w:cs="Verdana"/>
          <w:sz w:val="20"/>
          <w:szCs w:val="20"/>
        </w:rPr>
        <w:t xml:space="preserve"> El presupuesto oficial estimado incluye el valor de las primas y los impuestos a que haya lugar.</w:t>
      </w:r>
    </w:p>
    <w:p w14:paraId="18B9237A" w14:textId="77777777" w:rsidR="006A458C" w:rsidRDefault="006A458C" w:rsidP="006A458C">
      <w:pPr>
        <w:pBdr>
          <w:top w:val="nil"/>
          <w:left w:val="nil"/>
          <w:bottom w:val="nil"/>
          <w:right w:val="nil"/>
          <w:between w:val="nil"/>
        </w:pBdr>
        <w:spacing w:after="160"/>
        <w:ind w:right="108"/>
        <w:jc w:val="both"/>
        <w:rPr>
          <w:rFonts w:ascii="Verdana" w:eastAsia="Verdana" w:hAnsi="Verdana" w:cs="Verdana"/>
          <w:sz w:val="20"/>
          <w:szCs w:val="20"/>
        </w:rPr>
      </w:pPr>
      <w:r>
        <w:rPr>
          <w:rFonts w:ascii="Verdana" w:eastAsia="Verdana" w:hAnsi="Verdana" w:cs="Verdana"/>
          <w:b/>
          <w:sz w:val="20"/>
          <w:szCs w:val="20"/>
        </w:rPr>
        <w:t>NOTA 3:</w:t>
      </w:r>
      <w:r>
        <w:rPr>
          <w:rFonts w:ascii="Verdana" w:eastAsia="Verdana" w:hAnsi="Verdana" w:cs="Verdana"/>
          <w:sz w:val="20"/>
          <w:szCs w:val="20"/>
        </w:rPr>
        <w:t xml:space="preserve"> El proponente debe incluir en su propuesta económica el valor de la prima más IVA, la vigencia y la tasa con la cual se determinó dicha prima.</w:t>
      </w:r>
    </w:p>
    <w:p w14:paraId="1192CBD3" w14:textId="71E14997" w:rsidR="006A458C" w:rsidRPr="00D25116" w:rsidRDefault="006A458C" w:rsidP="006A458C">
      <w:pPr>
        <w:ind w:right="108"/>
        <w:jc w:val="both"/>
        <w:rPr>
          <w:rFonts w:ascii="Verdana" w:eastAsia="Verdana" w:hAnsi="Verdana" w:cs="Verdana"/>
          <w:sz w:val="20"/>
          <w:szCs w:val="20"/>
        </w:rPr>
      </w:pPr>
      <w:r>
        <w:rPr>
          <w:rFonts w:ascii="Verdana" w:eastAsia="Verdana" w:hAnsi="Verdana" w:cs="Verdana"/>
          <w:b/>
          <w:bCs/>
          <w:sz w:val="20"/>
          <w:szCs w:val="20"/>
        </w:rPr>
        <w:t xml:space="preserve">Nota: </w:t>
      </w:r>
      <w:r w:rsidRPr="00D25116">
        <w:rPr>
          <w:rFonts w:ascii="Verdana" w:eastAsia="Verdana" w:hAnsi="Verdana" w:cs="Verdana"/>
          <w:sz w:val="20"/>
          <w:szCs w:val="20"/>
        </w:rPr>
        <w:t>La adjudicación del presente proceso se realizará a partir de los valores ofertados en el formato denominado "oferta económica".</w:t>
      </w:r>
    </w:p>
    <w:p w14:paraId="6AA256C7" w14:textId="77777777" w:rsidR="001F333B" w:rsidRPr="00F518F9" w:rsidRDefault="001F333B" w:rsidP="001F333B">
      <w:pPr>
        <w:widowControl w:val="0"/>
        <w:pBdr>
          <w:top w:val="nil"/>
          <w:left w:val="nil"/>
          <w:bottom w:val="nil"/>
          <w:right w:val="nil"/>
          <w:between w:val="nil"/>
        </w:pBdr>
        <w:rPr>
          <w:rFonts w:ascii="Verdana" w:eastAsia="Verdana" w:hAnsi="Verdana" w:cs="Verdana"/>
          <w:color w:val="000000"/>
          <w:sz w:val="20"/>
          <w:szCs w:val="20"/>
        </w:rPr>
      </w:pPr>
    </w:p>
    <w:p w14:paraId="350E0019" w14:textId="77777777" w:rsidR="00C74620" w:rsidRPr="00F518F9" w:rsidRDefault="00C0503D">
      <w:pPr>
        <w:numPr>
          <w:ilvl w:val="0"/>
          <w:numId w:val="1"/>
        </w:numPr>
        <w:pBdr>
          <w:top w:val="nil"/>
          <w:left w:val="nil"/>
          <w:bottom w:val="nil"/>
          <w:right w:val="nil"/>
          <w:between w:val="nil"/>
        </w:pBdr>
        <w:rPr>
          <w:rFonts w:ascii="Verdana" w:eastAsia="Verdana" w:hAnsi="Verdana" w:cs="Verdana"/>
          <w:color w:val="000000"/>
          <w:sz w:val="20"/>
          <w:szCs w:val="20"/>
        </w:rPr>
      </w:pPr>
      <w:r w:rsidRPr="00F518F9">
        <w:rPr>
          <w:rFonts w:ascii="Verdana" w:eastAsia="Verdana" w:hAnsi="Verdana" w:cs="Verdana"/>
          <w:b/>
          <w:color w:val="000000"/>
          <w:sz w:val="20"/>
          <w:szCs w:val="20"/>
        </w:rPr>
        <w:t xml:space="preserve">ACUERDOS COMERCIALES APLICABLES </w:t>
      </w:r>
    </w:p>
    <w:p w14:paraId="75268224"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107F1B90" w14:textId="12413A5A" w:rsidR="00C74620" w:rsidRDefault="00DA08F5">
      <w:pPr>
        <w:rPr>
          <w:rFonts w:ascii="Verdana" w:eastAsia="Verdana" w:hAnsi="Verdana" w:cs="Verdana"/>
          <w:sz w:val="20"/>
          <w:szCs w:val="20"/>
        </w:rPr>
      </w:pPr>
      <w:r w:rsidRPr="00DA08F5">
        <w:rPr>
          <w:rFonts w:ascii="Verdana" w:eastAsia="Verdana" w:hAnsi="Verdana" w:cs="Verdana"/>
          <w:sz w:val="20"/>
          <w:szCs w:val="20"/>
        </w:rPr>
        <w:t>Una vez revisados los acuerdos marco de precios se encuentra que el objeto a contratar no se encuentra contemplado en ninguno de ellos</w:t>
      </w:r>
    </w:p>
    <w:p w14:paraId="1B4931F1" w14:textId="77777777" w:rsidR="00DA08F5" w:rsidRPr="00F518F9" w:rsidRDefault="00DA08F5">
      <w:pPr>
        <w:rPr>
          <w:rFonts w:ascii="Verdana" w:eastAsia="Verdana" w:hAnsi="Verdana" w:cs="Verdana"/>
          <w:b/>
          <w:sz w:val="20"/>
          <w:szCs w:val="20"/>
        </w:rPr>
      </w:pPr>
    </w:p>
    <w:p w14:paraId="77511A4F"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LIMITACIÓN DE LA CONVOCATORIA A MIPYMES</w:t>
      </w:r>
    </w:p>
    <w:p w14:paraId="7D6B2EF9" w14:textId="77777777" w:rsidR="00C74620" w:rsidRPr="00F518F9" w:rsidRDefault="00C74620">
      <w:pPr>
        <w:rPr>
          <w:rFonts w:ascii="Verdana" w:eastAsia="Verdana" w:hAnsi="Verdana" w:cs="Verdana"/>
          <w:b/>
          <w:sz w:val="20"/>
          <w:szCs w:val="20"/>
        </w:rPr>
      </w:pPr>
    </w:p>
    <w:p w14:paraId="154A7607" w14:textId="30269A65" w:rsidR="004C6426" w:rsidRPr="004C6426" w:rsidRDefault="004C6426" w:rsidP="004C6426">
      <w:pPr>
        <w:pStyle w:val="Textoindependiente"/>
        <w:spacing w:before="230"/>
        <w:ind w:right="286"/>
        <w:rPr>
          <w:rFonts w:ascii="Verdana" w:hAnsi="Verdana"/>
          <w:sz w:val="20"/>
          <w:szCs w:val="20"/>
        </w:rPr>
      </w:pPr>
      <w:r w:rsidRPr="004C6426">
        <w:rPr>
          <w:rFonts w:ascii="Verdana" w:hAnsi="Verdana"/>
          <w:sz w:val="20"/>
          <w:szCs w:val="20"/>
        </w:rPr>
        <w:t>En cumplimiento del Artículo 2.2.1.2.4.2.</w:t>
      </w:r>
      <w:r w:rsidR="00B550BA">
        <w:rPr>
          <w:rFonts w:ascii="Verdana" w:hAnsi="Verdana"/>
          <w:sz w:val="20"/>
          <w:szCs w:val="20"/>
        </w:rPr>
        <w:t>2</w:t>
      </w:r>
      <w:r w:rsidRPr="004C6426">
        <w:rPr>
          <w:rFonts w:ascii="Verdana" w:hAnsi="Verdana"/>
          <w:sz w:val="20"/>
          <w:szCs w:val="20"/>
        </w:rPr>
        <w:t xml:space="preserve"> del Decreto No. 1082 del 2015 adicionado por el Artículo 3 del Decreto 1860 del 2021 el cual señala:</w:t>
      </w:r>
      <w:r w:rsidR="002E729D">
        <w:rPr>
          <w:rFonts w:ascii="Verdana" w:hAnsi="Verdana"/>
          <w:sz w:val="20"/>
          <w:szCs w:val="20"/>
        </w:rPr>
        <w:t xml:space="preserve"> </w:t>
      </w:r>
      <w:r w:rsidRPr="004C6426">
        <w:rPr>
          <w:rFonts w:ascii="Verdana" w:hAnsi="Verdana"/>
          <w:sz w:val="20"/>
          <w:szCs w:val="20"/>
        </w:rPr>
        <w:t>“Criterios diferenciales para MiPymes en el sistema de compras públicas. De acuerdo con el numeral 1 del artículo 12 de la Ley 590 de 2000,</w:t>
      </w:r>
      <w:r w:rsidR="002E729D">
        <w:rPr>
          <w:rFonts w:ascii="Verdana" w:hAnsi="Verdana"/>
          <w:sz w:val="20"/>
          <w:szCs w:val="20"/>
        </w:rPr>
        <w:t xml:space="preserve"> </w:t>
      </w:r>
      <w:r w:rsidRPr="004C6426">
        <w:rPr>
          <w:rFonts w:ascii="Verdana" w:hAnsi="Verdana"/>
          <w:sz w:val="20"/>
          <w:szCs w:val="20"/>
        </w:rPr>
        <w:t>según los resultados del análisis del sector, las Entidades Estatales indistintamente de su régimen de contratación, los patrimonios autónomos</w:t>
      </w:r>
      <w:r w:rsidR="002E729D">
        <w:rPr>
          <w:rFonts w:ascii="Verdana" w:hAnsi="Verdana"/>
          <w:sz w:val="20"/>
          <w:szCs w:val="20"/>
        </w:rPr>
        <w:t xml:space="preserve"> </w:t>
      </w:r>
      <w:r w:rsidRPr="004C6426">
        <w:rPr>
          <w:rFonts w:ascii="Verdana" w:hAnsi="Verdana"/>
          <w:sz w:val="20"/>
          <w:szCs w:val="20"/>
        </w:rPr>
        <w:t>constituidos por Entidades Estatales y los particulares que ejecuten recursos públicos establecerán condiciones habilitantes diferenciales que</w:t>
      </w:r>
      <w:r w:rsidR="002E729D">
        <w:rPr>
          <w:rFonts w:ascii="Verdana" w:hAnsi="Verdana"/>
          <w:sz w:val="20"/>
          <w:szCs w:val="20"/>
        </w:rPr>
        <w:t xml:space="preserve"> </w:t>
      </w:r>
      <w:r w:rsidRPr="004C6426">
        <w:rPr>
          <w:rFonts w:ascii="Verdana" w:hAnsi="Verdana"/>
          <w:sz w:val="20"/>
          <w:szCs w:val="20"/>
        </w:rPr>
        <w:t>promuevan y faciliten la participación en los procedimientos de selección competitivos de las MiPymes domiciliadas en Colombia”.</w:t>
      </w:r>
    </w:p>
    <w:p w14:paraId="37AD4E9F" w14:textId="42C4C293" w:rsidR="004C6426" w:rsidRPr="004C6426" w:rsidRDefault="004C6426" w:rsidP="004C6426">
      <w:pPr>
        <w:pStyle w:val="Textoindependiente"/>
        <w:spacing w:before="230"/>
        <w:ind w:right="286"/>
        <w:rPr>
          <w:rFonts w:ascii="Verdana" w:hAnsi="Verdana"/>
          <w:sz w:val="20"/>
          <w:szCs w:val="20"/>
        </w:rPr>
      </w:pPr>
      <w:r w:rsidRPr="004C6426">
        <w:rPr>
          <w:rFonts w:ascii="Verdana" w:hAnsi="Verdana"/>
          <w:sz w:val="20"/>
          <w:szCs w:val="20"/>
        </w:rPr>
        <w:t>Para tal efecto, las empresas que manifiesten dentro de la carta de presentación de oferta el cumplimiento de las condiciones establecidas en el</w:t>
      </w:r>
      <w:r w:rsidR="002E729D">
        <w:rPr>
          <w:rFonts w:ascii="Verdana" w:hAnsi="Verdana"/>
          <w:sz w:val="20"/>
          <w:szCs w:val="20"/>
        </w:rPr>
        <w:t xml:space="preserve"> </w:t>
      </w:r>
      <w:r w:rsidRPr="004C6426">
        <w:rPr>
          <w:rFonts w:ascii="Verdana" w:hAnsi="Verdana"/>
          <w:sz w:val="20"/>
          <w:szCs w:val="20"/>
        </w:rPr>
        <w:t xml:space="preserve">mencionado artículo se les verificará la experiencia </w:t>
      </w:r>
      <w:proofErr w:type="gramStart"/>
      <w:r w:rsidRPr="004C6426">
        <w:rPr>
          <w:rFonts w:ascii="Verdana" w:hAnsi="Verdana"/>
          <w:sz w:val="20"/>
          <w:szCs w:val="20"/>
        </w:rPr>
        <w:t>de acuerdo a</w:t>
      </w:r>
      <w:proofErr w:type="gramEnd"/>
      <w:r w:rsidRPr="004C6426">
        <w:rPr>
          <w:rFonts w:ascii="Verdana" w:hAnsi="Verdana"/>
          <w:sz w:val="20"/>
          <w:szCs w:val="20"/>
        </w:rPr>
        <w:t xml:space="preserve"> lo establecido en el </w:t>
      </w:r>
      <w:r w:rsidR="00875E6C">
        <w:rPr>
          <w:rFonts w:ascii="Verdana" w:hAnsi="Verdana"/>
          <w:sz w:val="20"/>
          <w:szCs w:val="20"/>
        </w:rPr>
        <w:t>pliego de condiciones</w:t>
      </w:r>
      <w:r w:rsidRPr="004C6426">
        <w:rPr>
          <w:rFonts w:ascii="Verdana" w:hAnsi="Verdana"/>
          <w:sz w:val="20"/>
          <w:szCs w:val="20"/>
        </w:rPr>
        <w:t xml:space="preserve"> del proceso.</w:t>
      </w:r>
    </w:p>
    <w:p w14:paraId="450C39C6" w14:textId="7919812C" w:rsidR="004C6426" w:rsidRPr="004C6426" w:rsidRDefault="004C6426" w:rsidP="004C6426">
      <w:pPr>
        <w:pStyle w:val="Textoindependiente"/>
        <w:spacing w:before="230"/>
        <w:ind w:right="286"/>
        <w:rPr>
          <w:rFonts w:ascii="Verdana" w:hAnsi="Verdana"/>
          <w:sz w:val="20"/>
          <w:szCs w:val="20"/>
        </w:rPr>
      </w:pPr>
      <w:r w:rsidRPr="004C6426">
        <w:rPr>
          <w:rFonts w:ascii="Verdana" w:hAnsi="Verdana"/>
          <w:sz w:val="20"/>
          <w:szCs w:val="20"/>
        </w:rPr>
        <w:t>En cumplimiento de lo previsto en el artículo 5 del Decreto 1860 de 2021, que modifica el artículo 2.2.1.2.4.2.2. del Decreto 1082 de 2015, envío</w:t>
      </w:r>
      <w:r w:rsidR="003B23D3">
        <w:rPr>
          <w:rFonts w:ascii="Verdana" w:hAnsi="Verdana"/>
          <w:sz w:val="20"/>
          <w:szCs w:val="20"/>
        </w:rPr>
        <w:t xml:space="preserve"> </w:t>
      </w:r>
      <w:r w:rsidRPr="004C6426">
        <w:rPr>
          <w:rFonts w:ascii="Verdana" w:hAnsi="Verdana"/>
          <w:sz w:val="20"/>
          <w:szCs w:val="20"/>
        </w:rPr>
        <w:t>el valor en pesos colombianos del Umbral de las MIPYMES para el año 2026, calculado por la Oficina de Estudios Económicos de este Ministerio.</w:t>
      </w:r>
    </w:p>
    <w:p w14:paraId="7568E33C" w14:textId="01112C63" w:rsidR="00213121" w:rsidRDefault="004C6426" w:rsidP="004C6426">
      <w:pPr>
        <w:pStyle w:val="Textoindependiente"/>
        <w:spacing w:before="230"/>
        <w:ind w:right="286"/>
        <w:rPr>
          <w:rFonts w:ascii="Verdana" w:hAnsi="Verdana"/>
          <w:sz w:val="20"/>
          <w:szCs w:val="20"/>
        </w:rPr>
      </w:pPr>
      <w:r w:rsidRPr="004C6426">
        <w:rPr>
          <w:rFonts w:ascii="Verdana" w:hAnsi="Verdana"/>
          <w:sz w:val="20"/>
          <w:szCs w:val="20"/>
        </w:rPr>
        <w:t>El umbral para MiPymes se ha previsto por la norma equivalente a ciento veinticinco mil dólares de los Estados Unidos de América (US$125.000).</w:t>
      </w:r>
    </w:p>
    <w:p w14:paraId="7E28B0AB" w14:textId="77777777" w:rsidR="003B23D3" w:rsidRDefault="003B23D3" w:rsidP="004C6426">
      <w:pPr>
        <w:pStyle w:val="Textoindependiente"/>
        <w:spacing w:before="230"/>
        <w:ind w:right="286"/>
        <w:rPr>
          <w:rFonts w:ascii="Verdana" w:hAnsi="Verdana"/>
          <w:sz w:val="20"/>
          <w:szCs w:val="20"/>
        </w:rPr>
      </w:pPr>
    </w:p>
    <w:tbl>
      <w:tblPr>
        <w:tblStyle w:val="Tablaconcuadrcula"/>
        <w:tblW w:w="0" w:type="auto"/>
        <w:tblInd w:w="2263" w:type="dxa"/>
        <w:tblLook w:val="04A0" w:firstRow="1" w:lastRow="0" w:firstColumn="1" w:lastColumn="0" w:noHBand="0" w:noVBand="1"/>
      </w:tblPr>
      <w:tblGrid>
        <w:gridCol w:w="2435"/>
        <w:gridCol w:w="2385"/>
      </w:tblGrid>
      <w:tr w:rsidR="00DC6314" w14:paraId="5C5DB173" w14:textId="77777777" w:rsidTr="00FC0A87">
        <w:tc>
          <w:tcPr>
            <w:tcW w:w="4820" w:type="dxa"/>
            <w:gridSpan w:val="2"/>
          </w:tcPr>
          <w:p w14:paraId="15587C68" w14:textId="77777777" w:rsidR="00AD6D75" w:rsidRDefault="00AD6D75" w:rsidP="00AD6D75">
            <w:pPr>
              <w:pStyle w:val="Textoindependiente"/>
              <w:tabs>
                <w:tab w:val="left" w:pos="2631"/>
              </w:tabs>
              <w:spacing w:before="230"/>
              <w:ind w:right="286"/>
              <w:jc w:val="center"/>
              <w:rPr>
                <w:rFonts w:ascii="Verdana" w:hAnsi="Verdana"/>
                <w:b/>
                <w:bCs/>
                <w:sz w:val="20"/>
                <w:szCs w:val="20"/>
              </w:rPr>
            </w:pPr>
            <w:r>
              <w:rPr>
                <w:rFonts w:ascii="Verdana" w:hAnsi="Verdana"/>
                <w:b/>
                <w:bCs/>
                <w:sz w:val="20"/>
                <w:szCs w:val="20"/>
              </w:rPr>
              <w:t xml:space="preserve">UMBRAL MIPYMES </w:t>
            </w:r>
          </w:p>
          <w:p w14:paraId="0EB54D28" w14:textId="6FDD3C20" w:rsidR="00DC6314" w:rsidRPr="00AD6D75" w:rsidRDefault="00AD6D75" w:rsidP="00AD6D75">
            <w:pPr>
              <w:pStyle w:val="Textoindependiente"/>
              <w:tabs>
                <w:tab w:val="left" w:pos="2631"/>
              </w:tabs>
              <w:spacing w:before="230"/>
              <w:ind w:right="286"/>
              <w:jc w:val="center"/>
              <w:rPr>
                <w:rFonts w:ascii="Verdana" w:hAnsi="Verdana"/>
                <w:b/>
                <w:bCs/>
                <w:sz w:val="20"/>
                <w:szCs w:val="20"/>
              </w:rPr>
            </w:pPr>
            <w:r>
              <w:rPr>
                <w:rFonts w:ascii="Verdana" w:hAnsi="Verdana"/>
                <w:b/>
                <w:bCs/>
                <w:sz w:val="20"/>
                <w:szCs w:val="20"/>
              </w:rPr>
              <w:t>2026</w:t>
            </w:r>
          </w:p>
        </w:tc>
      </w:tr>
      <w:tr w:rsidR="003B23D3" w14:paraId="77E41413" w14:textId="77777777" w:rsidTr="003B23D3">
        <w:tc>
          <w:tcPr>
            <w:tcW w:w="2435" w:type="dxa"/>
          </w:tcPr>
          <w:p w14:paraId="116D7248" w14:textId="426D926B" w:rsidR="003B23D3" w:rsidRDefault="00AD6D75" w:rsidP="004C6426">
            <w:pPr>
              <w:pStyle w:val="Textoindependiente"/>
              <w:spacing w:before="230"/>
              <w:ind w:right="286"/>
              <w:rPr>
                <w:rFonts w:ascii="Verdana" w:hAnsi="Verdana"/>
                <w:sz w:val="20"/>
                <w:szCs w:val="20"/>
              </w:rPr>
            </w:pPr>
            <w:r>
              <w:rPr>
                <w:rFonts w:ascii="Verdana" w:hAnsi="Verdana"/>
                <w:sz w:val="20"/>
                <w:szCs w:val="20"/>
              </w:rPr>
              <w:t>US$</w:t>
            </w:r>
          </w:p>
        </w:tc>
        <w:tc>
          <w:tcPr>
            <w:tcW w:w="2385" w:type="dxa"/>
          </w:tcPr>
          <w:p w14:paraId="2EC5DE0B" w14:textId="790927E8" w:rsidR="003B23D3" w:rsidRDefault="00AD6D75" w:rsidP="004C6426">
            <w:pPr>
              <w:pStyle w:val="Textoindependiente"/>
              <w:spacing w:before="230"/>
              <w:ind w:right="286"/>
              <w:rPr>
                <w:rFonts w:ascii="Verdana" w:hAnsi="Verdana"/>
                <w:sz w:val="20"/>
                <w:szCs w:val="20"/>
              </w:rPr>
            </w:pPr>
            <w:r>
              <w:rPr>
                <w:rFonts w:ascii="Verdana" w:hAnsi="Verdana"/>
                <w:sz w:val="20"/>
                <w:szCs w:val="20"/>
              </w:rPr>
              <w:t>125.000</w:t>
            </w:r>
          </w:p>
        </w:tc>
      </w:tr>
      <w:tr w:rsidR="003B23D3" w14:paraId="14EFC899" w14:textId="77777777" w:rsidTr="003B23D3">
        <w:tc>
          <w:tcPr>
            <w:tcW w:w="2435" w:type="dxa"/>
          </w:tcPr>
          <w:p w14:paraId="03E31311" w14:textId="6C04CD37" w:rsidR="003B23D3" w:rsidRDefault="00AD6D75" w:rsidP="004C6426">
            <w:pPr>
              <w:pStyle w:val="Textoindependiente"/>
              <w:spacing w:before="230"/>
              <w:ind w:right="286"/>
              <w:rPr>
                <w:rFonts w:ascii="Verdana" w:hAnsi="Verdana"/>
                <w:sz w:val="20"/>
                <w:szCs w:val="20"/>
              </w:rPr>
            </w:pPr>
            <w:r>
              <w:rPr>
                <w:rFonts w:ascii="Verdana" w:hAnsi="Verdana"/>
                <w:sz w:val="20"/>
                <w:szCs w:val="20"/>
              </w:rPr>
              <w:lastRenderedPageBreak/>
              <w:t>COP$</w:t>
            </w:r>
          </w:p>
        </w:tc>
        <w:tc>
          <w:tcPr>
            <w:tcW w:w="2385" w:type="dxa"/>
          </w:tcPr>
          <w:p w14:paraId="395F37E3" w14:textId="5D1D726E" w:rsidR="003B23D3" w:rsidRDefault="00AD6D75" w:rsidP="004C6426">
            <w:pPr>
              <w:pStyle w:val="Textoindependiente"/>
              <w:spacing w:before="230"/>
              <w:ind w:right="286"/>
              <w:rPr>
                <w:rFonts w:ascii="Verdana" w:hAnsi="Verdana"/>
                <w:sz w:val="20"/>
                <w:szCs w:val="20"/>
              </w:rPr>
            </w:pPr>
            <w:r>
              <w:rPr>
                <w:rFonts w:ascii="Verdana" w:hAnsi="Verdana"/>
                <w:sz w:val="20"/>
                <w:szCs w:val="20"/>
              </w:rPr>
              <w:t>511-708.497</w:t>
            </w:r>
          </w:p>
        </w:tc>
      </w:tr>
    </w:tbl>
    <w:p w14:paraId="1C78A9AE" w14:textId="0C79F6C3" w:rsidR="003B23D3" w:rsidRDefault="008716D3" w:rsidP="008716D3">
      <w:pPr>
        <w:pStyle w:val="Textoindependiente"/>
        <w:spacing w:before="230"/>
        <w:ind w:right="286"/>
        <w:rPr>
          <w:rFonts w:ascii="Verdana" w:hAnsi="Verdana"/>
          <w:sz w:val="20"/>
          <w:szCs w:val="20"/>
        </w:rPr>
      </w:pPr>
      <w:r w:rsidRPr="008716D3">
        <w:rPr>
          <w:rFonts w:ascii="Verdana" w:hAnsi="Verdana"/>
          <w:sz w:val="20"/>
          <w:szCs w:val="20"/>
        </w:rPr>
        <w:t xml:space="preserve">Teniendo en cuenta que el umbral definido por el Ministerio de Comercio, Industria y Turismo, se encuentra por un valor de </w:t>
      </w:r>
      <w:r w:rsidRPr="00C856C1">
        <w:rPr>
          <w:rFonts w:ascii="Verdana" w:hAnsi="Verdana"/>
          <w:b/>
          <w:bCs/>
          <w:sz w:val="20"/>
          <w:szCs w:val="20"/>
        </w:rPr>
        <w:t>QUINIENTOS</w:t>
      </w:r>
      <w:r w:rsidR="00B17B8C" w:rsidRPr="00C856C1">
        <w:rPr>
          <w:rFonts w:ascii="Verdana" w:hAnsi="Verdana"/>
          <w:b/>
          <w:bCs/>
          <w:sz w:val="20"/>
          <w:szCs w:val="20"/>
        </w:rPr>
        <w:t xml:space="preserve"> </w:t>
      </w:r>
      <w:r w:rsidRPr="00C856C1">
        <w:rPr>
          <w:rFonts w:ascii="Verdana" w:hAnsi="Verdana"/>
          <w:b/>
          <w:bCs/>
          <w:sz w:val="20"/>
          <w:szCs w:val="20"/>
        </w:rPr>
        <w:t>ONCE MILLONES SETECIENTOS OCHO MIL CUATROCIENTOS NOVENTA Y SIETE PESOS MCTE ($511.708.497)</w:t>
      </w:r>
      <w:r w:rsidRPr="008716D3">
        <w:rPr>
          <w:rFonts w:ascii="Verdana" w:hAnsi="Verdana"/>
          <w:sz w:val="20"/>
          <w:szCs w:val="20"/>
        </w:rPr>
        <w:t xml:space="preserve"> por lo tanto, al</w:t>
      </w:r>
      <w:r w:rsidR="00B17B8C">
        <w:rPr>
          <w:rFonts w:ascii="Verdana" w:hAnsi="Verdana"/>
          <w:sz w:val="20"/>
          <w:szCs w:val="20"/>
        </w:rPr>
        <w:t xml:space="preserve"> </w:t>
      </w:r>
      <w:r w:rsidRPr="008716D3">
        <w:rPr>
          <w:rFonts w:ascii="Verdana" w:hAnsi="Verdana"/>
          <w:sz w:val="20"/>
          <w:szCs w:val="20"/>
        </w:rPr>
        <w:t>comparar contra el presupuesto del presente proceso por valor de allegadas en el estudio del mercado, se define un presupuesto oficial por un</w:t>
      </w:r>
      <w:r w:rsidR="00B17B8C">
        <w:rPr>
          <w:rFonts w:ascii="Verdana" w:hAnsi="Verdana"/>
          <w:sz w:val="20"/>
          <w:szCs w:val="20"/>
        </w:rPr>
        <w:t xml:space="preserve"> </w:t>
      </w:r>
      <w:r w:rsidRPr="008716D3">
        <w:rPr>
          <w:rFonts w:ascii="Verdana" w:hAnsi="Verdana"/>
          <w:sz w:val="20"/>
          <w:szCs w:val="20"/>
        </w:rPr>
        <w:t xml:space="preserve">valor de </w:t>
      </w:r>
      <w:r w:rsidR="006A458C">
        <w:rPr>
          <w:rFonts w:ascii="Verdana" w:eastAsia="Verdana" w:hAnsi="Verdana" w:cs="Verdana"/>
          <w:b/>
          <w:sz w:val="20"/>
          <w:szCs w:val="20"/>
        </w:rPr>
        <w:t>CUATROCIENTOS OCHENTA Y NUEVE MILLONES SEISCIENTOS SESENTA MIL DOSCIENTOS TREINTA Y UN PESOS M/CTE ($489.660.231)</w:t>
      </w:r>
      <w:r w:rsidRPr="008716D3">
        <w:rPr>
          <w:rFonts w:ascii="Verdana" w:hAnsi="Verdana"/>
          <w:sz w:val="20"/>
          <w:szCs w:val="20"/>
        </w:rPr>
        <w:t>, el actual proceso si se podría limitar a mi Pymes para cada uno de los lotes</w:t>
      </w:r>
      <w:r w:rsidR="00EB1CD6">
        <w:rPr>
          <w:rFonts w:ascii="Verdana" w:hAnsi="Verdana"/>
          <w:sz w:val="20"/>
          <w:szCs w:val="20"/>
        </w:rPr>
        <w:t>, si se cumplen los requisitos legales.</w:t>
      </w:r>
    </w:p>
    <w:p w14:paraId="53C0DACC" w14:textId="77777777" w:rsidR="008716D3" w:rsidRPr="00F518F9" w:rsidRDefault="008716D3" w:rsidP="004C6426">
      <w:pPr>
        <w:pStyle w:val="Textoindependiente"/>
        <w:spacing w:before="230"/>
        <w:ind w:right="286"/>
        <w:rPr>
          <w:rFonts w:ascii="Verdana" w:hAnsi="Verdana"/>
          <w:sz w:val="20"/>
          <w:szCs w:val="20"/>
        </w:rPr>
      </w:pPr>
    </w:p>
    <w:p w14:paraId="7F8A1B81"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CONDICIONES PARA PARTICIPAR EN EL PROCESO DE CONTRATACIÓN</w:t>
      </w:r>
    </w:p>
    <w:p w14:paraId="704E26E9"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0137AD03"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Los interesados en el proceso podrán participar con observancia de los requisitos indicados en la Plataforma transaccional de SECOP II.</w:t>
      </w:r>
    </w:p>
    <w:p w14:paraId="4FF50303" w14:textId="77777777" w:rsidR="00C74620" w:rsidRPr="00F518F9" w:rsidRDefault="00C74620">
      <w:pPr>
        <w:rPr>
          <w:rFonts w:ascii="Verdana" w:eastAsia="Verdana" w:hAnsi="Verdana" w:cs="Verdana"/>
          <w:b/>
          <w:sz w:val="20"/>
          <w:szCs w:val="20"/>
          <w:highlight w:val="yellow"/>
        </w:rPr>
      </w:pPr>
    </w:p>
    <w:p w14:paraId="05816967"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INDICACIÓN DE SI EN EL PROCESO HAY LUGAR A PRECALIFICACIÓN</w:t>
      </w:r>
    </w:p>
    <w:p w14:paraId="50B55528"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5790B6F9" w14:textId="77777777" w:rsidR="00C74620" w:rsidRPr="00F518F9" w:rsidRDefault="00C0503D">
      <w:pPr>
        <w:rPr>
          <w:rFonts w:ascii="Verdana" w:eastAsia="Verdana" w:hAnsi="Verdana" w:cs="Verdana"/>
          <w:color w:val="000000"/>
          <w:sz w:val="20"/>
          <w:szCs w:val="20"/>
        </w:rPr>
      </w:pPr>
      <w:r w:rsidRPr="00F518F9">
        <w:rPr>
          <w:rFonts w:ascii="Verdana" w:eastAsia="Verdana" w:hAnsi="Verdana" w:cs="Verdana"/>
          <w:color w:val="000000"/>
          <w:sz w:val="20"/>
          <w:szCs w:val="20"/>
        </w:rPr>
        <w:t xml:space="preserve">Para el presente proceso de selección </w:t>
      </w:r>
      <w:r w:rsidRPr="00F518F9">
        <w:rPr>
          <w:rFonts w:ascii="Verdana" w:eastAsia="Verdana" w:hAnsi="Verdana" w:cs="Verdana"/>
          <w:b/>
          <w:color w:val="000000"/>
          <w:sz w:val="20"/>
          <w:szCs w:val="20"/>
        </w:rPr>
        <w:t>NO</w:t>
      </w:r>
      <w:r w:rsidRPr="00F518F9">
        <w:rPr>
          <w:rFonts w:ascii="Verdana" w:eastAsia="Verdana" w:hAnsi="Verdana" w:cs="Verdana"/>
          <w:color w:val="000000"/>
          <w:sz w:val="20"/>
          <w:szCs w:val="20"/>
        </w:rPr>
        <w:t xml:space="preserve"> está prevista la precalificación.</w:t>
      </w:r>
    </w:p>
    <w:p w14:paraId="65C84752" w14:textId="77777777" w:rsidR="00C74620" w:rsidRPr="00F518F9" w:rsidRDefault="00C74620">
      <w:pPr>
        <w:rPr>
          <w:rFonts w:ascii="Verdana" w:eastAsia="Verdana" w:hAnsi="Verdana" w:cs="Verdana"/>
          <w:b/>
          <w:sz w:val="20"/>
          <w:szCs w:val="20"/>
        </w:rPr>
      </w:pPr>
    </w:p>
    <w:p w14:paraId="4F64FEF6"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CRONOGRAMA</w:t>
      </w:r>
    </w:p>
    <w:p w14:paraId="70960BF7"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4755F273"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Sin perjuicio de las modificaciones a que hubiere lugar en el curso del proceso de selección, la plataforma transaccional del SECOP II incorpora el Cronograma correspondiente.</w:t>
      </w:r>
    </w:p>
    <w:p w14:paraId="4742F906" w14:textId="77777777" w:rsidR="00C74620" w:rsidRPr="00F518F9" w:rsidRDefault="00C74620">
      <w:pPr>
        <w:pBdr>
          <w:top w:val="nil"/>
          <w:left w:val="nil"/>
          <w:bottom w:val="nil"/>
          <w:right w:val="nil"/>
          <w:between w:val="nil"/>
        </w:pBdr>
        <w:ind w:left="284"/>
        <w:rPr>
          <w:rFonts w:ascii="Verdana" w:eastAsia="Verdana" w:hAnsi="Verdana" w:cs="Verdana"/>
          <w:color w:val="000000"/>
          <w:sz w:val="20"/>
          <w:szCs w:val="20"/>
        </w:rPr>
      </w:pPr>
    </w:p>
    <w:p w14:paraId="6F582D73"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FORMA COMO LOS INTERESADOS PUEDEN CONSULTAR LOS DOCUMENTOS DEL PROCESO</w:t>
      </w:r>
    </w:p>
    <w:p w14:paraId="24D47F8D"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072E17EC"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 xml:space="preserve">Los Documentos del Proceso podrán consultarse a través de Internet en la plataforma transaccional de SECOP II </w:t>
      </w:r>
      <w:hyperlink r:id="rId9">
        <w:r w:rsidRPr="00F518F9">
          <w:rPr>
            <w:rFonts w:ascii="Verdana" w:eastAsia="Verdana" w:hAnsi="Verdana" w:cs="Verdana"/>
            <w:color w:val="0000FF"/>
            <w:sz w:val="20"/>
            <w:szCs w:val="20"/>
            <w:u w:val="single"/>
          </w:rPr>
          <w:t>www.colombiacompra.gov.co</w:t>
        </w:r>
      </w:hyperlink>
      <w:r w:rsidRPr="00F518F9">
        <w:rPr>
          <w:rFonts w:ascii="Verdana" w:eastAsia="Verdana" w:hAnsi="Verdana" w:cs="Verdana"/>
          <w:sz w:val="20"/>
          <w:szCs w:val="20"/>
        </w:rPr>
        <w:t>, considerada para todos los efectos de este proceso como la única válida y vinculante.</w:t>
      </w:r>
    </w:p>
    <w:sectPr w:rsidR="00C74620" w:rsidRPr="00F518F9">
      <w:headerReference w:type="default" r:id="rId10"/>
      <w:pgSz w:w="12242" w:h="15842"/>
      <w:pgMar w:top="1985" w:right="1418" w:bottom="1276" w:left="1418" w:header="779" w:footer="141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4F566" w14:textId="77777777" w:rsidR="00252857" w:rsidRDefault="00252857">
      <w:r>
        <w:separator/>
      </w:r>
    </w:p>
  </w:endnote>
  <w:endnote w:type="continuationSeparator" w:id="0">
    <w:p w14:paraId="6A911C60" w14:textId="77777777" w:rsidR="00252857" w:rsidRDefault="00252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MT">
    <w:altName w:val="Arial"/>
    <w:panose1 w:val="020B0604020202020204"/>
    <w:charset w:val="01"/>
    <w:family w:val="swiss"/>
    <w:pitch w:val="variable"/>
  </w:font>
  <w:font w:name="NimbusSans-Bold">
    <w:panose1 w:val="020B0604020202020204"/>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Futura Md BT">
    <w:panose1 w:val="020B0602020204020303"/>
    <w:charset w:val="00"/>
    <w:family w:val="roman"/>
    <w:notTrueType/>
    <w:pitch w:val="default"/>
  </w:font>
  <w:font w:name="Swis721 Md BT">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altName w:val="Times New Roman"/>
    <w:panose1 w:val="020B06040202020202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NimbusSans-Regular">
    <w:altName w:val="Calibri"/>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5D1EC" w14:textId="77777777" w:rsidR="00252857" w:rsidRDefault="00252857">
      <w:r>
        <w:separator/>
      </w:r>
    </w:p>
  </w:footnote>
  <w:footnote w:type="continuationSeparator" w:id="0">
    <w:p w14:paraId="69D7104E" w14:textId="77777777" w:rsidR="00252857" w:rsidRDefault="002528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4101E" w14:textId="77777777" w:rsidR="00C74620" w:rsidRDefault="00C0503D">
    <w:pPr>
      <w:pBdr>
        <w:top w:val="nil"/>
        <w:left w:val="nil"/>
        <w:bottom w:val="nil"/>
        <w:right w:val="nil"/>
        <w:between w:val="nil"/>
      </w:pBdr>
      <w:tabs>
        <w:tab w:val="center" w:pos="4252"/>
        <w:tab w:val="right" w:pos="8504"/>
      </w:tabs>
      <w:rPr>
        <w:color w:val="000000"/>
        <w:sz w:val="16"/>
        <w:szCs w:val="16"/>
      </w:rPr>
    </w:pPr>
    <w:r>
      <w:rPr>
        <w:noProof/>
        <w:lang w:eastAsia="es-CO"/>
      </w:rPr>
      <w:drawing>
        <wp:anchor distT="0" distB="0" distL="0" distR="0" simplePos="0" relativeHeight="251658240" behindDoc="1" locked="0" layoutInCell="1" hidden="0" allowOverlap="1" wp14:anchorId="40A285A9" wp14:editId="35EE84FA">
          <wp:simplePos x="0" y="0"/>
          <wp:positionH relativeFrom="column">
            <wp:posOffset>2106115</wp:posOffset>
          </wp:positionH>
          <wp:positionV relativeFrom="paragraph">
            <wp:posOffset>5251</wp:posOffset>
          </wp:positionV>
          <wp:extent cx="1642110" cy="673585"/>
          <wp:effectExtent l="0" t="0" r="0" b="0"/>
          <wp:wrapNone/>
          <wp:docPr id="134090608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42110" cy="673585"/>
                  </a:xfrm>
                  <a:prstGeom prst="rect">
                    <a:avLst/>
                  </a:prstGeom>
                  <a:ln/>
                </pic:spPr>
              </pic:pic>
            </a:graphicData>
          </a:graphic>
        </wp:anchor>
      </w:drawing>
    </w:r>
  </w:p>
  <w:p w14:paraId="2CDB00A7" w14:textId="77777777" w:rsidR="00C74620" w:rsidRDefault="00C74620">
    <w:pPr>
      <w:pBdr>
        <w:top w:val="nil"/>
        <w:left w:val="nil"/>
        <w:bottom w:val="nil"/>
        <w:right w:val="nil"/>
        <w:between w:val="nil"/>
      </w:pBdr>
      <w:tabs>
        <w:tab w:val="center" w:pos="4252"/>
        <w:tab w:val="right" w:pos="8504"/>
      </w:tabs>
      <w:rPr>
        <w:color w:val="000000"/>
        <w:sz w:val="16"/>
        <w:szCs w:val="16"/>
      </w:rPr>
    </w:pPr>
  </w:p>
  <w:p w14:paraId="68B4D185" w14:textId="77777777" w:rsidR="00C74620" w:rsidRDefault="00C74620">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86799"/>
    <w:multiLevelType w:val="multilevel"/>
    <w:tmpl w:val="2BAA8228"/>
    <w:lvl w:ilvl="0">
      <w:start w:val="1"/>
      <w:numFmt w:val="decimal"/>
      <w:lvlText w:val="%1."/>
      <w:lvlJc w:val="left"/>
      <w:pPr>
        <w:ind w:left="720" w:hanging="360"/>
      </w:pPr>
      <w:rPr>
        <w:b/>
        <w:color w:val="000000"/>
      </w:r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1" w15:restartNumberingAfterBreak="0">
    <w:nsid w:val="115A6AA8"/>
    <w:multiLevelType w:val="hybridMultilevel"/>
    <w:tmpl w:val="03B6C9DE"/>
    <w:lvl w:ilvl="0" w:tplc="E21001F8">
      <w:numFmt w:val="bullet"/>
      <w:lvlText w:val=""/>
      <w:lvlJc w:val="left"/>
      <w:pPr>
        <w:ind w:left="360" w:hanging="360"/>
      </w:pPr>
      <w:rPr>
        <w:rFonts w:ascii="Symbol" w:eastAsia="Arial MT" w:hAnsi="Symbol" w:cs="NimbusSans-Bold"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8AD5D0D"/>
    <w:multiLevelType w:val="multilevel"/>
    <w:tmpl w:val="1E7CDEBA"/>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42C617E"/>
    <w:multiLevelType w:val="multilevel"/>
    <w:tmpl w:val="C4D4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F71E73"/>
    <w:multiLevelType w:val="multilevel"/>
    <w:tmpl w:val="ABE86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316A5F"/>
    <w:multiLevelType w:val="multilevel"/>
    <w:tmpl w:val="1DF2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1349138">
    <w:abstractNumId w:val="0"/>
  </w:num>
  <w:num w:numId="2" w16cid:durableId="714543327">
    <w:abstractNumId w:val="2"/>
  </w:num>
  <w:num w:numId="3" w16cid:durableId="9356693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30088482">
    <w:abstractNumId w:val="1"/>
  </w:num>
  <w:num w:numId="5" w16cid:durableId="1613902470">
    <w:abstractNumId w:val="4"/>
  </w:num>
  <w:num w:numId="6" w16cid:durableId="269052870">
    <w:abstractNumId w:val="5"/>
  </w:num>
  <w:num w:numId="7" w16cid:durableId="1824760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620"/>
    <w:rsid w:val="000668A8"/>
    <w:rsid w:val="000E1117"/>
    <w:rsid w:val="000F4834"/>
    <w:rsid w:val="000F58ED"/>
    <w:rsid w:val="00112616"/>
    <w:rsid w:val="001B589A"/>
    <w:rsid w:val="001B7CA5"/>
    <w:rsid w:val="001F272C"/>
    <w:rsid w:val="001F333B"/>
    <w:rsid w:val="00205D00"/>
    <w:rsid w:val="00213121"/>
    <w:rsid w:val="00216BD7"/>
    <w:rsid w:val="00247A1B"/>
    <w:rsid w:val="0025164B"/>
    <w:rsid w:val="00252857"/>
    <w:rsid w:val="002617FC"/>
    <w:rsid w:val="00293885"/>
    <w:rsid w:val="00297396"/>
    <w:rsid w:val="002C06F7"/>
    <w:rsid w:val="002E1B5E"/>
    <w:rsid w:val="002E5019"/>
    <w:rsid w:val="002E729D"/>
    <w:rsid w:val="002E7725"/>
    <w:rsid w:val="003129FB"/>
    <w:rsid w:val="00324FC8"/>
    <w:rsid w:val="0036523D"/>
    <w:rsid w:val="00373A40"/>
    <w:rsid w:val="003B23D3"/>
    <w:rsid w:val="003C013E"/>
    <w:rsid w:val="004077B7"/>
    <w:rsid w:val="00417567"/>
    <w:rsid w:val="00422825"/>
    <w:rsid w:val="0042514B"/>
    <w:rsid w:val="00453879"/>
    <w:rsid w:val="00456E99"/>
    <w:rsid w:val="00477EDA"/>
    <w:rsid w:val="004A4B24"/>
    <w:rsid w:val="004B1B0A"/>
    <w:rsid w:val="004C6426"/>
    <w:rsid w:val="004E2C0B"/>
    <w:rsid w:val="004F2320"/>
    <w:rsid w:val="004F6FAF"/>
    <w:rsid w:val="00571EB5"/>
    <w:rsid w:val="00596F19"/>
    <w:rsid w:val="005B1848"/>
    <w:rsid w:val="005E2C20"/>
    <w:rsid w:val="00605BB7"/>
    <w:rsid w:val="0061598D"/>
    <w:rsid w:val="00667B48"/>
    <w:rsid w:val="00675094"/>
    <w:rsid w:val="00683A06"/>
    <w:rsid w:val="006A458C"/>
    <w:rsid w:val="006D036F"/>
    <w:rsid w:val="006D121F"/>
    <w:rsid w:val="006D5CBF"/>
    <w:rsid w:val="007027B4"/>
    <w:rsid w:val="00710E36"/>
    <w:rsid w:val="00720680"/>
    <w:rsid w:val="00744B2A"/>
    <w:rsid w:val="007542A1"/>
    <w:rsid w:val="007D5042"/>
    <w:rsid w:val="007D7B01"/>
    <w:rsid w:val="007E3383"/>
    <w:rsid w:val="00805090"/>
    <w:rsid w:val="008237AB"/>
    <w:rsid w:val="0084410C"/>
    <w:rsid w:val="00854FCF"/>
    <w:rsid w:val="008716D3"/>
    <w:rsid w:val="00875E6C"/>
    <w:rsid w:val="00896AA2"/>
    <w:rsid w:val="008B0339"/>
    <w:rsid w:val="008D4C38"/>
    <w:rsid w:val="008E24DB"/>
    <w:rsid w:val="00911C58"/>
    <w:rsid w:val="00924B1D"/>
    <w:rsid w:val="00937991"/>
    <w:rsid w:val="00952AF3"/>
    <w:rsid w:val="00977F4F"/>
    <w:rsid w:val="00991009"/>
    <w:rsid w:val="009916FA"/>
    <w:rsid w:val="00996D7E"/>
    <w:rsid w:val="009C5B61"/>
    <w:rsid w:val="009F7D3C"/>
    <w:rsid w:val="00A1667F"/>
    <w:rsid w:val="00A3239C"/>
    <w:rsid w:val="00A504E6"/>
    <w:rsid w:val="00A55E7E"/>
    <w:rsid w:val="00AA331E"/>
    <w:rsid w:val="00AD0640"/>
    <w:rsid w:val="00AD6D75"/>
    <w:rsid w:val="00AF2710"/>
    <w:rsid w:val="00B17B8C"/>
    <w:rsid w:val="00B550BA"/>
    <w:rsid w:val="00B572F4"/>
    <w:rsid w:val="00B82E3F"/>
    <w:rsid w:val="00BB007B"/>
    <w:rsid w:val="00BD00BB"/>
    <w:rsid w:val="00BF214C"/>
    <w:rsid w:val="00BF3D33"/>
    <w:rsid w:val="00BF4FA9"/>
    <w:rsid w:val="00C0503D"/>
    <w:rsid w:val="00C14053"/>
    <w:rsid w:val="00C50116"/>
    <w:rsid w:val="00C6723A"/>
    <w:rsid w:val="00C74620"/>
    <w:rsid w:val="00C856C1"/>
    <w:rsid w:val="00CA0A17"/>
    <w:rsid w:val="00CE55FD"/>
    <w:rsid w:val="00CF2C0D"/>
    <w:rsid w:val="00CF455C"/>
    <w:rsid w:val="00D03E5E"/>
    <w:rsid w:val="00D0512D"/>
    <w:rsid w:val="00D223AC"/>
    <w:rsid w:val="00D56BFD"/>
    <w:rsid w:val="00D724F5"/>
    <w:rsid w:val="00D74645"/>
    <w:rsid w:val="00DA08F5"/>
    <w:rsid w:val="00DA42E1"/>
    <w:rsid w:val="00DC2C9E"/>
    <w:rsid w:val="00DC6314"/>
    <w:rsid w:val="00DD1CFF"/>
    <w:rsid w:val="00DD51FF"/>
    <w:rsid w:val="00DD7F7E"/>
    <w:rsid w:val="00DE6B01"/>
    <w:rsid w:val="00E1739A"/>
    <w:rsid w:val="00E22DD7"/>
    <w:rsid w:val="00E71791"/>
    <w:rsid w:val="00EA1DA7"/>
    <w:rsid w:val="00EB1CD6"/>
    <w:rsid w:val="00EE1C4A"/>
    <w:rsid w:val="00EF6DE1"/>
    <w:rsid w:val="00F2190A"/>
    <w:rsid w:val="00F377D9"/>
    <w:rsid w:val="00F40456"/>
    <w:rsid w:val="00F518F9"/>
    <w:rsid w:val="00F51C8C"/>
    <w:rsid w:val="00F678CB"/>
    <w:rsid w:val="00F70CC5"/>
    <w:rsid w:val="00F960AF"/>
    <w:rsid w:val="00FB3C14"/>
    <w:rsid w:val="00FC4B49"/>
    <w:rsid w:val="00FC4BB6"/>
    <w:rsid w:val="00FD35ED"/>
    <w:rsid w:val="00FE0D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D3024"/>
  <w15:docId w15:val="{E1FEF647-B358-4979-9264-0615B02F9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AA2"/>
    <w:pPr>
      <w:jc w:val="left"/>
    </w:pPr>
    <w:rPr>
      <w:rFonts w:ascii="Times New Roman" w:eastAsia="Times New Roman" w:hAnsi="Times New Roman" w:cs="Times New Roman"/>
      <w:sz w:val="24"/>
      <w:szCs w:val="24"/>
      <w:lang w:val="es-CO" w:eastAsia="es-MX"/>
    </w:rPr>
  </w:style>
  <w:style w:type="paragraph" w:styleId="Ttulo1">
    <w:name w:val="heading 1"/>
    <w:basedOn w:val="Normal"/>
    <w:next w:val="Normal"/>
    <w:uiPriority w:val="9"/>
    <w:qFormat/>
    <w:rsid w:val="00C82329"/>
    <w:pPr>
      <w:keepNext/>
      <w:jc w:val="center"/>
      <w:outlineLvl w:val="0"/>
    </w:pPr>
    <w:rPr>
      <w:rFonts w:ascii="Arial" w:eastAsia="Arial" w:hAnsi="Arial" w:cs="Arial"/>
      <w:b/>
      <w:caps/>
      <w:szCs w:val="22"/>
      <w:lang w:val="es-ES" w:eastAsia="es-ES"/>
    </w:rPr>
  </w:style>
  <w:style w:type="paragraph" w:styleId="Ttulo2">
    <w:name w:val="heading 2"/>
    <w:basedOn w:val="Normal"/>
    <w:next w:val="Normal"/>
    <w:uiPriority w:val="9"/>
    <w:semiHidden/>
    <w:unhideWhenUsed/>
    <w:qFormat/>
    <w:rsid w:val="00983CDC"/>
    <w:pPr>
      <w:keepNext/>
      <w:numPr>
        <w:ilvl w:val="1"/>
        <w:numId w:val="1"/>
      </w:numPr>
      <w:spacing w:before="60" w:after="40"/>
      <w:jc w:val="both"/>
      <w:outlineLvl w:val="1"/>
    </w:pPr>
    <w:rPr>
      <w:rFonts w:ascii="Arial" w:eastAsia="Arial" w:hAnsi="Arial" w:cs="Arial"/>
      <w:b/>
      <w:smallCaps/>
      <w:szCs w:val="22"/>
      <w:lang w:val="es-ES" w:eastAsia="es-ES"/>
    </w:rPr>
  </w:style>
  <w:style w:type="paragraph" w:styleId="Ttulo3">
    <w:name w:val="heading 3"/>
    <w:basedOn w:val="Normal"/>
    <w:next w:val="Normal"/>
    <w:link w:val="Ttulo3Car"/>
    <w:uiPriority w:val="9"/>
    <w:semiHidden/>
    <w:unhideWhenUsed/>
    <w:qFormat/>
    <w:rsid w:val="00F4002B"/>
    <w:pPr>
      <w:keepNext/>
      <w:numPr>
        <w:ilvl w:val="2"/>
        <w:numId w:val="1"/>
      </w:numPr>
      <w:spacing w:before="240" w:after="60"/>
      <w:outlineLvl w:val="2"/>
    </w:pPr>
  </w:style>
  <w:style w:type="paragraph" w:styleId="Ttulo4">
    <w:name w:val="heading 4"/>
    <w:basedOn w:val="Normal"/>
    <w:next w:val="Normal"/>
    <w:uiPriority w:val="9"/>
    <w:semiHidden/>
    <w:unhideWhenUsed/>
    <w:qFormat/>
    <w:rsid w:val="00F4002B"/>
    <w:pPr>
      <w:keepNext/>
      <w:numPr>
        <w:ilvl w:val="3"/>
        <w:numId w:val="1"/>
      </w:numPr>
      <w:spacing w:before="240" w:after="60"/>
      <w:outlineLvl w:val="3"/>
    </w:pPr>
    <w:rPr>
      <w:b/>
    </w:rPr>
  </w:style>
  <w:style w:type="paragraph" w:styleId="Ttulo5">
    <w:name w:val="heading 5"/>
    <w:basedOn w:val="Normal"/>
    <w:next w:val="Normal"/>
    <w:uiPriority w:val="9"/>
    <w:semiHidden/>
    <w:unhideWhenUsed/>
    <w:qFormat/>
    <w:rsid w:val="00F4002B"/>
    <w:pPr>
      <w:numPr>
        <w:ilvl w:val="4"/>
        <w:numId w:val="1"/>
      </w:numPr>
      <w:spacing w:before="240" w:after="60"/>
      <w:outlineLvl w:val="4"/>
    </w:pPr>
  </w:style>
  <w:style w:type="paragraph" w:styleId="Ttulo6">
    <w:name w:val="heading 6"/>
    <w:basedOn w:val="Normal"/>
    <w:next w:val="Normal"/>
    <w:uiPriority w:val="9"/>
    <w:semiHidden/>
    <w:unhideWhenUsed/>
    <w:qFormat/>
    <w:rsid w:val="00F4002B"/>
    <w:pPr>
      <w:numPr>
        <w:ilvl w:val="5"/>
        <w:numId w:val="1"/>
      </w:numPr>
      <w:spacing w:before="240" w:after="60"/>
      <w:outlineLvl w:val="5"/>
    </w:pPr>
    <w:rPr>
      <w:i/>
    </w:rPr>
  </w:style>
  <w:style w:type="paragraph" w:styleId="Ttulo7">
    <w:name w:val="heading 7"/>
    <w:basedOn w:val="Normal"/>
    <w:next w:val="Normal"/>
    <w:qFormat/>
    <w:rsid w:val="00F4002B"/>
    <w:pPr>
      <w:numPr>
        <w:ilvl w:val="6"/>
        <w:numId w:val="1"/>
      </w:numPr>
      <w:spacing w:before="240" w:after="60"/>
      <w:jc w:val="both"/>
      <w:outlineLvl w:val="6"/>
    </w:pPr>
    <w:rPr>
      <w:rFonts w:ascii="Arial" w:eastAsia="Arial" w:hAnsi="Arial" w:cs="Arial"/>
      <w:sz w:val="22"/>
      <w:szCs w:val="22"/>
      <w:lang w:val="es-ES" w:eastAsia="es-ES"/>
    </w:rPr>
  </w:style>
  <w:style w:type="paragraph" w:styleId="Ttulo8">
    <w:name w:val="heading 8"/>
    <w:basedOn w:val="Normal"/>
    <w:next w:val="Normal"/>
    <w:qFormat/>
    <w:rsid w:val="00F4002B"/>
    <w:pPr>
      <w:numPr>
        <w:ilvl w:val="7"/>
        <w:numId w:val="1"/>
      </w:numPr>
      <w:spacing w:before="240" w:after="60"/>
      <w:jc w:val="both"/>
      <w:outlineLvl w:val="7"/>
    </w:pPr>
    <w:rPr>
      <w:rFonts w:ascii="Arial" w:eastAsia="Arial" w:hAnsi="Arial" w:cs="Arial"/>
      <w:i/>
      <w:sz w:val="22"/>
      <w:szCs w:val="22"/>
      <w:lang w:val="es-ES" w:eastAsia="es-ES"/>
    </w:rPr>
  </w:style>
  <w:style w:type="paragraph" w:styleId="Ttulo9">
    <w:name w:val="heading 9"/>
    <w:basedOn w:val="Normal"/>
    <w:next w:val="Normal"/>
    <w:qFormat/>
    <w:rsid w:val="00F4002B"/>
    <w:pPr>
      <w:numPr>
        <w:ilvl w:val="8"/>
        <w:numId w:val="1"/>
      </w:numPr>
      <w:spacing w:before="240" w:after="60"/>
      <w:jc w:val="both"/>
      <w:outlineLvl w:val="8"/>
    </w:pPr>
    <w:rPr>
      <w:rFonts w:ascii="Arial" w:eastAsia="Arial" w:hAnsi="Arial" w:cs="Arial"/>
      <w:b/>
      <w:i/>
      <w:sz w:val="18"/>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rsid w:val="00835B48"/>
    <w:pPr>
      <w:spacing w:before="240" w:after="60"/>
      <w:jc w:val="center"/>
      <w:outlineLvl w:val="0"/>
    </w:pPr>
    <w:rPr>
      <w:rFonts w:ascii="Arial" w:eastAsia="Arial" w:hAnsi="Arial" w:cs="Arial"/>
      <w:b/>
      <w:bCs/>
      <w:kern w:val="28"/>
      <w:szCs w:val="32"/>
      <w:lang w:val="es-ES" w:eastAsia="es-ES"/>
    </w:rPr>
  </w:style>
  <w:style w:type="paragraph" w:styleId="Encabezado">
    <w:name w:val="header"/>
    <w:aliases w:val="h,h8,h9,h10,h18,encabezado,Encabezado1,Encabezado 2,hd,he,h18 Car Car Car Car Car Car Car Car,h18 Car Car Car Car Car Car Car,h18 Car Car Car,h18 Car Car Car Car Car,Alt Header,Tit 1,AL Encabezado,Encabezado AL,h1,Header Bold,TENDER,*Header"/>
    <w:basedOn w:val="Normal"/>
    <w:link w:val="EncabezadoCar"/>
    <w:qFormat/>
    <w:rsid w:val="00F4002B"/>
    <w:pPr>
      <w:tabs>
        <w:tab w:val="center" w:pos="4252"/>
        <w:tab w:val="right" w:pos="8504"/>
      </w:tabs>
      <w:jc w:val="both"/>
    </w:pPr>
    <w:rPr>
      <w:rFonts w:ascii="Arial" w:eastAsia="Arial" w:hAnsi="Arial" w:cs="Arial"/>
      <w:sz w:val="22"/>
      <w:szCs w:val="22"/>
      <w:lang w:val="es-ES" w:eastAsia="es-ES"/>
    </w:rPr>
  </w:style>
  <w:style w:type="paragraph" w:styleId="Piedepgina">
    <w:name w:val="footer"/>
    <w:basedOn w:val="Normal"/>
    <w:link w:val="PiedepginaCar"/>
    <w:uiPriority w:val="99"/>
    <w:rsid w:val="00F4002B"/>
    <w:pPr>
      <w:tabs>
        <w:tab w:val="center" w:pos="4252"/>
        <w:tab w:val="right" w:pos="8504"/>
      </w:tabs>
      <w:jc w:val="both"/>
    </w:pPr>
    <w:rPr>
      <w:rFonts w:ascii="Arial" w:eastAsia="Arial" w:hAnsi="Arial" w:cs="Arial"/>
      <w:sz w:val="22"/>
      <w:szCs w:val="22"/>
      <w:lang w:val="es-ES" w:eastAsia="es-ES"/>
    </w:rPr>
  </w:style>
  <w:style w:type="paragraph" w:styleId="Textoindependiente">
    <w:name w:val="Body Text"/>
    <w:aliases w:val="Texto independiente Car Car Car Car,Texto independiente Car Car Car"/>
    <w:basedOn w:val="Normal"/>
    <w:link w:val="TextoindependienteCar"/>
    <w:uiPriority w:val="99"/>
    <w:rsid w:val="00F4002B"/>
    <w:pPr>
      <w:jc w:val="both"/>
    </w:pPr>
    <w:rPr>
      <w:rFonts w:ascii="Futura Md BT" w:eastAsia="Arial" w:hAnsi="Futura Md BT" w:cs="Arial"/>
      <w:szCs w:val="22"/>
      <w:lang w:val="es-ES" w:eastAsia="es-ES"/>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jc w:val="both"/>
    </w:pPr>
    <w:rPr>
      <w:rFonts w:ascii="Swis721 Md BT" w:eastAsia="Arial" w:hAnsi="Swis721 Md BT" w:cs="Arial"/>
      <w:sz w:val="22"/>
      <w:szCs w:val="22"/>
      <w:lang w:val="es-MX" w:eastAsia="es-ES"/>
    </w:rPr>
  </w:style>
  <w:style w:type="paragraph" w:styleId="Textoindependiente2">
    <w:name w:val="Body Text 2"/>
    <w:basedOn w:val="Normal"/>
    <w:rsid w:val="00F4002B"/>
    <w:pPr>
      <w:jc w:val="both"/>
    </w:pPr>
    <w:rPr>
      <w:rFonts w:ascii="Arial" w:eastAsia="Arial" w:hAnsi="Arial" w:cs="Arial"/>
      <w:szCs w:val="22"/>
      <w:lang w:val="es-MX" w:eastAsia="es-ES"/>
    </w:rPr>
  </w:style>
  <w:style w:type="character" w:styleId="Textoennegrita">
    <w:name w:val="Strong"/>
    <w:uiPriority w:val="22"/>
    <w:qFormat/>
    <w:rsid w:val="00F4002B"/>
    <w:rPr>
      <w:b/>
    </w:rPr>
  </w:style>
  <w:style w:type="paragraph" w:styleId="Sangra2detindependiente">
    <w:name w:val="Body Text Indent 2"/>
    <w:basedOn w:val="Normal"/>
    <w:rsid w:val="00F4002B"/>
    <w:pPr>
      <w:tabs>
        <w:tab w:val="left" w:pos="284"/>
      </w:tabs>
      <w:ind w:left="284" w:hanging="284"/>
      <w:jc w:val="both"/>
    </w:pPr>
    <w:rPr>
      <w:rFonts w:ascii="Arial" w:eastAsia="Arial" w:hAnsi="Arial" w:cs="Arial"/>
      <w:snapToGrid w:val="0"/>
      <w:szCs w:val="22"/>
      <w:lang w:val="es-ES_tradnl" w:eastAsia="es-ES"/>
    </w:rPr>
  </w:style>
  <w:style w:type="paragraph" w:styleId="Sangra3detindependiente">
    <w:name w:val="Body Text Indent 3"/>
    <w:basedOn w:val="Normal"/>
    <w:rsid w:val="00F4002B"/>
    <w:pPr>
      <w:tabs>
        <w:tab w:val="num" w:pos="284"/>
      </w:tabs>
      <w:ind w:left="284"/>
      <w:jc w:val="both"/>
    </w:pPr>
    <w:rPr>
      <w:rFonts w:ascii="Arial" w:eastAsia="Arial" w:hAnsi="Arial" w:cs="Arial"/>
      <w:snapToGrid w:val="0"/>
      <w:szCs w:val="22"/>
      <w:lang w:val="es-ES_tradnl" w:eastAsia="es-ES"/>
    </w:rPr>
  </w:style>
  <w:style w:type="paragraph" w:styleId="Descripcin">
    <w:name w:val="caption"/>
    <w:basedOn w:val="Normal"/>
    <w:next w:val="Normal"/>
    <w:qFormat/>
    <w:rsid w:val="00F4002B"/>
    <w:pPr>
      <w:jc w:val="center"/>
    </w:pPr>
    <w:rPr>
      <w:rFonts w:ascii="Arial" w:eastAsia="Arial" w:hAnsi="Arial" w:cs="Arial"/>
      <w:b/>
      <w:sz w:val="22"/>
      <w:szCs w:val="22"/>
      <w:lang w:val="es-ES" w:eastAsia="es-ES"/>
    </w:rPr>
  </w:style>
  <w:style w:type="paragraph" w:styleId="TDC1">
    <w:name w:val="toc 1"/>
    <w:basedOn w:val="Normal"/>
    <w:next w:val="Normal"/>
    <w:autoRedefine/>
    <w:uiPriority w:val="39"/>
    <w:rsid w:val="00B00546"/>
    <w:pPr>
      <w:spacing w:before="120"/>
    </w:pPr>
    <w:rPr>
      <w:rFonts w:ascii="Arial" w:eastAsia="Arial" w:hAnsi="Arial" w:cs="Arial"/>
      <w:b/>
      <w:bCs/>
      <w:sz w:val="20"/>
      <w:szCs w:val="22"/>
      <w:lang w:val="es-ES" w:eastAsia="es-ES"/>
    </w:rPr>
  </w:style>
  <w:style w:type="paragraph" w:styleId="Textodeglobo">
    <w:name w:val="Balloon Text"/>
    <w:basedOn w:val="Normal"/>
    <w:link w:val="TextodegloboCar"/>
    <w:rsid w:val="00B714E5"/>
    <w:pPr>
      <w:jc w:val="both"/>
    </w:pPr>
    <w:rPr>
      <w:rFonts w:ascii="Tahoma" w:eastAsia="Arial" w:hAnsi="Tahoma" w:cs="Arial"/>
      <w:sz w:val="16"/>
      <w:szCs w:val="16"/>
      <w:lang w:val="es-ES" w:eastAsia="es-ES"/>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pPr>
    <w:rPr>
      <w:rFonts w:ascii="Arial" w:eastAsia="Arial" w:hAnsi="Arial" w:cs="Arial"/>
      <w:sz w:val="20"/>
      <w:szCs w:val="22"/>
      <w:lang w:val="es-ES" w:eastAsia="es-ES"/>
    </w:rPr>
  </w:style>
  <w:style w:type="paragraph" w:styleId="NormalWeb">
    <w:name w:val="Normal (Web)"/>
    <w:aliases w:val="Normal (Web) Car Car"/>
    <w:basedOn w:val="Normal"/>
    <w:link w:val="NormalWebCar"/>
    <w:uiPriority w:val="99"/>
    <w:unhideWhenUsed/>
    <w:rsid w:val="00F53451"/>
    <w:pPr>
      <w:spacing w:before="100" w:beforeAutospacing="1" w:after="100" w:afterAutospacing="1"/>
      <w:jc w:val="both"/>
    </w:pPr>
    <w:rPr>
      <w:rFonts w:ascii="Arial" w:eastAsia="Arial" w:hAnsi="Arial" w:cs="Arial"/>
      <w:lang w:eastAsia="es-CO"/>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jc w:val="both"/>
    </w:pPr>
    <w:rPr>
      <w:rFonts w:ascii="Arial" w:eastAsia="Arial" w:hAnsi="Arial" w:cs="Arial"/>
      <w:sz w:val="22"/>
      <w:szCs w:val="22"/>
      <w:lang w:val="es-ES" w:eastAsia="es-ES"/>
    </w:rPr>
  </w:style>
  <w:style w:type="table" w:styleId="Tablaconcuadrcula">
    <w:name w:val="Table Grid"/>
    <w:basedOn w:val="Tablanormal"/>
    <w:uiPriority w:val="39"/>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jc w:val="both"/>
    </w:pPr>
    <w:rPr>
      <w:rFonts w:ascii="Arial" w:eastAsia="Arial" w:hAnsi="Arial" w:cs="Arial"/>
      <w:sz w:val="22"/>
      <w:szCs w:val="22"/>
      <w:lang w:val="es-ES" w:eastAsia="es-ES"/>
    </w:rPr>
  </w:style>
  <w:style w:type="paragraph" w:styleId="Listaconvietas2">
    <w:name w:val="List Bullet 2"/>
    <w:basedOn w:val="Normal"/>
    <w:rsid w:val="00577C1A"/>
    <w:pPr>
      <w:numPr>
        <w:numId w:val="2"/>
      </w:numPr>
      <w:contextualSpacing/>
      <w:jc w:val="both"/>
    </w:pPr>
    <w:rPr>
      <w:rFonts w:ascii="Arial" w:eastAsia="Arial" w:hAnsi="Arial" w:cs="Arial"/>
      <w:sz w:val="22"/>
      <w:szCs w:val="22"/>
      <w:lang w:val="es-ES" w:eastAsia="es-ES"/>
    </w:rPr>
  </w:style>
  <w:style w:type="paragraph" w:styleId="TDC2">
    <w:name w:val="toc 2"/>
    <w:basedOn w:val="Normal"/>
    <w:next w:val="Normal"/>
    <w:autoRedefine/>
    <w:uiPriority w:val="39"/>
    <w:rsid w:val="00B00546"/>
    <w:pPr>
      <w:ind w:left="220"/>
    </w:pPr>
    <w:rPr>
      <w:rFonts w:ascii="Arial" w:eastAsia="Arial" w:hAnsi="Arial" w:cs="Arial"/>
      <w:i/>
      <w:iCs/>
      <w:sz w:val="20"/>
      <w:szCs w:val="22"/>
      <w:lang w:val="es-ES"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1"/>
    <w:qFormat/>
    <w:rsid w:val="008E4D85"/>
    <w:pPr>
      <w:ind w:left="720"/>
      <w:contextualSpacing/>
      <w:jc w:val="both"/>
    </w:pPr>
    <w:rPr>
      <w:rFonts w:ascii="Arial" w:eastAsia="Arial" w:hAnsi="Arial" w:cs="Arial"/>
      <w:sz w:val="22"/>
      <w:szCs w:val="22"/>
      <w:lang w:val="es-ES" w:eastAsia="es-ES"/>
    </w:rPr>
  </w:style>
  <w:style w:type="paragraph" w:styleId="TDC4">
    <w:name w:val="toc 4"/>
    <w:basedOn w:val="Normal"/>
    <w:next w:val="Normal"/>
    <w:autoRedefine/>
    <w:rsid w:val="00B00546"/>
    <w:pPr>
      <w:ind w:left="660"/>
    </w:pPr>
    <w:rPr>
      <w:rFonts w:ascii="Arial" w:eastAsia="Arial" w:hAnsi="Arial" w:cs="Arial"/>
      <w:sz w:val="20"/>
      <w:szCs w:val="22"/>
      <w:lang w:val="es-ES" w:eastAsia="es-ES"/>
    </w:rPr>
  </w:style>
  <w:style w:type="paragraph" w:styleId="TDC5">
    <w:name w:val="toc 5"/>
    <w:basedOn w:val="Normal"/>
    <w:next w:val="Normal"/>
    <w:autoRedefine/>
    <w:rsid w:val="00B00546"/>
    <w:pPr>
      <w:ind w:left="880"/>
    </w:pPr>
    <w:rPr>
      <w:rFonts w:asciiTheme="minorHAnsi" w:eastAsia="Arial" w:hAnsiTheme="minorHAnsi" w:cs="Arial"/>
      <w:sz w:val="20"/>
      <w:szCs w:val="22"/>
      <w:lang w:val="es-ES" w:eastAsia="es-ES"/>
    </w:rPr>
  </w:style>
  <w:style w:type="paragraph" w:styleId="TDC6">
    <w:name w:val="toc 6"/>
    <w:basedOn w:val="Normal"/>
    <w:next w:val="Normal"/>
    <w:autoRedefine/>
    <w:rsid w:val="00B00546"/>
    <w:pPr>
      <w:ind w:left="1100"/>
    </w:pPr>
    <w:rPr>
      <w:rFonts w:asciiTheme="minorHAnsi" w:eastAsia="Arial" w:hAnsiTheme="minorHAnsi" w:cs="Arial"/>
      <w:sz w:val="20"/>
      <w:szCs w:val="22"/>
      <w:lang w:val="es-ES" w:eastAsia="es-ES"/>
    </w:rPr>
  </w:style>
  <w:style w:type="paragraph" w:styleId="TDC7">
    <w:name w:val="toc 7"/>
    <w:basedOn w:val="Normal"/>
    <w:next w:val="Normal"/>
    <w:autoRedefine/>
    <w:rsid w:val="00B00546"/>
    <w:pPr>
      <w:ind w:left="1320"/>
    </w:pPr>
    <w:rPr>
      <w:rFonts w:asciiTheme="minorHAnsi" w:eastAsia="Arial" w:hAnsiTheme="minorHAnsi" w:cs="Arial"/>
      <w:sz w:val="20"/>
      <w:szCs w:val="22"/>
      <w:lang w:val="es-ES" w:eastAsia="es-ES"/>
    </w:rPr>
  </w:style>
  <w:style w:type="paragraph" w:styleId="TDC8">
    <w:name w:val="toc 8"/>
    <w:basedOn w:val="Normal"/>
    <w:next w:val="Normal"/>
    <w:autoRedefine/>
    <w:rsid w:val="00B00546"/>
    <w:pPr>
      <w:ind w:left="1540"/>
    </w:pPr>
    <w:rPr>
      <w:rFonts w:asciiTheme="minorHAnsi" w:eastAsia="Arial" w:hAnsiTheme="minorHAnsi" w:cs="Arial"/>
      <w:sz w:val="20"/>
      <w:szCs w:val="22"/>
      <w:lang w:val="es-ES" w:eastAsia="es-ES"/>
    </w:rPr>
  </w:style>
  <w:style w:type="paragraph" w:styleId="TDC9">
    <w:name w:val="toc 9"/>
    <w:basedOn w:val="Normal"/>
    <w:next w:val="Normal"/>
    <w:autoRedefine/>
    <w:rsid w:val="00B00546"/>
    <w:pPr>
      <w:ind w:left="1760"/>
    </w:pPr>
    <w:rPr>
      <w:rFonts w:asciiTheme="minorHAnsi" w:eastAsia="Arial" w:hAnsiTheme="minorHAnsi" w:cs="Arial"/>
      <w:sz w:val="20"/>
      <w:szCs w:val="22"/>
      <w:lang w:val="es-ES" w:eastAsia="es-ES"/>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
    <w:basedOn w:val="Fuentedeprrafopredeter"/>
    <w:link w:val="Textoindependiente"/>
    <w:uiPriority w:val="99"/>
    <w:rsid w:val="00FC6926"/>
    <w:rPr>
      <w:rFonts w:ascii="Futura Md BT" w:hAnsi="Futura Md BT"/>
      <w:sz w:val="24"/>
      <w:lang w:val="es-ES" w:eastAsia="es-ES"/>
    </w:rPr>
  </w:style>
  <w:style w:type="character" w:styleId="Refdecomentario">
    <w:name w:val="annotation reference"/>
    <w:basedOn w:val="Fuentedeprrafopredeter"/>
    <w:rsid w:val="001A04EB"/>
    <w:rPr>
      <w:sz w:val="16"/>
      <w:szCs w:val="16"/>
    </w:rPr>
  </w:style>
  <w:style w:type="paragraph" w:styleId="Textocomentario">
    <w:name w:val="annotation text"/>
    <w:basedOn w:val="Normal"/>
    <w:link w:val="TextocomentarioCar"/>
    <w:rsid w:val="001A04EB"/>
    <w:pPr>
      <w:jc w:val="both"/>
    </w:pPr>
    <w:rPr>
      <w:rFonts w:ascii="Arial" w:eastAsia="Arial" w:hAnsi="Arial" w:cs="Arial"/>
      <w:sz w:val="20"/>
      <w:szCs w:val="22"/>
      <w:lang w:val="es-ES" w:eastAsia="es-ES"/>
    </w:rPr>
  </w:style>
  <w:style w:type="character" w:customStyle="1" w:styleId="TextocomentarioCar">
    <w:name w:val="Texto comentario Car"/>
    <w:basedOn w:val="Fuentedeprrafopredeter"/>
    <w:link w:val="Textocomentario"/>
    <w:rsid w:val="001A04EB"/>
    <w:rPr>
      <w:rFonts w:ascii="Arial" w:hAnsi="Arial"/>
      <w:lang w:val="es-ES" w:eastAsia="es-ES"/>
    </w:rPr>
  </w:style>
  <w:style w:type="paragraph" w:styleId="Asuntodelcomentario">
    <w:name w:val="annotation subject"/>
    <w:basedOn w:val="Textocomentario"/>
    <w:next w:val="Textocomentario"/>
    <w:link w:val="AsuntodelcomentarioCar"/>
    <w:rsid w:val="001A04EB"/>
    <w:rPr>
      <w:b/>
      <w:bCs/>
    </w:rPr>
  </w:style>
  <w:style w:type="character" w:customStyle="1" w:styleId="AsuntodelcomentarioCar">
    <w:name w:val="Asunto del comentario Car"/>
    <w:basedOn w:val="TextocomentarioCar"/>
    <w:link w:val="Asuntodelcomentario"/>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color w:val="000000"/>
      <w:sz w:val="24"/>
      <w:szCs w:val="24"/>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basedOn w:val="Fuentedeprrafopredeter"/>
    <w:link w:val="Ttulo3"/>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iPriority w:val="99"/>
    <w:unhideWhenUsed/>
    <w:rsid w:val="008F356D"/>
    <w:pPr>
      <w:tabs>
        <w:tab w:val="num" w:pos="720"/>
      </w:tabs>
      <w:ind w:left="720" w:hanging="720"/>
      <w:contextualSpacing/>
    </w:pPr>
    <w:rPr>
      <w:rFonts w:eastAsia="Arial" w:cs="Arial"/>
      <w:lang w:val="es-ES" w:eastAsia="es-ES"/>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rPr>
      <w:rFonts w:ascii="Arial Narrow" w:eastAsia="Arial" w:hAnsi="Arial Narrow" w:cs="Arial"/>
      <w:sz w:val="22"/>
      <w:szCs w:val="22"/>
      <w:lang w:eastAsia="es-ES"/>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Car Car Car Car Car,ft Car Car"/>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qFormat/>
    <w:rsid w:val="006E3D16"/>
    <w:rPr>
      <w:rFonts w:ascii="Calibri" w:hAnsi="Calibri"/>
      <w:lang w:eastAsia="en-US"/>
    </w:rPr>
  </w:style>
  <w:style w:type="character" w:customStyle="1" w:styleId="NoSpacingChar">
    <w:name w:val="No Spacing Char"/>
    <w:link w:val="Sinespaciado1"/>
    <w:qFormat/>
    <w:locked/>
    <w:rsid w:val="006E3D16"/>
    <w:rPr>
      <w:rFonts w:ascii="Calibri" w:hAnsi="Calibri"/>
      <w:sz w:val="22"/>
      <w:lang w:val="es-ES" w:eastAsia="en-US"/>
    </w:rPr>
  </w:style>
  <w:style w:type="character" w:customStyle="1" w:styleId="DefaultCar">
    <w:name w:val="Default Car"/>
    <w:link w:val="Defaul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pPr>
    <w:rPr>
      <w:rFonts w:ascii="Times" w:eastAsia="Arial" w:hAnsi="Times" w:cs="Arial"/>
      <w:sz w:val="20"/>
      <w:szCs w:val="22"/>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Style5">
    <w:name w:val="Style5"/>
    <w:basedOn w:val="Normal"/>
    <w:uiPriority w:val="99"/>
    <w:rsid w:val="004152A0"/>
    <w:pPr>
      <w:widowControl w:val="0"/>
      <w:autoSpaceDE w:val="0"/>
      <w:autoSpaceDN w:val="0"/>
      <w:adjustRightInd w:val="0"/>
      <w:spacing w:line="252" w:lineRule="exact"/>
      <w:jc w:val="both"/>
    </w:pPr>
    <w:rPr>
      <w:rFonts w:ascii="Arial" w:eastAsia="Arial" w:hAnsi="Arial" w:cs="Arial"/>
      <w:lang w:eastAsia="es-CO"/>
    </w:rPr>
  </w:style>
  <w:style w:type="table" w:customStyle="1" w:styleId="12">
    <w:name w:val="12"/>
    <w:basedOn w:val="Tablanormal"/>
    <w:rsid w:val="0090495F"/>
    <w:tblPr>
      <w:tblStyleRowBandSize w:val="1"/>
      <w:tblStyleColBandSize w:val="1"/>
      <w:tblCellMar>
        <w:left w:w="115" w:type="dxa"/>
        <w:right w:w="115" w:type="dxa"/>
      </w:tblCellMar>
    </w:tblPr>
  </w:style>
  <w:style w:type="paragraph" w:customStyle="1" w:styleId="Cuerpodeltexto1">
    <w:name w:val="Cuerpo del texto1"/>
    <w:basedOn w:val="Normal"/>
    <w:rsid w:val="006121C1"/>
    <w:pPr>
      <w:widowControl w:val="0"/>
      <w:shd w:val="clear" w:color="auto" w:fill="FFFFFF"/>
      <w:spacing w:before="2820" w:after="3060" w:line="240" w:lineRule="atLeast"/>
      <w:ind w:hanging="720"/>
      <w:jc w:val="center"/>
    </w:pPr>
    <w:rPr>
      <w:rFonts w:ascii="Arial Narrow" w:eastAsia="Arial" w:hAnsi="Arial Narrow" w:cs="Arial"/>
      <w:sz w:val="23"/>
      <w:szCs w:val="23"/>
      <w:lang w:val="x-none" w:eastAsia="x-none"/>
    </w:rPr>
  </w:style>
  <w:style w:type="paragraph" w:customStyle="1" w:styleId="paragraph">
    <w:name w:val="paragraph"/>
    <w:basedOn w:val="Normal"/>
    <w:rsid w:val="00226C56"/>
    <w:pPr>
      <w:spacing w:before="100" w:beforeAutospacing="1" w:after="100" w:afterAutospacing="1"/>
    </w:pPr>
    <w:rPr>
      <w:rFonts w:eastAsia="Arial" w:cs="Arial"/>
      <w:lang w:eastAsia="es-CO"/>
    </w:rPr>
  </w:style>
  <w:style w:type="character" w:customStyle="1" w:styleId="normaltextrun">
    <w:name w:val="normaltextrun"/>
    <w:basedOn w:val="Fuentedeprrafopredeter"/>
    <w:rsid w:val="00226C56"/>
  </w:style>
  <w:style w:type="character" w:customStyle="1" w:styleId="eop">
    <w:name w:val="eop"/>
    <w:basedOn w:val="Fuentedeprrafopredeter"/>
    <w:rsid w:val="00226C56"/>
  </w:style>
  <w:style w:type="character" w:customStyle="1" w:styleId="NormalWebCar">
    <w:name w:val="Normal (Web) Car"/>
    <w:aliases w:val="Normal (Web) Car Car Car"/>
    <w:link w:val="NormalWeb"/>
    <w:uiPriority w:val="99"/>
    <w:rsid w:val="008C5D9A"/>
    <w:rPr>
      <w:rFonts w:ascii="Arial" w:hAnsi="Arial"/>
      <w:sz w:val="24"/>
      <w:szCs w:val="24"/>
    </w:rPr>
  </w:style>
  <w:style w:type="character" w:customStyle="1" w:styleId="Mencinsinresolver1">
    <w:name w:val="Mención sin resolver1"/>
    <w:basedOn w:val="Fuentedeprrafopredeter"/>
    <w:uiPriority w:val="99"/>
    <w:semiHidden/>
    <w:unhideWhenUsed/>
    <w:rsid w:val="00294177"/>
    <w:rPr>
      <w:color w:val="605E5C"/>
      <w:shd w:val="clear" w:color="auto" w:fill="E1DFDD"/>
    </w:rPr>
  </w:style>
  <w:style w:type="paragraph" w:styleId="Subttulo">
    <w:name w:val="Subtitle"/>
    <w:basedOn w:val="Normal"/>
    <w:next w:val="Normal"/>
    <w:uiPriority w:val="11"/>
    <w:qFormat/>
    <w:pPr>
      <w:keepNext/>
      <w:keepLines/>
      <w:spacing w:before="360" w:after="80"/>
      <w:jc w:val="both"/>
    </w:pPr>
    <w:rPr>
      <w:rFonts w:ascii="Georgia" w:eastAsia="Georgia" w:hAnsi="Georgia" w:cs="Georgia"/>
      <w:i/>
      <w:color w:val="666666"/>
      <w:sz w:val="48"/>
      <w:szCs w:val="48"/>
      <w:lang w:val="es-ES" w:eastAsia="es-ES"/>
    </w:rPr>
  </w:style>
  <w:style w:type="paragraph" w:customStyle="1" w:styleId="TableParagraph">
    <w:name w:val="Table Paragraph"/>
    <w:basedOn w:val="Normal"/>
    <w:uiPriority w:val="1"/>
    <w:qFormat/>
    <w:rsid w:val="00952AF3"/>
    <w:pPr>
      <w:widowControl w:val="0"/>
      <w:autoSpaceDE w:val="0"/>
      <w:autoSpaceDN w:val="0"/>
      <w:jc w:val="center"/>
    </w:pPr>
    <w:rPr>
      <w:rFonts w:ascii="Calibri" w:eastAsia="Calibri" w:hAnsi="Calibri" w:cs="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bAbi86PnC2P2hivuiURX3YIuHQ==">CgMxLjAyDmgubDNkeHU1OTJmc2RwOAByITFHSnhYQVp2aFhPV1d1dGpZa0dxVktoWGVpT2p4OGVrSA==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4</Pages>
  <Words>1352</Words>
  <Characters>7441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carlosfcampos</dc:creator>
  <cp:lastModifiedBy>Miguel Angel Huertas Pineda</cp:lastModifiedBy>
  <cp:revision>74</cp:revision>
  <cp:lastPrinted>2025-05-28T02:36:00Z</cp:lastPrinted>
  <dcterms:created xsi:type="dcterms:W3CDTF">2026-03-30T23:01:00Z</dcterms:created>
  <dcterms:modified xsi:type="dcterms:W3CDTF">2026-10-19T02:31:00Z</dcterms:modified>
</cp:coreProperties>
</file>